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4"/>
          <w:szCs w:val="14"/>
          <w:b w:val="1"/>
          <w:bCs w:val="1"/>
          <w:color w:val="auto"/>
        </w:rPr>
        <w:t>FORM 6-K/A</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AND EXCHANGE COMMISSION</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Washington, D.C. 20549</w:t>
      </w:r>
    </w:p>
    <w:p>
      <w:pPr>
        <w:spacing w:after="0" w:line="174"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Report of Foreign Private Issuer</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Pursuant to Rule 13a-16 under</w:t>
      </w:r>
    </w:p>
    <w:p>
      <w:pPr>
        <w:spacing w:after="0" w:line="8"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he Securities Exchange Act of 1934</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For the month ended May, 2019</w:t>
      </w:r>
    </w:p>
    <w:p>
      <w:pPr>
        <w:spacing w:after="0" w:line="34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ICON plc</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(Registrant's name)</w:t>
      </w:r>
    </w:p>
    <w:p>
      <w:pPr>
        <w:spacing w:after="0" w:line="332"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333-08704</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(Commission file number)</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(Address of principal executive offices)</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Brendan Brennan, CFO</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8"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Brendan.Brennan@iconplc.com</w:t>
      </w:r>
    </w:p>
    <w:p>
      <w:pPr>
        <w:spacing w:after="0" w:line="8"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+353-1-291-2000</w:t>
      </w:r>
    </w:p>
    <w:p>
      <w:pPr>
        <w:spacing w:after="0" w:line="8" w:lineRule="exact"/>
        <w:rPr>
          <w:sz w:val="24"/>
          <w:szCs w:val="24"/>
          <w:color w:val="auto"/>
        </w:rPr>
      </w:pPr>
    </w:p>
    <w:p>
      <w:pPr>
        <w:jc w:val="center"/>
        <w:ind w:right="-299"/>
        <w:spacing w:after="0"/>
        <w:rPr>
          <w:sz w:val="20"/>
          <w:szCs w:val="20"/>
          <w:color w:val="auto"/>
        </w:rPr>
      </w:pPr>
      <w:r>
        <w:rPr>
          <w:rFonts w:ascii="Arial" w:cs="Arial" w:eastAsia="Arial" w:hAnsi="Arial"/>
          <w:sz w:val="12"/>
          <w:szCs w:val="12"/>
          <w:color w:val="auto"/>
        </w:rPr>
        <w:t>(Name, telephone number, email and/or facsimile number and address of Company contact person)</w:t>
      </w:r>
    </w:p>
    <w:p>
      <w:pPr>
        <w:sectPr>
          <w:pgSz w:w="11900" w:h="16838" w:orient="portrait"/>
          <w:cols w:equalWidth="0" w:num="1">
            <w:col w:w="11160"/>
          </w:cols>
          <w:pgMar w:left="240" w:top="400"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600" w:hanging="4591"/>
        <w:spacing w:after="0" w:line="343" w:lineRule="auto"/>
        <w:rPr>
          <w:sz w:val="20"/>
          <w:szCs w:val="20"/>
          <w:color w:val="auto"/>
        </w:rPr>
      </w:pPr>
      <w:r>
        <w:rPr>
          <w:rFonts w:ascii="Arial" w:cs="Arial" w:eastAsia="Arial" w:hAnsi="Arial"/>
          <w:sz w:val="14"/>
          <w:szCs w:val="14"/>
          <w:color w:val="auto"/>
        </w:rPr>
        <w:t xml:space="preserve">Indicate by check mark whether the registrant files or will file annual reports under cover Form 20-F or Form 40-F. Form 20-F </w:t>
      </w:r>
      <w:r>
        <w:rPr>
          <w:rFonts w:ascii="Arial" w:cs="Arial" w:eastAsia="Arial" w:hAnsi="Arial"/>
          <w:sz w:val="14"/>
          <w:szCs w:val="14"/>
          <w:b w:val="1"/>
          <w:bCs w:val="1"/>
          <w:u w:val="single" w:color="auto"/>
          <w:color w:val="auto"/>
        </w:rPr>
        <w:t>X</w:t>
      </w:r>
      <w:r>
        <w:rPr>
          <w:rFonts w:ascii="Arial" w:cs="Arial" w:eastAsia="Arial" w:hAnsi="Arial"/>
          <w:sz w:val="14"/>
          <w:szCs w:val="14"/>
          <w:u w:val="single" w:color="auto"/>
          <w:color w:val="auto"/>
        </w:rPr>
        <w:t>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2"/>
          <w:szCs w:val="12"/>
          <w:color w:val="auto"/>
        </w:rPr>
        <w:t>Form 40-F _____</w:t>
      </w:r>
    </w:p>
    <w:p>
      <w:pPr>
        <w:spacing w:after="0" w:line="306" w:lineRule="exact"/>
        <w:rPr>
          <w:sz w:val="24"/>
          <w:szCs w:val="24"/>
          <w:color w:val="auto"/>
        </w:rPr>
      </w:pPr>
    </w:p>
    <w:p>
      <w:pPr>
        <w:sectPr>
          <w:pgSz w:w="11900" w:h="16838" w:orient="portrait"/>
          <w:cols w:equalWidth="0" w:num="2">
            <w:col w:w="6500" w:space="40"/>
            <w:col w:w="4620"/>
          </w:cols>
          <w:pgMar w:left="240" w:top="400" w:right="49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47" w:lineRule="exact"/>
        <w:rPr>
          <w:sz w:val="24"/>
          <w:szCs w:val="24"/>
          <w:color w:val="auto"/>
        </w:rPr>
      </w:pPr>
    </w:p>
    <w:p>
      <w:pPr>
        <w:ind w:left="460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X</w:t>
      </w:r>
      <w:r>
        <w:rPr>
          <w:rFonts w:ascii="Arial" w:cs="Arial" w:eastAsia="Arial" w:hAnsi="Arial"/>
          <w:sz w:val="13"/>
          <w:szCs w:val="13"/>
          <w:color w:val="auto"/>
        </w:rPr>
        <w:t>___</w:t>
      </w:r>
    </w:p>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47" w:lineRule="exact"/>
        <w:rPr>
          <w:sz w:val="24"/>
          <w:szCs w:val="24"/>
          <w:color w:val="auto"/>
        </w:rPr>
      </w:pPr>
    </w:p>
    <w:p>
      <w:pPr>
        <w:ind w:left="460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X</w:t>
      </w:r>
      <w:r>
        <w:rPr>
          <w:rFonts w:ascii="Arial" w:cs="Arial" w:eastAsia="Arial" w:hAnsi="Arial"/>
          <w:sz w:val="13"/>
          <w:szCs w:val="13"/>
          <w:color w:val="auto"/>
        </w:rPr>
        <w:t>___</w:t>
      </w:r>
    </w:p>
    <w:p>
      <w:pPr>
        <w:spacing w:after="0" w:line="287" w:lineRule="exact"/>
        <w:rPr>
          <w:sz w:val="24"/>
          <w:szCs w:val="24"/>
          <w:color w:val="auto"/>
        </w:rPr>
      </w:pPr>
    </w:p>
    <w:p>
      <w:pPr>
        <w:spacing w:after="0" w:line="280"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60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X</w:t>
      </w:r>
      <w:r>
        <w:rPr>
          <w:rFonts w:ascii="Arial" w:cs="Arial" w:eastAsia="Arial" w:hAnsi="Arial"/>
          <w:sz w:val="13"/>
          <w:szCs w:val="13"/>
          <w:color w:val="auto"/>
        </w:rPr>
        <w:t>___</w:t>
      </w:r>
    </w:p>
    <w:p>
      <w:pPr>
        <w:spacing w:after="0" w:line="28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If "Yes" is marked, indicate below the file number assigned to the registrant in connection with Rule 12g3-2(b):82 </w:t>
      </w:r>
      <w:r>
        <w:rPr>
          <w:rFonts w:ascii="Arial" w:cs="Arial" w:eastAsia="Arial" w:hAnsi="Arial"/>
          <w:sz w:val="14"/>
          <w:szCs w:val="14"/>
          <w:b w:val="1"/>
          <w:bCs w:val="1"/>
          <w:color w:val="auto"/>
        </w:rPr>
        <w:t>N/A</w:t>
      </w:r>
    </w:p>
    <w:p>
      <w:pPr>
        <w:sectPr>
          <w:pgSz w:w="11900" w:h="16838" w:orient="portrait"/>
          <w:cols w:equalWidth="0" w:num="1">
            <w:col w:w="11160"/>
          </w:cols>
          <w:pgMar w:left="240" w:top="400" w:right="499" w:bottom="1440" w:gutter="0" w:footer="0" w:header="0"/>
          <w:type w:val="continuous"/>
        </w:sectPr>
      </w:pPr>
    </w:p>
    <w:bookmarkStart w:id="1" w:name="page2"/>
    <w:bookmarkEnd w:id="1"/>
    <w:p>
      <w:pPr>
        <w:spacing w:after="0" w:line="230" w:lineRule="exact"/>
        <w:rPr>
          <w:sz w:val="20"/>
          <w:szCs w:val="20"/>
          <w:color w:val="auto"/>
        </w:rPr>
      </w:pPr>
    </w:p>
    <w:p>
      <w:pPr>
        <w:jc w:val="right"/>
        <w:ind w:right="4019"/>
        <w:spacing w:after="0"/>
        <w:rPr>
          <w:sz w:val="20"/>
          <w:szCs w:val="20"/>
          <w:color w:val="auto"/>
        </w:rPr>
      </w:pPr>
      <w:r>
        <w:rPr>
          <w:rFonts w:ascii="Arial" w:cs="Arial" w:eastAsia="Arial" w:hAnsi="Arial"/>
          <w:sz w:val="14"/>
          <w:szCs w:val="14"/>
          <w:b w:val="1"/>
          <w:bCs w:val="1"/>
          <w:u w:val="single" w:color="auto"/>
          <w:color w:val="auto"/>
        </w:rPr>
        <w:t>EXHIBIT LIST</w:t>
      </w:r>
    </w:p>
    <w:p>
      <w:pPr>
        <w:spacing w:after="0" w:line="309" w:lineRule="exact"/>
        <w:rPr>
          <w:sz w:val="20"/>
          <w:szCs w:val="20"/>
          <w:color w:val="auto"/>
        </w:rPr>
      </w:pPr>
    </w:p>
    <w:p>
      <w:pPr>
        <w:spacing w:after="0"/>
        <w:tabs>
          <w:tab w:leader="none" w:pos="16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83" w:lineRule="exact"/>
        <w:rPr>
          <w:sz w:val="20"/>
          <w:szCs w:val="20"/>
          <w:color w:val="auto"/>
        </w:rPr>
      </w:pPr>
    </w:p>
    <w:p>
      <w:pPr>
        <w:spacing w:after="0"/>
        <w:tabs>
          <w:tab w:leader="none" w:pos="1600" w:val="left"/>
        </w:tabs>
        <w:rPr>
          <w:sz w:val="20"/>
          <w:szCs w:val="20"/>
          <w:color w:val="auto"/>
        </w:rPr>
      </w:pPr>
      <w:r>
        <w:rPr>
          <w:rFonts w:ascii="Arial" w:cs="Arial" w:eastAsia="Arial" w:hAnsi="Arial"/>
          <w:sz w:val="14"/>
          <w:szCs w:val="14"/>
          <w:u w:val="single" w:color="auto"/>
          <w:color w:val="0000FF"/>
        </w:rPr>
        <w:t>99.1</w:t>
      </w:r>
      <w:r>
        <w:rPr>
          <w:sz w:val="20"/>
          <w:szCs w:val="20"/>
          <w:color w:val="auto"/>
        </w:rPr>
        <w:tab/>
      </w:r>
      <w:r>
        <w:rPr>
          <w:rFonts w:ascii="Arial" w:cs="Arial" w:eastAsia="Arial" w:hAnsi="Arial"/>
          <w:sz w:val="13"/>
          <w:szCs w:val="13"/>
          <w:u w:val="single" w:color="auto"/>
          <w:color w:val="0000FF"/>
        </w:rPr>
        <w:t>ICON plc 2018 IFRS Annual Report</w:t>
      </w:r>
    </w:p>
    <w:p>
      <w:pPr>
        <w:sectPr>
          <w:pgSz w:w="11900" w:h="16838" w:orient="portrait"/>
          <w:cols w:equalWidth="0" w:num="1">
            <w:col w:w="10219"/>
          </w:cols>
          <w:pgMar w:left="240" w:top="144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ICON plc</w:t>
            </w:r>
          </w:p>
        </w:tc>
        <w:tc>
          <w:tcPr>
            <w:tcW w:w="0" w:type="dxa"/>
            <w:vAlign w:val="bottom"/>
          </w:tcPr>
          <w:p>
            <w:pPr>
              <w:spacing w:after="0"/>
              <w:rPr>
                <w:sz w:val="1"/>
                <w:szCs w:val="1"/>
                <w:color w:val="auto"/>
              </w:rPr>
            </w:pPr>
          </w:p>
        </w:tc>
      </w:tr>
      <w:tr>
        <w:trPr>
          <w:trHeight w:val="910"/>
        </w:trPr>
        <w:tc>
          <w:tcPr>
            <w:tcW w:w="766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/s/ Brendan Brennan</w:t>
            </w:r>
          </w:p>
        </w:tc>
        <w:tc>
          <w:tcPr>
            <w:tcW w:w="0" w:type="dxa"/>
            <w:vAlign w:val="bottom"/>
          </w:tcPr>
          <w:p>
            <w:pPr>
              <w:spacing w:after="0"/>
              <w:rPr>
                <w:sz w:val="1"/>
                <w:szCs w:val="1"/>
                <w:color w:val="auto"/>
              </w:rPr>
            </w:pPr>
          </w:p>
        </w:tc>
      </w:tr>
      <w:tr>
        <w:trPr>
          <w:trHeight w:val="23"/>
        </w:trPr>
        <w:tc>
          <w:tcPr>
            <w:tcW w:w="7660" w:type="dxa"/>
            <w:vAlign w:val="bottom"/>
            <w:vMerge w:val="restart"/>
          </w:tcPr>
          <w:p>
            <w:pPr>
              <w:spacing w:after="0"/>
              <w:rPr>
                <w:sz w:val="20"/>
                <w:szCs w:val="20"/>
                <w:color w:val="auto"/>
              </w:rPr>
            </w:pPr>
            <w:r>
              <w:rPr>
                <w:rFonts w:ascii="Arial" w:cs="Arial" w:eastAsia="Arial" w:hAnsi="Arial"/>
                <w:sz w:val="14"/>
                <w:szCs w:val="14"/>
                <w:color w:val="auto"/>
              </w:rPr>
              <w:t>Date: May 21, 2019</w:t>
            </w: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660" w:type="dxa"/>
            <w:vAlign w:val="bottom"/>
            <w:vMerge w:val="continue"/>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Brendan Brennan</w:t>
            </w:r>
          </w:p>
        </w:tc>
        <w:tc>
          <w:tcPr>
            <w:tcW w:w="0" w:type="dxa"/>
            <w:vAlign w:val="bottom"/>
          </w:tcPr>
          <w:p>
            <w:pPr>
              <w:spacing w:after="0"/>
              <w:rPr>
                <w:sz w:val="1"/>
                <w:szCs w:val="1"/>
                <w:color w:val="auto"/>
              </w:rPr>
            </w:pPr>
          </w:p>
        </w:tc>
      </w:tr>
      <w:tr>
        <w:trPr>
          <w:trHeight w:val="180"/>
        </w:trPr>
        <w:tc>
          <w:tcPr>
            <w:tcW w:w="76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60"/>
          </w:cols>
          <w:pgMar w:left="220" w:top="1440" w:right="21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auto"/>
        </w:rPr>
        <w:t>ICON plc and Subsidiaries</w:t>
      </w:r>
    </w:p>
    <w:p>
      <w:pPr>
        <w:spacing w:after="0" w:line="37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Consolidated Financial Statements</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Year ended 31 December 2018</w:t>
      </w:r>
    </w:p>
    <w:p>
      <w:pPr>
        <w:spacing w:after="0" w:line="200" w:lineRule="exact"/>
        <w:rPr>
          <w:sz w:val="20"/>
          <w:szCs w:val="20"/>
          <w:color w:val="auto"/>
        </w:rPr>
      </w:pPr>
    </w:p>
    <w:p>
      <w:pPr>
        <w:spacing w:after="0" w:line="343" w:lineRule="exact"/>
        <w:rPr>
          <w:sz w:val="20"/>
          <w:szCs w:val="20"/>
          <w:color w:val="auto"/>
        </w:rPr>
      </w:pPr>
    </w:p>
    <w:p>
      <w:pPr>
        <w:ind w:left="300"/>
        <w:spacing w:after="0"/>
        <w:tabs>
          <w:tab w:leader="none" w:pos="1620" w:val="left"/>
        </w:tabs>
        <w:rPr>
          <w:sz w:val="20"/>
          <w:szCs w:val="20"/>
          <w:color w:val="auto"/>
        </w:rPr>
      </w:pPr>
      <w:r>
        <w:rPr>
          <w:rFonts w:ascii="Arial" w:cs="Arial" w:eastAsia="Arial" w:hAnsi="Arial"/>
          <w:sz w:val="16"/>
          <w:szCs w:val="16"/>
          <w:i w:val="1"/>
          <w:iCs w:val="1"/>
          <w:color w:val="auto"/>
        </w:rPr>
        <w:t>Registered number</w:t>
      </w:r>
      <w:r>
        <w:rPr>
          <w:sz w:val="20"/>
          <w:szCs w:val="20"/>
          <w:color w:val="auto"/>
        </w:rPr>
        <w:tab/>
      </w:r>
      <w:r>
        <w:rPr>
          <w:rFonts w:ascii="Arial" w:cs="Arial" w:eastAsia="Arial" w:hAnsi="Arial"/>
          <w:sz w:val="13"/>
          <w:szCs w:val="13"/>
          <w:i w:val="1"/>
          <w:iCs w:val="1"/>
          <w:color w:val="auto"/>
        </w:rPr>
        <w:t>145835</w:t>
      </w:r>
    </w:p>
    <w:p>
      <w:pPr>
        <w:sectPr>
          <w:pgSz w:w="11900" w:h="16838" w:orient="portrait"/>
          <w:cols w:equalWidth="0" w:num="1">
            <w:col w:w="9019"/>
          </w:cols>
          <w:pgMar w:left="1440" w:top="129"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Directors’ Report and Consolidated Financial Statements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220" w:type="dxa"/>
            <w:vAlign w:val="bottom"/>
          </w:tcPr>
          <w:p>
            <w:pPr>
              <w:spacing w:after="0"/>
              <w:rPr>
                <w:sz w:val="20"/>
                <w:szCs w:val="20"/>
                <w:color w:val="auto"/>
              </w:rPr>
            </w:pPr>
            <w:r>
              <w:rPr>
                <w:rFonts w:ascii="Arial" w:cs="Arial" w:eastAsia="Arial" w:hAnsi="Arial"/>
                <w:sz w:val="14"/>
                <w:szCs w:val="14"/>
                <w:i w:val="1"/>
                <w:iCs w:val="1"/>
                <w:color w:val="auto"/>
              </w:rPr>
              <w:t>Contents</w:t>
            </w: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Directors' and Other Information</w:t>
            </w:r>
          </w:p>
        </w:tc>
        <w:tc>
          <w:tcPr>
            <w:tcW w:w="720" w:type="dxa"/>
            <w:vAlign w:val="bottom"/>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2</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Directors’ Report</w:t>
            </w:r>
          </w:p>
        </w:tc>
        <w:tc>
          <w:tcPr>
            <w:tcW w:w="720" w:type="dxa"/>
            <w:vAlign w:val="bottom"/>
          </w:tcPr>
          <w:p>
            <w:pPr>
              <w:jc w:val="right"/>
              <w:spacing w:after="0"/>
              <w:rPr>
                <w:rFonts w:ascii="Arial" w:cs="Arial" w:eastAsia="Arial" w:hAnsi="Arial"/>
                <w:sz w:val="14"/>
                <w:szCs w:val="14"/>
                <w:color w:val="auto"/>
              </w:rPr>
            </w:pPr>
            <w:hyperlink w:anchor="page7">
              <w:r>
                <w:rPr>
                  <w:rFonts w:ascii="Arial" w:cs="Arial" w:eastAsia="Arial" w:hAnsi="Arial"/>
                  <w:sz w:val="14"/>
                  <w:szCs w:val="14"/>
                  <w:color w:val="auto"/>
                </w:rPr>
                <w:t>3</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w w:val="98"/>
              </w:rPr>
              <w:t>Statement of Directors’ Responsibilities in respect of the Directors’ report and the financial statements</w:t>
            </w:r>
          </w:p>
        </w:tc>
        <w:tc>
          <w:tcPr>
            <w:tcW w:w="720" w:type="dxa"/>
            <w:vAlign w:val="bottom"/>
          </w:tcPr>
          <w:p>
            <w:pPr>
              <w:jc w:val="right"/>
              <w:spacing w:after="0"/>
              <w:rPr>
                <w:rFonts w:ascii="Arial" w:cs="Arial" w:eastAsia="Arial" w:hAnsi="Arial"/>
                <w:sz w:val="14"/>
                <w:szCs w:val="14"/>
                <w:color w:val="auto"/>
              </w:rPr>
            </w:pPr>
            <w:hyperlink w:anchor="page22">
              <w:r>
                <w:rPr>
                  <w:rFonts w:ascii="Arial" w:cs="Arial" w:eastAsia="Arial" w:hAnsi="Arial"/>
                  <w:sz w:val="14"/>
                  <w:szCs w:val="14"/>
                  <w:color w:val="auto"/>
                </w:rPr>
                <w:t>18</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Independent Auditor’s Report to the members of ICON plc</w:t>
            </w:r>
          </w:p>
        </w:tc>
        <w:tc>
          <w:tcPr>
            <w:tcW w:w="72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19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Profit and Loss</w:t>
            </w:r>
          </w:p>
        </w:tc>
        <w:tc>
          <w:tcPr>
            <w:tcW w:w="72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23</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Comprehensive Income</w:t>
            </w:r>
          </w:p>
        </w:tc>
        <w:tc>
          <w:tcPr>
            <w:tcW w:w="72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24</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Financial Position</w:t>
            </w:r>
          </w:p>
        </w:tc>
        <w:tc>
          <w:tcPr>
            <w:tcW w:w="72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25</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Changes in Equity</w:t>
            </w:r>
          </w:p>
        </w:tc>
        <w:tc>
          <w:tcPr>
            <w:tcW w:w="72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26</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Cash Flows</w:t>
            </w:r>
          </w:p>
        </w:tc>
        <w:tc>
          <w:tcPr>
            <w:tcW w:w="720" w:type="dxa"/>
            <w:vAlign w:val="bottom"/>
          </w:tcPr>
          <w:p>
            <w:pPr>
              <w:jc w:val="right"/>
              <w:spacing w:after="0"/>
              <w:rPr>
                <w:rFonts w:ascii="Arial" w:cs="Arial" w:eastAsia="Arial" w:hAnsi="Arial"/>
                <w:sz w:val="14"/>
                <w:szCs w:val="14"/>
                <w:color w:val="auto"/>
              </w:rPr>
            </w:pPr>
            <w:hyperlink w:anchor="page32">
              <w:r>
                <w:rPr>
                  <w:rFonts w:ascii="Arial" w:cs="Arial" w:eastAsia="Arial" w:hAnsi="Arial"/>
                  <w:sz w:val="14"/>
                  <w:szCs w:val="14"/>
                  <w:color w:val="auto"/>
                </w:rPr>
                <w:t>28</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72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29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Company Statement of Financial Position</w:t>
            </w:r>
          </w:p>
        </w:tc>
        <w:tc>
          <w:tcPr>
            <w:tcW w:w="720" w:type="dxa"/>
            <w:vAlign w:val="bottom"/>
          </w:tcPr>
          <w:p>
            <w:pPr>
              <w:jc w:val="right"/>
              <w:spacing w:after="0"/>
              <w:rPr>
                <w:rFonts w:ascii="Arial" w:cs="Arial" w:eastAsia="Arial" w:hAnsi="Arial"/>
                <w:sz w:val="14"/>
                <w:szCs w:val="14"/>
                <w:color w:val="auto"/>
              </w:rPr>
            </w:pPr>
            <w:hyperlink w:anchor="page130">
              <w:r>
                <w:rPr>
                  <w:rFonts w:ascii="Arial" w:cs="Arial" w:eastAsia="Arial" w:hAnsi="Arial"/>
                  <w:sz w:val="14"/>
                  <w:szCs w:val="14"/>
                  <w:color w:val="auto"/>
                </w:rPr>
                <w:t>126</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Company Statement of Changes in Equity</w:t>
            </w:r>
          </w:p>
        </w:tc>
        <w:tc>
          <w:tcPr>
            <w:tcW w:w="720" w:type="dxa"/>
            <w:vAlign w:val="bottom"/>
          </w:tcPr>
          <w:p>
            <w:pPr>
              <w:jc w:val="right"/>
              <w:spacing w:after="0"/>
              <w:rPr>
                <w:rFonts w:ascii="Arial" w:cs="Arial" w:eastAsia="Arial" w:hAnsi="Arial"/>
                <w:sz w:val="14"/>
                <w:szCs w:val="14"/>
                <w:color w:val="auto"/>
              </w:rPr>
            </w:pPr>
            <w:hyperlink w:anchor="page131">
              <w:r>
                <w:rPr>
                  <w:rFonts w:ascii="Arial" w:cs="Arial" w:eastAsia="Arial" w:hAnsi="Arial"/>
                  <w:sz w:val="14"/>
                  <w:szCs w:val="14"/>
                  <w:color w:val="auto"/>
                </w:rPr>
                <w:t>127</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Company Statement of Cash Flows</w:t>
            </w:r>
          </w:p>
        </w:tc>
        <w:tc>
          <w:tcPr>
            <w:tcW w:w="720" w:type="dxa"/>
            <w:vAlign w:val="bottom"/>
          </w:tcPr>
          <w:p>
            <w:pPr>
              <w:jc w:val="right"/>
              <w:spacing w:after="0"/>
              <w:rPr>
                <w:rFonts w:ascii="Arial" w:cs="Arial" w:eastAsia="Arial" w:hAnsi="Arial"/>
                <w:sz w:val="14"/>
                <w:szCs w:val="14"/>
                <w:color w:val="auto"/>
              </w:rPr>
            </w:pPr>
            <w:hyperlink w:anchor="page133">
              <w:r>
                <w:rPr>
                  <w:rFonts w:ascii="Arial" w:cs="Arial" w:eastAsia="Arial" w:hAnsi="Arial"/>
                  <w:sz w:val="14"/>
                  <w:szCs w:val="14"/>
                  <w:color w:val="auto"/>
                </w:rPr>
                <w:t>129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Notes to Company Financial Statements</w:t>
            </w:r>
          </w:p>
        </w:tc>
        <w:tc>
          <w:tcPr>
            <w:tcW w:w="72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130</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Reconciliation from IFRS to US Accounting Polices</w:t>
            </w:r>
          </w:p>
        </w:tc>
        <w:tc>
          <w:tcPr>
            <w:tcW w:w="720" w:type="dxa"/>
            <w:vAlign w:val="bottom"/>
          </w:tcPr>
          <w:p>
            <w:pPr>
              <w:jc w:val="right"/>
              <w:spacing w:after="0"/>
              <w:rPr>
                <w:rFonts w:ascii="Arial" w:cs="Arial" w:eastAsia="Arial" w:hAnsi="Arial"/>
                <w:sz w:val="14"/>
                <w:szCs w:val="14"/>
                <w:color w:val="auto"/>
              </w:rPr>
            </w:pPr>
            <w:hyperlink w:anchor="page143">
              <w:r>
                <w:rPr>
                  <w:rFonts w:ascii="Arial" w:cs="Arial" w:eastAsia="Arial" w:hAnsi="Arial"/>
                  <w:sz w:val="14"/>
                  <w:szCs w:val="14"/>
                  <w:color w:val="auto"/>
                </w:rPr>
                <w:t>139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Appendix A: Risk Factors</w:t>
            </w:r>
          </w:p>
        </w:tc>
        <w:tc>
          <w:tcPr>
            <w:tcW w:w="720" w:type="dxa"/>
            <w:vAlign w:val="bottom"/>
          </w:tcPr>
          <w:p>
            <w:pPr>
              <w:jc w:val="right"/>
              <w:spacing w:after="0"/>
              <w:rPr>
                <w:rFonts w:ascii="Arial" w:cs="Arial" w:eastAsia="Arial" w:hAnsi="Arial"/>
                <w:sz w:val="14"/>
                <w:szCs w:val="14"/>
                <w:color w:val="auto"/>
              </w:rPr>
            </w:pPr>
            <w:hyperlink w:anchor="page146">
              <w:r>
                <w:rPr>
                  <w:rFonts w:ascii="Arial" w:cs="Arial" w:eastAsia="Arial" w:hAnsi="Arial"/>
                  <w:sz w:val="14"/>
                  <w:szCs w:val="14"/>
                  <w:color w:val="auto"/>
                </w:rPr>
                <w:t>142</w:t>
              </w:r>
            </w:hyperlink>
          </w:p>
        </w:tc>
      </w:tr>
      <w:tr>
        <w:trPr>
          <w:trHeight w:val="550"/>
        </w:trPr>
        <w:tc>
          <w:tcPr>
            <w:tcW w:w="6220" w:type="dxa"/>
            <w:vAlign w:val="bottom"/>
          </w:tcPr>
          <w:p>
            <w:pPr>
              <w:ind w:left="5680"/>
              <w:spacing w:after="0"/>
              <w:rPr>
                <w:sz w:val="20"/>
                <w:szCs w:val="20"/>
                <w:color w:val="auto"/>
              </w:rPr>
            </w:pPr>
            <w:r>
              <w:rPr>
                <w:rFonts w:ascii="Arial" w:cs="Arial" w:eastAsia="Arial" w:hAnsi="Arial"/>
                <w:sz w:val="14"/>
                <w:szCs w:val="14"/>
                <w:color w:val="auto"/>
              </w:rPr>
              <w:t>1</w:t>
            </w:r>
          </w:p>
        </w:tc>
        <w:tc>
          <w:tcPr>
            <w:tcW w:w="720" w:type="dxa"/>
            <w:vAlign w:val="bottom"/>
          </w:tcPr>
          <w:p>
            <w:pPr>
              <w:spacing w:after="0"/>
              <w:rPr>
                <w:sz w:val="24"/>
                <w:szCs w:val="24"/>
                <w:color w:val="auto"/>
              </w:rPr>
            </w:pPr>
          </w:p>
        </w:tc>
      </w:tr>
    </w:tbl>
    <w:p>
      <w:pPr>
        <w:sectPr>
          <w:pgSz w:w="11900" w:h="16838" w:orient="portrait"/>
          <w:cols w:equalWidth="0" w:num="1">
            <w:col w:w="10239"/>
          </w:cols>
          <w:pgMar w:left="220" w:top="31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239"/>
          </w:cols>
          <w:pgMar w:left="220" w:top="1291" w:right="1440" w:bottom="1440" w:gutter="0" w:footer="0" w:header="0"/>
        </w:sect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Ciaran Murray (Irish – Non-Executive Chairman)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Dr. Steve Cutler (Australian – Chief Executive Officer)</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Prof. Hugh Brady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Dr. John Climax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Joan Garahy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Prof. William Hall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Prof. Dermot Kelleher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Eugene McCague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Declan McKeon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Ronan Murphy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Mary Pendergast (American – Non-Executive)</w:t>
      </w:r>
    </w:p>
    <w:p>
      <w:pPr>
        <w:spacing w:after="0" w:line="152" w:lineRule="exact"/>
        <w:rPr>
          <w:sz w:val="20"/>
          <w:szCs w:val="20"/>
          <w:color w:val="auto"/>
        </w:rPr>
      </w:pPr>
    </w:p>
    <w:p>
      <w:pPr>
        <w:sectPr>
          <w:pgSz w:w="11900" w:h="16838" w:orient="portrait"/>
          <w:cols w:equalWidth="0" w:num="2">
            <w:col w:w="2720" w:space="720"/>
            <w:col w:w="6799"/>
          </w:cols>
          <w:pgMar w:left="220" w:top="1291"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Diarmaid Cunningham</w:t>
      </w:r>
    </w:p>
    <w:p>
      <w:pPr>
        <w:spacing w:after="0" w:line="175" w:lineRule="exact"/>
        <w:rPr>
          <w:sz w:val="20"/>
          <w:szCs w:val="20"/>
          <w:color w:val="auto"/>
        </w:rPr>
      </w:pPr>
    </w:p>
    <w:p>
      <w:pPr>
        <w:sectPr>
          <w:pgSz w:w="11900" w:h="16838" w:orient="portrait"/>
          <w:cols w:equalWidth="0" w:num="2">
            <w:col w:w="2720" w:space="720"/>
            <w:col w:w="6799"/>
          </w:cols>
          <w:pgMar w:left="220" w:top="1291"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Leopardstown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18</w:t>
      </w:r>
    </w:p>
    <w:p>
      <w:pPr>
        <w:spacing w:after="0" w:line="152" w:lineRule="exact"/>
        <w:rPr>
          <w:sz w:val="20"/>
          <w:szCs w:val="20"/>
          <w:color w:val="auto"/>
        </w:rPr>
      </w:pPr>
    </w:p>
    <w:p>
      <w:pPr>
        <w:sectPr>
          <w:pgSz w:w="11900" w:h="16838" w:orient="portrait"/>
          <w:cols w:equalWidth="0" w:num="2">
            <w:col w:w="2720" w:space="720"/>
            <w:col w:w="6799"/>
          </w:cols>
          <w:pgMar w:left="220" w:top="1291" w:right="1440"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KPMG</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Chartered Accountants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1 Stokes Place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St. Stephen’s Green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2</w:t>
      </w:r>
    </w:p>
    <w:p>
      <w:pPr>
        <w:spacing w:after="0" w:line="152" w:lineRule="exact"/>
        <w:rPr>
          <w:sz w:val="20"/>
          <w:szCs w:val="20"/>
          <w:color w:val="auto"/>
        </w:rPr>
      </w:pPr>
    </w:p>
    <w:p>
      <w:pPr>
        <w:sectPr>
          <w:pgSz w:w="11900" w:h="16838" w:orient="portrait"/>
          <w:cols w:equalWidth="0" w:num="2">
            <w:col w:w="2720" w:space="720"/>
            <w:col w:w="6799"/>
          </w:cols>
          <w:pgMar w:left="220" w:top="1291"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 &amp; L Goodbody</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North Wall Quay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1</w:t>
      </w:r>
    </w:p>
    <w:p>
      <w:pPr>
        <w:spacing w:after="0" w:line="156" w:lineRule="exact"/>
        <w:rPr>
          <w:sz w:val="20"/>
          <w:szCs w:val="20"/>
          <w:color w:val="auto"/>
        </w:rPr>
      </w:pPr>
    </w:p>
    <w:p>
      <w:pPr>
        <w:sectPr>
          <w:pgSz w:w="11900" w:h="16838" w:orient="portrait"/>
          <w:cols w:equalWidth="0" w:num="2">
            <w:col w:w="2720" w:space="720"/>
            <w:col w:w="6799"/>
          </w:cols>
          <w:pgMar w:left="220" w:top="1291" w:right="1440" w:bottom="1440" w:gutter="0" w:footer="0" w:header="0"/>
          <w:type w:val="continuous"/>
        </w:sectPr>
      </w:pPr>
    </w:p>
    <w:p>
      <w:pPr>
        <w:ind w:left="3440"/>
        <w:spacing w:after="0"/>
        <w:rPr>
          <w:sz w:val="20"/>
          <w:szCs w:val="20"/>
          <w:color w:val="auto"/>
        </w:rPr>
      </w:pPr>
      <w:r>
        <w:rPr>
          <w:rFonts w:ascii="Arial" w:cs="Arial" w:eastAsia="Arial" w:hAnsi="Arial"/>
          <w:sz w:val="13"/>
          <w:szCs w:val="13"/>
          <w:color w:val="auto"/>
        </w:rPr>
        <w:t>Cahill Gordon Reindel LLP</w:t>
      </w:r>
    </w:p>
    <w:p>
      <w:pPr>
        <w:spacing w:after="0" w:line="62"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80 Pine Street</w:t>
      </w:r>
    </w:p>
    <w:p>
      <w:pPr>
        <w:spacing w:after="0" w:line="5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NY 10005</w:t>
      </w:r>
    </w:p>
    <w:p>
      <w:pPr>
        <w:spacing w:after="0" w:line="5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USA</w:t>
      </w:r>
    </w:p>
    <w:p>
      <w:pPr>
        <w:sectPr>
          <w:pgSz w:w="11900" w:h="16838" w:orient="portrait"/>
          <w:cols w:equalWidth="0" w:num="1">
            <w:col w:w="10239"/>
          </w:cols>
          <w:pgMar w:left="220" w:top="1291" w:right="1440" w:bottom="1440" w:gutter="0" w:footer="0" w:header="0"/>
          <w:type w:val="continuous"/>
        </w:sectPr>
      </w:pPr>
    </w:p>
    <w:p>
      <w:pPr>
        <w:spacing w:after="0" w:line="15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3100 Lake Drive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Citywest Business Campus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24</w:t>
      </w:r>
    </w:p>
    <w:p>
      <w:pPr>
        <w:spacing w:after="0" w:line="152" w:lineRule="exact"/>
        <w:rPr>
          <w:sz w:val="20"/>
          <w:szCs w:val="20"/>
          <w:color w:val="auto"/>
        </w:rPr>
      </w:pPr>
    </w:p>
    <w:p>
      <w:pPr>
        <w:sectPr>
          <w:pgSz w:w="11900" w:h="16838" w:orient="portrait"/>
          <w:cols w:equalWidth="0" w:num="2">
            <w:col w:w="2720" w:space="720"/>
            <w:col w:w="6799"/>
          </w:cols>
          <w:pgMar w:left="220" w:top="1291" w:right="1440"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Citibank</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Canada Square Canary Warf</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London E14 5LB</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56" w:lineRule="exact"/>
        <w:rPr>
          <w:sz w:val="20"/>
          <w:szCs w:val="20"/>
          <w:color w:val="auto"/>
        </w:rPr>
      </w:pPr>
    </w:p>
    <w:p>
      <w:pPr>
        <w:sectPr>
          <w:pgSz w:w="11900" w:h="16838" w:orient="portrait"/>
          <w:cols w:equalWidth="0" w:num="2">
            <w:col w:w="2720" w:space="720"/>
            <w:col w:w="6799"/>
          </w:cols>
          <w:pgMar w:left="220" w:top="1291" w:right="1440" w:bottom="1440" w:gutter="0" w:footer="0" w:header="0"/>
          <w:type w:val="continuous"/>
        </w:sectPr>
      </w:pPr>
    </w:p>
    <w:p>
      <w:pPr>
        <w:ind w:left="3440"/>
        <w:spacing w:after="0"/>
        <w:rPr>
          <w:sz w:val="20"/>
          <w:szCs w:val="20"/>
          <w:color w:val="auto"/>
        </w:rPr>
      </w:pPr>
      <w:r>
        <w:rPr>
          <w:rFonts w:ascii="Arial" w:cs="Arial" w:eastAsia="Arial" w:hAnsi="Arial"/>
          <w:sz w:val="14"/>
          <w:szCs w:val="14"/>
          <w:color w:val="auto"/>
        </w:rPr>
        <w:t>JP Morgan Chase Bank N.A.</w:t>
      </w:r>
    </w:p>
    <w:p>
      <w:pPr>
        <w:spacing w:after="0" w:line="5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4 New York Plaza</w:t>
      </w:r>
    </w:p>
    <w:p>
      <w:pPr>
        <w:spacing w:after="0" w:line="5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New York</w:t>
      </w:r>
    </w:p>
    <w:p>
      <w:pPr>
        <w:spacing w:after="0" w:line="5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NY 10004</w:t>
      </w:r>
    </w:p>
    <w:p>
      <w:pPr>
        <w:spacing w:after="0" w:line="51"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USA</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0239"/>
          </w:cols>
          <w:pgMar w:left="220" w:top="129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color w:val="auto"/>
        </w:rPr>
        <w:t>Directors’ Report</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2018.</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These Consolidated and Company Financial Statements (together “the financial statements”) for the year ended 31 December 2018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Arial" w:cs="Arial" w:eastAsia="Arial" w:hAnsi="Arial"/>
          <w:sz w:val="14"/>
          <w:szCs w:val="14"/>
          <w:u w:val="single" w:color="auto"/>
          <w:color w:val="0000EE"/>
        </w:rPr>
        <w:t>www.iconplc.com</w:t>
      </w:r>
      <w:r>
        <w:rPr>
          <w:rFonts w:ascii="Arial" w:cs="Arial" w:eastAsia="Arial" w:hAnsi="Arial"/>
          <w:sz w:val="14"/>
          <w:szCs w:val="14"/>
          <w:color w:val="auto"/>
        </w:rPr>
        <w:t>. IFRS differs in certain respects from U.S. GAAP, details of which are set out on pages 139 to 141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activities, business review and future developments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Group is a clinical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Group’s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42"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2018, the Group had approximately 13,670 employees, in 89 locations in 37 countries. During the year ended 31 December 2018, the Group derived approximately 34.5%, 55.7% and 9.8% of its revenue in the United States, Europe and Rest of World, respectively.</w:t>
      </w:r>
    </w:p>
    <w:p>
      <w:pPr>
        <w:spacing w:after="0" w:line="108"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To meet the evolving needs of our clients we continue to enhance our capabilities through both organic service development and targeted acquisitions. During 2018, we continued to enhance our scientific and therapeutic expertise to support our customers in specific areas including Oncology, Orphan and Rare Diseases, CNS, Dermatology, Infectious Disease and Womens' Health.</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EHR4CR and Trinetx. During 2018, we signed an agreement with Intel to deploy the Intel</w:t>
      </w:r>
      <w:r>
        <w:rPr>
          <w:rFonts w:ascii="Arial" w:cs="Arial" w:eastAsia="Arial" w:hAnsi="Arial"/>
          <w:sz w:val="18"/>
          <w:szCs w:val="18"/>
          <w:color w:val="auto"/>
          <w:vertAlign w:val="superscript"/>
        </w:rPr>
        <w:t>®</w:t>
      </w:r>
      <w:r>
        <w:rPr>
          <w:rFonts w:ascii="Arial" w:cs="Arial" w:eastAsia="Arial" w:hAnsi="Arial"/>
          <w:sz w:val="13"/>
          <w:szCs w:val="13"/>
          <w:color w:val="auto"/>
        </w:rPr>
        <w:t xml:space="preserve">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also continued to enhance our site and patient recruitment capabilities during 2018 with the expansion of the PMG Research network through a partnership with the Du Page Medical Group. DuPage is the largest independent, multi-specialty physician group in the Chicagoland area with access to more than 700 physicians in over 50 clinical specialties ranging from primary to speciality care in areas such as cardiology and oncology. Through this agreement PMG assumed the research infrastructure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334" w:right="21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at DuPage providing expanded investigator and patient access and bringing clinical research as a care option to the communities served.</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During 2018 we further developed the CNS Rating Scale Analytics leveraging our ICONIK platform. This is enabling a data-driven approach to rating surveillance that increases the consistency of both Clinicial and Patient Reported Outcomes in CNS studies. We have also grown our global network of investigative sites that have the capabilities and expertise to conduct biosimilar trials and we further strengthened our relationships with specialised Oncology sites whilst also extending our internal oncology expertise within our consulting and project management groups.</w:t>
      </w:r>
    </w:p>
    <w:p>
      <w:pPr>
        <w:spacing w:after="0" w:line="126"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We also continue to build our positions in emerging markets and to expand our presence in regions such as Asia-Pacific, in particular in China and Japan, building on our acquisition of Niphix, the Japanese subsidiary of Aptiv Solutions. We also added scale and capabilities to our commercialisation and outcomes service offering in the US through the acquisition of Medimedia Pharma Solutions.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activities of the Company</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principal activity of ICON plc ("the Company") is to act as a holding Company. The Company also operates branch offices, ICON Italy in Milan, ICON Poland in Warsaw, ICON Latvia in Riga and ICON Lithuania in Vilnius. These branches provide contract research services to the pharmaceutical industry.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activity</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27 July 2017, a subsidiary of the Company, ICON Clinicial Research Limited acquired Mapi Development SAS ('Mapi') and its subsidaries ("Mapi Group"). Mapi Group has over 40 years of experience supporting Life-Science companies as the world leading Patient-Centered Research Company in commercialising novel treatments through Real-World Evidence, Strategic Regulatory Services, Pharmacovigilance, Market Access and Language Services. Mapi Group is the premier provider of Health Research and Commercialisation services to Life-Science companies enabling Market Authorisation, Market Access and Market Adoption of novel therapeutics. Cash outflows on acquisition were $145.8 million. The acquisition of Mapi Group strengthens ICON’s existing commercialisation and outcomes research business adding significant commercialisation presence, analytics, real world evidence generation and strategic regulatory services.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15 September 2016, a subsidiary of the Company, ICON US Holdings Inc. acquired ICON Government &amp; Public Health Solutions, Inc. (''GPHS'') (formerly Clinical Research Management, Inc. ("ClinicalRM")) which resulted in initial net cash outflows of $52.4 million (including certain payments made on behalf of GPHS totalling $9.2 million). GPHS is a full-service CRO specialising in preclinical through Phase IV support of clinical research and clinical trial services for biologics, drugs and devices. The organisation helps customers progress their products to market faster, with a wide array of research, regulatory and sponsor services within the U.S. and around the globe. GPHS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programme</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During the year ended 31 December 2018, the Company redeemed a total of 1,008,162 ordinary shares under this program for total consideration of $129.0 million. At 31 December 2018 a total of 4,026,576 ordinary shares were redeemed by the Company under this buyback programme for a total consideration of $372.1 million.</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All ordinary shares that were redeemed under the buyback programme were cancelled in accordance with the constitutional documents of the Company and the nominal value of these shares transferred to other undenominated capital as required under Irish Company Law.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334" w:right="21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15 December 2015, the Company issued through its subsidiary ICON Investments Five Unlimited Company (the "Issuer") Senior Notes for aggregate gross proceeds of $350 million through a private placement. The Senior Notes mature on 15 December 2020. Interest payable is fixed at 3.64% and is payable semi-annually on the Senior Notes.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Notes have not been, and will not be, registered under the Securities Act of 1933, as amended, and may not be offered or sold in the United States absent registration or an applicable exemption from registration requirements.</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Company entered into an interest rate hedge in respect of the planned issuance of the Senior Notes in December 2015. The interest rate hedge matured in November 2015 when the interest rate on the Senior Notes was fixed. During the year ended 31 December 2015, cash proceeds of $4.6 million representing the realised gain on the interest rate hedge was received on maturity in November 2015 and recorded within Other Comprehensive Income. The realised gain is amortised to the Consolidated Statement of Profit and Loss over the term of the hedge.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Future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see </w:t>
      </w:r>
      <w:r>
        <w:rPr>
          <w:rFonts w:ascii="Arial" w:cs="Arial" w:eastAsia="Arial" w:hAnsi="Arial"/>
          <w:sz w:val="14"/>
          <w:szCs w:val="14"/>
          <w:i w:val="1"/>
          <w:iCs w:val="1"/>
          <w:color w:val="auto"/>
        </w:rPr>
        <w:t>note 31 Subsequent events</w:t>
      </w:r>
      <w:r>
        <w:rPr>
          <w:rFonts w:ascii="Arial" w:cs="Arial" w:eastAsia="Arial" w:hAnsi="Arial"/>
          <w:sz w:val="14"/>
          <w:szCs w:val="14"/>
          <w:color w:val="auto"/>
        </w:rPr>
        <w:t xml:space="preserve"> for details of events in the period from year-end to the approval of the financial statements.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2019,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and dividends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results for the year are as shown on page 23 of these financial statements. The Directors do not propose the payment of a dividend for the year ended 31 December 2018.</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 xml:space="preserve">The Company adopted IFRS 15 'Revenue from Contracts with Customers' with a date of initial application of 1 January 2018. The new revenue recognition policies were applied in the preparation and presentation of the results for the twelve months ended 31 December 2018. As ICON adopted the standard using the cumulative effect transition method, there is no restatement of comparative amounts. The results for the year ended 31 December 2017 and previously therefore reflect the provisions of the previous accounting standard. The most significant impact of application of the new standard reflects the measurement of a clinical trial service as a single performance obligation recognised over time. We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costs are therefore inclusive of third party costs). Revenue is our primary measure of performance on adoption of IFRS 15. In common with others in the sector, our results previously separately identified that revenue stream which related to services provided by third parties. Those services were previously separately identified as reimbursable expenses and presented separately in our Statement of Operations. Reimbursable expenses are included within direct costs on adoption of IFRS 15. Throughout the document revenue as reported on adoption of IFRS 15 is referred to as revenue. Revenue as reported for the years ended 31 December 2017 and previously are gross revenues (inclusive of revenue from reimbursable expenses) or net revenues (excluding revenue from reimbursable expenses). This treatment is consistent with the adoption of IFRS 15 from 1 January 2018, without restatement of comparatives. See </w:t>
      </w:r>
      <w:r>
        <w:rPr>
          <w:rFonts w:ascii="Arial" w:cs="Arial" w:eastAsia="Arial" w:hAnsi="Arial"/>
          <w:sz w:val="13"/>
          <w:szCs w:val="13"/>
          <w:i w:val="1"/>
          <w:iCs w:val="1"/>
          <w:color w:val="auto"/>
        </w:rPr>
        <w:t>note 34</w:t>
      </w:r>
      <w:r>
        <w:rPr>
          <w:rFonts w:ascii="Arial" w:cs="Arial" w:eastAsia="Arial" w:hAnsi="Arial"/>
          <w:sz w:val="13"/>
          <w:szCs w:val="13"/>
          <w:color w:val="auto"/>
        </w:rPr>
        <w:t xml:space="preserve"> for impact of new accounting policy.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334" w:right="21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Year ended</w:t>
            </w:r>
          </w:p>
        </w:tc>
        <w:tc>
          <w:tcPr>
            <w:tcW w:w="12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Year ended</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Percentage</w:t>
            </w:r>
          </w:p>
        </w:tc>
      </w:tr>
      <w:tr>
        <w:trPr>
          <w:trHeight w:val="169"/>
        </w:trPr>
        <w:tc>
          <w:tcPr>
            <w:tcW w:w="45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31 December</w:t>
            </w:r>
          </w:p>
        </w:tc>
        <w:tc>
          <w:tcPr>
            <w:tcW w:w="12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31 December</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change</w:t>
            </w:r>
          </w:p>
        </w:tc>
      </w:tr>
      <w:tr>
        <w:trPr>
          <w:trHeight w:val="184"/>
        </w:trPr>
        <w:tc>
          <w:tcPr>
            <w:tcW w:w="45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12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in period</w:t>
            </w:r>
          </w:p>
        </w:tc>
      </w:tr>
      <w:tr>
        <w:trPr>
          <w:trHeight w:val="21"/>
        </w:trPr>
        <w:tc>
          <w:tcPr>
            <w:tcW w:w="4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5"/>
                <w:szCs w:val="15"/>
                <w:color w:val="auto"/>
              </w:rPr>
            </w:pPr>
          </w:p>
        </w:tc>
        <w:tc>
          <w:tcPr>
            <w:tcW w:w="224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As a percentage of revenue</w:t>
            </w:r>
          </w:p>
        </w:tc>
        <w:tc>
          <w:tcPr>
            <w:tcW w:w="1200" w:type="dxa"/>
            <w:vAlign w:val="bottom"/>
          </w:tcPr>
          <w:p>
            <w:pPr>
              <w:spacing w:after="0"/>
              <w:rPr>
                <w:sz w:val="15"/>
                <w:szCs w:val="15"/>
                <w:color w:val="auto"/>
              </w:rPr>
            </w:pPr>
          </w:p>
        </w:tc>
      </w:tr>
      <w:tr>
        <w:trPr>
          <w:trHeight w:val="21"/>
        </w:trPr>
        <w:tc>
          <w:tcPr>
            <w:tcW w:w="3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Direct costs (excluding exceptional items)**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operating expenses (excluding exceptional items)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16.3%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profit (excluding exceptional items)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Exceptional items (before taxation)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3"/>
        </w:trPr>
        <w:tc>
          <w:tcPr>
            <w:tcW w:w="3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Operating profit (including exceptional items)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13.6 %</w:t>
            </w:r>
          </w:p>
        </w:tc>
      </w:tr>
    </w:tbl>
    <w:p>
      <w:pPr>
        <w:spacing w:after="0"/>
        <w:rPr>
          <w:sz w:val="20"/>
          <w:szCs w:val="20"/>
          <w:color w:val="auto"/>
        </w:rPr>
      </w:pPr>
      <w:r>
        <w:rPr>
          <w:rFonts w:ascii="Arial" w:cs="Arial" w:eastAsia="Arial" w:hAnsi="Arial"/>
          <w:sz w:val="14"/>
          <w:szCs w:val="14"/>
          <w:i w:val="1"/>
          <w:iCs w:val="1"/>
          <w:color w:val="auto"/>
        </w:rPr>
        <w:t>**Reimbursable expenses were $643.9 million for the year-ended 31 December 2017 or 26.8%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Twelve months ended 31 December 2018 compared to twelve months ended 31 December 2017</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Revenue for the year increased by $193.5 million, or 8.1%, from $2,402.3 million (revenue including reimbursable expenses for the year ended 31 December 2017 to $2,595.8 million for the year ended 31 December 2018). For the year ended 31 December 2018 we derived approximately 34.5%, 55.7% and 9.8% of our revenue in the United States, Europe and Rest of World, respectively.</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Direct costs for the year ended 31 December 2018 increased by $789.9 million, or 76.9%, from $1,026.4 million for the year ended 31 December 2017 to $1,816.3 million for the year ended 31 December 2018 (excluding exceptional items). Direct costs for the year ended 31 December 2018 include reimbursable expenses of $702.8 million. Other direct costs increased by $87.1 million, from $1,026.4 million for the year ended 31 December 2017 to $1,113.5 million for the year ended 31 December 2018 (excluding exceptional items). Other direct costs consist primarily of compensation, associated fringe benefits and share-based compensation expense for project-related employees and other direct project driven costs. The increase in direct costs during the period arose due to an increase in headcount and a corresponding increase in personnel related expenditure of $81.3 million combined with an increase in other direct project related costs of $1.5 million, increases in laboratory costs of $4.3 million and an increase in travel related costs of $1.0 million. As a percentage of gross revenue, direct costs have increased from 42.7% for the year ended 31 December 2017 to 70.0% for the year ended 31 December 2018 (excluding exceptional items).</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operating expenses for the year ended 31 December 2018 decreased by $2.4 million, or 0.6%, from $392.3 million for the year ended 31 December 2017 to $389.9 million for the year ended 31 December 2018 (excluding exceptional items). Other operating costs are primarily comprised of compensation, related fringe benefits, share compensation for non project related employees, recruitment expenses, professional service costs and advertising costs. Personnel related costs increased by $2.7 million in the year, facilities related costs increased by $4.3 million, general overhead costs net of foreign exchange costs decreased by $13.9 million and depreciation and amortisation costs increased by $4.6 million. As a percentage of gross revenue, other operating expenses, decreased from 16.3% for the year ended 31 December 2017 to 15.0% for the year ended 31 December 2018 (excluding exceptional items).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ended 31 December 2018 the Company implemented a restructuring plan to improve operating efficiencies resulting in recognition of a restructuring charge of $12.5 million during 2018.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restructuring plan includes the cost of resource rationalisations in certain areas of the business to improve utilisation.</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Operating profit increased by $45.2 million, or 13.6%, from $331.9 million for the year ended 31 December 2017 ($339.7 million excluding exceptional items) to $377.1 million for the year ended 31 December 2018 ($389.6 million, or 14.7% excluding exceptional items). As a percentage of revenue, operating profit increased from 13.9% of gross revenues for year ended 31 December 2017 (14.2% excluding exceptional items) to 14.5% of revenues for year ended 31 December 2018 (15.0% excluding exceptional items).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334" w:right="21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37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Financing expense for the period increased from $12.6 million for the year ended 31 December 2017 to $13.5 million for the year ended 31 December 2018. Financing income for the year decreased from $8.3 million for the year ended 31 December 2017 to $4.8 million for the year ended 31 December 2018. During the year ended 31 December 2017, a credit of $6.0 million was recorded being the reduction in the assessment of the fair value of contingent consideration liability relating to the acquisition of ICON Government &amp; Public Health Solutions, Inc. (''GPHS'') (formerly Clinical Research Management, Inc. ("ClinicalRM")) (see note 14 of the Financial Statements).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Income tax expense for the period decreased to $45.6 million for the year ended 31 December 2018 from $54.7 million for the year ended 31 December 2017. The Group’s effective tax rate for the year ended 31 December 2018 was 12.4% (12.3% excluding the effect of exceptional items) compared with 16.7% (16.6% excluding the effect of exceptional items) for the year ended 31 December 2017. The Group’s effective tax rate is principally a function of the distribution of pre-tax profits in the territories in which it operates.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Under Irish Company Law (Section 327 of the Companies Act 2014 ‘the Companies Act’), the Directors are required to give a description of the principal risks and uncertainties which it faces. Details of the principal risks and uncertainties facing the Group are set out in Appendix A of this annual report and form an integral part of the Directors’ Report.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risk management</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the minimisation of financial risk at reasonable cost. The Group’s financial instruments comprise cash and cash equivalents, current asset investments, finance lease obligations and negotiated debt facilities. The main purpose of these financial instruments is to fund the working capital requirements of the Group, the cost of new acquisitions and continued growth. The Group also uses derivative financial instruments to reduce exposure to fluctuations in foreign exchange rates. The principal financial risk facing the Group is currency rate risk. Other financial risks include interest rate risk, credit risk and liquidity risk. Further details of which are set out in note 26 to the Consolidated Financial Statements and note 11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maintains both committed and uncommitted credit lines with its relationship banks. On 15 December 2015, the Group entered into a Note Purchase Agreement in respect of aggregate gross proceeds of $350 million. The interest rate on the Senior Notes was fixed at 3.64%. The Group entered into an interest rate hedge in anticipation of the drawdown of the Senior Notes the proceeds of which were received in November 2015. This interest rate hedge qualified for hedge accounting under IAS 39. The gain on the hedge is being amortised to the Consolidated Statement of Profit and Loss over the term of the Senior Notes, resulting in an offset to the interest payable expense on the notes. The effective rate on the 5 year Senior Notes is fixed at 3.37%.</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Subsequent events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Details of subsequent events are set out in note 31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Secretary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members of the Board of Directors during the year are included in </w:t>
      </w:r>
      <w:r>
        <w:rPr>
          <w:rFonts w:ascii="Arial" w:cs="Arial" w:eastAsia="Arial" w:hAnsi="Arial"/>
          <w:sz w:val="14"/>
          <w:szCs w:val="14"/>
          <w:i w:val="1"/>
          <w:iCs w:val="1"/>
          <w:color w:val="auto"/>
        </w:rPr>
        <w:t>note 9</w:t>
      </w:r>
      <w:r>
        <w:rPr>
          <w:rFonts w:ascii="Arial" w:cs="Arial" w:eastAsia="Arial" w:hAnsi="Arial"/>
          <w:sz w:val="14"/>
          <w:szCs w:val="14"/>
          <w:color w:val="auto"/>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334" w:right="21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the composition of the Company’s Board committees as of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Name</w:t>
            </w:r>
          </w:p>
        </w:tc>
        <w:tc>
          <w:tcPr>
            <w:tcW w:w="4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Position</w:t>
            </w:r>
          </w:p>
        </w:tc>
      </w:tr>
      <w:tr>
        <w:trPr>
          <w:trHeight w:val="187"/>
        </w:trPr>
        <w:tc>
          <w:tcPr>
            <w:tcW w:w="2240" w:type="dxa"/>
            <w:vAlign w:val="bottom"/>
          </w:tcPr>
          <w:p>
            <w:pPr>
              <w:ind w:left="20"/>
              <w:spacing w:after="0"/>
              <w:rPr>
                <w:sz w:val="20"/>
                <w:szCs w:val="20"/>
                <w:color w:val="auto"/>
              </w:rPr>
            </w:pPr>
            <w:r>
              <w:rPr>
                <w:rFonts w:ascii="Arial" w:cs="Arial" w:eastAsia="Arial" w:hAnsi="Arial"/>
                <w:sz w:val="14"/>
                <w:szCs w:val="14"/>
                <w:color w:val="auto"/>
              </w:rPr>
              <w:t>Ciaran Murray</w:t>
            </w:r>
          </w:p>
        </w:tc>
        <w:tc>
          <w:tcPr>
            <w:tcW w:w="4740" w:type="dxa"/>
            <w:vAlign w:val="bottom"/>
          </w:tcPr>
          <w:p>
            <w:pPr>
              <w:ind w:left="600"/>
              <w:spacing w:after="0"/>
              <w:rPr>
                <w:sz w:val="20"/>
                <w:szCs w:val="20"/>
                <w:color w:val="auto"/>
              </w:rPr>
            </w:pPr>
            <w:r>
              <w:rPr>
                <w:rFonts w:ascii="Arial" w:cs="Arial" w:eastAsia="Arial" w:hAnsi="Arial"/>
                <w:sz w:val="14"/>
                <w:szCs w:val="14"/>
                <w:color w:val="auto"/>
              </w:rPr>
              <w:t>Non Executive Chairman and 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Dr. Steve Cutler </w:t>
            </w:r>
            <w:r>
              <w:rPr>
                <w:rFonts w:ascii="Arial" w:cs="Arial" w:eastAsia="Arial" w:hAnsi="Arial"/>
                <w:sz w:val="11"/>
                <w:szCs w:val="11"/>
                <w:color w:val="auto"/>
              </w:rPr>
              <w:t>(1)(5)</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Chief Executive Officer and 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Professor Hugh Brady </w:t>
            </w:r>
            <w:r>
              <w:rPr>
                <w:rFonts w:ascii="Arial" w:cs="Arial" w:eastAsia="Arial" w:hAnsi="Arial"/>
                <w:sz w:val="11"/>
                <w:szCs w:val="11"/>
                <w:color w:val="auto"/>
              </w:rPr>
              <w:t>(3)</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John Climax</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Joan Garahy </w:t>
            </w:r>
            <w:r>
              <w:rPr>
                <w:rFonts w:ascii="Arial" w:cs="Arial" w:eastAsia="Arial" w:hAnsi="Arial"/>
                <w:sz w:val="11"/>
                <w:szCs w:val="11"/>
                <w:color w:val="auto"/>
              </w:rPr>
              <w:t>(2)(4)</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Professor William Hall </w:t>
            </w:r>
            <w:r>
              <w:rPr>
                <w:rFonts w:ascii="Arial" w:cs="Arial" w:eastAsia="Arial" w:hAnsi="Arial"/>
                <w:sz w:val="11"/>
                <w:szCs w:val="11"/>
                <w:color w:val="auto"/>
              </w:rPr>
              <w:t>(2)(4)</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Professor Dermot Kelleher</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Eugene McCague </w:t>
            </w:r>
            <w:r>
              <w:rPr>
                <w:rFonts w:ascii="Arial" w:cs="Arial" w:eastAsia="Arial" w:hAnsi="Arial"/>
                <w:sz w:val="11"/>
                <w:szCs w:val="11"/>
                <w:color w:val="auto"/>
              </w:rPr>
              <w:t>(3)</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Declan McKeon </w:t>
            </w:r>
            <w:r>
              <w:rPr>
                <w:rFonts w:ascii="Arial" w:cs="Arial" w:eastAsia="Arial" w:hAnsi="Arial"/>
                <w:sz w:val="11"/>
                <w:szCs w:val="11"/>
                <w:color w:val="auto"/>
              </w:rPr>
              <w:t>(3)(4)(5)</w:t>
            </w:r>
          </w:p>
        </w:tc>
        <w:tc>
          <w:tcPr>
            <w:tcW w:w="4740" w:type="dxa"/>
            <w:vAlign w:val="bottom"/>
          </w:tcPr>
          <w:p>
            <w:pPr>
              <w:ind w:left="600"/>
              <w:spacing w:after="0"/>
              <w:rPr>
                <w:sz w:val="20"/>
                <w:szCs w:val="20"/>
                <w:color w:val="auto"/>
              </w:rPr>
            </w:pPr>
            <w:r>
              <w:rPr>
                <w:rFonts w:ascii="Arial" w:cs="Arial" w:eastAsia="Arial" w:hAnsi="Arial"/>
                <w:sz w:val="14"/>
                <w:szCs w:val="14"/>
                <w:color w:val="auto"/>
              </w:rPr>
              <w:t>Lead Independent 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Ronan Murphy </w:t>
            </w:r>
            <w:r>
              <w:rPr>
                <w:rFonts w:ascii="Arial" w:cs="Arial" w:eastAsia="Arial" w:hAnsi="Arial"/>
                <w:sz w:val="11"/>
                <w:szCs w:val="11"/>
                <w:color w:val="auto"/>
              </w:rPr>
              <w:t>(2)(3)</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Mary Pendergast </w:t>
            </w:r>
            <w:r>
              <w:rPr>
                <w:rFonts w:ascii="Arial" w:cs="Arial" w:eastAsia="Arial" w:hAnsi="Arial"/>
                <w:sz w:val="11"/>
                <w:szCs w:val="11"/>
                <w:color w:val="auto"/>
              </w:rPr>
              <w:t>(2)</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bl>
    <w:p>
      <w:pPr>
        <w:spacing w:after="0" w:line="17" w:lineRule="exact"/>
        <w:rPr>
          <w:sz w:val="20"/>
          <w:szCs w:val="20"/>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Executive Officer of the Company.</w:t>
      </w:r>
    </w:p>
    <w:p>
      <w:pPr>
        <w:spacing w:after="0" w:line="18"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Compensation and Organisation Committee.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Audit Committee.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Nominating and Governance Committee.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Execution Committee.</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Details required by Companies Act 2014, section 329, of Directors’ interests in the Group’s shares are set out in note 9 to the Consolidated Financial Statements. Dr. Ronan Lambe resigned as a director on 24 July 2018. All other Directors served for the entire year.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remuneration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Details of the Directors’ remuneration and interests are set out in notes 3 and 9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power to purchase and allot company shares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Subject to the provisions of the Companies Act 2014,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Further details of the share repurchase programmes are included in note 24 to the Consolidated Financial Statements.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8 January 2019, the Company announced a share buyback program of up to 1 million shares to be executed opportunistically during 2019 depending on cash commitments. All ordinary shares that are redeemed under the buyback program will be cancelled in accordance with the constitutional documents of the Company and the nominal value of these shares transferred to an undenominated capital fund as required under Irish Company law.</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and Obligations attaching to the Company’s shares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authorised share capital of the Company is €6,000,000 divided into 100,000,000 ordinary shares of €0.06 at December 31, 2018.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334" w:right="21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of control</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Certain of the Group’s customer contracts allow the customer to terminate the contract in the event of a change in control of the Company.</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Group has negotiated a banking facility with a number of financial institutions, details of which are set out in note 23 to the Consolidated Financial Statements. This facility requires repayment in the event that the Company becomes controlled by any person or persons acting in concert by whom it was not controlled at the date the facility was entered into.</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exemptions that the Company relies on, and the practices the Company adheres to, are as follows:</w:t>
      </w:r>
    </w:p>
    <w:p>
      <w:pPr>
        <w:spacing w:after="0" w:line="178" w:lineRule="exact"/>
        <w:rPr>
          <w:sz w:val="20"/>
          <w:szCs w:val="20"/>
          <w:color w:val="auto"/>
        </w:rPr>
      </w:pPr>
    </w:p>
    <w:p>
      <w:pPr>
        <w:jc w:val="both"/>
        <w:ind w:left="760" w:hanging="247"/>
        <w:spacing w:after="0" w:line="261"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46" w:lineRule="exact"/>
        <w:rPr>
          <w:rFonts w:ascii="Arial" w:cs="Arial" w:eastAsia="Arial" w:hAnsi="Arial"/>
          <w:sz w:val="14"/>
          <w:szCs w:val="14"/>
          <w:color w:val="auto"/>
        </w:rPr>
      </w:pPr>
    </w:p>
    <w:p>
      <w:pPr>
        <w:jc w:val="both"/>
        <w:ind w:left="760" w:hanging="247"/>
        <w:spacing w:after="0" w:line="318" w:lineRule="auto"/>
        <w:tabs>
          <w:tab w:leader="none" w:pos="7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and the amendments to the Employee Share Option Plan 2008 and Consultants Share Option Plan 2008 were adopted by the Board of Directors without shareholder approval.</w:t>
      </w:r>
    </w:p>
    <w:p>
      <w:pPr>
        <w:spacing w:after="0" w:line="115" w:lineRule="exact"/>
        <w:rPr>
          <w:rFonts w:ascii="Arial" w:cs="Arial" w:eastAsia="Arial" w:hAnsi="Arial"/>
          <w:sz w:val="12"/>
          <w:szCs w:val="12"/>
          <w:color w:val="auto"/>
        </w:rPr>
      </w:pPr>
    </w:p>
    <w:p>
      <w:pPr>
        <w:jc w:val="both"/>
        <w:ind w:left="760" w:hanging="247"/>
        <w:spacing w:after="0" w:line="261"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Company's practices with regard to these requirements are not prohibited by Irish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334" w:right="21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182"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At 31 December 2018, the Audit Committee was comprised of four independent Directors: Declan McKeon (Chairperson), Ronan Murphy, Professor Hugh Brady and Eugene McCague. Professor Dermot Kelleher and Professor William Hall served as members of the Committee during 2018 and stepped down on 1 May 2018. Professor Hugh Brady and Eugene McCague joined the Committee on 1 May 2018. Mr Declan McKeon acted as Audit Committee Chairperson until February 2019 when Mr Ronan Murphy was appointed Chairperson.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shareholdings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been notified of the following shareholdings in excess of 3% of the issued share capital of the Company as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Number of Shares</w:t>
            </w:r>
          </w:p>
        </w:tc>
      </w:tr>
      <w:tr>
        <w:trPr>
          <w:trHeight w:val="233"/>
        </w:trPr>
        <w:tc>
          <w:tcPr>
            <w:tcW w:w="3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WCM Investment Management</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5,272,086</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Wellington Management Company LLP</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6.91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3,728,130</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AllianceBernstein LP</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2,348,321</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ClearBridge Investments, LLC</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4.12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2,222,081</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Acadian Asset Management LLC</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2,165,463</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EARNEST Partners LLC</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3.94</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2,126,617</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Renaissance Technologies LLC</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1,895,300</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All Directors and Officers as a group (1)</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1,578,677</w:t>
            </w:r>
          </w:p>
        </w:tc>
      </w:tr>
    </w:tbl>
    <w:p>
      <w:pPr>
        <w:spacing w:after="0" w:line="292" w:lineRule="exact"/>
        <w:rPr>
          <w:sz w:val="20"/>
          <w:szCs w:val="20"/>
          <w:color w:val="auto"/>
        </w:rPr>
      </w:pPr>
    </w:p>
    <w:p>
      <w:pPr>
        <w:jc w:val="both"/>
        <w:ind w:left="260" w:hanging="255"/>
        <w:spacing w:after="0" w:line="278"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633,915 ordinary shares issuable upon the exercise of stock options granted by the Company, 40,172 restricted stock units (“RSUs”) awarded by the Company to directors, officers and other key employees and 169,956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 undertakings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the Companies Act in relation to subsidiary undertakings is presented in note 32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Political donations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Group made no disclosable political donations in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Going concern</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334" w:right="21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records</w:t>
      </w:r>
    </w:p>
    <w:p>
      <w:pPr>
        <w:spacing w:after="0" w:line="182"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Leopardstown, Dublin 18.</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 of relevant audit information</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of non-financial information</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We have sought to address the requirements of the legislation in the sections following.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Model</w:t>
      </w:r>
    </w:p>
    <w:p>
      <w:pPr>
        <w:spacing w:after="0" w:line="150"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Our mission is to help our customers accelerate the development of drugs and devices that save lives and improve the quality of life. We help our customers deliver life-changing medicines by being innovative in our solutions, collaborative in how we work as teams, accountable for the results we achieve and committed to doing the right thing for our customers and the patients they serve.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Our business model is described in the ‘Principal activities, business review and future developments’ section of the Directors’ Report.</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core values underpin our mission and drive a culture and mind-set of ownership at ICON. “Own it @ ICON” is how we define our culture. Our culture of ownership connects us to the core values at the heart of the Company and helps us differentiate how we work with our customers to achieve their goals.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values are:</w:t>
      </w:r>
    </w:p>
    <w:p>
      <w:pPr>
        <w:spacing w:after="0" w:line="146" w:lineRule="exact"/>
        <w:rPr>
          <w:sz w:val="20"/>
          <w:szCs w:val="20"/>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Accountability &amp; delivery: We take pride in what we do</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Collaboration: We are one team</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Partnership: We partner with our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Integrity: We do the right thing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values underpin how we work together to deliver on our mission to help our customers accelerate the development of drugs and devices that save lives and improve the quality of life. These values and our Code of Ethical Conduct, which underpins these values, form the core of everything we do. It applies to all officers, directors, employees, consultants and agents globally. All employees and temporary workers are mandated to complete global ethics training.</w:t>
      </w:r>
    </w:p>
    <w:p>
      <w:pPr>
        <w:spacing w:after="0" w:line="10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Environmental matters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ICON is committed to delivering excellence and care to the communities in which we operate.</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This includes conducting our business in an environmentally sustainable manner as set out in our Global Code of Ethical Conduct. We achieve this by managing and improving our environmental performance across all business activities. Our employees, directors, officers, contractors, and temporary workers are expected to support our sustainability objectives.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334" w:right="21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a Clinical Research Organisation, we recognise the impact of how we operate on the environment in the following key areas:</w:t>
      </w:r>
    </w:p>
    <w:p>
      <w:pPr>
        <w:spacing w:after="0" w:line="146" w:lineRule="exact"/>
        <w:rPr>
          <w:sz w:val="20"/>
          <w:szCs w:val="20"/>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energy use;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waste generation;</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emissions to air/water;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water use;</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transport;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procurement.</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Global Environmental Management Policy and Environmental Management Plan were approved during 2018</w:t>
      </w:r>
      <w:r>
        <w:rPr>
          <w:rFonts w:ascii="Arial" w:cs="Arial" w:eastAsia="Arial" w:hAnsi="Arial"/>
          <w:sz w:val="14"/>
          <w:szCs w:val="14"/>
          <w:color w:val="auto"/>
        </w:rPr>
        <w:t>.</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Environmental Management Plan and Performance Statement sets out the environmental actions and targets we will carry out to ensure compliance with our Global Environmental Management Policy and to engage our employees in supporting our objectives for continued improvement. Our Environmental Performance Statement is available to employees and our customers. The plan sets out our commitment to conducting our business in an environmentally sustainable manner by managing and improving our environmental performance across all business activities. Our plan sets out our initiatives and goals for the next four years.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Responsibilities for the implementation of our objectives and co-ordination of our sustainability efforts and reporting on progress to the executive leadership is led by our facilities team, reporting to our Global Chief Administrative Officer and General Counsel, with input from our procurement, global legal, corporate communications and human resources teams.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track, calculate and report our carbon footprint and use the information available to continue to improve our processes and reduce our impact. We follow the Greenhouse Gas (GHG) Protocol Corporate Standard, which is the global corporate accounting and reporting standard for calculating carbon emissions. We have more than 80 facilities globally which operate in office buildings, where the primary energy consumption is electricity for light and heating, ventilation and air conditioning systems. Our central laboratories also operate laboratory instruments.</w:t>
      </w:r>
    </w:p>
    <w:p>
      <w:pPr>
        <w:spacing w:after="0" w:line="94"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Where we have direct control over the buildings we operate, we ensure energy efficient lighting solutions. Where we do not have direct control over our facilities, we work with our landlords and other stakeholders to encourage energy efficient lighting solutions. We also work hard to extend the useful life of our equipment and ensure appropriate disposal of assets when decommissioned.</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people are expected to support our waste management and disposal programs and one of the goals of our environmental management policy is to reduce our impact. During 2018 we commenced the development of a global waste management system.</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Reflecting our continued commitment to sustainable practices, we have included an annual 'sustainability month' in our calendar since 2017. The focus of the month is to promote best practices and highlight sustainable activities across all of our offices and locations. This focus together with the introduction of increased recycling facilities at our key sites contributed to our objectives to reduce waste during 2018. We continue to work to increase the number of our offices engaging in waste reduction strategies in all areas. We have replaced disposable coffee cups with reusable alternatives and developed objectives relating to reduced paper consumption through the use of electronic documents and signatures.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actively promote the use of technology and teleconferencing facilities in our efforts to reduce travel and commuting activities. During sustainability month, our people were encouraged to car share and utilize public transport. We include air travel miles in our carbon footprint monitoring.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internal portals include a MyICON page on Environment and Sustainability which reflects policy, practice, promotions and updates on our commitment to sustainability.</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334" w:right="21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risks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Although the risks associated with environmental matters are actively monitored, ICON does not believe these risks meet the threshold of a principal risk for our business.</w:t>
      </w:r>
    </w:p>
    <w:p>
      <w:pPr>
        <w:spacing w:after="0" w:line="200" w:lineRule="exact"/>
        <w:rPr>
          <w:sz w:val="20"/>
          <w:szCs w:val="20"/>
          <w:color w:val="auto"/>
        </w:rPr>
      </w:pPr>
    </w:p>
    <w:p>
      <w:pPr>
        <w:spacing w:after="0" w:line="24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Social and Employee matters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Social Responsibility ('CSR') initiatives are aligned with ICON’s values</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ICON supports a variety of CSR programmes. Our programmes aim to make a positive difference to the communities in which we work and live and also recognise the enthusiasm and creativity of our people in their efforts to give something back to their communities.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Our CSR activities are focused on two core areas:</w:t>
      </w:r>
    </w:p>
    <w:p>
      <w:pPr>
        <w:spacing w:after="0" w:line="146" w:lineRule="exact"/>
        <w:rPr>
          <w:sz w:val="20"/>
          <w:szCs w:val="20"/>
          <w:color w:val="auto"/>
        </w:rPr>
      </w:pPr>
    </w:p>
    <w:p>
      <w:pPr>
        <w:ind w:left="520" w:hanging="261"/>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Supporting education &amp; building closer ties between industry &amp; academia; and</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Improving the welfare of people in the communities in which we live.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Supporting education &amp; building closer ties between industry &amp; academia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ICON is a strong supporter of bridging the ties between industry and academia and inspiring the next generation of business and scientific leaders.</w:t>
      </w:r>
    </w:p>
    <w:p>
      <w:pPr>
        <w:spacing w:after="0" w:line="142" w:lineRule="exact"/>
        <w:rPr>
          <w:sz w:val="20"/>
          <w:szCs w:val="20"/>
          <w:color w:val="auto"/>
        </w:rPr>
      </w:pPr>
    </w:p>
    <w:p>
      <w:pPr>
        <w:jc w:val="both"/>
        <w:ind w:left="520" w:hanging="261"/>
        <w:spacing w:after="0" w:line="263"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Strategic Partnership with University College Dublin. </w:t>
      </w:r>
      <w:r>
        <w:rPr>
          <w:rFonts w:ascii="Arial" w:cs="Arial" w:eastAsia="Arial" w:hAnsi="Arial"/>
          <w:sz w:val="14"/>
          <w:szCs w:val="14"/>
          <w:color w:val="auto"/>
        </w:rPr>
        <w:t>ICON has been engaged in a strategic partnership with UCD since 2012, which has been heralded as a model for industry-academia</w:t>
      </w:r>
      <w:r>
        <w:rPr>
          <w:rFonts w:ascii="Arial" w:cs="Arial" w:eastAsia="Arial" w:hAnsi="Arial"/>
          <w:sz w:val="14"/>
          <w:szCs w:val="14"/>
          <w:b w:val="1"/>
          <w:bCs w:val="1"/>
          <w:color w:val="auto"/>
        </w:rPr>
        <w:t xml:space="preserve"> </w:t>
      </w:r>
      <w:r>
        <w:rPr>
          <w:rFonts w:ascii="Arial" w:cs="Arial" w:eastAsia="Arial" w:hAnsi="Arial"/>
          <w:sz w:val="14"/>
          <w:szCs w:val="14"/>
          <w:color w:val="auto"/>
        </w:rPr>
        <w:t>collaboration. ICON was a lead benefactor of UCD’s new Science Centre, which is home to over 5,200 science students. ICON’s partnership also includes the ICON Chair of Business Analytics as well as scholarships for Masters and Doctorate degrees to attract science graduates into careers in clinical research. In addition, ICON and UCD developed an industry-tailored Graduate Certificate in Clinical Research in UCD’s School of Medicine and Medical Science in 2013.</w:t>
      </w:r>
    </w:p>
    <w:p>
      <w:pPr>
        <w:spacing w:after="0" w:line="140" w:lineRule="exact"/>
        <w:rPr>
          <w:rFonts w:ascii="Arial" w:cs="Arial" w:eastAsia="Arial" w:hAnsi="Arial"/>
          <w:sz w:val="14"/>
          <w:szCs w:val="14"/>
          <w:color w:val="auto"/>
        </w:rPr>
      </w:pPr>
    </w:p>
    <w:p>
      <w:pPr>
        <w:ind w:left="520" w:hanging="261"/>
        <w:spacing w:after="0" w:line="326" w:lineRule="auto"/>
        <w:tabs>
          <w:tab w:leader="none" w:pos="52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Scholarships supporting female GAA players. </w:t>
      </w:r>
      <w:r>
        <w:rPr>
          <w:rFonts w:ascii="Arial" w:cs="Arial" w:eastAsia="Arial" w:hAnsi="Arial"/>
          <w:sz w:val="13"/>
          <w:szCs w:val="13"/>
          <w:color w:val="auto"/>
        </w:rPr>
        <w:t>ICON has a partnership with the Women’s Gaelic Players Association, whereby we provide ICON-GPA Life Sciences Scholarships to inter-county football and camogie players engaged in undergraduate and post-graduate life sciences courses. ICON also provides mentoring to players to help them on their career journeys.</w:t>
      </w:r>
    </w:p>
    <w:p>
      <w:pPr>
        <w:spacing w:after="0" w:line="101" w:lineRule="exact"/>
        <w:rPr>
          <w:rFonts w:ascii="Arial" w:cs="Arial" w:eastAsia="Arial" w:hAnsi="Arial"/>
          <w:sz w:val="13"/>
          <w:szCs w:val="13"/>
          <w:b w:val="1"/>
          <w:bCs w:val="1"/>
          <w:color w:val="auto"/>
        </w:rPr>
      </w:pPr>
    </w:p>
    <w:p>
      <w:pPr>
        <w:jc w:val="both"/>
        <w:ind w:left="520" w:hanging="261"/>
        <w:spacing w:after="0" w:line="299" w:lineRule="auto"/>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Partnership with Junior Achievement to inspire schoolchildren. </w:t>
      </w:r>
      <w:r>
        <w:rPr>
          <w:rFonts w:ascii="Arial" w:cs="Arial" w:eastAsia="Arial" w:hAnsi="Arial"/>
          <w:sz w:val="13"/>
          <w:szCs w:val="13"/>
          <w:color w:val="auto"/>
        </w:rPr>
        <w:t>ICON supports our people who take time out of their working day over a period of 5 weeks to deliver Junior Achievement</w:t>
      </w:r>
      <w:r>
        <w:rPr>
          <w:rFonts w:ascii="Arial" w:cs="Arial" w:eastAsia="Arial" w:hAnsi="Arial"/>
          <w:sz w:val="13"/>
          <w:szCs w:val="13"/>
          <w:b w:val="1"/>
          <w:bCs w:val="1"/>
          <w:color w:val="auto"/>
        </w:rPr>
        <w:t xml:space="preserve"> </w:t>
      </w:r>
      <w:r>
        <w:rPr>
          <w:rFonts w:ascii="Arial" w:cs="Arial" w:eastAsia="Arial" w:hAnsi="Arial"/>
          <w:sz w:val="13"/>
          <w:szCs w:val="13"/>
          <w:color w:val="auto"/>
        </w:rPr>
        <w:t>educational programmes. 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118" w:lineRule="exact"/>
        <w:rPr>
          <w:rFonts w:ascii="Arial" w:cs="Arial" w:eastAsia="Arial" w:hAnsi="Arial"/>
          <w:sz w:val="13"/>
          <w:szCs w:val="13"/>
          <w:color w:val="auto"/>
        </w:rPr>
      </w:pPr>
    </w:p>
    <w:p>
      <w:pPr>
        <w:ind w:left="520" w:hanging="261"/>
        <w:spacing w:after="0" w:line="286"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Science Gallery Founding Partner</w:t>
      </w:r>
      <w:r>
        <w:rPr>
          <w:rFonts w:ascii="Arial" w:cs="Arial" w:eastAsia="Arial" w:hAnsi="Arial"/>
          <w:sz w:val="14"/>
          <w:szCs w:val="14"/>
          <w:color w:val="auto"/>
        </w:rPr>
        <w:t>. ICON has been a lead corporate supporter of the Science Gallery at Trinity College Dublin since its inception in 2008. Science Gallery aims to inspire and</w:t>
      </w:r>
      <w:r>
        <w:rPr>
          <w:rFonts w:ascii="Arial" w:cs="Arial" w:eastAsia="Arial" w:hAnsi="Arial"/>
          <w:sz w:val="14"/>
          <w:szCs w:val="14"/>
          <w:b w:val="1"/>
          <w:bCs w:val="1"/>
          <w:color w:val="auto"/>
        </w:rPr>
        <w:t xml:space="preserve"> </w:t>
      </w:r>
      <w:r>
        <w:rPr>
          <w:rFonts w:ascii="Arial" w:cs="Arial" w:eastAsia="Arial" w:hAnsi="Arial"/>
          <w:sz w:val="14"/>
          <w:szCs w:val="14"/>
          <w:color w:val="auto"/>
        </w:rPr>
        <w:t>transform curious minds through engagement with science.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Improving the welfare of people in the communities in which we live</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ICON employees across the world are making a positive difference to their communities. We support causes that are important to our employees and have a number of programmes that support the welfare of people in our local communities. These include:</w:t>
      </w:r>
    </w:p>
    <w:p>
      <w:pPr>
        <w:spacing w:after="0" w:line="96" w:lineRule="exact"/>
        <w:rPr>
          <w:sz w:val="20"/>
          <w:szCs w:val="20"/>
          <w:color w:val="auto"/>
        </w:rPr>
      </w:pPr>
    </w:p>
    <w:p>
      <w:pPr>
        <w:ind w:left="520" w:hanging="261"/>
        <w:spacing w:after="0" w:line="286"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Corporate donations to employee-nominated charities. </w:t>
      </w:r>
      <w:r>
        <w:rPr>
          <w:rFonts w:ascii="Arial" w:cs="Arial" w:eastAsia="Arial" w:hAnsi="Arial"/>
          <w:sz w:val="14"/>
          <w:szCs w:val="14"/>
          <w:color w:val="auto"/>
        </w:rPr>
        <w:t>In 2018, ICON supported over 20 charities across the world which are supporting people living in poverty, who are suffering from a</w:t>
      </w:r>
      <w:r>
        <w:rPr>
          <w:rFonts w:ascii="Arial" w:cs="Arial" w:eastAsia="Arial" w:hAnsi="Arial"/>
          <w:sz w:val="14"/>
          <w:szCs w:val="14"/>
          <w:b w:val="1"/>
          <w:bCs w:val="1"/>
          <w:color w:val="auto"/>
        </w:rPr>
        <w:t xml:space="preserve"> </w:t>
      </w:r>
      <w:r>
        <w:rPr>
          <w:rFonts w:ascii="Arial" w:cs="Arial" w:eastAsia="Arial" w:hAnsi="Arial"/>
          <w:sz w:val="14"/>
          <w:szCs w:val="14"/>
          <w:color w:val="auto"/>
        </w:rPr>
        <w:t>variety of diseases, are the victims of domestic violence, or natural disasters.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334" w:right="21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370" w:lineRule="exact"/>
        <w:rPr>
          <w:sz w:val="20"/>
          <w:szCs w:val="20"/>
          <w:color w:val="auto"/>
        </w:rPr>
      </w:pPr>
    </w:p>
    <w:p>
      <w:pPr>
        <w:ind w:left="520" w:hanging="261"/>
        <w:spacing w:after="0" w:line="326" w:lineRule="auto"/>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Donations in support of employee fundraising</w:t>
      </w:r>
      <w:r>
        <w:rPr>
          <w:rFonts w:ascii="Arial" w:cs="Arial" w:eastAsia="Arial" w:hAnsi="Arial"/>
          <w:sz w:val="13"/>
          <w:szCs w:val="13"/>
          <w:color w:val="auto"/>
        </w:rPr>
        <w:t>. ICON employees raise significant amounts for a variety of charities each year through in-house fundraising events. ICON recognises the</w:t>
      </w:r>
      <w:r>
        <w:rPr>
          <w:rFonts w:ascii="Arial" w:cs="Arial" w:eastAsia="Arial" w:hAnsi="Arial"/>
          <w:sz w:val="13"/>
          <w:szCs w:val="13"/>
          <w:b w:val="1"/>
          <w:bCs w:val="1"/>
          <w:color w:val="auto"/>
        </w:rPr>
        <w:t xml:space="preserve"> </w:t>
      </w:r>
      <w:r>
        <w:rPr>
          <w:rFonts w:ascii="Arial" w:cs="Arial" w:eastAsia="Arial" w:hAnsi="Arial"/>
          <w:sz w:val="13"/>
          <w:szCs w:val="13"/>
          <w:color w:val="auto"/>
        </w:rPr>
        <w:t>enormous effort and creativity of our employees who fundraise for causes that are important to them by supplementing monies raised through ICON’s Charitable Donation Programme.</w:t>
      </w:r>
    </w:p>
    <w:p>
      <w:pPr>
        <w:spacing w:after="0" w:line="101" w:lineRule="exact"/>
        <w:rPr>
          <w:rFonts w:ascii="Arial" w:cs="Arial" w:eastAsia="Arial" w:hAnsi="Arial"/>
          <w:sz w:val="13"/>
          <w:szCs w:val="13"/>
          <w:color w:val="auto"/>
        </w:rPr>
      </w:pPr>
    </w:p>
    <w:p>
      <w:pPr>
        <w:ind w:left="520" w:hanging="261"/>
        <w:spacing w:after="0" w:line="28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Corporate philanthropic partnership with the Ireland Funds. </w:t>
      </w:r>
      <w:r>
        <w:rPr>
          <w:rFonts w:ascii="Arial" w:cs="Arial" w:eastAsia="Arial" w:hAnsi="Arial"/>
          <w:sz w:val="14"/>
          <w:szCs w:val="14"/>
          <w:color w:val="auto"/>
        </w:rPr>
        <w:t>Over the past 3 years, ICON has partnered with the Ireland Funds, a global philanthropic network that has benefited more than</w:t>
      </w:r>
      <w:r>
        <w:rPr>
          <w:rFonts w:ascii="Arial" w:cs="Arial" w:eastAsia="Arial" w:hAnsi="Arial"/>
          <w:sz w:val="14"/>
          <w:szCs w:val="14"/>
          <w:b w:val="1"/>
          <w:bCs w:val="1"/>
          <w:color w:val="auto"/>
        </w:rPr>
        <w:t xml:space="preserve"> </w:t>
      </w:r>
      <w:r>
        <w:rPr>
          <w:rFonts w:ascii="Arial" w:cs="Arial" w:eastAsia="Arial" w:hAnsi="Arial"/>
          <w:sz w:val="14"/>
          <w:szCs w:val="14"/>
          <w:color w:val="auto"/>
        </w:rPr>
        <w:t>3,200 different charitable organisations.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 the core of our strategy is our people</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Within ICON we have highly qualified and experienced teams, the majority of whom have third level educational qualifications. The need to develop and retain this expertise and talent within the organisation is fundamental in enabling us to be the global CRO partner of choice for our customers.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training and development of our staff is a key focus for us</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We have a comprehensive curriculum in place to support our people in their roles. We have invested in creating an innovative learning environment delivered through ICON’s training and development group.</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All of our people are required to complete mandatory training in key areas which support our values and our way of working. They include (but are not limited to) the following areas:</w:t>
      </w:r>
    </w:p>
    <w:p>
      <w:pPr>
        <w:spacing w:after="0" w:line="146" w:lineRule="exact"/>
        <w:rPr>
          <w:sz w:val="20"/>
          <w:szCs w:val="20"/>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Global ethics compliance;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Data protection and procedures;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IT security;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Confidentiality and maintaining communications;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Social media usage.</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a well-established Graduate Development Programme for our clinical teams, which now runs in the US, China, Japan, Korea and also Australia where we take recent graduates and prepare them for careers in clinical monitoring and data management.</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also have formed collaboration with University College Dublin which enables ICON to provide customised management and development programmes for global employees. These programmes are focused on leadership development for those people in management roles and specific technical training in competencies that are core to our business, such as project and programme management and clinical research associate development.</w:t>
      </w:r>
    </w:p>
    <w:p>
      <w:pPr>
        <w:spacing w:after="0" w:line="11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also created a Clinical Research Academy and a unique Graduate Certificate in Clinical Trial Management which is enhancing the quality of graduate training in clinical research and increasing the pool of talent available to ICON that can support our customers’ drug development programmes.</w:t>
      </w:r>
    </w:p>
    <w:p>
      <w:pPr>
        <w:spacing w:after="0" w:line="10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learning and development programmes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programmes contribute to the enhanced retention of our employees, better project deliverables for our customers and the enhanced financial performance of the business.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Individual development is supported through formal learning with our personal effectiveness series and via access to our Career Hub portal. Our people can access a wealth of learning materials including courses, resources, toolkits, library items and blogs to support the development of key competencies and improving their eligibility for future roles through these tools. Career Hub also allows employees to understand and explore possible career paths and career opportunities available to them across the organization and provides full transparency to all levels, skills and capabilities required for every role in ICON.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ICON is proud of this investment in our people. This investment translated to approximately four days training for each person during 2018.</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334" w:right="21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are also committed to supporting the career aspirations of our people. Approximately 25% of all roles are filled internally.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an organisation we are keen to hear directly from our employees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Bi-annually we conduct a global employee engagement survey. Our most recent survey was conducted in October 2018 and had an 88% response rate. There are two key measures which we track closely. The first is Employee Engagement which scored well at 70%, and was on par with the General Industry benchmark. The second is Employee Enablement, which also scored at 70%, 3% above the General Industry benchmark. After each survey we engage in action planning with our people to address areas they have highlighted as important for improvement. The last five years have shown a positive trend for both our engagement and enablement scores.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Difference drives innovative thinking and is critical to our success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believe difference drives innovative thinking, which is critical to our customers, and as a global company with almost 14,000 employees in 40 countries, we encourage diversity of all kinds. We have grown rapidly, almost doubling our headcount globally over the past 7 years. As a truly global operation, we are deliberately structured as international teams so that we can support the delivery of our customers' clinical development programmes across multiple geographies. Recruitment, selection and promotion decisions are merit-based and in line with the principles of reaching a wider talent pool and equal opportunity.</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made significant investment in organisation design structures, tools and communications which ensures that we have a gender neutral approach to pay decisions. We pay male and female employees equally for the same or equivalent work. We have worked hard to structure our pay principles to ensure that gender is not a factor in how we deliver rewards.</w:t>
      </w:r>
    </w:p>
    <w:p>
      <w:pPr>
        <w:spacing w:after="0" w:line="10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information relating to pay decisions is hosted through core technology, enabling our people leaders and employees direct access to information which informs and supports equitable and consistent decision making.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immediate areas of focus around driving inclusion and diversity include:</w:t>
      </w:r>
    </w:p>
    <w:p>
      <w:pPr>
        <w:spacing w:after="0" w:line="142" w:lineRule="exact"/>
        <w:rPr>
          <w:sz w:val="20"/>
          <w:szCs w:val="20"/>
          <w:color w:val="auto"/>
        </w:rPr>
      </w:pPr>
    </w:p>
    <w:p>
      <w:pPr>
        <w:jc w:val="both"/>
        <w:ind w:left="520" w:hanging="261"/>
        <w:spacing w:after="0" w:line="269"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Training and Development </w:t>
      </w:r>
      <w:r>
        <w:rPr>
          <w:rFonts w:ascii="Arial" w:cs="Arial" w:eastAsia="Arial" w:hAnsi="Arial"/>
          <w:sz w:val="14"/>
          <w:szCs w:val="14"/>
          <w:color w:val="auto"/>
        </w:rPr>
        <w:t>- Under our Diversity and Inclusion Program, we will be training all our people leaders to understand unconscious bias and similarity bias and also how to</w:t>
      </w:r>
      <w:r>
        <w:rPr>
          <w:rFonts w:ascii="Arial" w:cs="Arial" w:eastAsia="Arial" w:hAnsi="Arial"/>
          <w:sz w:val="14"/>
          <w:szCs w:val="14"/>
          <w:b w:val="1"/>
          <w:bCs w:val="1"/>
          <w:color w:val="auto"/>
        </w:rPr>
        <w:t xml:space="preserve"> </w:t>
      </w:r>
      <w:r>
        <w:rPr>
          <w:rFonts w:ascii="Arial" w:cs="Arial" w:eastAsia="Arial" w:hAnsi="Arial"/>
          <w:sz w:val="14"/>
          <w:szCs w:val="14"/>
          <w:color w:val="auto"/>
        </w:rPr>
        <w:t>encourage diversity of thought and foster inclusion in their teams. These fundamentals will be embedded into all people leader programmes, and reflect the values upon which we assess performance behaviours.</w:t>
      </w:r>
    </w:p>
    <w:p>
      <w:pPr>
        <w:spacing w:after="0" w:line="135" w:lineRule="exact"/>
        <w:rPr>
          <w:rFonts w:ascii="Arial" w:cs="Arial" w:eastAsia="Arial" w:hAnsi="Arial"/>
          <w:sz w:val="14"/>
          <w:szCs w:val="14"/>
          <w:color w:val="auto"/>
        </w:rPr>
      </w:pPr>
    </w:p>
    <w:p>
      <w:pPr>
        <w:jc w:val="both"/>
        <w:ind w:left="520" w:hanging="261"/>
        <w:spacing w:after="0" w:line="290"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Talent - </w:t>
      </w:r>
      <w:r>
        <w:rPr>
          <w:rFonts w:ascii="Arial" w:cs="Arial" w:eastAsia="Arial" w:hAnsi="Arial"/>
          <w:sz w:val="13"/>
          <w:szCs w:val="13"/>
          <w:color w:val="auto"/>
        </w:rPr>
        <w:t>We recognise that more diversity in senior leadership increases organisational performance. In 2019 we are launching our global NextGen Leadership programme for those who have</w:t>
      </w:r>
      <w:r>
        <w:rPr>
          <w:rFonts w:ascii="Arial" w:cs="Arial" w:eastAsia="Arial" w:hAnsi="Arial"/>
          <w:sz w:val="13"/>
          <w:szCs w:val="13"/>
          <w:b w:val="1"/>
          <w:bCs w:val="1"/>
          <w:color w:val="auto"/>
        </w:rPr>
        <w:t xml:space="preserve"> </w:t>
      </w:r>
      <w:r>
        <w:rPr>
          <w:rFonts w:ascii="Arial" w:cs="Arial" w:eastAsia="Arial" w:hAnsi="Arial"/>
          <w:sz w:val="13"/>
          <w:szCs w:val="13"/>
          <w:color w:val="auto"/>
        </w:rPr>
        <w:t>been identified as a High Performing &amp; High Potential Leader. This programme will focus on core organisational skills that will enable these individuals to increase their readiness for promotion, as well as create a strong internal network of senior leaders who feel empowered to take hold of their careers and aim for the top. This programme will help build and support our development of future leaders from within and complements existing senior level High Potential programmes already inexistence in the organisation.</w:t>
      </w:r>
    </w:p>
    <w:p>
      <w:pPr>
        <w:spacing w:after="0" w:line="123" w:lineRule="exact"/>
        <w:rPr>
          <w:rFonts w:ascii="Arial" w:cs="Arial" w:eastAsia="Arial" w:hAnsi="Arial"/>
          <w:sz w:val="13"/>
          <w:szCs w:val="13"/>
          <w:color w:val="auto"/>
        </w:rPr>
      </w:pPr>
    </w:p>
    <w:p>
      <w:pPr>
        <w:ind w:left="520" w:hanging="261"/>
        <w:spacing w:after="0" w:line="326"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Recruitment </w:t>
      </w:r>
      <w:r>
        <w:rPr>
          <w:rFonts w:ascii="Arial" w:cs="Arial" w:eastAsia="Arial" w:hAnsi="Arial"/>
          <w:sz w:val="13"/>
          <w:szCs w:val="13"/>
          <w:color w:val="auto"/>
        </w:rPr>
        <w:t>- We continue to strive to source the best talent in our industry from across the world to fill the highly specialised roles required to help bring new drugs to market. Our most senior</w:t>
      </w:r>
      <w:r>
        <w:rPr>
          <w:rFonts w:ascii="Arial" w:cs="Arial" w:eastAsia="Arial" w:hAnsi="Arial"/>
          <w:sz w:val="13"/>
          <w:szCs w:val="13"/>
          <w:b w:val="1"/>
          <w:bCs w:val="1"/>
          <w:color w:val="auto"/>
        </w:rPr>
        <w:t xml:space="preserve"> </w:t>
      </w:r>
      <w:r>
        <w:rPr>
          <w:rFonts w:ascii="Arial" w:cs="Arial" w:eastAsia="Arial" w:hAnsi="Arial"/>
          <w:sz w:val="13"/>
          <w:szCs w:val="13"/>
          <w:color w:val="auto"/>
        </w:rPr>
        <w:t>roles are truly global in nature. In 2018, we mandated gender balanced short lists for senior leadership appointments across the organisation in all markets in which we are located.</w:t>
      </w:r>
    </w:p>
    <w:p>
      <w:pPr>
        <w:spacing w:after="0" w:line="101" w:lineRule="exact"/>
        <w:rPr>
          <w:rFonts w:ascii="Arial" w:cs="Arial" w:eastAsia="Arial" w:hAnsi="Arial"/>
          <w:sz w:val="13"/>
          <w:szCs w:val="13"/>
          <w:color w:val="auto"/>
        </w:rPr>
      </w:pPr>
    </w:p>
    <w:p>
      <w:pPr>
        <w:jc w:val="both"/>
        <w:ind w:left="520" w:hanging="261"/>
        <w:spacing w:after="0" w:line="263"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Retention </w:t>
      </w:r>
      <w:r>
        <w:rPr>
          <w:rFonts w:ascii="Arial" w:cs="Arial" w:eastAsia="Arial" w:hAnsi="Arial"/>
          <w:sz w:val="14"/>
          <w:szCs w:val="14"/>
          <w:color w:val="auto"/>
        </w:rPr>
        <w:t>- we offer flexible working arrangements that help our people achieve balance. Approximately 45% of our employees work remotely. We also support and facilitate part time working</w:t>
      </w:r>
      <w:r>
        <w:rPr>
          <w:rFonts w:ascii="Arial" w:cs="Arial" w:eastAsia="Arial" w:hAnsi="Arial"/>
          <w:sz w:val="14"/>
          <w:szCs w:val="14"/>
          <w:b w:val="1"/>
          <w:bCs w:val="1"/>
          <w:color w:val="auto"/>
        </w:rPr>
        <w:t xml:space="preserve"> </w:t>
      </w:r>
      <w:r>
        <w:rPr>
          <w:rFonts w:ascii="Arial" w:cs="Arial" w:eastAsia="Arial" w:hAnsi="Arial"/>
          <w:sz w:val="14"/>
          <w:szCs w:val="14"/>
          <w:color w:val="auto"/>
        </w:rPr>
        <w:t>arrangements. Approximately 16% of our people work part-time. We have a bonus programme for all employees linked to individual and company performance and also operate a global recognition programme where peer to peer recognition and awards take place for employees who go the extra mile. We also recognise and reward employees who reach significant service milestones within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risks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For further details on risks relating to employee matters refer to Appendix A: Risk Factors.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334" w:right="219" w:bottom="144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3"/>
          <w:szCs w:val="13"/>
          <w:b w:val="1"/>
          <w:bCs w:val="1"/>
          <w:color w:val="auto"/>
        </w:rPr>
        <w:t>Human rights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ICON is committed to acting ethically and with integrity in all our business dealings.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are committed to human rights and the adoption and pursuit of compliance with the United Nations Guiding Principles on Human Rights. Our business model and our policies are intended to fully comply with applicable human rights legislation in the countries in which we operate. ICON’s Global Supplier Code of Conduct also addresses our zero tolerance stance to slavery and human trafficking. ICON is completely opposed to slavery and human trafficking and will not knowingly support or conduct business with any organisation involved in such activities. ICON does not employ anyone below the minimum employment age in the jurisdictions in which we operate.</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In our Anti-Slavery and Human Trafficking Statement, we set out the measures we are taking to prevent modern slavery in our supply chains, in addition to our own operations. A copy of our Anti-Slavery and Human Trafficking Statement is available on our website at </w:t>
      </w:r>
      <w:r>
        <w:rPr>
          <w:rFonts w:ascii="Arial" w:cs="Arial" w:eastAsia="Arial" w:hAnsi="Arial"/>
          <w:sz w:val="14"/>
          <w:szCs w:val="14"/>
          <w:u w:val="single" w:color="auto"/>
          <w:color w:val="128474"/>
        </w:rPr>
        <w:t>https://investor.iconplc.com</w:t>
      </w:r>
      <w:r>
        <w:rPr>
          <w:rFonts w:ascii="Arial" w:cs="Arial" w:eastAsia="Arial" w:hAnsi="Arial"/>
          <w:sz w:val="14"/>
          <w:szCs w:val="14"/>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Risks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Although the risks associated with human rights abuses are actively monitored, ICON does not believe these risks meet the threshold of a principal risk for our business.</w:t>
      </w:r>
    </w:p>
    <w:p>
      <w:pPr>
        <w:spacing w:after="0" w:line="142"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3"/>
          <w:szCs w:val="13"/>
          <w:b w:val="1"/>
          <w:bCs w:val="1"/>
          <w:color w:val="auto"/>
        </w:rPr>
        <w:t>Anti-bribery and Corruption</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anti-bribery/anti-corruption programme ('ABAC Programme') is a key element of our compliance policy framework, with principles and requirements based on the underlying principal that we do not tolerate bribery or any other form of corruption or fraud. ICON and all ICON directors, employees, consultants and agents (“Covered Persons”) must act in compliance with international laws and regulations relating to bribery, corruption and illicit payments including, the US Foreign Corrupt Practices Act and the UK Bribery Act 2010.</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April 2018, ICON was awarded the ISO 37001:2016 certification for its Anti-Bribery Management System having established, implemented, maintained, reviewed and improved an Anti-Bribery Management System that can prevent, detect and mitigate the risk of bribery. Our programme is designed to ensure our compliance with anti-corruption laws, including due diligence, training, policies, procedures, and internal controls.</w:t>
      </w:r>
    </w:p>
    <w:p>
      <w:pPr>
        <w:spacing w:after="0" w:line="11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There are a number of policies and codes that make up the ABAC Management system including the Global Code of Ethical Conduct, the Global Anti Corruption Compliance Policy, the Ethics Line Charter and the Global Supplier Code of Conduct (together “the Codes”). The Codes are available on our website at </w:t>
      </w:r>
      <w:r>
        <w:rPr>
          <w:rFonts w:ascii="Arial" w:cs="Arial" w:eastAsia="Arial" w:hAnsi="Arial"/>
          <w:sz w:val="13"/>
          <w:szCs w:val="13"/>
          <w:u w:val="single" w:color="auto"/>
          <w:color w:val="128474"/>
        </w:rPr>
        <w:t>https://investor.iconplc.com</w:t>
      </w:r>
      <w:r>
        <w:rPr>
          <w:rFonts w:ascii="Arial" w:cs="Arial" w:eastAsia="Arial" w:hAnsi="Arial"/>
          <w:sz w:val="13"/>
          <w:szCs w:val="13"/>
          <w:color w:val="auto"/>
        </w:rPr>
        <w:t>. All ICON employees are required to complete ICON’s annual Ethics online training, which incorporates the key principles of each of the Codes. The Global Code of Ethical Conduct addresses the core principles underpinning the behaviour required of all Covered Persons in our internal interactions with each other and our external dealings with patients, clients, health care professionals, regulators, investors, vendors and other third parties. Violations of the Codes may result in a variety of corrective actions and in some cases may result in disciplinary action up to and including termination of employment.</w:t>
      </w:r>
    </w:p>
    <w:p>
      <w:pPr>
        <w:spacing w:after="0" w:line="10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Bribery and corruption remains a business risk as we conduct our business across the globe and enter into partnerships and collaborations. There is no certainty that all employees and third 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Suspected violations of the Codes may be reported on a confidential (or anonymous, where permitted) basis in accordance with our Ethics Line Charter through ICON’s Ethics Line. ICON has open door, anti-retaliation policies in place to encourage and protect individuals who raise a concern. Ethics line reports are reported to the Board of ICON plc as appropriate. The Internal Audit team conducts ABAC programme audits. Internal Audits focus on testing for compliance and design effectiveness of the overall ABAC programme, Internal Audit incorporates an assessment of ABAC measures in all audits, as appropriate. In this approach, bribery and corruption risks are incorporated into the risk assessment and scoping process of each audit.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334" w:right="21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risks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For further details on risks relating to anti-corruption refer to Appendix A: Risk Factors.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compliance statement</w:t>
      </w:r>
    </w:p>
    <w:p>
      <w:pPr>
        <w:spacing w:after="0" w:line="19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Directors, in accordance with Section 225(2) of the Companies Act 2014, acknowledge that they are responsible for securing the Company’s compliance with its relevant obligations as defined within the Companies Act, 2014 (hereinafter called the relevant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Directors confirm that:</w:t>
      </w:r>
    </w:p>
    <w:p>
      <w:pPr>
        <w:spacing w:after="0" w:line="178" w:lineRule="exact"/>
        <w:rPr>
          <w:sz w:val="20"/>
          <w:szCs w:val="20"/>
          <w:color w:val="auto"/>
        </w:rPr>
      </w:pPr>
    </w:p>
    <w:p>
      <w:pPr>
        <w:ind w:left="520" w:hanging="261"/>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compliance policy statement has been drawn up setting out the Company’s policies with regard to such compliance;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appropriate arrangements and structures that, in their opinion, are designed to secure material compliance with the Company’s relevant obligations, have been put in place;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Auditor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Section 383(2) of the Companies Act 2014, KPMG, Chartered Accountants, will continue in office.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 behalf of the Board</w:t>
      </w:r>
    </w:p>
    <w:p>
      <w:pPr>
        <w:sectPr>
          <w:pgSz w:w="11900" w:h="16838" w:orient="portrait"/>
          <w:cols w:equalWidth="0" w:num="1">
            <w:col w:w="11460"/>
          </w:cols>
          <w:pgMar w:left="220" w:top="1334" w:right="219" w:bottom="1440" w:gutter="0" w:footer="0" w:header="0"/>
        </w:sectPr>
      </w:pPr>
    </w:p>
    <w:p>
      <w:pPr>
        <w:spacing w:after="0" w:line="277"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Steve Cutler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Ronan Murphy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30 April 2019</w:t>
      </w:r>
    </w:p>
    <w:p>
      <w:pPr>
        <w:spacing w:after="0" w:line="62" w:lineRule="exact"/>
        <w:rPr>
          <w:sz w:val="20"/>
          <w:szCs w:val="20"/>
          <w:color w:val="auto"/>
        </w:rPr>
      </w:pPr>
    </w:p>
    <w:p>
      <w:pPr>
        <w:sectPr>
          <w:pgSz w:w="11900" w:h="16838" w:orient="portrait"/>
          <w:cols w:equalWidth="0" w:num="3">
            <w:col w:w="3640" w:space="720"/>
            <w:col w:w="3340" w:space="720"/>
            <w:col w:w="3040"/>
          </w:cols>
          <w:pgMar w:left="220" w:top="1334" w:right="219" w:bottom="1440" w:gutter="0" w:footer="0" w:header="0"/>
          <w:type w:val="continuous"/>
        </w:sectPr>
      </w:pPr>
    </w:p>
    <w:p>
      <w:pPr>
        <w:ind w:left="2260"/>
        <w:spacing w:after="0"/>
        <w:rPr>
          <w:sz w:val="20"/>
          <w:szCs w:val="20"/>
          <w:color w:val="auto"/>
        </w:rPr>
      </w:pPr>
      <w:r>
        <w:rPr>
          <w:rFonts w:ascii="Arial" w:cs="Arial" w:eastAsia="Arial" w:hAnsi="Arial"/>
          <w:sz w:val="13"/>
          <w:szCs w:val="13"/>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3640" w:space="720"/>
            <w:col w:w="7100"/>
          </w:cols>
          <w:pgMar w:left="220" w:top="1334" w:right="219" w:bottom="144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1334" w:right="2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color w:val="auto"/>
        </w:rPr>
        <w:t>Statement of Directors’ Responsibilities in respect of the Directors' report and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 directors are responsible for preparing the Directors’ report and the Group and Company Financial Statements in accordance with applicable law and regulations.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Company law requires the directors to prepare Group and Company Financial Statements for each financial year. The directors have elected to prepare the Company Financial Statements in accordance with IFRS as adopted by the EU and as applied in accordance with the Companies Act 2014.</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the Group and Company Financial Statements, the directors are required to:</w:t>
      </w:r>
    </w:p>
    <w:p>
      <w:pPr>
        <w:spacing w:after="0" w:line="132"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select suitable accounting policies and then apply them consistently;</w:t>
      </w:r>
    </w:p>
    <w:p>
      <w:pPr>
        <w:spacing w:after="0" w:line="18" w:lineRule="exact"/>
        <w:rPr>
          <w:rFonts w:ascii="Arial" w:cs="Arial" w:eastAsia="Arial" w:hAnsi="Arial"/>
          <w:sz w:val="14"/>
          <w:szCs w:val="14"/>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make judgements and estimates that are reasonable and prudent;</w:t>
      </w:r>
    </w:p>
    <w:p>
      <w:pPr>
        <w:spacing w:after="0" w:line="8" w:lineRule="exact"/>
        <w:rPr>
          <w:rFonts w:ascii="Arial" w:cs="Arial" w:eastAsia="Arial" w:hAnsi="Arial"/>
          <w:sz w:val="14"/>
          <w:szCs w:val="14"/>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state whether they have been prepared in accordance with IFRS as adopted by the EU; and</w:t>
      </w:r>
    </w:p>
    <w:p>
      <w:pPr>
        <w:spacing w:after="0" w:line="8" w:lineRule="exact"/>
        <w:rPr>
          <w:rFonts w:ascii="Arial" w:cs="Arial" w:eastAsia="Arial" w:hAnsi="Arial"/>
          <w:sz w:val="14"/>
          <w:szCs w:val="14"/>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prepare the financial statements on the going concern basis unless it is inappropriate to presume that the Company will continue in business.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directors are responsible for keeping adequate accounting records which disclose with reasonable accuracy at any time the assets, liabilities, financial position and profit or loss of the Company and which enable them to ensure that the financial statements comply with the provision of the Companies Act 2014. They are also responsible for safeguarding the assets of the Group and Company, and hence for taking reasonable steps for the prevention and detection of fraud and other irregularities. The directors are also responsible for preparing a directors’ report that complies with the requirements of the Companies Act 2014.</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 behalf of the Board</w:t>
      </w:r>
    </w:p>
    <w:p>
      <w:pPr>
        <w:sectPr>
          <w:pgSz w:w="11900" w:h="16838" w:orient="portrait"/>
          <w:cols w:equalWidth="0" w:num="1">
            <w:col w:w="11460"/>
          </w:cols>
          <w:pgMar w:left="220" w:top="10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Steve Cutler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Ronan Murphy</w:t>
      </w:r>
    </w:p>
    <w:p>
      <w:pPr>
        <w:spacing w:after="0" w:line="62" w:lineRule="exact"/>
        <w:rPr>
          <w:sz w:val="20"/>
          <w:szCs w:val="20"/>
          <w:color w:val="auto"/>
        </w:rPr>
      </w:pPr>
    </w:p>
    <w:p>
      <w:pPr>
        <w:sectPr>
          <w:pgSz w:w="11900" w:h="16838" w:orient="portrait"/>
          <w:cols w:equalWidth="0" w:num="2">
            <w:col w:w="3640" w:space="720"/>
            <w:col w:w="7100"/>
          </w:cols>
          <w:pgMar w:left="220" w:top="1059" w:right="219" w:bottom="1440" w:gutter="0" w:footer="0" w:header="0"/>
          <w:type w:val="continuous"/>
        </w:sectPr>
      </w:pPr>
    </w:p>
    <w:p>
      <w:pPr>
        <w:ind w:left="2260"/>
        <w:spacing w:after="0"/>
        <w:rPr>
          <w:sz w:val="20"/>
          <w:szCs w:val="20"/>
          <w:color w:val="auto"/>
        </w:rPr>
      </w:pPr>
      <w:r>
        <w:rPr>
          <w:rFonts w:ascii="Arial" w:cs="Arial" w:eastAsia="Arial" w:hAnsi="Arial"/>
          <w:sz w:val="13"/>
          <w:szCs w:val="13"/>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3640" w:space="720"/>
            <w:col w:w="7100"/>
          </w:cols>
          <w:pgMar w:left="220" w:top="1059" w:right="21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60"/>
          </w:cols>
          <w:pgMar w:left="220" w:top="1059" w:right="2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have audited the financial statements of ICON plc (“the Company”) and subsidiaries (together, “the Group”) for the year ended 31 December 2018, which comprise the Consolidated Statement of Profit and Loss, Consolidated Statement of Comprehensive Income, Consolidated and Company Statements of Financial Position, Consolidated and Company Statements of Changes in Equity, Consolidated and Company Statements of Cash Flows, and related notes, including the summary of significant accounting policies set out in note 1. The financial reporting framework that has been applied in their preparation is Irish Law and International Financial Reporting Standards (“IFRS”) as adopted by the European Union.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In our opinion:</w:t>
      </w:r>
    </w:p>
    <w:p>
      <w:pPr>
        <w:spacing w:after="0" w:line="114"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Consolidated Financial Statements give a true and fair view of the assets, liabilities and financial position of the Group as at 31 December 2018 and of the Group’s profit for the year then ended;</w:t>
      </w:r>
    </w:p>
    <w:p>
      <w:pPr>
        <w:spacing w:after="0" w:line="306" w:lineRule="exact"/>
        <w:rPr>
          <w:rFonts w:ascii="Arial" w:cs="Arial" w:eastAsia="Arial" w:hAnsi="Arial"/>
          <w:sz w:val="12"/>
          <w:szCs w:val="12"/>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Statement of Financial Position gives a true and fair view of the assets, liabilities and financial position of the Company as at 31 December 2018;</w:t>
      </w:r>
    </w:p>
    <w:p>
      <w:pPr>
        <w:spacing w:after="0" w:line="283"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Consolidated Financial Statements have been properly prepared in accordance with IFRS as adopted by the European Union;</w:t>
      </w:r>
    </w:p>
    <w:p>
      <w:pPr>
        <w:spacing w:after="0" w:line="346" w:lineRule="exact"/>
        <w:rPr>
          <w:rFonts w:ascii="Arial" w:cs="Arial" w:eastAsia="Arial" w:hAnsi="Arial"/>
          <w:sz w:val="14"/>
          <w:szCs w:val="14"/>
          <w:color w:val="auto"/>
        </w:rPr>
      </w:pPr>
    </w:p>
    <w:p>
      <w:pPr>
        <w:ind w:left="260" w:hanging="255"/>
        <w:spacing w:after="0" w:line="280"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Financial Statements have been properly prepared in accordance with IFRS as adopted by the European Union, as applied in accordance with the provisions of the Companies Act 2014; and</w:t>
      </w:r>
    </w:p>
    <w:p>
      <w:pPr>
        <w:spacing w:after="0" w:line="238" w:lineRule="exact"/>
        <w:rPr>
          <w:rFonts w:ascii="Arial" w:cs="Arial" w:eastAsia="Arial" w:hAnsi="Arial"/>
          <w:sz w:val="14"/>
          <w:szCs w:val="14"/>
          <w:color w:val="auto"/>
        </w:rPr>
      </w:pPr>
    </w:p>
    <w:p>
      <w:pPr>
        <w:ind w:left="260" w:hanging="255"/>
        <w:spacing w:after="0" w:line="280"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Consolidated Financial Statements and Company Financial Statements have been properly prepared in accordance with the requirements of the Companies Act 2014 and, as regards the Group financial statements, Article 4 of the IAS Regulation.</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Company in accordance with ethical requirements that are relevant to our audit of financial statements in Ireland, including the Ethical Standard issued by the Irish Auditing and Accounting Supervisory Authority (IAASA), as applied to listed entities.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 audit evidence we have obtained is sufficient and appropriate to provide a basis for our opinion.</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audit matters: our assessment of risks of material misstatement</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Key audit matters are those matters that, in our professional judgement,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334" w:right="219" w:bottom="1440" w:gutter="0" w:footer="0" w:header="0"/>
        </w:sectPr>
      </w:pPr>
    </w:p>
    <w:bookmarkStart w:id="23" w:name="page24"/>
    <w:bookmarkEnd w:id="23"/>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In arriving at our audit opinion above, the key audit matter, in decreasing order of audit significance, was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4"/>
          <w:szCs w:val="14"/>
          <w:i w:val="1"/>
          <w:iCs w:val="1"/>
          <w:color w:val="auto"/>
        </w:rPr>
        <w:t>As described in note 1, significant accounting policies, and in note 2, segmental information, the Group’s revenues were US$2,596 million for the year ended 31 December 2018 (2017: US$2,402 million).</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How the matter was addressed in</w:t>
      </w:r>
    </w:p>
    <w:p>
      <w:pPr>
        <w:spacing w:after="0" w:line="23"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4"/>
          <w:szCs w:val="14"/>
          <w:b w:val="1"/>
          <w:bCs w:val="1"/>
          <w:color w:val="auto"/>
        </w:rPr>
        <w:t>The key audit matter</w:t>
      </w:r>
      <w:r>
        <w:rPr>
          <w:sz w:val="20"/>
          <w:szCs w:val="20"/>
          <w:color w:val="auto"/>
        </w:rPr>
        <w:tab/>
      </w:r>
      <w:r>
        <w:rPr>
          <w:rFonts w:ascii="Arial" w:cs="Arial" w:eastAsia="Arial" w:hAnsi="Arial"/>
          <w:sz w:val="13"/>
          <w:szCs w:val="13"/>
          <w:b w:val="1"/>
          <w:bCs w:val="1"/>
          <w:color w:val="auto"/>
        </w:rPr>
        <w:t>our audit</w:t>
      </w:r>
    </w:p>
    <w:p>
      <w:pPr>
        <w:spacing w:after="0" w:line="40" w:lineRule="exact"/>
        <w:rPr>
          <w:sz w:val="20"/>
          <w:szCs w:val="20"/>
          <w:color w:val="auto"/>
        </w:rPr>
      </w:pPr>
    </w:p>
    <w:p>
      <w:pPr>
        <w:ind w:left="20"/>
        <w:spacing w:after="0"/>
        <w:tabs>
          <w:tab w:leader="none" w:pos="5140" w:val="left"/>
          <w:tab w:leader="none" w:pos="5600" w:val="left"/>
          <w:tab w:leader="none" w:pos="6400" w:val="left"/>
        </w:tabs>
        <w:rPr>
          <w:sz w:val="20"/>
          <w:szCs w:val="20"/>
          <w:color w:val="auto"/>
        </w:rPr>
      </w:pPr>
      <w:r>
        <w:rPr>
          <w:rFonts w:ascii="Arial" w:cs="Arial" w:eastAsia="Arial" w:hAnsi="Arial"/>
          <w:sz w:val="13"/>
          <w:szCs w:val="13"/>
          <w:color w:val="auto"/>
        </w:rPr>
        <w:t>Significant management judgements and estimates are made in connection with the Our</w:t>
      </w:r>
      <w:r>
        <w:rPr>
          <w:sz w:val="20"/>
          <w:szCs w:val="20"/>
          <w:color w:val="auto"/>
        </w:rPr>
        <w:tab/>
      </w:r>
      <w:r>
        <w:rPr>
          <w:rFonts w:ascii="Arial" w:cs="Arial" w:eastAsia="Arial" w:hAnsi="Arial"/>
          <w:sz w:val="14"/>
          <w:szCs w:val="14"/>
          <w:color w:val="auto"/>
        </w:rPr>
        <w:t>audit</w:t>
        <w:tab/>
        <w:t>procedures</w:t>
      </w:r>
      <w:r>
        <w:rPr>
          <w:sz w:val="20"/>
          <w:szCs w:val="20"/>
          <w:color w:val="auto"/>
        </w:rPr>
        <w:tab/>
      </w:r>
      <w:r>
        <w:rPr>
          <w:rFonts w:ascii="Arial" w:cs="Arial" w:eastAsia="Arial" w:hAnsi="Arial"/>
          <w:sz w:val="12"/>
          <w:szCs w:val="12"/>
          <w:color w:val="auto"/>
        </w:rPr>
        <w:t>included,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recognition  of  revenue,  in  particular  clinical  trial  service  revenue,  in  any amongst others, testing the design and</w:t>
      </w:r>
    </w:p>
    <w:p>
      <w:pPr>
        <w:spacing w:after="0" w:line="8" w:lineRule="exact"/>
        <w:rPr>
          <w:sz w:val="20"/>
          <w:szCs w:val="20"/>
          <w:color w:val="auto"/>
        </w:rPr>
      </w:pPr>
    </w:p>
    <w:p>
      <w:pPr>
        <w:ind w:left="20"/>
        <w:spacing w:after="0"/>
        <w:tabs>
          <w:tab w:leader="none" w:pos="5680" w:val="left"/>
          <w:tab w:leader="none" w:pos="6800" w:val="left"/>
        </w:tabs>
        <w:rPr>
          <w:sz w:val="20"/>
          <w:szCs w:val="20"/>
          <w:color w:val="auto"/>
        </w:rPr>
      </w:pPr>
      <w:r>
        <w:rPr>
          <w:rFonts w:ascii="Arial" w:cs="Arial" w:eastAsia="Arial" w:hAnsi="Arial"/>
          <w:sz w:val="14"/>
          <w:szCs w:val="14"/>
          <w:color w:val="auto"/>
        </w:rPr>
        <w:t>accounting period. A clinical trial service contract, including services performed operating</w:t>
      </w:r>
      <w:r>
        <w:rPr>
          <w:sz w:val="20"/>
          <w:szCs w:val="20"/>
          <w:color w:val="auto"/>
        </w:rPr>
        <w:tab/>
      </w:r>
      <w:r>
        <w:rPr>
          <w:rFonts w:ascii="Arial" w:cs="Arial" w:eastAsia="Arial" w:hAnsi="Arial"/>
          <w:sz w:val="14"/>
          <w:szCs w:val="14"/>
          <w:color w:val="auto"/>
        </w:rPr>
        <w:t>effectiveness</w:t>
      </w:r>
      <w:r>
        <w:rPr>
          <w:sz w:val="20"/>
          <w:szCs w:val="20"/>
          <w:color w:val="auto"/>
        </w:rPr>
        <w:tab/>
      </w:r>
      <w:r>
        <w:rPr>
          <w:rFonts w:ascii="Arial" w:cs="Arial" w:eastAsia="Arial" w:hAnsi="Arial"/>
          <w:sz w:val="14"/>
          <w:szCs w:val="14"/>
          <w:color w:val="auto"/>
        </w:rPr>
        <w:t>of</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gridSpan w:val="3"/>
          </w:tcPr>
          <w:p>
            <w:pPr>
              <w:spacing w:after="0"/>
              <w:rPr>
                <w:sz w:val="20"/>
                <w:szCs w:val="20"/>
                <w:color w:val="auto"/>
              </w:rPr>
            </w:pPr>
            <w:r>
              <w:rPr>
                <w:rFonts w:ascii="Arial" w:cs="Arial" w:eastAsia="Arial" w:hAnsi="Arial"/>
                <w:sz w:val="14"/>
                <w:szCs w:val="14"/>
                <w:color w:val="auto"/>
                <w:w w:val="96"/>
              </w:rPr>
              <w:t>by third parties, represents a single performance obligation, satisfied over time. management’s key controls over the</w:t>
            </w:r>
          </w:p>
        </w:tc>
      </w:tr>
      <w:tr>
        <w:trPr>
          <w:trHeight w:val="169"/>
        </w:trPr>
        <w:tc>
          <w:tcPr>
            <w:tcW w:w="5440" w:type="dxa"/>
            <w:vAlign w:val="bottom"/>
          </w:tcPr>
          <w:p>
            <w:pPr>
              <w:spacing w:after="0"/>
              <w:rPr>
                <w:sz w:val="20"/>
                <w:szCs w:val="20"/>
                <w:color w:val="auto"/>
              </w:rPr>
            </w:pPr>
            <w:r>
              <w:rPr>
                <w:rFonts w:ascii="Arial" w:cs="Arial" w:eastAsia="Arial" w:hAnsi="Arial"/>
                <w:sz w:val="14"/>
                <w:szCs w:val="14"/>
                <w:color w:val="auto"/>
                <w:w w:val="95"/>
              </w:rPr>
              <w:t>Clinical trial service revenue is recognised on a percentage of completion basis, as revenue</w:t>
            </w:r>
          </w:p>
        </w:tc>
        <w:tc>
          <w:tcPr>
            <w:tcW w:w="920" w:type="dxa"/>
            <w:vAlign w:val="bottom"/>
          </w:tcPr>
          <w:p>
            <w:pPr>
              <w:ind w:left="80"/>
              <w:spacing w:after="0"/>
              <w:rPr>
                <w:sz w:val="20"/>
                <w:szCs w:val="20"/>
                <w:color w:val="auto"/>
              </w:rPr>
            </w:pPr>
            <w:r>
              <w:rPr>
                <w:rFonts w:ascii="Arial" w:cs="Arial" w:eastAsia="Arial" w:hAnsi="Arial"/>
                <w:sz w:val="14"/>
                <w:szCs w:val="14"/>
                <w:color w:val="auto"/>
              </w:rPr>
              <w:t>recognition</w:t>
            </w:r>
          </w:p>
        </w:tc>
        <w:tc>
          <w:tcPr>
            <w:tcW w:w="560" w:type="dxa"/>
            <w:vAlign w:val="bottom"/>
          </w:tcPr>
          <w:p>
            <w:pPr>
              <w:jc w:val="right"/>
              <w:spacing w:after="0"/>
              <w:rPr>
                <w:sz w:val="20"/>
                <w:szCs w:val="20"/>
                <w:color w:val="auto"/>
              </w:rPr>
            </w:pPr>
            <w:r>
              <w:rPr>
                <w:rFonts w:ascii="Arial" w:cs="Arial" w:eastAsia="Arial" w:hAnsi="Arial"/>
                <w:sz w:val="14"/>
                <w:szCs w:val="14"/>
                <w:color w:val="auto"/>
              </w:rPr>
              <w:t>process,</w:t>
            </w:r>
          </w:p>
        </w:tc>
      </w:tr>
      <w:tr>
        <w:trPr>
          <w:trHeight w:val="169"/>
        </w:trPr>
        <w:tc>
          <w:tcPr>
            <w:tcW w:w="6920" w:type="dxa"/>
            <w:vAlign w:val="bottom"/>
            <w:gridSpan w:val="3"/>
          </w:tcPr>
          <w:p>
            <w:pPr>
              <w:spacing w:after="0"/>
              <w:rPr>
                <w:sz w:val="20"/>
                <w:szCs w:val="20"/>
                <w:color w:val="auto"/>
              </w:rPr>
            </w:pPr>
            <w:r>
              <w:rPr>
                <w:rFonts w:ascii="Arial" w:cs="Arial" w:eastAsia="Arial" w:hAnsi="Arial"/>
                <w:sz w:val="14"/>
                <w:szCs w:val="14"/>
                <w:color w:val="auto"/>
                <w:w w:val="93"/>
              </w:rPr>
              <w:t>the single performance obligation is satisfied. The progress towards completion is including, in particular, those controls</w:t>
            </w:r>
          </w:p>
        </w:tc>
      </w:tr>
      <w:tr>
        <w:trPr>
          <w:trHeight w:val="180"/>
        </w:trPr>
        <w:tc>
          <w:tcPr>
            <w:tcW w:w="5440" w:type="dxa"/>
            <w:vAlign w:val="bottom"/>
          </w:tcPr>
          <w:p>
            <w:pPr>
              <w:spacing w:after="0"/>
              <w:rPr>
                <w:sz w:val="20"/>
                <w:szCs w:val="20"/>
                <w:color w:val="auto"/>
              </w:rPr>
            </w:pPr>
            <w:r>
              <w:rPr>
                <w:rFonts w:ascii="Arial" w:cs="Arial" w:eastAsia="Arial" w:hAnsi="Arial"/>
                <w:sz w:val="14"/>
                <w:szCs w:val="14"/>
                <w:color w:val="auto"/>
                <w:w w:val="96"/>
              </w:rPr>
              <w:t>measured based on an input measure, being total project costs (inclusive of third over   the</w:t>
            </w:r>
          </w:p>
        </w:tc>
        <w:tc>
          <w:tcPr>
            <w:tcW w:w="920" w:type="dxa"/>
            <w:vAlign w:val="bottom"/>
          </w:tcPr>
          <w:p>
            <w:pPr>
              <w:ind w:left="100"/>
              <w:spacing w:after="0"/>
              <w:rPr>
                <w:sz w:val="20"/>
                <w:szCs w:val="20"/>
                <w:color w:val="auto"/>
              </w:rPr>
            </w:pPr>
            <w:r>
              <w:rPr>
                <w:rFonts w:ascii="Arial" w:cs="Arial" w:eastAsia="Arial" w:hAnsi="Arial"/>
                <w:sz w:val="14"/>
                <w:szCs w:val="14"/>
                <w:color w:val="auto"/>
                <w:w w:val="93"/>
              </w:rPr>
              <w:t>measurement</w:t>
            </w:r>
          </w:p>
        </w:tc>
        <w:tc>
          <w:tcPr>
            <w:tcW w:w="560" w:type="dxa"/>
            <w:vAlign w:val="bottom"/>
          </w:tcPr>
          <w:p>
            <w:pPr>
              <w:jc w:val="right"/>
              <w:spacing w:after="0"/>
              <w:rPr>
                <w:sz w:val="20"/>
                <w:szCs w:val="20"/>
                <w:color w:val="auto"/>
              </w:rPr>
            </w:pPr>
            <w:r>
              <w:rPr>
                <w:rFonts w:ascii="Arial" w:cs="Arial" w:eastAsia="Arial" w:hAnsi="Arial"/>
                <w:sz w:val="14"/>
                <w:szCs w:val="14"/>
                <w:color w:val="auto"/>
              </w:rPr>
              <w:t>of   the</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4740" w:type="dxa"/>
            <w:vAlign w:val="bottom"/>
          </w:tcPr>
          <w:p>
            <w:pPr>
              <w:spacing w:after="0" w:line="159" w:lineRule="exact"/>
              <w:rPr>
                <w:sz w:val="20"/>
                <w:szCs w:val="20"/>
                <w:color w:val="auto"/>
              </w:rPr>
            </w:pPr>
            <w:r>
              <w:rPr>
                <w:rFonts w:ascii="Arial" w:cs="Arial" w:eastAsia="Arial" w:hAnsi="Arial"/>
                <w:sz w:val="14"/>
                <w:szCs w:val="14"/>
                <w:color w:val="auto"/>
                <w:w w:val="95"/>
              </w:rPr>
              <w:t>party costs) incurred at each reporting period as a percentage of total estimated</w:t>
            </w:r>
          </w:p>
        </w:tc>
        <w:tc>
          <w:tcPr>
            <w:tcW w:w="2180" w:type="dxa"/>
            <w:vAlign w:val="bottom"/>
            <w:gridSpan w:val="6"/>
          </w:tcPr>
          <w:p>
            <w:pPr>
              <w:ind w:left="20"/>
              <w:spacing w:after="0" w:line="159" w:lineRule="exact"/>
              <w:rPr>
                <w:sz w:val="20"/>
                <w:szCs w:val="20"/>
                <w:color w:val="auto"/>
              </w:rPr>
            </w:pPr>
            <w:r>
              <w:rPr>
                <w:rFonts w:ascii="Arial" w:cs="Arial" w:eastAsia="Arial" w:hAnsi="Arial"/>
                <w:sz w:val="14"/>
                <w:szCs w:val="14"/>
                <w:color w:val="auto"/>
                <w:w w:val="96"/>
              </w:rPr>
              <w:t>percentage of completion on clinical</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rPr>
              <w:t>project costs to completion.</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1"/>
              </w:rPr>
              <w:t>trials contracts and realisable contract</w:t>
            </w:r>
          </w:p>
        </w:tc>
        <w:tc>
          <w:tcPr>
            <w:tcW w:w="0" w:type="dxa"/>
            <w:vAlign w:val="bottom"/>
          </w:tcPr>
          <w:p>
            <w:pPr>
              <w:spacing w:after="0"/>
              <w:rPr>
                <w:sz w:val="1"/>
                <w:szCs w:val="1"/>
                <w:color w:val="auto"/>
              </w:rPr>
            </w:pPr>
          </w:p>
        </w:tc>
      </w:tr>
      <w:tr>
        <w:trPr>
          <w:trHeight w:val="180"/>
        </w:trPr>
        <w:tc>
          <w:tcPr>
            <w:tcW w:w="4740" w:type="dxa"/>
            <w:vAlign w:val="bottom"/>
            <w:vMerge w:val="restart"/>
          </w:tcPr>
          <w:p>
            <w:pPr>
              <w:spacing w:after="0"/>
              <w:rPr>
                <w:sz w:val="20"/>
                <w:szCs w:val="20"/>
                <w:color w:val="auto"/>
              </w:rPr>
            </w:pPr>
            <w:r>
              <w:rPr>
                <w:rFonts w:ascii="Arial" w:cs="Arial" w:eastAsia="Arial" w:hAnsi="Arial"/>
                <w:sz w:val="14"/>
                <w:szCs w:val="14"/>
                <w:color w:val="auto"/>
                <w:w w:val="89"/>
              </w:rPr>
              <w:t>We focussed on this area because measurement of the progress towards completion</w:t>
            </w:r>
          </w:p>
        </w:tc>
        <w:tc>
          <w:tcPr>
            <w:tcW w:w="660" w:type="dxa"/>
            <w:vAlign w:val="bottom"/>
          </w:tcPr>
          <w:p>
            <w:pPr>
              <w:ind w:left="20"/>
              <w:spacing w:after="0"/>
              <w:rPr>
                <w:sz w:val="20"/>
                <w:szCs w:val="20"/>
                <w:color w:val="auto"/>
              </w:rPr>
            </w:pPr>
            <w:r>
              <w:rPr>
                <w:rFonts w:ascii="Arial" w:cs="Arial" w:eastAsia="Arial" w:hAnsi="Arial"/>
                <w:sz w:val="14"/>
                <w:szCs w:val="14"/>
                <w:color w:val="auto"/>
              </w:rPr>
              <w:t>values.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740" w:type="dxa"/>
            <w:vAlign w:val="bottom"/>
            <w:vMerge w:val="continue"/>
          </w:tcPr>
          <w:p>
            <w:pPr>
              <w:spacing w:after="0"/>
              <w:rPr>
                <w:sz w:val="13"/>
                <w:szCs w:val="13"/>
                <w:color w:val="auto"/>
              </w:rPr>
            </w:pPr>
          </w:p>
        </w:tc>
        <w:tc>
          <w:tcPr>
            <w:tcW w:w="2180" w:type="dxa"/>
            <w:vAlign w:val="bottom"/>
            <w:gridSpan w:val="6"/>
            <w:vMerge w:val="restart"/>
          </w:tcPr>
          <w:p>
            <w:pPr>
              <w:ind w:left="20"/>
              <w:spacing w:after="0"/>
              <w:rPr>
                <w:sz w:val="20"/>
                <w:szCs w:val="20"/>
                <w:color w:val="auto"/>
              </w:rPr>
            </w:pPr>
            <w:r>
              <w:rPr>
                <w:rFonts w:ascii="Arial" w:cs="Arial" w:eastAsia="Arial" w:hAnsi="Arial"/>
                <w:sz w:val="14"/>
                <w:szCs w:val="14"/>
                <w:color w:val="auto"/>
                <w:w w:val="88"/>
              </w:rPr>
              <w:t>On a sample basis, we performed tests</w:t>
            </w:r>
          </w:p>
        </w:tc>
        <w:tc>
          <w:tcPr>
            <w:tcW w:w="0" w:type="dxa"/>
            <w:vAlign w:val="bottom"/>
          </w:tcPr>
          <w:p>
            <w:pPr>
              <w:spacing w:after="0"/>
              <w:rPr>
                <w:sz w:val="1"/>
                <w:szCs w:val="1"/>
                <w:color w:val="auto"/>
              </w:rPr>
            </w:pPr>
          </w:p>
        </w:tc>
      </w:tr>
      <w:tr>
        <w:trPr>
          <w:trHeight w:val="138"/>
        </w:trPr>
        <w:tc>
          <w:tcPr>
            <w:tcW w:w="4740" w:type="dxa"/>
            <w:vAlign w:val="bottom"/>
          </w:tcPr>
          <w:p>
            <w:pPr>
              <w:spacing w:after="0" w:line="138" w:lineRule="exact"/>
              <w:rPr>
                <w:sz w:val="20"/>
                <w:szCs w:val="20"/>
                <w:color w:val="auto"/>
              </w:rPr>
            </w:pPr>
            <w:r>
              <w:rPr>
                <w:rFonts w:ascii="Arial" w:cs="Arial" w:eastAsia="Arial" w:hAnsi="Arial"/>
                <w:sz w:val="14"/>
                <w:szCs w:val="14"/>
                <w:color w:val="auto"/>
                <w:w w:val="96"/>
              </w:rPr>
              <w:t>involves  judgement  and  estimation.  Assessment  of  completion  requires  an</w:t>
            </w:r>
          </w:p>
        </w:tc>
        <w:tc>
          <w:tcPr>
            <w:tcW w:w="21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3"/>
              </w:rPr>
              <w:t>evaluation of labour and related time cost incurred, and third party costs incurred,</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0"/>
              </w:rPr>
              <w:t>of detail over revenue recognised. We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rPr>
              <w:t>at the reporting date. Given the typically long-term nature and complexity of</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0"/>
              </w:rPr>
              <w:t>considered the terms of the applicable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4"/>
              </w:rPr>
              <w:t>clinical trials, the forecast costs to complete (being internal direct costs and costs</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6"/>
              </w:rPr>
              <w:t>contracts  and  change  orders.  We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8"/>
              </w:rPr>
              <w:t>that will be incurred by third parties (principally investigators)) is judgemental.</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recalculated</w:t>
            </w:r>
          </w:p>
        </w:tc>
        <w:tc>
          <w:tcPr>
            <w:tcW w:w="340" w:type="dxa"/>
            <w:vAlign w:val="bottom"/>
          </w:tcPr>
          <w:p>
            <w:pPr>
              <w:ind w:left="20"/>
              <w:spacing w:after="0"/>
              <w:rPr>
                <w:sz w:val="20"/>
                <w:szCs w:val="20"/>
                <w:color w:val="auto"/>
              </w:rPr>
            </w:pPr>
            <w:r>
              <w:rPr>
                <w:rFonts w:ascii="Arial" w:cs="Arial" w:eastAsia="Arial" w:hAnsi="Arial"/>
                <w:sz w:val="14"/>
                <w:szCs w:val="14"/>
                <w:color w:val="auto"/>
              </w:rPr>
              <w:t>the</w:t>
            </w:r>
          </w:p>
        </w:tc>
        <w:tc>
          <w:tcPr>
            <w:tcW w:w="660" w:type="dxa"/>
            <w:vAlign w:val="bottom"/>
            <w:gridSpan w:val="2"/>
          </w:tcPr>
          <w:p>
            <w:pPr>
              <w:jc w:val="right"/>
              <w:ind w:right="49"/>
              <w:spacing w:after="0"/>
              <w:rPr>
                <w:sz w:val="20"/>
                <w:szCs w:val="20"/>
                <w:color w:val="auto"/>
              </w:rPr>
            </w:pPr>
            <w:r>
              <w:rPr>
                <w:rFonts w:ascii="Arial" w:cs="Arial" w:eastAsia="Arial" w:hAnsi="Arial"/>
                <w:sz w:val="14"/>
                <w:szCs w:val="14"/>
                <w:color w:val="auto"/>
                <w:w w:val="96"/>
              </w:rPr>
              <w:t>amounts</w:t>
            </w:r>
          </w:p>
        </w:tc>
        <w:tc>
          <w:tcPr>
            <w:tcW w:w="300" w:type="dxa"/>
            <w:vAlign w:val="bottom"/>
          </w:tcPr>
          <w:p>
            <w:pPr>
              <w:jc w:val="right"/>
              <w:spacing w:after="0"/>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4"/>
              </w:rPr>
              <w:t>Furthermore, judgement and estimation is involved in determining the transaction</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rPr>
              <w:t>validated  inputs  to  the  revenue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1"/>
              </w:rPr>
              <w:t>price, which is based on the total contract or change order value, adjusted to reflect</w:t>
            </w:r>
          </w:p>
        </w:tc>
        <w:tc>
          <w:tcPr>
            <w:tcW w:w="660" w:type="dxa"/>
            <w:vAlign w:val="bottom"/>
          </w:tcPr>
          <w:p>
            <w:pPr>
              <w:ind w:left="20"/>
              <w:spacing w:after="0"/>
              <w:rPr>
                <w:sz w:val="20"/>
                <w:szCs w:val="20"/>
                <w:color w:val="auto"/>
              </w:rPr>
            </w:pPr>
            <w:r>
              <w:rPr>
                <w:rFonts w:ascii="Arial" w:cs="Arial" w:eastAsia="Arial" w:hAnsi="Arial"/>
                <w:sz w:val="14"/>
                <w:szCs w:val="14"/>
                <w:color w:val="auto"/>
                <w:w w:val="93"/>
              </w:rPr>
              <w:t>calculation</w:t>
            </w: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94"/>
              </w:rPr>
              <w:t>including</w:t>
            </w:r>
          </w:p>
        </w:tc>
        <w:tc>
          <w:tcPr>
            <w:tcW w:w="400" w:type="dxa"/>
            <w:vAlign w:val="bottom"/>
          </w:tcPr>
          <w:p>
            <w:pPr>
              <w:jc w:val="right"/>
              <w:ind w:right="49"/>
              <w:spacing w:after="0"/>
              <w:rPr>
                <w:sz w:val="20"/>
                <w:szCs w:val="20"/>
                <w:color w:val="auto"/>
              </w:rPr>
            </w:pPr>
            <w:r>
              <w:rPr>
                <w:rFonts w:ascii="Arial" w:cs="Arial" w:eastAsia="Arial" w:hAnsi="Arial"/>
                <w:sz w:val="14"/>
                <w:szCs w:val="14"/>
                <w:color w:val="auto"/>
                <w:w w:val="85"/>
              </w:rPr>
              <w:t>time,</w:t>
            </w:r>
          </w:p>
        </w:tc>
        <w:tc>
          <w:tcPr>
            <w:tcW w:w="300" w:type="dxa"/>
            <w:vAlign w:val="bottom"/>
          </w:tcPr>
          <w:p>
            <w:pPr>
              <w:jc w:val="right"/>
              <w:spacing w:after="0"/>
              <w:rPr>
                <w:sz w:val="20"/>
                <w:szCs w:val="20"/>
                <w:color w:val="auto"/>
              </w:rPr>
            </w:pPr>
            <w:r>
              <w:rPr>
                <w:rFonts w:ascii="Arial" w:cs="Arial" w:eastAsia="Arial" w:hAnsi="Arial"/>
                <w:sz w:val="14"/>
                <w:szCs w:val="14"/>
                <w:color w:val="auto"/>
                <w:w w:val="94"/>
              </w:rPr>
              <w:t>cost,</w:t>
            </w:r>
          </w:p>
        </w:tc>
        <w:tc>
          <w:tcPr>
            <w:tcW w:w="0" w:type="dxa"/>
            <w:vAlign w:val="bottom"/>
          </w:tcPr>
          <w:p>
            <w:pPr>
              <w:spacing w:after="0"/>
              <w:rPr>
                <w:sz w:val="1"/>
                <w:szCs w:val="1"/>
                <w:color w:val="auto"/>
              </w:rPr>
            </w:pPr>
          </w:p>
        </w:tc>
      </w:tr>
      <w:tr>
        <w:trPr>
          <w:trHeight w:val="137"/>
        </w:trPr>
        <w:tc>
          <w:tcPr>
            <w:tcW w:w="4740" w:type="dxa"/>
            <w:vAlign w:val="bottom"/>
            <w:vMerge w:val="restart"/>
          </w:tcPr>
          <w:p>
            <w:pPr>
              <w:spacing w:after="0"/>
              <w:rPr>
                <w:sz w:val="20"/>
                <w:szCs w:val="20"/>
                <w:color w:val="auto"/>
              </w:rPr>
            </w:pPr>
            <w:r>
              <w:rPr>
                <w:rFonts w:ascii="Arial" w:cs="Arial" w:eastAsia="Arial" w:hAnsi="Arial"/>
                <w:sz w:val="14"/>
                <w:szCs w:val="14"/>
                <w:color w:val="auto"/>
              </w:rPr>
              <w:t>the realisable contract value.</w:t>
            </w:r>
          </w:p>
        </w:tc>
        <w:tc>
          <w:tcPr>
            <w:tcW w:w="660" w:type="dxa"/>
            <w:vAlign w:val="bottom"/>
          </w:tcPr>
          <w:p>
            <w:pPr>
              <w:ind w:left="20"/>
              <w:spacing w:after="0" w:line="137" w:lineRule="exact"/>
              <w:rPr>
                <w:sz w:val="20"/>
                <w:szCs w:val="20"/>
                <w:color w:val="auto"/>
              </w:rPr>
            </w:pPr>
            <w:r>
              <w:rPr>
                <w:rFonts w:ascii="Arial" w:cs="Arial" w:eastAsia="Arial" w:hAnsi="Arial"/>
                <w:sz w:val="14"/>
                <w:szCs w:val="14"/>
                <w:color w:val="auto"/>
              </w:rPr>
              <w:t>estimated</w:t>
            </w:r>
          </w:p>
        </w:tc>
        <w:tc>
          <w:tcPr>
            <w:tcW w:w="560" w:type="dxa"/>
            <w:vAlign w:val="bottom"/>
            <w:gridSpan w:val="2"/>
          </w:tcPr>
          <w:p>
            <w:pPr>
              <w:ind w:left="20"/>
              <w:spacing w:after="0" w:line="137" w:lineRule="exact"/>
              <w:rPr>
                <w:sz w:val="20"/>
                <w:szCs w:val="20"/>
                <w:color w:val="auto"/>
              </w:rPr>
            </w:pPr>
            <w:r>
              <w:rPr>
                <w:rFonts w:ascii="Arial" w:cs="Arial" w:eastAsia="Arial" w:hAnsi="Arial"/>
                <w:sz w:val="14"/>
                <w:szCs w:val="14"/>
                <w:color w:val="auto"/>
                <w:w w:val="99"/>
              </w:rPr>
              <w:t>costs  to</w:t>
            </w:r>
          </w:p>
        </w:tc>
        <w:tc>
          <w:tcPr>
            <w:tcW w:w="66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complete</w:t>
            </w:r>
          </w:p>
        </w:tc>
        <w:tc>
          <w:tcPr>
            <w:tcW w:w="300" w:type="dxa"/>
            <w:vAlign w:val="bottom"/>
          </w:tcPr>
          <w:p>
            <w:pPr>
              <w:jc w:val="right"/>
              <w:spacing w:after="0" w:line="137"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74"/>
        </w:trPr>
        <w:tc>
          <w:tcPr>
            <w:tcW w:w="4740" w:type="dxa"/>
            <w:vAlign w:val="bottom"/>
            <w:vMerge w:val="continue"/>
          </w:tcPr>
          <w:p>
            <w:pPr>
              <w:spacing w:after="0"/>
              <w:rPr>
                <w:sz w:val="6"/>
                <w:szCs w:val="6"/>
                <w:color w:val="auto"/>
              </w:rPr>
            </w:pPr>
          </w:p>
        </w:tc>
        <w:tc>
          <w:tcPr>
            <w:tcW w:w="1480" w:type="dxa"/>
            <w:vAlign w:val="bottom"/>
            <w:gridSpan w:val="4"/>
            <w:vMerge w:val="restart"/>
          </w:tcPr>
          <w:p>
            <w:pPr>
              <w:ind w:left="20"/>
              <w:spacing w:after="0"/>
              <w:rPr>
                <w:sz w:val="20"/>
                <w:szCs w:val="20"/>
                <w:color w:val="auto"/>
              </w:rPr>
            </w:pPr>
            <w:r>
              <w:rPr>
                <w:rFonts w:ascii="Arial" w:cs="Arial" w:eastAsia="Arial" w:hAnsi="Arial"/>
                <w:sz w:val="14"/>
                <w:szCs w:val="14"/>
                <w:color w:val="auto"/>
                <w:w w:val="88"/>
              </w:rPr>
              <w:t>realisable contract values.</w:t>
            </w: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7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4"/>
                <w:szCs w:val="14"/>
                <w:color w:val="auto"/>
                <w:w w:val="94"/>
              </w:rPr>
              <w:t xml:space="preserve">The Group adopted IFRS 15 </w:t>
            </w:r>
            <w:r>
              <w:rPr>
                <w:rFonts w:ascii="Arial" w:cs="Arial" w:eastAsia="Arial" w:hAnsi="Arial"/>
                <w:sz w:val="14"/>
                <w:szCs w:val="14"/>
                <w:i w:val="1"/>
                <w:iCs w:val="1"/>
                <w:color w:val="auto"/>
                <w:w w:val="94"/>
              </w:rPr>
              <w:t>Revenue from Contracts with Customers</w:t>
            </w:r>
            <w:r>
              <w:rPr>
                <w:rFonts w:ascii="Arial" w:cs="Arial" w:eastAsia="Arial" w:hAnsi="Arial"/>
                <w:sz w:val="14"/>
                <w:szCs w:val="14"/>
                <w:color w:val="auto"/>
                <w:w w:val="94"/>
              </w:rPr>
              <w:t xml:space="preserve"> effective 1</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We  enquired</w:t>
            </w:r>
          </w:p>
        </w:tc>
        <w:tc>
          <w:tcPr>
            <w:tcW w:w="340" w:type="dxa"/>
            <w:vAlign w:val="bottom"/>
          </w:tcPr>
          <w:p>
            <w:pPr>
              <w:jc w:val="center"/>
              <w:spacing w:after="0"/>
              <w:rPr>
                <w:sz w:val="20"/>
                <w:szCs w:val="20"/>
                <w:color w:val="auto"/>
              </w:rPr>
            </w:pPr>
            <w:r>
              <w:rPr>
                <w:rFonts w:ascii="Arial" w:cs="Arial" w:eastAsia="Arial" w:hAnsi="Arial"/>
                <w:sz w:val="14"/>
                <w:szCs w:val="14"/>
                <w:color w:val="auto"/>
              </w:rPr>
              <w:t>of</w:t>
            </w:r>
          </w:p>
        </w:tc>
        <w:tc>
          <w:tcPr>
            <w:tcW w:w="260" w:type="dxa"/>
            <w:vAlign w:val="bottom"/>
          </w:tcPr>
          <w:p>
            <w:pPr>
              <w:ind w:left="40"/>
              <w:spacing w:after="0"/>
              <w:rPr>
                <w:sz w:val="20"/>
                <w:szCs w:val="20"/>
                <w:color w:val="auto"/>
              </w:rPr>
            </w:pPr>
            <w:r>
              <w:rPr>
                <w:rFonts w:ascii="Arial" w:cs="Arial" w:eastAsia="Arial" w:hAnsi="Arial"/>
                <w:sz w:val="14"/>
                <w:szCs w:val="14"/>
                <w:color w:val="auto"/>
                <w:w w:val="91"/>
              </w:rPr>
              <w:t>key</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personnel,</w:t>
            </w:r>
          </w:p>
        </w:tc>
        <w:tc>
          <w:tcPr>
            <w:tcW w:w="0" w:type="dxa"/>
            <w:vAlign w:val="bottom"/>
          </w:tcPr>
          <w:p>
            <w:pPr>
              <w:spacing w:after="0"/>
              <w:rPr>
                <w:sz w:val="1"/>
                <w:szCs w:val="1"/>
                <w:color w:val="auto"/>
              </w:rPr>
            </w:pPr>
          </w:p>
        </w:tc>
      </w:tr>
    </w:tbl>
    <w:p>
      <w:pPr>
        <w:ind w:left="20"/>
        <w:spacing w:after="0" w:line="185" w:lineRule="auto"/>
        <w:rPr>
          <w:sz w:val="20"/>
          <w:szCs w:val="20"/>
          <w:color w:val="auto"/>
        </w:rPr>
      </w:pPr>
      <w:r>
        <w:rPr>
          <w:rFonts w:ascii="Arial" w:cs="Arial" w:eastAsia="Arial" w:hAnsi="Arial"/>
          <w:sz w:val="11"/>
          <w:szCs w:val="11"/>
          <w:color w:val="auto"/>
        </w:rPr>
        <w:t xml:space="preserve">January 2018. The most significant impact of the application of the new standard </w:t>
      </w:r>
      <w:r>
        <w:rPr>
          <w:rFonts w:ascii="Arial" w:cs="Arial" w:eastAsia="Arial" w:hAnsi="Arial"/>
          <w:sz w:val="19"/>
          <w:szCs w:val="19"/>
          <w:color w:val="auto"/>
          <w:vertAlign w:val="subscript"/>
        </w:rPr>
        <w:t>independent of the revenue team, to</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420" w:type="dxa"/>
            <w:vAlign w:val="bottom"/>
          </w:tcPr>
          <w:p>
            <w:pPr>
              <w:spacing w:after="0"/>
              <w:rPr>
                <w:sz w:val="20"/>
                <w:szCs w:val="20"/>
                <w:color w:val="auto"/>
              </w:rPr>
            </w:pPr>
            <w:r>
              <w:rPr>
                <w:rFonts w:ascii="Arial" w:cs="Arial" w:eastAsia="Arial" w:hAnsi="Arial"/>
                <w:sz w:val="14"/>
                <w:szCs w:val="14"/>
                <w:color w:val="auto"/>
              </w:rPr>
              <w:t>was on clinical trial service revenue.</w:t>
            </w:r>
          </w:p>
        </w:tc>
        <w:tc>
          <w:tcPr>
            <w:tcW w:w="2000" w:type="dxa"/>
            <w:vAlign w:val="bottom"/>
          </w:tcPr>
          <w:p>
            <w:pPr>
              <w:ind w:left="1340"/>
              <w:spacing w:after="0"/>
              <w:rPr>
                <w:sz w:val="20"/>
                <w:szCs w:val="20"/>
                <w:color w:val="auto"/>
              </w:rPr>
            </w:pPr>
            <w:r>
              <w:rPr>
                <w:rFonts w:ascii="Arial" w:cs="Arial" w:eastAsia="Arial" w:hAnsi="Arial"/>
                <w:sz w:val="14"/>
                <w:szCs w:val="14"/>
                <w:color w:val="auto"/>
                <w:w w:val="91"/>
              </w:rPr>
              <w:t>understand</w:t>
            </w:r>
          </w:p>
        </w:tc>
        <w:tc>
          <w:tcPr>
            <w:tcW w:w="260" w:type="dxa"/>
            <w:vAlign w:val="bottom"/>
          </w:tcPr>
          <w:p>
            <w:pPr>
              <w:ind w:left="40"/>
              <w:spacing w:after="0"/>
              <w:rPr>
                <w:sz w:val="20"/>
                <w:szCs w:val="20"/>
                <w:color w:val="auto"/>
              </w:rPr>
            </w:pPr>
            <w:r>
              <w:rPr>
                <w:rFonts w:ascii="Arial" w:cs="Arial" w:eastAsia="Arial" w:hAnsi="Arial"/>
                <w:sz w:val="14"/>
                <w:szCs w:val="14"/>
                <w:color w:val="auto"/>
              </w:rPr>
              <w:t>the</w:t>
            </w:r>
          </w:p>
        </w:tc>
        <w:tc>
          <w:tcPr>
            <w:tcW w:w="340" w:type="dxa"/>
            <w:vAlign w:val="bottom"/>
          </w:tcPr>
          <w:p>
            <w:pPr>
              <w:ind w:left="20"/>
              <w:spacing w:after="0"/>
              <w:rPr>
                <w:sz w:val="20"/>
                <w:szCs w:val="20"/>
                <w:color w:val="auto"/>
              </w:rPr>
            </w:pPr>
            <w:r>
              <w:rPr>
                <w:rFonts w:ascii="Arial" w:cs="Arial" w:eastAsia="Arial" w:hAnsi="Arial"/>
                <w:sz w:val="14"/>
                <w:szCs w:val="14"/>
                <w:color w:val="auto"/>
                <w:w w:val="87"/>
              </w:rPr>
              <w:t>stage</w:t>
            </w:r>
          </w:p>
        </w:tc>
        <w:tc>
          <w:tcPr>
            <w:tcW w:w="240" w:type="dxa"/>
            <w:vAlign w:val="bottom"/>
          </w:tcPr>
          <w:p>
            <w:pPr>
              <w:ind w:left="40"/>
              <w:spacing w:after="0"/>
              <w:rPr>
                <w:sz w:val="20"/>
                <w:szCs w:val="20"/>
                <w:color w:val="auto"/>
              </w:rPr>
            </w:pPr>
            <w:r>
              <w:rPr>
                <w:rFonts w:ascii="Arial" w:cs="Arial" w:eastAsia="Arial" w:hAnsi="Arial"/>
                <w:sz w:val="14"/>
                <w:szCs w:val="14"/>
                <w:color w:val="auto"/>
              </w:rPr>
              <w:t>of</w:t>
            </w:r>
          </w:p>
        </w:tc>
        <w:tc>
          <w:tcPr>
            <w:tcW w:w="660" w:type="dxa"/>
            <w:vAlign w:val="bottom"/>
          </w:tcPr>
          <w:p>
            <w:pPr>
              <w:jc w:val="right"/>
              <w:spacing w:after="0"/>
              <w:rPr>
                <w:sz w:val="20"/>
                <w:szCs w:val="20"/>
                <w:color w:val="auto"/>
              </w:rPr>
            </w:pPr>
            <w:r>
              <w:rPr>
                <w:rFonts w:ascii="Arial" w:cs="Arial" w:eastAsia="Arial" w:hAnsi="Arial"/>
                <w:sz w:val="14"/>
                <w:szCs w:val="14"/>
                <w:color w:val="auto"/>
                <w:w w:val="89"/>
              </w:rPr>
              <w:t>completion,</w:t>
            </w:r>
          </w:p>
        </w:tc>
      </w:tr>
      <w:tr>
        <w:trPr>
          <w:trHeight w:val="169"/>
        </w:trPr>
        <w:tc>
          <w:tcPr>
            <w:tcW w:w="3420" w:type="dxa"/>
            <w:vAlign w:val="bottom"/>
          </w:tcPr>
          <w:p>
            <w:pPr>
              <w:spacing w:after="0"/>
              <w:rPr>
                <w:sz w:val="14"/>
                <w:szCs w:val="14"/>
                <w:color w:val="auto"/>
              </w:rPr>
            </w:pPr>
          </w:p>
        </w:tc>
        <w:tc>
          <w:tcPr>
            <w:tcW w:w="3500" w:type="dxa"/>
            <w:vAlign w:val="bottom"/>
            <w:gridSpan w:val="5"/>
          </w:tcPr>
          <w:p>
            <w:pPr>
              <w:ind w:left="1340"/>
              <w:spacing w:after="0"/>
              <w:rPr>
                <w:sz w:val="20"/>
                <w:szCs w:val="20"/>
                <w:color w:val="auto"/>
              </w:rPr>
            </w:pPr>
            <w:r>
              <w:rPr>
                <w:rFonts w:ascii="Arial" w:cs="Arial" w:eastAsia="Arial" w:hAnsi="Arial"/>
                <w:sz w:val="14"/>
                <w:szCs w:val="14"/>
                <w:color w:val="auto"/>
              </w:rPr>
              <w:t>time incurred and forecast time to</w:t>
            </w:r>
          </w:p>
        </w:tc>
      </w:tr>
      <w:tr>
        <w:trPr>
          <w:trHeight w:val="169"/>
        </w:trPr>
        <w:tc>
          <w:tcPr>
            <w:tcW w:w="3420" w:type="dxa"/>
            <w:vAlign w:val="bottom"/>
          </w:tcPr>
          <w:p>
            <w:pPr>
              <w:spacing w:after="0"/>
              <w:rPr>
                <w:sz w:val="14"/>
                <w:szCs w:val="14"/>
                <w:color w:val="auto"/>
              </w:rPr>
            </w:pPr>
          </w:p>
        </w:tc>
        <w:tc>
          <w:tcPr>
            <w:tcW w:w="2000" w:type="dxa"/>
            <w:vAlign w:val="bottom"/>
          </w:tcPr>
          <w:p>
            <w:pPr>
              <w:ind w:left="1340"/>
              <w:spacing w:after="0"/>
              <w:rPr>
                <w:sz w:val="20"/>
                <w:szCs w:val="20"/>
                <w:color w:val="auto"/>
              </w:rPr>
            </w:pPr>
            <w:r>
              <w:rPr>
                <w:rFonts w:ascii="Arial" w:cs="Arial" w:eastAsia="Arial" w:hAnsi="Arial"/>
                <w:sz w:val="14"/>
                <w:szCs w:val="14"/>
                <w:color w:val="auto"/>
              </w:rPr>
              <w:t>complete</w:t>
            </w: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studies,</w:t>
            </w:r>
          </w:p>
        </w:tc>
        <w:tc>
          <w:tcPr>
            <w:tcW w:w="240" w:type="dxa"/>
            <w:vAlign w:val="bottom"/>
          </w:tcPr>
          <w:p>
            <w:pPr>
              <w:ind w:left="80"/>
              <w:spacing w:after="0"/>
              <w:rPr>
                <w:sz w:val="20"/>
                <w:szCs w:val="20"/>
                <w:color w:val="auto"/>
              </w:rPr>
            </w:pPr>
            <w:r>
              <w:rPr>
                <w:rFonts w:ascii="Arial" w:cs="Arial" w:eastAsia="Arial" w:hAnsi="Arial"/>
                <w:sz w:val="14"/>
                <w:szCs w:val="14"/>
                <w:color w:val="auto"/>
                <w:w w:val="89"/>
              </w:rPr>
              <w:t>on</w:t>
            </w:r>
          </w:p>
        </w:tc>
        <w:tc>
          <w:tcPr>
            <w:tcW w:w="660" w:type="dxa"/>
            <w:vAlign w:val="bottom"/>
          </w:tcPr>
          <w:p>
            <w:pPr>
              <w:jc w:val="right"/>
              <w:spacing w:after="0"/>
              <w:rPr>
                <w:sz w:val="20"/>
                <w:szCs w:val="20"/>
                <w:color w:val="auto"/>
              </w:rPr>
            </w:pPr>
            <w:r>
              <w:rPr>
                <w:rFonts w:ascii="Arial" w:cs="Arial" w:eastAsia="Arial" w:hAnsi="Arial"/>
                <w:sz w:val="14"/>
                <w:szCs w:val="14"/>
                <w:color w:val="auto"/>
              </w:rPr>
              <w:t>sampled</w:t>
            </w:r>
          </w:p>
        </w:tc>
      </w:tr>
      <w:tr>
        <w:trPr>
          <w:trHeight w:val="169"/>
        </w:trPr>
        <w:tc>
          <w:tcPr>
            <w:tcW w:w="3420" w:type="dxa"/>
            <w:vAlign w:val="bottom"/>
          </w:tcPr>
          <w:p>
            <w:pPr>
              <w:spacing w:after="0"/>
              <w:rPr>
                <w:sz w:val="14"/>
                <w:szCs w:val="14"/>
                <w:color w:val="auto"/>
              </w:rPr>
            </w:pPr>
          </w:p>
        </w:tc>
        <w:tc>
          <w:tcPr>
            <w:tcW w:w="2000" w:type="dxa"/>
            <w:vAlign w:val="bottom"/>
          </w:tcPr>
          <w:p>
            <w:pPr>
              <w:ind w:left="1340"/>
              <w:spacing w:after="0"/>
              <w:rPr>
                <w:sz w:val="20"/>
                <w:szCs w:val="20"/>
                <w:color w:val="auto"/>
              </w:rPr>
            </w:pPr>
            <w:r>
              <w:rPr>
                <w:rFonts w:ascii="Arial" w:cs="Arial" w:eastAsia="Arial" w:hAnsi="Arial"/>
                <w:sz w:val="14"/>
                <w:szCs w:val="14"/>
                <w:color w:val="auto"/>
              </w:rPr>
              <w:t>contracts,</w:t>
            </w:r>
          </w:p>
        </w:tc>
        <w:tc>
          <w:tcPr>
            <w:tcW w:w="260" w:type="dxa"/>
            <w:vAlign w:val="bottom"/>
          </w:tcPr>
          <w:p>
            <w:pPr>
              <w:ind w:left="40"/>
              <w:spacing w:after="0"/>
              <w:rPr>
                <w:sz w:val="20"/>
                <w:szCs w:val="20"/>
                <w:color w:val="auto"/>
              </w:rPr>
            </w:pPr>
            <w:r>
              <w:rPr>
                <w:rFonts w:ascii="Arial" w:cs="Arial" w:eastAsia="Arial" w:hAnsi="Arial"/>
                <w:sz w:val="14"/>
                <w:szCs w:val="14"/>
                <w:color w:val="auto"/>
                <w:w w:val="85"/>
              </w:rPr>
              <w:t>and</w:t>
            </w:r>
          </w:p>
        </w:tc>
        <w:tc>
          <w:tcPr>
            <w:tcW w:w="340" w:type="dxa"/>
            <w:vAlign w:val="bottom"/>
          </w:tcPr>
          <w:p>
            <w:pPr>
              <w:ind w:left="120"/>
              <w:spacing w:after="0"/>
              <w:rPr>
                <w:sz w:val="20"/>
                <w:szCs w:val="20"/>
                <w:color w:val="auto"/>
              </w:rPr>
            </w:pPr>
            <w:r>
              <w:rPr>
                <w:rFonts w:ascii="Arial" w:cs="Arial" w:eastAsia="Arial" w:hAnsi="Arial"/>
                <w:sz w:val="14"/>
                <w:szCs w:val="14"/>
                <w:color w:val="auto"/>
              </w:rPr>
              <w:t>we</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independently</w:t>
            </w:r>
          </w:p>
        </w:tc>
      </w:tr>
      <w:tr>
        <w:trPr>
          <w:trHeight w:val="169"/>
        </w:trPr>
        <w:tc>
          <w:tcPr>
            <w:tcW w:w="3420" w:type="dxa"/>
            <w:vAlign w:val="bottom"/>
          </w:tcPr>
          <w:p>
            <w:pPr>
              <w:spacing w:after="0"/>
              <w:rPr>
                <w:sz w:val="14"/>
                <w:szCs w:val="14"/>
                <w:color w:val="auto"/>
              </w:rPr>
            </w:pPr>
          </w:p>
        </w:tc>
        <w:tc>
          <w:tcPr>
            <w:tcW w:w="2000" w:type="dxa"/>
            <w:vAlign w:val="bottom"/>
          </w:tcPr>
          <w:p>
            <w:pPr>
              <w:ind w:left="1340"/>
              <w:spacing w:after="0"/>
              <w:rPr>
                <w:sz w:val="20"/>
                <w:szCs w:val="20"/>
                <w:color w:val="auto"/>
              </w:rPr>
            </w:pPr>
            <w:r>
              <w:rPr>
                <w:rFonts w:ascii="Arial" w:cs="Arial" w:eastAsia="Arial" w:hAnsi="Arial"/>
                <w:sz w:val="14"/>
                <w:szCs w:val="14"/>
                <w:color w:val="auto"/>
              </w:rPr>
              <w:t>confirmed</w:t>
            </w: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contractual</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terms  and</w:t>
            </w:r>
          </w:p>
        </w:tc>
      </w:tr>
      <w:tr>
        <w:trPr>
          <w:trHeight w:val="169"/>
        </w:trPr>
        <w:tc>
          <w:tcPr>
            <w:tcW w:w="3420" w:type="dxa"/>
            <w:vAlign w:val="bottom"/>
          </w:tcPr>
          <w:p>
            <w:pPr>
              <w:spacing w:after="0"/>
              <w:rPr>
                <w:sz w:val="14"/>
                <w:szCs w:val="14"/>
                <w:color w:val="auto"/>
              </w:rPr>
            </w:pPr>
          </w:p>
        </w:tc>
        <w:tc>
          <w:tcPr>
            <w:tcW w:w="3500" w:type="dxa"/>
            <w:vAlign w:val="bottom"/>
            <w:gridSpan w:val="5"/>
          </w:tcPr>
          <w:p>
            <w:pPr>
              <w:ind w:left="1340"/>
              <w:spacing w:after="0"/>
              <w:rPr>
                <w:sz w:val="20"/>
                <w:szCs w:val="20"/>
                <w:color w:val="auto"/>
              </w:rPr>
            </w:pPr>
            <w:r>
              <w:rPr>
                <w:rFonts w:ascii="Arial" w:cs="Arial" w:eastAsia="Arial" w:hAnsi="Arial"/>
                <w:sz w:val="14"/>
                <w:szCs w:val="14"/>
                <w:color w:val="auto"/>
                <w:w w:val="95"/>
              </w:rPr>
              <w:t>accounts receivable balances with a</w:t>
            </w:r>
          </w:p>
        </w:tc>
      </w:tr>
      <w:tr>
        <w:trPr>
          <w:trHeight w:val="180"/>
        </w:trPr>
        <w:tc>
          <w:tcPr>
            <w:tcW w:w="3420" w:type="dxa"/>
            <w:vAlign w:val="bottom"/>
          </w:tcPr>
          <w:p>
            <w:pPr>
              <w:spacing w:after="0"/>
              <w:rPr>
                <w:sz w:val="15"/>
                <w:szCs w:val="15"/>
                <w:color w:val="auto"/>
              </w:rPr>
            </w:pPr>
          </w:p>
        </w:tc>
        <w:tc>
          <w:tcPr>
            <w:tcW w:w="2600" w:type="dxa"/>
            <w:vAlign w:val="bottom"/>
            <w:gridSpan w:val="3"/>
          </w:tcPr>
          <w:p>
            <w:pPr>
              <w:ind w:left="1340"/>
              <w:spacing w:after="0"/>
              <w:rPr>
                <w:sz w:val="20"/>
                <w:szCs w:val="20"/>
                <w:color w:val="auto"/>
              </w:rPr>
            </w:pPr>
            <w:r>
              <w:rPr>
                <w:rFonts w:ascii="Arial" w:cs="Arial" w:eastAsia="Arial" w:hAnsi="Arial"/>
                <w:sz w:val="14"/>
                <w:szCs w:val="14"/>
                <w:color w:val="auto"/>
                <w:w w:val="93"/>
              </w:rPr>
              <w:t>sample of customers.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95"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We  performed  tests  of  detail  over</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third party costs incurred by vouching</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to invoices, on a sample basis, as well</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as determining the completeness of</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the year-end accrual for third party</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(principally investigator) costs.</w:t>
      </w:r>
    </w:p>
    <w:p>
      <w:pPr>
        <w:spacing w:after="0" w:line="104"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Our procedures in respect of this risk</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were performed as planned. We found</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that  the  estimates  and  judgements</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used in the recognition of revenue</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were appropriate.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Parent Company key audit matters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Due to the nature of the Parent Company’s activities, there are no key audit matters that we are required to communicate in accordance with ISAs (Ireland).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application of materiality and an overview of the scope of our audit</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Materiality for the Group Financial Statements as a whole was set at US$17.5 million (2017: US$15.5 million). Materiality for the Company Financial Statements was set at US$8.0 million (2017:</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US$7.3 million).</w:t>
      </w:r>
    </w:p>
    <w:p>
      <w:pPr>
        <w:sectPr>
          <w:pgSz w:w="11900" w:h="16838" w:orient="portrait"/>
          <w:cols w:equalWidth="0" w:num="1">
            <w:col w:w="11460"/>
          </w:cols>
          <w:pgMar w:left="220" w:top="133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60"/>
          </w:cols>
          <w:pgMar w:left="220" w:top="1334" w:right="2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Our application of materiality and an overview of the scope of our audit </w:t>
      </w:r>
      <w:r>
        <w:rPr>
          <w:rFonts w:ascii="Arial" w:cs="Arial" w:eastAsia="Arial" w:hAnsi="Arial"/>
          <w:sz w:val="14"/>
          <w:szCs w:val="14"/>
          <w:i w:val="1"/>
          <w:iCs w:val="1"/>
          <w:color w:val="auto"/>
        </w:rPr>
        <w:t>(continued)</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Group, materiality has been calculated as 5% of the benchmark of expected Group profit before tax (this estimated amount was based on earnings guidance available at the planning stage of the audit), which we have determined in our professional judgement, to be one of the principal benchmarks within the financial statements relevant to members of the Company in assessing the financial performance of the Group. For the Parent Company, materiality has been calculated based on 1% of the benchmark of total assets.</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report to the Audit Committee all corrected and uncorrected audit misstatements we identified through our audit in excess of US$875,000 (Group) and US$400,000 (Company), in addition to other audit misstatements below that threshold that we believe warranted reporting on qualitative grounds.</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structure of the Group’s finance function is such that the majority of transactions and balances are accounted for by the central Group finance team. We performed comprehensive audit procedures, including those in relation to the significant risk set out above, on those transactions accounted for at Group level. Our audit covered 98% of total Group revenue and 98% of total Group assets, including 100% of the Parent Company’s revenue and total assets.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All audit procedures were undertaken by the Group audit team.</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nothing to report on going concern</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are required to report to you if we have concluded that the use of the going concern basis of accounting is inappropriate or there is an undisclosed material uncertainty that may cast significant doubt over the use of that basis for a period of at least twelve months from the date of approval of the financial statements. We have nothing to report in these respects.</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information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directors are responsible for the other information presented in the Annual Report together with the financial statements. The other information comprises the information included in the directors’ report. The financial statements and our auditor’s report thereon do not comprise part of the other information. Our opinion on the financial statements does not cover the other information and, accordingly, we do not express an audit opinion or, except as explicitly stated below, any form of assurance conclusion thereon.</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Based solely on our work on the other information, we report that, in those parts of the directors’ report specified for our consideration:</w:t>
      </w:r>
    </w:p>
    <w:p>
      <w:pPr>
        <w:spacing w:after="0" w:line="114"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not identified material misstatements in the directors’ report;</w:t>
      </w:r>
    </w:p>
    <w:p>
      <w:pPr>
        <w:spacing w:after="0" w:line="283"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our opinion, the information given in the directors’ report is consistent with the financial statements;</w:t>
      </w:r>
    </w:p>
    <w:p>
      <w:pPr>
        <w:spacing w:after="0" w:line="283"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our opinion, the directors’ report has been prepared in accordance with the Companies Act 2014.</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opinions on other matters prescribed by the Companies Act 2014 are unmodified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We have obtained all the information and explanations which we consider necessary for the purpose of our audit.</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334" w:right="219"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nothing to report on other matters on which we are required to report by exception</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requires us to report to you if, in our opinion, the disclosures of directors’ remuneration and transactions required by Sections 305 to 312 of the Act are not made.</w:t>
      </w:r>
    </w:p>
    <w:p>
      <w:pPr>
        <w:spacing w:after="0" w:line="126"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The Companies Act 2014 also requires us to report to you if, in our opinion, the Company has not provided the information required by section 5(2) to (7) of the European Union (Disclosure of Non-Financial and Diversity Information by certain large undertakings and groups) Regulations 2017 for the year ended 31 December 2018 as required by the European Union (Disclosure of Non-Financial and Diversity Information by certain large undertakings and groups) (amendment) Regulations 2018.</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Respective responsibilities and restrictions on use</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Directors’ responsibilities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As explained more fully in their statement set out on page 18,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Company’s ability to continue as a going concern, disclosing, as applicable, matters related to going concern; and using the going concern basis of accounting unless they either intend to liquidate the Company or to cease operations, or have no realistic alternative but to do so.</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Auditor’s responsibilities for the audit of the financial statements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8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A fuller description of our responsibilities is provided on IAASA’s website at </w:t>
      </w:r>
      <w:r>
        <w:rPr>
          <w:rFonts w:ascii="Arial" w:cs="Arial" w:eastAsia="Arial" w:hAnsi="Arial"/>
          <w:sz w:val="14"/>
          <w:szCs w:val="14"/>
          <w:u w:val="single" w:color="auto"/>
          <w:color w:val="128474"/>
        </w:rPr>
        <w:t>https://www.iaasa.ie/getmedia/b2389013-1cf6-458b-9b8f-a98202dc9c3a/Description_of_auditors_responsiblities_for_audit.pdf.</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purpose of our audit work and to whom we owe our responsibilities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ectPr>
          <w:pgSz w:w="11900" w:h="16838" w:orient="portrait"/>
          <w:cols w:equalWidth="0" w:num="1">
            <w:col w:w="11460"/>
          </w:cols>
          <w:pgMar w:left="220" w:top="133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Emer McGrath</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and on behalf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KPMG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30 April 2019</w:t>
      </w:r>
    </w:p>
    <w:p>
      <w:pPr>
        <w:spacing w:after="0" w:line="368" w:lineRule="exact"/>
        <w:rPr>
          <w:sz w:val="20"/>
          <w:szCs w:val="20"/>
          <w:color w:val="auto"/>
        </w:rPr>
      </w:pPr>
    </w:p>
    <w:p>
      <w:pPr>
        <w:sectPr>
          <w:pgSz w:w="11900" w:h="16838" w:orient="portrait"/>
          <w:cols w:equalWidth="0" w:num="2">
            <w:col w:w="1700" w:space="720"/>
            <w:col w:w="9040"/>
          </w:cols>
          <w:pgMar w:left="220" w:top="1334"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Chartered Accountants, Statutory Audit Firm</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Stokes Place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 Stephen’s Green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Dublin 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Ireland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0"/>
          </w:cols>
          <w:pgMar w:left="220" w:top="1334" w:right="2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color w:val="auto"/>
        </w:rPr>
        <w:t>Consolidated Statement of Profit and Loss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4"/>
              </w:rPr>
              <w:t>31 December</w:t>
            </w:r>
          </w:p>
        </w:tc>
        <w:tc>
          <w:tcPr>
            <w:tcW w:w="92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c>
          <w:tcPr>
            <w:tcW w:w="90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89"/>
              </w:rPr>
              <w:t>31 December</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0"/>
              </w:rPr>
              <w:t>31 December</w:t>
            </w:r>
          </w:p>
        </w:tc>
        <w:tc>
          <w:tcPr>
            <w:tcW w:w="86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0"/>
              </w:rPr>
              <w:t>31 December</w:t>
            </w:r>
          </w:p>
        </w:tc>
        <w:tc>
          <w:tcPr>
            <w:tcW w:w="88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0"/>
              </w:rPr>
              <w:t>31 December</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Excluding</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(Note 8)</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Including</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Excluding</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(Note 8)</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Including</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Exceptional</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Exceptional</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9"/>
              </w:rPr>
              <w:t>Exceptional</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Exceptional</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Exceptional</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Exceptional</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items</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items</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items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items</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items</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items</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Continuing</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Revenue/Gross</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2,595,777</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2,402,321</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2,402,321</w:t>
            </w: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Reimbursable</w:t>
            </w:r>
          </w:p>
        </w:tc>
        <w:tc>
          <w:tcPr>
            <w:tcW w:w="400" w:type="dxa"/>
            <w:vAlign w:val="bottom"/>
          </w:tcPr>
          <w:p>
            <w:pPr>
              <w:spacing w:after="0"/>
              <w:rPr>
                <w:sz w:val="15"/>
                <w:szCs w:val="15"/>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expenses</w:t>
            </w: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(643,882)</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(643,882)</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2,595,777</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1,758,439</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1,758,439</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Direct costs</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(1,816,270)</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(10,017)</w:t>
            </w: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(1,826,287)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(1,026,438)</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(5,038)</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(1,031,476)</w:t>
            </w: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(389,899)</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(2,473)</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(392,372)</w:t>
            </w: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expenses</w:t>
            </w: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(392,302)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(2,715)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(395,017)</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4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389,608</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(12,490)</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377,118</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339,699</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(7,753)</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331,946</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income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4,759</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4,759</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8,346</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8,346</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Financing expense</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(13,502)</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(13,502)</w:t>
            </w:r>
          </w:p>
        </w:tc>
        <w:tc>
          <w:tcPr>
            <w:tcW w:w="860" w:type="dxa"/>
            <w:vAlign w:val="bottom"/>
          </w:tcPr>
          <w:p>
            <w:pPr>
              <w:jc w:val="right"/>
              <w:spacing w:after="0"/>
              <w:rPr>
                <w:sz w:val="20"/>
                <w:szCs w:val="20"/>
                <w:color w:val="auto"/>
              </w:rPr>
            </w:pPr>
            <w:r>
              <w:rPr>
                <w:rFonts w:ascii="Arial" w:cs="Arial" w:eastAsia="Arial" w:hAnsi="Arial"/>
                <w:sz w:val="14"/>
                <w:szCs w:val="14"/>
                <w:color w:val="auto"/>
              </w:rPr>
              <w:t>(12,627)</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(12,627)</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Profit before</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taxation</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380,865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(12,490)</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368,375</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335,418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(7,753)</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327,665</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Income tax expense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(47,011)</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1,453</w:t>
            </w: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(55,690)</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969</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(54,721)</w:t>
            </w:r>
          </w:p>
        </w:tc>
        <w:tc>
          <w:tcPr>
            <w:tcW w:w="0" w:type="dxa"/>
            <w:vAlign w:val="bottom"/>
          </w:tcPr>
          <w:p>
            <w:pPr>
              <w:spacing w:after="0"/>
              <w:rPr>
                <w:sz w:val="1"/>
                <w:szCs w:val="1"/>
                <w:color w:val="auto"/>
              </w:rPr>
            </w:pPr>
          </w:p>
        </w:tc>
      </w:tr>
      <w:tr>
        <w:trPr>
          <w:trHeight w:val="170"/>
        </w:trPr>
        <w:tc>
          <w:tcPr>
            <w:tcW w:w="1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Profit for the</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year</w:t>
            </w: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333,854</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(11,037)</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322,817</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279,728</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(6,784)</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272,944</w:t>
            </w:r>
          </w:p>
        </w:tc>
        <w:tc>
          <w:tcPr>
            <w:tcW w:w="0" w:type="dxa"/>
            <w:vAlign w:val="bottom"/>
          </w:tcPr>
          <w:p>
            <w:pPr>
              <w:spacing w:after="0"/>
              <w:rPr>
                <w:sz w:val="1"/>
                <w:szCs w:val="1"/>
                <w:color w:val="auto"/>
              </w:rPr>
            </w:pPr>
          </w:p>
        </w:tc>
      </w:tr>
      <w:tr>
        <w:trPr>
          <w:trHeight w:val="180"/>
        </w:trPr>
        <w:tc>
          <w:tcPr>
            <w:tcW w:w="12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auto"/>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Owners of the</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333,854</w:t>
            </w:r>
          </w:p>
        </w:tc>
        <w:tc>
          <w:tcPr>
            <w:tcW w:w="9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(11,037)</w:t>
            </w:r>
          </w:p>
        </w:tc>
        <w:tc>
          <w:tcPr>
            <w:tcW w:w="90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322,817</w:t>
            </w: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92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279,728</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(6,784)</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272,944</w:t>
            </w:r>
          </w:p>
        </w:tc>
        <w:tc>
          <w:tcPr>
            <w:tcW w:w="0" w:type="dxa"/>
            <w:vAlign w:val="bottom"/>
          </w:tcPr>
          <w:p>
            <w:pPr>
              <w:spacing w:after="0"/>
              <w:rPr>
                <w:sz w:val="1"/>
                <w:szCs w:val="1"/>
                <w:color w:val="auto"/>
              </w:rPr>
            </w:pPr>
          </w:p>
        </w:tc>
      </w:tr>
      <w:tr>
        <w:trPr>
          <w:trHeight w:val="180"/>
        </w:trPr>
        <w:tc>
          <w:tcPr>
            <w:tcW w:w="12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ordinary share</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auto"/>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Basic</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7</w:t>
            </w:r>
          </w:p>
        </w:tc>
        <w:tc>
          <w:tcPr>
            <w:tcW w:w="9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5.96</w:t>
            </w:r>
          </w:p>
        </w:tc>
        <w:tc>
          <w:tcPr>
            <w:tcW w:w="8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7</w:t>
            </w:r>
          </w:p>
        </w:tc>
        <w:tc>
          <w:tcPr>
            <w:tcW w:w="9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5.90</w:t>
            </w:r>
          </w:p>
        </w:tc>
        <w:tc>
          <w:tcPr>
            <w:tcW w:w="8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On behalf of the Board</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2"/>
          </w:tcPr>
          <w:p>
            <w:pPr>
              <w:ind w:left="620"/>
              <w:spacing w:after="0"/>
              <w:rPr>
                <w:sz w:val="20"/>
                <w:szCs w:val="20"/>
                <w:color w:val="auto"/>
              </w:rPr>
            </w:pPr>
            <w:r>
              <w:rPr>
                <w:rFonts w:ascii="Arial" w:cs="Arial" w:eastAsia="Arial" w:hAnsi="Arial"/>
                <w:sz w:val="14"/>
                <w:szCs w:val="14"/>
                <w:color w:val="auto"/>
              </w:rPr>
              <w:t>Steve Cutler</w:t>
            </w:r>
          </w:p>
        </w:tc>
        <w:tc>
          <w:tcPr>
            <w:tcW w:w="9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1"/>
              </w:rPr>
              <w:t>Ronan Murphy</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gridSpan w:val="3"/>
          </w:tcPr>
          <w:p>
            <w:pPr>
              <w:ind w:left="620"/>
              <w:spacing w:after="0"/>
              <w:rPr>
                <w:sz w:val="20"/>
                <w:szCs w:val="20"/>
                <w:color w:val="auto"/>
              </w:rPr>
            </w:pPr>
            <w:r>
              <w:rPr>
                <w:rFonts w:ascii="Arial" w:cs="Arial" w:eastAsia="Arial" w:hAnsi="Arial"/>
                <w:sz w:val="14"/>
                <w:szCs w:val="14"/>
                <w:i w:val="1"/>
                <w:iCs w:val="1"/>
                <w:color w:val="auto"/>
              </w:rPr>
              <w:t>Chief Executive Officer</w:t>
            </w:r>
          </w:p>
        </w:tc>
        <w:tc>
          <w:tcPr>
            <w:tcW w:w="860" w:type="dxa"/>
            <w:vAlign w:val="bottom"/>
          </w:tcPr>
          <w:p>
            <w:pPr>
              <w:spacing w:after="0"/>
              <w:rPr>
                <w:sz w:val="20"/>
                <w:szCs w:val="20"/>
                <w:color w:val="auto"/>
              </w:rPr>
            </w:pPr>
            <w:r>
              <w:rPr>
                <w:rFonts w:ascii="Arial" w:cs="Arial" w:eastAsia="Arial" w:hAnsi="Arial"/>
                <w:sz w:val="14"/>
                <w:szCs w:val="14"/>
                <w:i w:val="1"/>
                <w:iCs w:val="1"/>
                <w:color w:val="auto"/>
              </w:rPr>
              <w:t>Director</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059" w:right="1440"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Consolidated Statement of Comprehensive Income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39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5"/>
        </w:trPr>
        <w:tc>
          <w:tcPr>
            <w:tcW w:w="39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Items that will not be reclassified to profit or loss:</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Re-measurement of defined benefit liability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2,640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Tax benefit on defined benefit pension contributions</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754</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Total items that will not be reclassified to profit or loss</w:t>
            </w: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2,640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649</w:t>
            </w:r>
          </w:p>
        </w:tc>
      </w:tr>
      <w:tr>
        <w:trPr>
          <w:trHeight w:val="21"/>
        </w:trPr>
        <w:tc>
          <w:tcPr>
            <w:tcW w:w="51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Items that are or may be reclassified subsequently to profit or loss, net of tax:</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Currency translation differences</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(26,522)</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33,966</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Currency impact on long-term funding</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(4,834)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13,730</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Unrealised capital loss on investments</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(155)</w:t>
            </w:r>
          </w:p>
        </w:tc>
        <w:tc>
          <w:tcPr>
            <w:tcW w:w="92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Amortisation of interest rate hedge</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(923)</w:t>
            </w:r>
          </w:p>
        </w:tc>
        <w:tc>
          <w:tcPr>
            <w:tcW w:w="920" w:type="dxa"/>
            <w:vAlign w:val="bottom"/>
          </w:tcPr>
          <w:p>
            <w:pPr>
              <w:jc w:val="right"/>
              <w:spacing w:after="0"/>
              <w:rPr>
                <w:sz w:val="20"/>
                <w:szCs w:val="20"/>
                <w:color w:val="auto"/>
              </w:rPr>
            </w:pPr>
            <w:r>
              <w:rPr>
                <w:rFonts w:ascii="Arial" w:cs="Arial" w:eastAsia="Arial" w:hAnsi="Arial"/>
                <w:sz w:val="14"/>
                <w:szCs w:val="14"/>
                <w:color w:val="auto"/>
              </w:rPr>
              <w:t>(923)</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Cash flow hedges - effective portion of changes in fair value</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(1,036)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1,036</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items that are or may be reclassified to profit or loss</w:t>
            </w:r>
          </w:p>
        </w:tc>
        <w:tc>
          <w:tcPr>
            <w:tcW w:w="1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(33,470)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47,537</w:t>
            </w:r>
          </w:p>
        </w:tc>
      </w:tr>
      <w:tr>
        <w:trPr>
          <w:trHeight w:val="223"/>
        </w:trPr>
        <w:tc>
          <w:tcPr>
            <w:tcW w:w="39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(loss)/gain for the year, net of tax</w:t>
            </w:r>
          </w:p>
        </w:tc>
        <w:tc>
          <w:tcPr>
            <w:tcW w:w="1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(30,830)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48,186</w:t>
            </w:r>
          </w:p>
        </w:tc>
      </w:tr>
      <w:tr>
        <w:trPr>
          <w:trHeight w:val="233"/>
        </w:trPr>
        <w:tc>
          <w:tcPr>
            <w:tcW w:w="3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Profit for the financial year</w:t>
            </w:r>
          </w:p>
        </w:tc>
        <w:tc>
          <w:tcPr>
            <w:tcW w:w="1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322,817</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272,944</w:t>
            </w:r>
          </w:p>
        </w:tc>
      </w:tr>
      <w:tr>
        <w:trPr>
          <w:trHeight w:val="223"/>
        </w:trPr>
        <w:tc>
          <w:tcPr>
            <w:tcW w:w="39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for the financial year</w:t>
            </w:r>
          </w:p>
        </w:tc>
        <w:tc>
          <w:tcPr>
            <w:tcW w:w="1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291,987</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321,130</w:t>
            </w:r>
          </w:p>
        </w:tc>
      </w:tr>
      <w:tr>
        <w:trPr>
          <w:trHeight w:val="233"/>
        </w:trPr>
        <w:tc>
          <w:tcPr>
            <w:tcW w:w="39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w:t>
            </w:r>
          </w:p>
        </w:tc>
        <w:tc>
          <w:tcPr>
            <w:tcW w:w="1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Equity holders of the Company</w:t>
            </w: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291,987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321,130</w:t>
            </w:r>
          </w:p>
        </w:tc>
      </w:tr>
      <w:tr>
        <w:trPr>
          <w:trHeight w:val="23"/>
        </w:trPr>
        <w:tc>
          <w:tcPr>
            <w:tcW w:w="3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income for the financial year</w:t>
            </w: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291,987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321,130</w:t>
            </w:r>
          </w:p>
        </w:tc>
      </w:tr>
      <w:tr>
        <w:trPr>
          <w:trHeight w:val="23"/>
        </w:trPr>
        <w:tc>
          <w:tcPr>
            <w:tcW w:w="3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8"/>
        </w:trPr>
        <w:tc>
          <w:tcPr>
            <w:tcW w:w="3980" w:type="dxa"/>
            <w:vAlign w:val="bottom"/>
          </w:tcPr>
          <w:p>
            <w:pPr>
              <w:spacing w:after="0"/>
              <w:rPr>
                <w:sz w:val="20"/>
                <w:szCs w:val="20"/>
                <w:color w:val="auto"/>
              </w:rPr>
            </w:pPr>
            <w:r>
              <w:rPr>
                <w:rFonts w:ascii="Arial" w:cs="Arial" w:eastAsia="Arial" w:hAnsi="Arial"/>
                <w:sz w:val="14"/>
                <w:szCs w:val="14"/>
                <w:b w:val="1"/>
                <w:bCs w:val="1"/>
                <w:color w:val="auto"/>
              </w:rPr>
              <w:t>On behalf of the Board</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3980" w:type="dxa"/>
            <w:vAlign w:val="bottom"/>
          </w:tcPr>
          <w:p>
            <w:pPr>
              <w:ind w:left="2260"/>
              <w:spacing w:after="0"/>
              <w:rPr>
                <w:sz w:val="20"/>
                <w:szCs w:val="20"/>
                <w:color w:val="auto"/>
              </w:rPr>
            </w:pPr>
            <w:r>
              <w:rPr>
                <w:rFonts w:ascii="Arial" w:cs="Arial" w:eastAsia="Arial" w:hAnsi="Arial"/>
                <w:sz w:val="14"/>
                <w:szCs w:val="14"/>
                <w:color w:val="auto"/>
              </w:rPr>
              <w:t>Steve Cutler</w:t>
            </w:r>
          </w:p>
        </w:tc>
        <w:tc>
          <w:tcPr>
            <w:tcW w:w="2080" w:type="dxa"/>
            <w:vAlign w:val="bottom"/>
            <w:gridSpan w:val="2"/>
          </w:tcPr>
          <w:p>
            <w:pPr>
              <w:ind w:left="380"/>
              <w:spacing w:after="0"/>
              <w:rPr>
                <w:sz w:val="20"/>
                <w:szCs w:val="20"/>
                <w:color w:val="auto"/>
              </w:rPr>
            </w:pPr>
            <w:r>
              <w:rPr>
                <w:rFonts w:ascii="Arial" w:cs="Arial" w:eastAsia="Arial" w:hAnsi="Arial"/>
                <w:sz w:val="14"/>
                <w:szCs w:val="14"/>
                <w:color w:val="auto"/>
              </w:rPr>
              <w:t>Ronan Murphy</w:t>
            </w:r>
          </w:p>
        </w:tc>
        <w:tc>
          <w:tcPr>
            <w:tcW w:w="920" w:type="dxa"/>
            <w:vAlign w:val="bottom"/>
          </w:tcPr>
          <w:p>
            <w:pPr>
              <w:spacing w:after="0"/>
              <w:rPr>
                <w:sz w:val="24"/>
                <w:szCs w:val="24"/>
                <w:color w:val="auto"/>
              </w:rPr>
            </w:pPr>
          </w:p>
        </w:tc>
      </w:tr>
      <w:tr>
        <w:trPr>
          <w:trHeight w:val="212"/>
        </w:trPr>
        <w:tc>
          <w:tcPr>
            <w:tcW w:w="3980" w:type="dxa"/>
            <w:vAlign w:val="bottom"/>
          </w:tcPr>
          <w:p>
            <w:pPr>
              <w:ind w:left="2260"/>
              <w:spacing w:after="0"/>
              <w:rPr>
                <w:sz w:val="20"/>
                <w:szCs w:val="20"/>
                <w:color w:val="auto"/>
              </w:rPr>
            </w:pPr>
            <w:r>
              <w:rPr>
                <w:rFonts w:ascii="Arial" w:cs="Arial" w:eastAsia="Arial" w:hAnsi="Arial"/>
                <w:sz w:val="14"/>
                <w:szCs w:val="14"/>
                <w:i w:val="1"/>
                <w:iCs w:val="1"/>
                <w:color w:val="auto"/>
              </w:rPr>
              <w:t>Chief Executive Officer</w:t>
            </w:r>
          </w:p>
        </w:tc>
        <w:tc>
          <w:tcPr>
            <w:tcW w:w="1140" w:type="dxa"/>
            <w:vAlign w:val="bottom"/>
          </w:tcPr>
          <w:p>
            <w:pPr>
              <w:ind w:left="380"/>
              <w:spacing w:after="0"/>
              <w:rPr>
                <w:sz w:val="20"/>
                <w:szCs w:val="20"/>
                <w:color w:val="auto"/>
              </w:rPr>
            </w:pPr>
            <w:r>
              <w:rPr>
                <w:rFonts w:ascii="Arial" w:cs="Arial" w:eastAsia="Arial" w:hAnsi="Arial"/>
                <w:sz w:val="14"/>
                <w:szCs w:val="14"/>
                <w:i w:val="1"/>
                <w:iCs w:val="1"/>
                <w:color w:val="auto"/>
              </w:rPr>
              <w:t>Director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81"/>
        </w:trPr>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24</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1059" w:right="1440" w:bottom="1440" w:gutter="0" w:footer="0" w:header="0"/>
        </w:sectPr>
      </w:pPr>
    </w:p>
    <w:bookmarkStart w:id="28" w:name="page29"/>
    <w:bookmarkEnd w:id="28"/>
    <w:p>
      <w:pPr>
        <w:spacing w:after="0"/>
        <w:rPr>
          <w:sz w:val="20"/>
          <w:szCs w:val="20"/>
          <w:color w:val="auto"/>
        </w:rPr>
      </w:pPr>
      <w:r>
        <w:rPr>
          <w:rFonts w:ascii="Arial" w:cs="Arial" w:eastAsia="Arial" w:hAnsi="Arial"/>
          <w:sz w:val="20"/>
          <w:szCs w:val="20"/>
          <w:color w:val="auto"/>
        </w:rPr>
        <w:t>Consolidated Statement of Financial Position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at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2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12</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103,710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105,100</w:t>
            </w:r>
          </w:p>
        </w:tc>
      </w:tr>
      <w:tr>
        <w:trPr>
          <w:trHeight w:val="21"/>
        </w:trPr>
        <w:tc>
          <w:tcPr>
            <w:tcW w:w="40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 goodwill and other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879,283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912,646</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20,778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22,364</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18</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6,963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6</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31,665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33,332</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19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1,042,399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1,073,442</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2,274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2,236</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16</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414,791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379,501</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Unbilled revenue</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362,926</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268,509</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68,734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58,957</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taxes receivable</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39,468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42,781</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Current asset investments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18</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59,910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77,589</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9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395,851</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282,859</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1,343,954</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1,112,432</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6"/>
        </w:trPr>
        <w:tc>
          <w:tcPr>
            <w:tcW w:w="21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2,386,353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2,185,874</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6"/>
        </w:trPr>
        <w:tc>
          <w:tcPr>
            <w:tcW w:w="2100" w:type="dxa"/>
            <w:vAlign w:val="bottom"/>
            <w:tcBorders>
              <w:bottom w:val="single" w:sz="8" w:color="auto"/>
            </w:tcBorders>
            <w:shd w:val="clear" w:color="auto" w:fill="CCEEFF"/>
          </w:tcPr>
          <w:p>
            <w:pPr>
              <w:spacing w:after="0"/>
              <w:rPr>
                <w:sz w:val="7"/>
                <w:szCs w:val="7"/>
                <w:color w:val="auto"/>
              </w:rPr>
            </w:pPr>
          </w:p>
        </w:tc>
        <w:tc>
          <w:tcPr>
            <w:tcW w:w="19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r>
      <w:tr>
        <w:trPr>
          <w:trHeight w:val="181"/>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capital</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24</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4,664</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Share premium</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283,629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266,852</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undenominated capital</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983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912</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Share-based payment reserve</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173,326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187,840</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reserves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11,868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11,029</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w w:val="91"/>
              </w:rPr>
              <w:t>Foreign currency translation reserve</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(67,469)</w:t>
            </w:r>
          </w:p>
        </w:tc>
        <w:tc>
          <w:tcPr>
            <w:tcW w:w="920" w:type="dxa"/>
            <w:vAlign w:val="bottom"/>
          </w:tcPr>
          <w:p>
            <w:pPr>
              <w:jc w:val="right"/>
              <w:spacing w:after="0"/>
              <w:rPr>
                <w:sz w:val="20"/>
                <w:szCs w:val="20"/>
                <w:color w:val="auto"/>
              </w:rPr>
            </w:pPr>
            <w:r>
              <w:rPr>
                <w:rFonts w:ascii="Arial" w:cs="Arial" w:eastAsia="Arial" w:hAnsi="Arial"/>
                <w:sz w:val="14"/>
                <w:szCs w:val="14"/>
                <w:color w:val="auto"/>
              </w:rPr>
              <w:t>(35,077)</w:t>
            </w:r>
          </w:p>
        </w:tc>
      </w:tr>
      <w:tr>
        <w:trPr>
          <w:trHeight w:val="21"/>
        </w:trPr>
        <w:tc>
          <w:tcPr>
            <w:tcW w:w="40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asset investments - fair value reserve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979,834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794,331</w:t>
            </w:r>
          </w:p>
        </w:tc>
      </w:tr>
      <w:tr>
        <w:trPr>
          <w:trHeight w:val="21"/>
        </w:trPr>
        <w:tc>
          <w:tcPr>
            <w:tcW w:w="40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attributable to the owners of the company</w:t>
            </w: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1,386,379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1,230,256</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Non-current bank credit lines and loan facilities</w:t>
            </w: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23</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349,264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348,888</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13,022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17,645</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Non-current provisions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21</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1,301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432</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9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6</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8,213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7,716</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371,800</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374,681</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9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13,288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18,590</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on account</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274,468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298,992</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Accrued and other liabilities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309,943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230,321</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7,200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3,182</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Current tax payable</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23,275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29,852</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9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628,174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580,937</w:t>
            </w:r>
          </w:p>
        </w:tc>
      </w:tr>
      <w:tr>
        <w:trPr>
          <w:trHeight w:val="86"/>
        </w:trPr>
        <w:tc>
          <w:tcPr>
            <w:tcW w:w="2100" w:type="dxa"/>
            <w:vAlign w:val="bottom"/>
            <w:tcBorders>
              <w:top w:val="single" w:sz="8" w:color="auto"/>
            </w:tcBorders>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r>
      <w:tr>
        <w:trPr>
          <w:trHeight w:val="21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9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999,974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955,618</w:t>
            </w:r>
          </w:p>
        </w:tc>
      </w:tr>
      <w:tr>
        <w:trPr>
          <w:trHeight w:val="86"/>
        </w:trPr>
        <w:tc>
          <w:tcPr>
            <w:tcW w:w="2100" w:type="dxa"/>
            <w:vAlign w:val="bottom"/>
            <w:tcBorders>
              <w:top w:val="single" w:sz="8" w:color="auto"/>
              <w:bottom w:val="single" w:sz="8" w:color="auto"/>
            </w:tcBorders>
          </w:tcPr>
          <w:p>
            <w:pPr>
              <w:spacing w:after="0"/>
              <w:rPr>
                <w:sz w:val="7"/>
                <w:szCs w:val="7"/>
                <w:color w:val="auto"/>
              </w:rPr>
            </w:pPr>
          </w:p>
        </w:tc>
        <w:tc>
          <w:tcPr>
            <w:tcW w:w="1940" w:type="dxa"/>
            <w:vAlign w:val="bottom"/>
            <w:tcBorders>
              <w:top w:val="single" w:sz="8" w:color="auto"/>
              <w:bottom w:val="single" w:sz="8" w:color="auto"/>
            </w:tcBorders>
          </w:tcPr>
          <w:p>
            <w:pPr>
              <w:spacing w:after="0"/>
              <w:rPr>
                <w:sz w:val="7"/>
                <w:szCs w:val="7"/>
                <w:color w:val="auto"/>
              </w:rPr>
            </w:pPr>
          </w:p>
        </w:tc>
        <w:tc>
          <w:tcPr>
            <w:tcW w:w="106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r>
      <w:tr>
        <w:trPr>
          <w:trHeight w:val="20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and liabilities</w:t>
            </w:r>
          </w:p>
        </w:tc>
        <w:tc>
          <w:tcPr>
            <w:tcW w:w="19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2,386,353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2,185,874</w:t>
            </w:r>
          </w:p>
        </w:tc>
      </w:tr>
      <w:tr>
        <w:trPr>
          <w:trHeight w:val="338"/>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On behalf of the Board</w:t>
            </w:r>
          </w:p>
        </w:tc>
        <w:tc>
          <w:tcPr>
            <w:tcW w:w="19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96"/>
        </w:trPr>
        <w:tc>
          <w:tcPr>
            <w:tcW w:w="2100" w:type="dxa"/>
            <w:vAlign w:val="bottom"/>
          </w:tcPr>
          <w:p>
            <w:pPr>
              <w:ind w:left="20"/>
              <w:spacing w:after="0"/>
              <w:rPr>
                <w:sz w:val="20"/>
                <w:szCs w:val="20"/>
                <w:color w:val="auto"/>
              </w:rPr>
            </w:pPr>
            <w:r>
              <w:rPr>
                <w:rFonts w:ascii="Arial" w:cs="Arial" w:eastAsia="Arial" w:hAnsi="Arial"/>
                <w:sz w:val="14"/>
                <w:szCs w:val="14"/>
                <w:color w:val="auto"/>
              </w:rPr>
              <w:t>Steve Cutler</w:t>
            </w:r>
          </w:p>
        </w:tc>
        <w:tc>
          <w:tcPr>
            <w:tcW w:w="1940" w:type="dxa"/>
            <w:vAlign w:val="bottom"/>
          </w:tcPr>
          <w:p>
            <w:pPr>
              <w:ind w:left="20"/>
              <w:spacing w:after="0"/>
              <w:rPr>
                <w:sz w:val="20"/>
                <w:szCs w:val="20"/>
                <w:color w:val="auto"/>
              </w:rPr>
            </w:pPr>
            <w:r>
              <w:rPr>
                <w:rFonts w:ascii="Arial" w:cs="Arial" w:eastAsia="Arial" w:hAnsi="Arial"/>
                <w:sz w:val="14"/>
                <w:szCs w:val="14"/>
                <w:color w:val="auto"/>
              </w:rPr>
              <w:t>Ronan Murphy</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2"/>
        </w:trPr>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Director</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81"/>
        </w:trPr>
        <w:tc>
          <w:tcPr>
            <w:tcW w:w="2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25</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1059" w:right="1440"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Consolidated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7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87"/>
              </w:rPr>
              <w:t>Financial assets at</w:t>
            </w:r>
          </w:p>
        </w:tc>
        <w:tc>
          <w:tcPr>
            <w:tcW w:w="7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w w:val="92"/>
              </w:rPr>
              <w:t>fair value through</w:t>
            </w:r>
          </w:p>
        </w:tc>
        <w:tc>
          <w:tcPr>
            <w:tcW w:w="7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Share-</w:t>
            </w: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rPr>
              <w:t>other</w:t>
            </w:r>
          </w:p>
        </w:tc>
        <w:tc>
          <w:tcPr>
            <w:tcW w:w="7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Other</w:t>
            </w:r>
          </w:p>
        </w:tc>
        <w:tc>
          <w:tcPr>
            <w:tcW w:w="58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based</w:t>
            </w: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rPr>
              <w:t>comprehensive</w:t>
            </w:r>
          </w:p>
        </w:tc>
        <w:tc>
          <w:tcPr>
            <w:tcW w:w="7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71"/>
              <w:spacing w:after="0" w:line="106" w:lineRule="exact"/>
              <w:rPr>
                <w:sz w:val="20"/>
                <w:szCs w:val="20"/>
                <w:color w:val="auto"/>
              </w:rPr>
            </w:pPr>
            <w:r>
              <w:rPr>
                <w:rFonts w:ascii="Arial" w:cs="Arial" w:eastAsia="Arial" w:hAnsi="Arial"/>
                <w:sz w:val="10"/>
                <w:szCs w:val="10"/>
                <w:b w:val="1"/>
                <w:bCs w:val="1"/>
                <w:color w:val="auto"/>
              </w:rPr>
              <w:t>Number</w:t>
            </w:r>
          </w:p>
        </w:tc>
        <w:tc>
          <w:tcPr>
            <w:tcW w:w="66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Share</w:t>
            </w: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Share</w:t>
            </w: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w w:val="92"/>
              </w:rPr>
              <w:t>Undenominated</w:t>
            </w:r>
          </w:p>
        </w:tc>
        <w:tc>
          <w:tcPr>
            <w:tcW w:w="58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w w:val="91"/>
              </w:rPr>
              <w:t>Payment</w:t>
            </w:r>
          </w:p>
        </w:tc>
        <w:tc>
          <w:tcPr>
            <w:tcW w:w="68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Other</w:t>
            </w:r>
          </w:p>
        </w:tc>
        <w:tc>
          <w:tcPr>
            <w:tcW w:w="600" w:type="dxa"/>
            <w:vAlign w:val="bottom"/>
            <w:shd w:val="clear" w:color="auto" w:fill="CCEEFF"/>
          </w:tcPr>
          <w:p>
            <w:pPr>
              <w:jc w:val="right"/>
              <w:ind w:right="11"/>
              <w:spacing w:after="0" w:line="106" w:lineRule="exact"/>
              <w:rPr>
                <w:sz w:val="20"/>
                <w:szCs w:val="20"/>
                <w:color w:val="auto"/>
              </w:rPr>
            </w:pPr>
            <w:r>
              <w:rPr>
                <w:rFonts w:ascii="Arial" w:cs="Arial" w:eastAsia="Arial" w:hAnsi="Arial"/>
                <w:sz w:val="10"/>
                <w:szCs w:val="10"/>
                <w:b w:val="1"/>
                <w:bCs w:val="1"/>
                <w:color w:val="auto"/>
              </w:rPr>
              <w:t>Currency</w:t>
            </w: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rPr>
              <w:t>income reserve</w:t>
            </w:r>
          </w:p>
        </w:tc>
        <w:tc>
          <w:tcPr>
            <w:tcW w:w="70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Retained</w:t>
            </w:r>
          </w:p>
        </w:tc>
        <w:tc>
          <w:tcPr>
            <w:tcW w:w="580" w:type="dxa"/>
            <w:vAlign w:val="bottom"/>
            <w:shd w:val="clear" w:color="auto" w:fill="CCEEFF"/>
          </w:tcPr>
          <w:p>
            <w:pPr>
              <w:spacing w:after="0"/>
              <w:rPr>
                <w:sz w:val="9"/>
                <w:szCs w:val="9"/>
                <w:color w:val="auto"/>
              </w:rPr>
            </w:pPr>
          </w:p>
        </w:tc>
      </w:tr>
      <w:tr>
        <w:trPr>
          <w:trHeight w:val="140"/>
        </w:trPr>
        <w:tc>
          <w:tcPr>
            <w:tcW w:w="27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of shares</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Capital</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Premium</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Capital</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97"/>
              </w:rPr>
              <w:t>Reserve</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Reserve</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Earnings</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Total</w:t>
            </w:r>
          </w:p>
        </w:tc>
      </w:tr>
      <w:tr>
        <w:trPr>
          <w:trHeight w:val="134"/>
        </w:trPr>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58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68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0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c>
          <w:tcPr>
            <w:tcW w:w="980" w:type="dxa"/>
            <w:vAlign w:val="bottom"/>
          </w:tcPr>
          <w:p>
            <w:pPr>
              <w:jc w:val="right"/>
              <w:ind w:right="130"/>
              <w:spacing w:after="0"/>
              <w:rPr>
                <w:sz w:val="20"/>
                <w:szCs w:val="20"/>
                <w:color w:val="auto"/>
              </w:rPr>
            </w:pPr>
            <w:r>
              <w:rPr>
                <w:rFonts w:ascii="Arial" w:cs="Arial" w:eastAsia="Arial" w:hAnsi="Arial"/>
                <w:sz w:val="10"/>
                <w:szCs w:val="10"/>
                <w:b w:val="1"/>
                <w:bCs w:val="1"/>
                <w:color w:val="auto"/>
              </w:rPr>
              <w:t>$’000</w:t>
            </w:r>
          </w:p>
        </w:tc>
        <w:tc>
          <w:tcPr>
            <w:tcW w:w="70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58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r>
      <w:tr>
        <w:trPr>
          <w:trHeight w:val="78"/>
        </w:trPr>
        <w:tc>
          <w:tcPr>
            <w:tcW w:w="27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311"/>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31 December 2017</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54,081,601</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4,664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266,852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912</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187,840</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11,029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(35,077)</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b w:val="1"/>
                <w:bCs w:val="1"/>
                <w:color w:val="auto"/>
              </w:rPr>
              <w:t>(295)</w:t>
            </w: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794,331</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1,230,256</w:t>
            </w:r>
          </w:p>
        </w:tc>
      </w:tr>
      <w:tr>
        <w:trPr>
          <w:trHeight w:val="16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Cumulative effect adjustment from adoption of IFRS 15</w:t>
            </w: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(48,104)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(48,104)</w:t>
            </w: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1 January 2018</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54,081,601</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4,664</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266,852</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912</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187,840</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11,029</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(35,077)</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(295)</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746,227</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1,182,152</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Profit for the year</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322,817</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322,817</w:t>
            </w: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Foreign currency translation</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(26,522)</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(26,522)</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Currency impact on long-term funding</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(4,834)</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(4,834)</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Cash flow hedge</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(1,036)</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(1,036)</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(155)</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2,640</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2,640</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Tax benefit on defined benefit pension contributions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Amortisation of interest rate hedge</w:t>
            </w: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(923)</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(923)</w:t>
            </w:r>
          </w:p>
        </w:tc>
      </w:tr>
      <w:tr>
        <w:trPr>
          <w:trHeight w:val="160"/>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other comprehensive income</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(923)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(32,392)</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rPr>
              <w:t>(155)</w:t>
            </w: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2,640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(30,830)</w:t>
            </w:r>
          </w:p>
        </w:tc>
      </w:tr>
      <w:tr>
        <w:trPr>
          <w:trHeight w:val="16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(923)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(32,392)</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(155)</w:t>
            </w: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325,457</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291,987</w:t>
            </w: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Transactions with owners, recorded directly in equity</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Share-based payment</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28,009</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28,009</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 share options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408,699</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29</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16,777</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16,806</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Transfer of exercised and expired share–based awards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(38,954)</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38,954</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Issue of restricted share units/ performance share units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489,568</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36</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Share issue costs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(16)</w:t>
            </w:r>
          </w:p>
        </w:tc>
        <w:tc>
          <w:tcPr>
            <w:tcW w:w="580" w:type="dxa"/>
            <w:vAlign w:val="bottom"/>
          </w:tcPr>
          <w:p>
            <w:pPr>
              <w:jc w:val="right"/>
              <w:spacing w:after="0"/>
              <w:rPr>
                <w:sz w:val="20"/>
                <w:szCs w:val="20"/>
                <w:color w:val="auto"/>
              </w:rPr>
            </w:pPr>
            <w:r>
              <w:rPr>
                <w:rFonts w:ascii="Arial" w:cs="Arial" w:eastAsia="Arial" w:hAnsi="Arial"/>
                <w:sz w:val="10"/>
                <w:szCs w:val="10"/>
                <w:color w:val="auto"/>
              </w:rPr>
              <w:t>(16)</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Repurchase of ordinary shares</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(1,008,162)</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(71)</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(128,960)</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(128,960)</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Share repurchase costs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(66)</w:t>
            </w:r>
          </w:p>
        </w:tc>
        <w:tc>
          <w:tcPr>
            <w:tcW w:w="580" w:type="dxa"/>
            <w:vAlign w:val="bottom"/>
          </w:tcPr>
          <w:p>
            <w:pPr>
              <w:jc w:val="right"/>
              <w:spacing w:after="0"/>
              <w:rPr>
                <w:sz w:val="20"/>
                <w:szCs w:val="20"/>
                <w:color w:val="auto"/>
              </w:rPr>
            </w:pPr>
            <w:r>
              <w:rPr>
                <w:rFonts w:ascii="Arial" w:cs="Arial" w:eastAsia="Arial" w:hAnsi="Arial"/>
                <w:sz w:val="10"/>
                <w:szCs w:val="10"/>
                <w:color w:val="auto"/>
              </w:rPr>
              <w:t>(66)</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4,626</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4,626</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(8,195)</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(8,195)</w:t>
            </w:r>
          </w:p>
        </w:tc>
      </w:tr>
      <w:tr>
        <w:trPr>
          <w:trHeight w:val="169"/>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Non-distributable reserves</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1,762</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(1,762)</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(109,895)</w:t>
            </w: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16,777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(14,514)</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1,762</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(91,850)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(87,760)</w:t>
            </w:r>
          </w:p>
        </w:tc>
      </w:tr>
      <w:tr>
        <w:trPr>
          <w:trHeight w:val="168"/>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31 December 2018</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53,971,706</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4,658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283,629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983</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173,326</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11,868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(67,469)</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b w:val="1"/>
                <w:bCs w:val="1"/>
                <w:color w:val="auto"/>
              </w:rPr>
              <w:t>(450)</w:t>
            </w: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979,834</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1,386,379</w:t>
            </w:r>
          </w:p>
        </w:tc>
      </w:tr>
    </w:tbl>
    <w:p>
      <w:pPr>
        <w:spacing w:after="0" w:line="18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239"/>
          </w:cols>
          <w:pgMar w:left="220" w:top="1059" w:right="1440"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Consolidated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2017</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Share-</w:t>
            </w:r>
          </w:p>
        </w:tc>
        <w:tc>
          <w:tcPr>
            <w:tcW w:w="6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99"/>
              </w:rPr>
              <w:t>Current Asset</w:t>
            </w:r>
          </w:p>
        </w:tc>
        <w:tc>
          <w:tcPr>
            <w:tcW w:w="7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06"/>
        </w:trPr>
        <w:tc>
          <w:tcPr>
            <w:tcW w:w="26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Arial" w:cs="Arial" w:eastAsia="Arial" w:hAnsi="Arial"/>
                <w:sz w:val="10"/>
                <w:szCs w:val="10"/>
                <w:b w:val="1"/>
                <w:bCs w:val="1"/>
                <w:color w:val="auto"/>
              </w:rPr>
              <w:t>Other</w:t>
            </w:r>
          </w:p>
        </w:tc>
        <w:tc>
          <w:tcPr>
            <w:tcW w:w="62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based</w:t>
            </w:r>
          </w:p>
        </w:tc>
        <w:tc>
          <w:tcPr>
            <w:tcW w:w="6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Investment</w:t>
            </w:r>
          </w:p>
        </w:tc>
        <w:tc>
          <w:tcPr>
            <w:tcW w:w="7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06"/>
        </w:trPr>
        <w:tc>
          <w:tcPr>
            <w:tcW w:w="2600" w:type="dxa"/>
            <w:vAlign w:val="bottom"/>
            <w:shd w:val="clear" w:color="auto" w:fill="CCEEFF"/>
          </w:tcPr>
          <w:p>
            <w:pPr>
              <w:spacing w:after="0"/>
              <w:rPr>
                <w:sz w:val="9"/>
                <w:szCs w:val="9"/>
                <w:color w:val="auto"/>
              </w:rPr>
            </w:pPr>
          </w:p>
        </w:tc>
        <w:tc>
          <w:tcPr>
            <w:tcW w:w="960" w:type="dxa"/>
            <w:vAlign w:val="bottom"/>
            <w:shd w:val="clear" w:color="auto" w:fill="CCEEFF"/>
          </w:tcPr>
          <w:p>
            <w:pPr>
              <w:jc w:val="right"/>
              <w:ind w:right="151"/>
              <w:spacing w:after="0" w:line="106" w:lineRule="exact"/>
              <w:rPr>
                <w:sz w:val="20"/>
                <w:szCs w:val="20"/>
                <w:color w:val="auto"/>
              </w:rPr>
            </w:pPr>
            <w:r>
              <w:rPr>
                <w:rFonts w:ascii="Arial" w:cs="Arial" w:eastAsia="Arial" w:hAnsi="Arial"/>
                <w:sz w:val="10"/>
                <w:szCs w:val="10"/>
                <w:b w:val="1"/>
                <w:bCs w:val="1"/>
                <w:color w:val="auto"/>
              </w:rPr>
              <w:t>Number</w:t>
            </w:r>
          </w:p>
        </w:tc>
        <w:tc>
          <w:tcPr>
            <w:tcW w:w="66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Share</w:t>
            </w:r>
          </w:p>
        </w:tc>
        <w:tc>
          <w:tcPr>
            <w:tcW w:w="5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Share</w:t>
            </w:r>
          </w:p>
        </w:tc>
        <w:tc>
          <w:tcPr>
            <w:tcW w:w="800" w:type="dxa"/>
            <w:vAlign w:val="bottom"/>
            <w:shd w:val="clear" w:color="auto" w:fill="CCEEFF"/>
          </w:tcPr>
          <w:p>
            <w:pPr>
              <w:jc w:val="right"/>
              <w:ind w:right="51"/>
              <w:spacing w:after="0" w:line="106" w:lineRule="exact"/>
              <w:rPr>
                <w:sz w:val="20"/>
                <w:szCs w:val="20"/>
                <w:color w:val="auto"/>
              </w:rPr>
            </w:pPr>
            <w:r>
              <w:rPr>
                <w:rFonts w:ascii="Arial" w:cs="Arial" w:eastAsia="Arial" w:hAnsi="Arial"/>
                <w:sz w:val="10"/>
                <w:szCs w:val="10"/>
                <w:b w:val="1"/>
                <w:bCs w:val="1"/>
                <w:color w:val="auto"/>
                <w:w w:val="89"/>
              </w:rPr>
              <w:t>Undenominated</w:t>
            </w:r>
          </w:p>
        </w:tc>
        <w:tc>
          <w:tcPr>
            <w:tcW w:w="62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Payment</w:t>
            </w:r>
          </w:p>
        </w:tc>
        <w:tc>
          <w:tcPr>
            <w:tcW w:w="68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Other</w:t>
            </w:r>
          </w:p>
        </w:tc>
        <w:tc>
          <w:tcPr>
            <w:tcW w:w="640" w:type="dxa"/>
            <w:vAlign w:val="bottom"/>
            <w:shd w:val="clear" w:color="auto" w:fill="CCEEFF"/>
          </w:tcPr>
          <w:p>
            <w:pPr>
              <w:jc w:val="right"/>
              <w:ind w:right="51"/>
              <w:spacing w:after="0" w:line="106" w:lineRule="exact"/>
              <w:rPr>
                <w:sz w:val="20"/>
                <w:szCs w:val="20"/>
                <w:color w:val="auto"/>
              </w:rPr>
            </w:pPr>
            <w:r>
              <w:rPr>
                <w:rFonts w:ascii="Arial" w:cs="Arial" w:eastAsia="Arial" w:hAnsi="Arial"/>
                <w:sz w:val="10"/>
                <w:szCs w:val="10"/>
                <w:b w:val="1"/>
                <w:bCs w:val="1"/>
                <w:color w:val="auto"/>
              </w:rPr>
              <w:t>Currency</w:t>
            </w:r>
          </w:p>
        </w:tc>
        <w:tc>
          <w:tcPr>
            <w:tcW w:w="84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Fair value</w:t>
            </w:r>
          </w:p>
        </w:tc>
        <w:tc>
          <w:tcPr>
            <w:tcW w:w="70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Retained</w:t>
            </w:r>
          </w:p>
        </w:tc>
        <w:tc>
          <w:tcPr>
            <w:tcW w:w="600" w:type="dxa"/>
            <w:vAlign w:val="bottom"/>
            <w:shd w:val="clear" w:color="auto" w:fill="CCEEFF"/>
          </w:tcPr>
          <w:p>
            <w:pPr>
              <w:spacing w:after="0"/>
              <w:rPr>
                <w:sz w:val="9"/>
                <w:szCs w:val="9"/>
                <w:color w:val="auto"/>
              </w:rPr>
            </w:pPr>
          </w:p>
        </w:tc>
      </w:tr>
      <w:tr>
        <w:trPr>
          <w:trHeight w:val="140"/>
        </w:trPr>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of shares</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Capital</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Premium</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Capital</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Reserve</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Reserves</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Reserve</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Earnings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Total</w:t>
            </w:r>
          </w:p>
        </w:tc>
      </w:tr>
      <w:tr>
        <w:trPr>
          <w:trHeight w:val="134"/>
        </w:trPr>
        <w:tc>
          <w:tcPr>
            <w:tcW w:w="2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800" w:type="dxa"/>
            <w:vAlign w:val="bottom"/>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2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68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40" w:type="dxa"/>
            <w:vAlign w:val="bottom"/>
          </w:tcPr>
          <w:p>
            <w:pPr>
              <w:jc w:val="right"/>
              <w:ind w:right="51"/>
              <w:spacing w:after="0"/>
              <w:rPr>
                <w:sz w:val="20"/>
                <w:szCs w:val="20"/>
                <w:color w:val="auto"/>
              </w:rPr>
            </w:pPr>
            <w:r>
              <w:rPr>
                <w:rFonts w:ascii="Arial" w:cs="Arial" w:eastAsia="Arial" w:hAnsi="Arial"/>
                <w:sz w:val="10"/>
                <w:szCs w:val="10"/>
                <w:b w:val="1"/>
                <w:bCs w:val="1"/>
                <w:color w:val="auto"/>
              </w:rPr>
              <w:t>$’000</w:t>
            </w:r>
          </w:p>
        </w:tc>
        <w:tc>
          <w:tcPr>
            <w:tcW w:w="84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70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0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r>
      <w:tr>
        <w:trPr>
          <w:trHeight w:val="78"/>
        </w:trPr>
        <w:tc>
          <w:tcPr>
            <w:tcW w:w="26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153"/>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Balance at 1 January 2017</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54,530,843</w:t>
            </w: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4,692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252,977</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809</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141,890</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10,348</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(83,809)</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(23)</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650,583</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977,467</w:t>
            </w:r>
          </w:p>
        </w:tc>
      </w:tr>
      <w:tr>
        <w:trPr>
          <w:trHeight w:val="202"/>
        </w:trPr>
        <w:tc>
          <w:tcPr>
            <w:tcW w:w="2600" w:type="dxa"/>
            <w:vAlign w:val="bottom"/>
          </w:tcPr>
          <w:p>
            <w:pPr>
              <w:ind w:left="20"/>
              <w:spacing w:after="0"/>
              <w:rPr>
                <w:sz w:val="20"/>
                <w:szCs w:val="20"/>
                <w:color w:val="auto"/>
              </w:rPr>
            </w:pPr>
            <w:r>
              <w:rPr>
                <w:rFonts w:ascii="Arial" w:cs="Arial" w:eastAsia="Arial" w:hAnsi="Arial"/>
                <w:sz w:val="10"/>
                <w:szCs w:val="10"/>
                <w:b w:val="1"/>
                <w:bCs w:val="1"/>
                <w:color w:val="auto"/>
              </w:rPr>
              <w:t>Total comprehensive income for the year:</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Profit for the year</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272,944</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272,944</w:t>
            </w:r>
          </w:p>
        </w:tc>
      </w:tr>
      <w:tr>
        <w:trPr>
          <w:trHeight w:val="204"/>
        </w:trPr>
        <w:tc>
          <w:tcPr>
            <w:tcW w:w="2600" w:type="dxa"/>
            <w:vAlign w:val="bottom"/>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33,966</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33,966</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Currency impact on long-term funding</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13,730</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13,730</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flow hedge</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1,036</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1,036</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(272)</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(272)</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Tax Benefit on defined benefit pension contributions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754</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754</w:t>
            </w:r>
          </w:p>
        </w:tc>
      </w:tr>
      <w:tr>
        <w:trPr>
          <w:trHeight w:val="16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Amortisation of interest rate hedge</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(923)</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(923)</w:t>
            </w:r>
          </w:p>
        </w:tc>
      </w:tr>
      <w:tr>
        <w:trPr>
          <w:trHeight w:val="16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other comprehensive income</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(169)</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48,732</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(272)</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(105)</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48,186</w:t>
            </w:r>
          </w:p>
        </w:tc>
      </w:tr>
      <w:tr>
        <w:trPr>
          <w:trHeight w:val="160"/>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(169)</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48,732</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(272)</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272,839</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321,130</w:t>
            </w:r>
          </w:p>
        </w:tc>
      </w:tr>
      <w:tr>
        <w:trPr>
          <w:trHeight w:val="202"/>
        </w:trPr>
        <w:tc>
          <w:tcPr>
            <w:tcW w:w="2600" w:type="dxa"/>
            <w:vAlign w:val="bottom"/>
          </w:tcPr>
          <w:p>
            <w:pPr>
              <w:ind w:left="20"/>
              <w:spacing w:after="0"/>
              <w:rPr>
                <w:sz w:val="20"/>
                <w:szCs w:val="20"/>
                <w:color w:val="auto"/>
              </w:rPr>
            </w:pPr>
            <w:r>
              <w:rPr>
                <w:rFonts w:ascii="Arial" w:cs="Arial" w:eastAsia="Arial" w:hAnsi="Arial"/>
                <w:sz w:val="10"/>
                <w:szCs w:val="10"/>
                <w:b w:val="1"/>
                <w:bCs w:val="1"/>
                <w:color w:val="auto"/>
              </w:rPr>
              <w:t>Transactions with owners, recorded directly in equity</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29,898</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29,898</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Exercise of share options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458,243</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31</w:t>
            </w:r>
          </w:p>
        </w:tc>
        <w:tc>
          <w:tcPr>
            <w:tcW w:w="580" w:type="dxa"/>
            <w:vAlign w:val="bottom"/>
          </w:tcPr>
          <w:p>
            <w:pPr>
              <w:jc w:val="right"/>
              <w:spacing w:after="0"/>
              <w:rPr>
                <w:sz w:val="20"/>
                <w:szCs w:val="20"/>
                <w:color w:val="auto"/>
              </w:rPr>
            </w:pPr>
            <w:r>
              <w:rPr>
                <w:rFonts w:ascii="Arial" w:cs="Arial" w:eastAsia="Arial" w:hAnsi="Arial"/>
                <w:sz w:val="10"/>
                <w:szCs w:val="10"/>
                <w:color w:val="auto"/>
              </w:rPr>
              <w:t>13,875</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13,906</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Transfer of exercised and expired share–based awards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(4,986)</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4,986</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Issue of restricted share units/ performance share units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681,742</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44</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44</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issue costs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Repurchase of ordinary shares</w:t>
            </w:r>
          </w:p>
        </w:tc>
        <w:tc>
          <w:tcPr>
            <w:tcW w:w="960" w:type="dxa"/>
            <w:vAlign w:val="bottom"/>
          </w:tcPr>
          <w:p>
            <w:pPr>
              <w:jc w:val="right"/>
              <w:ind w:right="111"/>
              <w:spacing w:after="0"/>
              <w:rPr>
                <w:sz w:val="20"/>
                <w:szCs w:val="20"/>
                <w:color w:val="auto"/>
              </w:rPr>
            </w:pPr>
            <w:r>
              <w:rPr>
                <w:rFonts w:ascii="Arial" w:cs="Arial" w:eastAsia="Arial" w:hAnsi="Arial"/>
                <w:sz w:val="10"/>
                <w:szCs w:val="10"/>
                <w:color w:val="auto"/>
              </w:rPr>
              <w:t>(1,589,227)</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(103)</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103</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(133,106)</w:t>
            </w:r>
          </w:p>
        </w:tc>
        <w:tc>
          <w:tcPr>
            <w:tcW w:w="600" w:type="dxa"/>
            <w:vAlign w:val="bottom"/>
          </w:tcPr>
          <w:p>
            <w:pPr>
              <w:jc w:val="right"/>
              <w:spacing w:after="0"/>
              <w:rPr>
                <w:sz w:val="20"/>
                <w:szCs w:val="20"/>
                <w:color w:val="auto"/>
              </w:rPr>
            </w:pPr>
            <w:r>
              <w:rPr>
                <w:rFonts w:ascii="Arial" w:cs="Arial" w:eastAsia="Arial" w:hAnsi="Arial"/>
                <w:sz w:val="10"/>
                <w:szCs w:val="10"/>
                <w:color w:val="auto"/>
              </w:rPr>
              <w:t>(133,106)</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repurchase costs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(106)</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14,196</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14,196</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6,842</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6,842</w:t>
            </w:r>
          </w:p>
        </w:tc>
      </w:tr>
      <w:tr>
        <w:trPr>
          <w:trHeight w:val="16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Non-distributable reserves</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850</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(850)</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r>
      <w:tr>
        <w:trPr>
          <w:trHeight w:val="160"/>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(449,242)</w:t>
            </w:r>
          </w:p>
        </w:tc>
        <w:tc>
          <w:tcPr>
            <w:tcW w:w="6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13,875</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103</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45,950</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850</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(129,091)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(68,341)</w:t>
            </w:r>
          </w:p>
        </w:tc>
      </w:tr>
      <w:tr>
        <w:trPr>
          <w:trHeight w:val="16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at 31 December 2017</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54,081,601</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4,664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266,852</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912</w:t>
            </w: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187,840</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11,029</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(35,077)</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(295)</w:t>
            </w: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794,331</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1,230,256</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239"/>
          </w:cols>
          <w:pgMar w:left="220" w:top="1006" w:right="1440"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t>Consolidated Statement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Year ended</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Year ended</w:t>
            </w:r>
          </w:p>
        </w:tc>
        <w:tc>
          <w:tcPr>
            <w:tcW w:w="0" w:type="dxa"/>
            <w:vAlign w:val="bottom"/>
          </w:tcPr>
          <w:p>
            <w:pPr>
              <w:spacing w:after="0"/>
              <w:rPr>
                <w:sz w:val="1"/>
                <w:szCs w:val="1"/>
                <w:color w:val="auto"/>
              </w:rPr>
            </w:pPr>
          </w:p>
        </w:tc>
      </w:tr>
      <w:tr>
        <w:trPr>
          <w:trHeight w:val="116"/>
        </w:trPr>
        <w:tc>
          <w:tcPr>
            <w:tcW w:w="4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144"/>
              <w:spacing w:after="0" w:line="116" w:lineRule="exact"/>
              <w:rPr>
                <w:sz w:val="20"/>
                <w:szCs w:val="20"/>
                <w:color w:val="auto"/>
              </w:rPr>
            </w:pPr>
            <w:r>
              <w:rPr>
                <w:rFonts w:ascii="Arial" w:cs="Arial" w:eastAsia="Arial" w:hAnsi="Arial"/>
                <w:sz w:val="11"/>
                <w:szCs w:val="11"/>
                <w:b w:val="1"/>
                <w:bCs w:val="1"/>
                <w:color w:val="auto"/>
              </w:rPr>
              <w:t>31 December</w:t>
            </w:r>
          </w:p>
        </w:tc>
        <w:tc>
          <w:tcPr>
            <w:tcW w:w="840" w:type="dxa"/>
            <w:vAlign w:val="bottom"/>
            <w:shd w:val="clear" w:color="auto" w:fill="CCEEFF"/>
          </w:tcPr>
          <w:p>
            <w:pPr>
              <w:jc w:val="right"/>
              <w:ind w:right="44"/>
              <w:spacing w:after="0" w:line="116" w:lineRule="exact"/>
              <w:rPr>
                <w:sz w:val="20"/>
                <w:szCs w:val="20"/>
                <w:color w:val="auto"/>
              </w:rPr>
            </w:pPr>
            <w:r>
              <w:rPr>
                <w:rFonts w:ascii="Arial" w:cs="Arial" w:eastAsia="Arial" w:hAnsi="Arial"/>
                <w:sz w:val="11"/>
                <w:szCs w:val="11"/>
                <w:color w:val="auto"/>
              </w:rPr>
              <w:t>31 December</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i w:val="1"/>
                <w:iCs w:val="1"/>
                <w:color w:val="auto"/>
              </w:rPr>
              <w:t>Note</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2018</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2017</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$’000</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Profit for the financial year</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322,817</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272,944</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w w:val="99"/>
              </w:rPr>
              <w:t>Adjustments to reconcile net income to net cash generated from operating activities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disposal of property, plant and equipment</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70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Depreciation</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12</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19,996</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19,876</w:t>
            </w:r>
          </w:p>
        </w:tc>
        <w:tc>
          <w:tcPr>
            <w:tcW w:w="0" w:type="dxa"/>
            <w:vAlign w:val="bottom"/>
          </w:tcPr>
          <w:p>
            <w:pPr>
              <w:spacing w:after="0"/>
              <w:rPr>
                <w:sz w:val="1"/>
                <w:szCs w:val="1"/>
                <w:color w:val="auto"/>
              </w:rPr>
            </w:pPr>
          </w:p>
        </w:tc>
      </w:tr>
      <w:tr>
        <w:trPr>
          <w:trHeight w:val="17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intangible assets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13</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45,920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41,421</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Amortisation of grants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22</w:t>
            </w: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(47)</w:t>
            </w:r>
          </w:p>
        </w:tc>
        <w:tc>
          <w:tcPr>
            <w:tcW w:w="840" w:type="dxa"/>
            <w:vAlign w:val="bottom"/>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3"/>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on short term investments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18</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(1,329)</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(1,088)</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Realised gain on sale of current asset investments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18</w:t>
            </w: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(56)</w:t>
            </w:r>
          </w:p>
        </w:tc>
        <w:tc>
          <w:tcPr>
            <w:tcW w:w="840" w:type="dxa"/>
            <w:vAlign w:val="bottom"/>
          </w:tcPr>
          <w:p>
            <w:pPr>
              <w:jc w:val="right"/>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73"/>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re-measurement of long-term financial assets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18</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(800)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Amortisation of gain on interest rate hedge</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5</w:t>
            </w: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(923)</w:t>
            </w:r>
          </w:p>
        </w:tc>
        <w:tc>
          <w:tcPr>
            <w:tcW w:w="840" w:type="dxa"/>
            <w:vAlign w:val="bottom"/>
          </w:tcPr>
          <w:p>
            <w:pPr>
              <w:jc w:val="right"/>
              <w:spacing w:after="0"/>
              <w:rPr>
                <w:sz w:val="20"/>
                <w:szCs w:val="20"/>
                <w:color w:val="auto"/>
              </w:rPr>
            </w:pPr>
            <w:r>
              <w:rPr>
                <w:rFonts w:ascii="Arial" w:cs="Arial" w:eastAsia="Arial" w:hAnsi="Arial"/>
                <w:sz w:val="11"/>
                <w:szCs w:val="11"/>
                <w:color w:val="auto"/>
              </w:rPr>
              <w:t>(923)</w:t>
            </w:r>
          </w:p>
        </w:tc>
        <w:tc>
          <w:tcPr>
            <w:tcW w:w="0" w:type="dxa"/>
            <w:vAlign w:val="bottom"/>
          </w:tcPr>
          <w:p>
            <w:pPr>
              <w:spacing w:after="0"/>
              <w:rPr>
                <w:sz w:val="1"/>
                <w:szCs w:val="1"/>
                <w:color w:val="auto"/>
              </w:rPr>
            </w:pPr>
          </w:p>
        </w:tc>
      </w:tr>
      <w:tr>
        <w:trPr>
          <w:trHeight w:val="173"/>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deferred financing costs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5</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812</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556</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Share based payment</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11</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28,059</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31,120</w:t>
            </w:r>
          </w:p>
        </w:tc>
        <w:tc>
          <w:tcPr>
            <w:tcW w:w="0" w:type="dxa"/>
            <w:vAlign w:val="bottom"/>
          </w:tcPr>
          <w:p>
            <w:pPr>
              <w:spacing w:after="0"/>
              <w:rPr>
                <w:sz w:val="1"/>
                <w:szCs w:val="1"/>
                <w:color w:val="auto"/>
              </w:rPr>
            </w:pPr>
          </w:p>
        </w:tc>
      </w:tr>
      <w:tr>
        <w:trPr>
          <w:trHeight w:val="168"/>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income</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4</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(4,759)</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(2,346)</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Financing expense</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5</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13,613</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12,627</w:t>
            </w:r>
          </w:p>
        </w:tc>
        <w:tc>
          <w:tcPr>
            <w:tcW w:w="0" w:type="dxa"/>
            <w:vAlign w:val="bottom"/>
          </w:tcPr>
          <w:p>
            <w:pPr>
              <w:spacing w:after="0"/>
              <w:rPr>
                <w:sz w:val="1"/>
                <w:szCs w:val="1"/>
                <w:color w:val="auto"/>
              </w:rPr>
            </w:pPr>
          </w:p>
        </w:tc>
      </w:tr>
      <w:tr>
        <w:trPr>
          <w:trHeight w:val="17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pension service costs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263</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Defined benefit pension finance costs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137</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181</w:t>
            </w:r>
          </w:p>
        </w:tc>
        <w:tc>
          <w:tcPr>
            <w:tcW w:w="0" w:type="dxa"/>
            <w:vAlign w:val="bottom"/>
          </w:tcPr>
          <w:p>
            <w:pPr>
              <w:spacing w:after="0"/>
              <w:rPr>
                <w:sz w:val="1"/>
                <w:szCs w:val="1"/>
                <w:color w:val="auto"/>
              </w:rPr>
            </w:pPr>
          </w:p>
        </w:tc>
      </w:tr>
      <w:tr>
        <w:trPr>
          <w:trHeight w:val="17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past service cost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(8)</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4440" w:type="dxa"/>
            <w:vAlign w:val="bottom"/>
          </w:tcPr>
          <w:p>
            <w:pPr>
              <w:ind w:left="20"/>
              <w:spacing w:after="0"/>
              <w:rPr>
                <w:sz w:val="20"/>
                <w:szCs w:val="20"/>
                <w:color w:val="auto"/>
              </w:rPr>
            </w:pPr>
            <w:r>
              <w:rPr>
                <w:rFonts w:ascii="Arial" w:cs="Arial" w:eastAsia="Arial" w:hAnsi="Arial"/>
                <w:sz w:val="11"/>
                <w:szCs w:val="11"/>
                <w:color w:val="auto"/>
              </w:rPr>
              <w:t>Defined benefit expenses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4"/>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6</w:t>
            </w: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45,558</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54,721</w:t>
            </w: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Operating cash inflow before changes in working capital</w:t>
            </w: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469,323</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429,508</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(Increase)/decrease in accounts receivable</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(37,557)</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57,747</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Increase in unbilled revenue</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(98,510)</w:t>
            </w:r>
          </w:p>
        </w:tc>
        <w:tc>
          <w:tcPr>
            <w:tcW w:w="840" w:type="dxa"/>
            <w:vAlign w:val="bottom"/>
          </w:tcPr>
          <w:p>
            <w:pPr>
              <w:jc w:val="right"/>
              <w:spacing w:after="0"/>
              <w:rPr>
                <w:sz w:val="20"/>
                <w:szCs w:val="20"/>
                <w:color w:val="auto"/>
              </w:rPr>
            </w:pPr>
            <w:r>
              <w:rPr>
                <w:rFonts w:ascii="Arial" w:cs="Arial" w:eastAsia="Arial" w:hAnsi="Arial"/>
                <w:sz w:val="11"/>
                <w:szCs w:val="11"/>
                <w:color w:val="auto"/>
              </w:rPr>
              <w:t>(62,491)</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other current assets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342</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5,947</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Decrease/(increase) in other non current assets</w:t>
            </w: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856</w:t>
            </w:r>
          </w:p>
        </w:tc>
        <w:tc>
          <w:tcPr>
            <w:tcW w:w="840" w:type="dxa"/>
            <w:vAlign w:val="bottom"/>
          </w:tcPr>
          <w:p>
            <w:pPr>
              <w:jc w:val="right"/>
              <w:spacing w:after="0"/>
              <w:rPr>
                <w:sz w:val="20"/>
                <w:szCs w:val="20"/>
                <w:color w:val="auto"/>
              </w:rPr>
            </w:pPr>
            <w:r>
              <w:rPr>
                <w:rFonts w:ascii="Arial" w:cs="Arial" w:eastAsia="Arial" w:hAnsi="Arial"/>
                <w:sz w:val="11"/>
                <w:szCs w:val="11"/>
                <w:color w:val="auto"/>
              </w:rPr>
              <w:t>(1,524)</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(Increase)/decrease in inventory</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(38)</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(Decrease)/increase in accounts payable</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(5,067)</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7,014</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payments on account</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(6,253)</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(7,174)</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Decrease in accrued and other liabilities and provisions</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(29,613)</w:t>
            </w:r>
          </w:p>
        </w:tc>
        <w:tc>
          <w:tcPr>
            <w:tcW w:w="840" w:type="dxa"/>
            <w:vAlign w:val="bottom"/>
          </w:tcPr>
          <w:p>
            <w:pPr>
              <w:jc w:val="right"/>
              <w:spacing w:after="0"/>
              <w:rPr>
                <w:sz w:val="20"/>
                <w:szCs w:val="20"/>
                <w:color w:val="auto"/>
              </w:rPr>
            </w:pPr>
            <w:r>
              <w:rPr>
                <w:rFonts w:ascii="Arial" w:cs="Arial" w:eastAsia="Arial" w:hAnsi="Arial"/>
                <w:sz w:val="11"/>
                <w:szCs w:val="11"/>
                <w:color w:val="auto"/>
              </w:rPr>
              <w:t>(21,169)</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non current other liabilities and provisions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(1,813)</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(4,657)</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Cash provided by operations</w:t>
            </w:r>
          </w:p>
        </w:tc>
        <w:tc>
          <w:tcPr>
            <w:tcW w:w="760" w:type="dxa"/>
            <w:vAlign w:val="bottom"/>
          </w:tcPr>
          <w:p>
            <w:pPr>
              <w:spacing w:after="0"/>
              <w:rPr>
                <w:sz w:val="12"/>
                <w:szCs w:val="12"/>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291,670</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403,384</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taxes paid</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(18,558)</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(12,305)</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Employer contribution defined benefit pension scheme</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(263)</w:t>
            </w:r>
          </w:p>
        </w:tc>
        <w:tc>
          <w:tcPr>
            <w:tcW w:w="840" w:type="dxa"/>
            <w:vAlign w:val="bottom"/>
          </w:tcPr>
          <w:p>
            <w:pPr>
              <w:jc w:val="right"/>
              <w:spacing w:after="0"/>
              <w:rPr>
                <w:sz w:val="20"/>
                <w:szCs w:val="20"/>
                <w:color w:val="auto"/>
              </w:rPr>
            </w:pPr>
            <w:r>
              <w:rPr>
                <w:rFonts w:ascii="Arial" w:cs="Arial" w:eastAsia="Arial" w:hAnsi="Arial"/>
                <w:sz w:val="11"/>
                <w:szCs w:val="11"/>
                <w:color w:val="auto"/>
              </w:rPr>
              <w:t>(4,165)</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received</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4,224</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1,743</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Interest paid</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(13,060)</w:t>
            </w:r>
          </w:p>
        </w:tc>
        <w:tc>
          <w:tcPr>
            <w:tcW w:w="840" w:type="dxa"/>
            <w:vAlign w:val="bottom"/>
          </w:tcPr>
          <w:p>
            <w:pPr>
              <w:jc w:val="right"/>
              <w:spacing w:after="0"/>
              <w:rPr>
                <w:sz w:val="20"/>
                <w:szCs w:val="20"/>
                <w:color w:val="auto"/>
              </w:rPr>
            </w:pPr>
            <w:r>
              <w:rPr>
                <w:rFonts w:ascii="Arial" w:cs="Arial" w:eastAsia="Arial" w:hAnsi="Arial"/>
                <w:sz w:val="11"/>
                <w:szCs w:val="11"/>
                <w:color w:val="auto"/>
              </w:rPr>
              <w:t>(13,094)</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inflow from operating activities</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264,013</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375,563</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property, plant and equipment</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(20,760)</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(19,798)</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Purchase of intangible assets</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(27,637)</w:t>
            </w:r>
          </w:p>
        </w:tc>
        <w:tc>
          <w:tcPr>
            <w:tcW w:w="840" w:type="dxa"/>
            <w:vAlign w:val="bottom"/>
          </w:tcPr>
          <w:p>
            <w:pPr>
              <w:jc w:val="right"/>
              <w:spacing w:after="0"/>
              <w:rPr>
                <w:sz w:val="20"/>
                <w:szCs w:val="20"/>
                <w:color w:val="auto"/>
              </w:rPr>
            </w:pPr>
            <w:r>
              <w:rPr>
                <w:rFonts w:ascii="Arial" w:cs="Arial" w:eastAsia="Arial" w:hAnsi="Arial"/>
                <w:sz w:val="11"/>
                <w:szCs w:val="11"/>
                <w:color w:val="auto"/>
              </w:rPr>
              <w:t>(24,919)</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subsidiary undertakings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(1,645)</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(144,131)</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Cash acquired with subsidiary undertakings</w:t>
            </w:r>
          </w:p>
        </w:tc>
        <w:tc>
          <w:tcPr>
            <w:tcW w:w="760" w:type="dxa"/>
            <w:vAlign w:val="bottom"/>
          </w:tcPr>
          <w:p>
            <w:pPr>
              <w:spacing w:after="0"/>
              <w:rPr>
                <w:sz w:val="13"/>
                <w:szCs w:val="13"/>
                <w:color w:val="auto"/>
              </w:rPr>
            </w:pPr>
          </w:p>
        </w:tc>
        <w:tc>
          <w:tcPr>
            <w:tcW w:w="940" w:type="dxa"/>
            <w:vAlign w:val="bottom"/>
            <w:vMerge w:val="restart"/>
          </w:tcPr>
          <w:p>
            <w:pPr>
              <w:jc w:val="right"/>
              <w:ind w:right="104"/>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19,649</w:t>
            </w:r>
          </w:p>
        </w:tc>
        <w:tc>
          <w:tcPr>
            <w:tcW w:w="0" w:type="dxa"/>
            <w:vAlign w:val="bottom"/>
          </w:tcPr>
          <w:p>
            <w:pPr>
              <w:spacing w:after="0"/>
              <w:rPr>
                <w:sz w:val="1"/>
                <w:szCs w:val="1"/>
                <w:color w:val="auto"/>
              </w:rPr>
            </w:pPr>
          </w:p>
        </w:tc>
      </w:tr>
      <w:tr>
        <w:trPr>
          <w:trHeight w:val="57"/>
        </w:trPr>
        <w:tc>
          <w:tcPr>
            <w:tcW w:w="4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Sale/maturity of current asset investments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99,865</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33,086</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Purchase of current asset investments</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(80,956)</w:t>
            </w:r>
          </w:p>
        </w:tc>
        <w:tc>
          <w:tcPr>
            <w:tcW w:w="840" w:type="dxa"/>
            <w:vAlign w:val="bottom"/>
          </w:tcPr>
          <w:p>
            <w:pPr>
              <w:jc w:val="right"/>
              <w:spacing w:after="0"/>
              <w:rPr>
                <w:sz w:val="20"/>
                <w:szCs w:val="20"/>
                <w:color w:val="auto"/>
              </w:rPr>
            </w:pPr>
            <w:r>
              <w:rPr>
                <w:rFonts w:ascii="Arial" w:cs="Arial" w:eastAsia="Arial" w:hAnsi="Arial"/>
                <w:sz w:val="11"/>
                <w:szCs w:val="11"/>
                <w:color w:val="auto"/>
              </w:rPr>
              <w:t>(41,701)</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Purchase of investments in equity - long term</w:t>
            </w:r>
          </w:p>
        </w:tc>
        <w:tc>
          <w:tcPr>
            <w:tcW w:w="7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(6,163)</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760" w:type="dxa"/>
            <w:vAlign w:val="bottom"/>
          </w:tcPr>
          <w:p>
            <w:pPr>
              <w:spacing w:after="0"/>
              <w:rPr>
                <w:sz w:val="12"/>
                <w:szCs w:val="12"/>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(37,296)</w:t>
            </w:r>
          </w:p>
        </w:tc>
        <w:tc>
          <w:tcPr>
            <w:tcW w:w="840" w:type="dxa"/>
            <w:vAlign w:val="bottom"/>
          </w:tcPr>
          <w:p>
            <w:pPr>
              <w:jc w:val="right"/>
              <w:spacing w:after="0"/>
              <w:rPr>
                <w:sz w:val="20"/>
                <w:szCs w:val="20"/>
                <w:color w:val="auto"/>
              </w:rPr>
            </w:pPr>
            <w:r>
              <w:rPr>
                <w:rFonts w:ascii="Arial" w:cs="Arial" w:eastAsia="Arial" w:hAnsi="Arial"/>
                <w:sz w:val="11"/>
                <w:szCs w:val="11"/>
                <w:color w:val="auto"/>
              </w:rPr>
              <w:t>(177,814)</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Financing costs</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(823)</w:t>
            </w:r>
          </w:p>
        </w:tc>
        <w:tc>
          <w:tcPr>
            <w:tcW w:w="8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7"/>
        </w:trPr>
        <w:tc>
          <w:tcPr>
            <w:tcW w:w="4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Tax benefit from the exercise of share options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4,626</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7,519</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Proceeds from exercise of share options, RSUs and PSUs</w:t>
            </w: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16,842</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13,950</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issuance costs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(16)</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Repurchase of ordinary shares</w:t>
            </w:r>
          </w:p>
        </w:tc>
        <w:tc>
          <w:tcPr>
            <w:tcW w:w="760" w:type="dxa"/>
            <w:vAlign w:val="bottom"/>
          </w:tcPr>
          <w:p>
            <w:pPr>
              <w:spacing w:after="0"/>
              <w:rPr>
                <w:sz w:val="13"/>
                <w:szCs w:val="13"/>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(128,960)</w:t>
            </w:r>
          </w:p>
        </w:tc>
        <w:tc>
          <w:tcPr>
            <w:tcW w:w="840" w:type="dxa"/>
            <w:vAlign w:val="bottom"/>
          </w:tcPr>
          <w:p>
            <w:pPr>
              <w:jc w:val="right"/>
              <w:spacing w:after="0"/>
              <w:rPr>
                <w:sz w:val="20"/>
                <w:szCs w:val="20"/>
                <w:color w:val="auto"/>
              </w:rPr>
            </w:pPr>
            <w:r>
              <w:rPr>
                <w:rFonts w:ascii="Arial" w:cs="Arial" w:eastAsia="Arial" w:hAnsi="Arial"/>
                <w:sz w:val="11"/>
                <w:szCs w:val="11"/>
                <w:color w:val="auto"/>
              </w:rPr>
              <w:t>(133,106)</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repurchase costs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4"/>
              <w:spacing w:after="0"/>
              <w:rPr>
                <w:sz w:val="20"/>
                <w:szCs w:val="20"/>
                <w:color w:val="auto"/>
              </w:rPr>
            </w:pPr>
            <w:r>
              <w:rPr>
                <w:rFonts w:ascii="Arial" w:cs="Arial" w:eastAsia="Arial" w:hAnsi="Arial"/>
                <w:sz w:val="11"/>
                <w:szCs w:val="11"/>
                <w:b w:val="1"/>
                <w:bCs w:val="1"/>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760" w:type="dxa"/>
            <w:vAlign w:val="bottom"/>
          </w:tcPr>
          <w:p>
            <w:pPr>
              <w:spacing w:after="0"/>
              <w:rPr>
                <w:sz w:val="12"/>
                <w:szCs w:val="12"/>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(108,397)</w:t>
            </w:r>
          </w:p>
        </w:tc>
        <w:tc>
          <w:tcPr>
            <w:tcW w:w="840" w:type="dxa"/>
            <w:vAlign w:val="bottom"/>
          </w:tcPr>
          <w:p>
            <w:pPr>
              <w:jc w:val="right"/>
              <w:spacing w:after="0"/>
              <w:rPr>
                <w:sz w:val="20"/>
                <w:szCs w:val="20"/>
                <w:color w:val="auto"/>
              </w:rPr>
            </w:pPr>
            <w:r>
              <w:rPr>
                <w:rFonts w:ascii="Arial" w:cs="Arial" w:eastAsia="Arial" w:hAnsi="Arial"/>
                <w:sz w:val="11"/>
                <w:szCs w:val="11"/>
                <w:color w:val="auto"/>
              </w:rPr>
              <w:t>(111,758)</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increase in cash and cash equivalents</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118,320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85,991</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color w:val="auto"/>
              </w:rPr>
              <w:t>Effect of exchange rate changes</w:t>
            </w:r>
          </w:p>
        </w:tc>
        <w:tc>
          <w:tcPr>
            <w:tcW w:w="760" w:type="dxa"/>
            <w:vAlign w:val="bottom"/>
          </w:tcPr>
          <w:p>
            <w:pPr>
              <w:spacing w:after="0"/>
              <w:rPr>
                <w:sz w:val="12"/>
                <w:szCs w:val="12"/>
                <w:color w:val="auto"/>
              </w:rPr>
            </w:pPr>
          </w:p>
        </w:tc>
        <w:tc>
          <w:tcPr>
            <w:tcW w:w="940" w:type="dxa"/>
            <w:vAlign w:val="bottom"/>
          </w:tcPr>
          <w:p>
            <w:pPr>
              <w:jc w:val="right"/>
              <w:ind w:right="84"/>
              <w:spacing w:after="0"/>
              <w:rPr>
                <w:sz w:val="20"/>
                <w:szCs w:val="20"/>
                <w:color w:val="auto"/>
              </w:rPr>
            </w:pPr>
            <w:r>
              <w:rPr>
                <w:rFonts w:ascii="Arial" w:cs="Arial" w:eastAsia="Arial" w:hAnsi="Arial"/>
                <w:sz w:val="11"/>
                <w:szCs w:val="11"/>
                <w:b w:val="1"/>
                <w:bCs w:val="1"/>
                <w:color w:val="auto"/>
              </w:rPr>
              <w:t>(5,328)</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4,327</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at start of year</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282,859</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192,541</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at end of year</w:t>
            </w:r>
          </w:p>
        </w:tc>
        <w:tc>
          <w:tcPr>
            <w:tcW w:w="760" w:type="dxa"/>
            <w:vAlign w:val="bottom"/>
          </w:tcPr>
          <w:p>
            <w:pPr>
              <w:spacing w:after="0"/>
              <w:rPr>
                <w:sz w:val="12"/>
                <w:szCs w:val="12"/>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395,851</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282,859</w:t>
            </w:r>
          </w:p>
        </w:tc>
        <w:tc>
          <w:tcPr>
            <w:tcW w:w="0" w:type="dxa"/>
            <w:vAlign w:val="bottom"/>
          </w:tcPr>
          <w:p>
            <w:pPr>
              <w:spacing w:after="0"/>
              <w:rPr>
                <w:sz w:val="1"/>
                <w:szCs w:val="1"/>
                <w:color w:val="auto"/>
              </w:rPr>
            </w:pPr>
          </w:p>
        </w:tc>
      </w:tr>
      <w:tr>
        <w:trPr>
          <w:trHeight w:val="62"/>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10239"/>
          </w:cols>
          <w:pgMar w:left="220" w:top="1059" w:right="1440" w:bottom="1440" w:gutter="0" w:footer="0" w:header="0"/>
        </w:sectPr>
      </w:pPr>
    </w:p>
    <w:p>
      <w:pPr>
        <w:ind w:left="566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239"/>
          </w:cols>
          <w:pgMar w:left="220" w:top="1059"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73" w:lineRule="exact"/>
        <w:rPr>
          <w:sz w:val="20"/>
          <w:szCs w:val="20"/>
          <w:color w:val="auto"/>
        </w:rPr>
      </w:pPr>
    </w:p>
    <w:p>
      <w:pPr>
        <w:ind w:right="7760" w:firstLine="5"/>
        <w:spacing w:after="0" w:line="507" w:lineRule="auto"/>
        <w:tabs>
          <w:tab w:leader="none" w:pos="25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Statement of compliance</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2018. The Company Financial Statements have been prepared in accordance with IFRS as adopted by the EU and those parts of the Companies Act 2014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304 of the Companies Act 2014 from presenting to its members a Company Statement of Profit and Loss and Company Statement of Comprehensive Income and related notes.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preparation</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options, the pension plan assets, other investments and financial assets. Other than the new and amended standard adopted by the group, accounting policies are applied consistently with the prior year.</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and amended standards adopted by the group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Group has applied the following standards and amendments for the first time for the annual reporting period commencing 1 January 2018:</w:t>
      </w:r>
    </w:p>
    <w:p>
      <w:pPr>
        <w:spacing w:after="0" w:line="178" w:lineRule="exact"/>
        <w:rPr>
          <w:sz w:val="20"/>
          <w:szCs w:val="20"/>
          <w:color w:val="auto"/>
        </w:rPr>
      </w:pPr>
    </w:p>
    <w:p>
      <w:pPr>
        <w:ind w:left="520" w:hanging="261"/>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IFRS 9 </w:t>
      </w:r>
      <w:r>
        <w:rPr>
          <w:rFonts w:ascii="Arial" w:cs="Arial" w:eastAsia="Arial" w:hAnsi="Arial"/>
          <w:sz w:val="14"/>
          <w:szCs w:val="14"/>
          <w:i w:val="1"/>
          <w:iCs w:val="1"/>
          <w:color w:val="auto"/>
        </w:rPr>
        <w:t>Financial instruments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IFRS 15 </w:t>
      </w:r>
      <w:r>
        <w:rPr>
          <w:rFonts w:ascii="Arial" w:cs="Arial" w:eastAsia="Arial" w:hAnsi="Arial"/>
          <w:sz w:val="14"/>
          <w:szCs w:val="14"/>
          <w:i w:val="1"/>
          <w:iCs w:val="1"/>
          <w:color w:val="auto"/>
        </w:rPr>
        <w:t>Revenue from Contracts with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Classification and Measurement of Share-based Payment Transactions - Amendments to IFRS 2</w:t>
      </w:r>
    </w:p>
    <w:p>
      <w:pPr>
        <w:spacing w:after="0" w:line="8" w:lineRule="exact"/>
        <w:rPr>
          <w:rFonts w:ascii="Arial" w:cs="Arial" w:eastAsia="Arial" w:hAnsi="Arial"/>
          <w:sz w:val="14"/>
          <w:szCs w:val="14"/>
          <w:i w:val="1"/>
          <w:iCs w:val="1"/>
          <w:color w:val="auto"/>
        </w:rPr>
      </w:pPr>
    </w:p>
    <w:p>
      <w:pPr>
        <w:ind w:left="520" w:hanging="261"/>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Annual improvements 2014-2016 cycle</w:t>
      </w:r>
    </w:p>
    <w:p>
      <w:pPr>
        <w:spacing w:after="0" w:line="8" w:lineRule="exact"/>
        <w:rPr>
          <w:rFonts w:ascii="Arial" w:cs="Arial" w:eastAsia="Arial" w:hAnsi="Arial"/>
          <w:sz w:val="14"/>
          <w:szCs w:val="14"/>
          <w:i w:val="1"/>
          <w:iCs w:val="1"/>
          <w:color w:val="auto"/>
        </w:rPr>
      </w:pPr>
    </w:p>
    <w:p>
      <w:pPr>
        <w:ind w:left="520" w:hanging="261"/>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Interpretation 22 Foreign Currency Transactions and Advance Consideration.</w:t>
      </w:r>
    </w:p>
    <w:p>
      <w:pPr>
        <w:spacing w:after="0" w:line="167"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 xml:space="preserve">The Group changed its accounting policies following the adoption of IFRS 9 and IFRS 15. Certain adjustments were made following the adoption of IFRS 15. The impact of these changes are disclosed in </w:t>
      </w:r>
      <w:r>
        <w:rPr>
          <w:rFonts w:ascii="Arial" w:cs="Arial" w:eastAsia="Arial" w:hAnsi="Arial"/>
          <w:sz w:val="12"/>
          <w:szCs w:val="12"/>
          <w:i w:val="1"/>
          <w:iCs w:val="1"/>
          <w:color w:val="auto"/>
        </w:rPr>
        <w:t>note 34 Impact of New Accounting Policy</w:t>
      </w:r>
      <w:r>
        <w:rPr>
          <w:rFonts w:ascii="Arial" w:cs="Arial" w:eastAsia="Arial" w:hAnsi="Arial"/>
          <w:sz w:val="12"/>
          <w:szCs w:val="12"/>
          <w:color w:val="auto"/>
        </w:rPr>
        <w:t>. The other amendments (including IFRS 9) listed did not have any impact on the amounts recognised in prior periods or the current period. See the section following for accounting policies applied for these areas in the year ended 31 December 2018 (IFRS 15 and IFRS 9) and accounting policies applied in the years ended 31 December 2017 and previously.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accounting policies which involve significant estimates and judgements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preparation of Consolidated Financial Statements requires management to make estimates and judgements that affect the reported amounts of assets and liabilities at the date of the financial statements and the reported amounts of revenues and expenses during the reported period.</w:t>
      </w:r>
    </w:p>
    <w:p>
      <w:pPr>
        <w:spacing w:after="0" w:line="13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Estimates and judgements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judgements by management.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164" w:right="21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IFRS 15 - Revenue from Contracts with Customers (year-ended December 31, 2018)</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 xml:space="preserve">ICON adopted IFRS 15 using the cumulative effect transition method. Under this transition method, ICON has applied the new standard as at the date of initial application (i.e. 1 January 2018), without restatement of comparative amounts. The cumulative effect of initially applying the new standard (to revenue, costs and tax) is recorded as an adjustment to the opening balance of equity at the date of initial application. The comparative information has not been adjusted and therefore continues to be reported in accordance with previous accounting policies. See </w:t>
      </w:r>
      <w:r>
        <w:rPr>
          <w:rFonts w:ascii="Arial" w:cs="Arial" w:eastAsia="Arial" w:hAnsi="Arial"/>
          <w:sz w:val="14"/>
          <w:szCs w:val="14"/>
          <w:i w:val="1"/>
          <w:iCs w:val="1"/>
          <w:color w:val="auto"/>
        </w:rPr>
        <w:t>note 34 Impact of change in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policies </w:t>
      </w:r>
      <w:r>
        <w:rPr>
          <w:rFonts w:ascii="Arial" w:cs="Arial" w:eastAsia="Arial" w:hAnsi="Arial"/>
          <w:sz w:val="14"/>
          <w:szCs w:val="14"/>
          <w:color w:val="auto"/>
        </w:rPr>
        <w:t>for details of the impact of adoption of the new accounting policy. The new standard requires application of five steps: (1) identify the contract(s) with a customer; (2) identify the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 in the contract; (3) determine the transaction price; (4) allocate the transaction price to the performance obligations in the contract; and (5) recognise revenue when (or as) the entity satisfies the performance obligation.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 service revenue</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most significant impact of application of the standard relates to our assessment of performance obligations and percentage of completion in respect of our clinical trial service revenue. Prior to application of IFRS 15, the revenue attributable to performance was determined based on both input and output methods of measurement on a percentage of completion basis.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 party costs) at each reporting period.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Contracting services revenue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On evaluation of the principles at (1) - (5) set-out above in respect of IFRS 15, the Company has availed of the practical expedient which results in recognition of revenue on a right to invoice basis.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Application of the practical expedient reflects the right to consideration from the customer in an amount that corresponds directly with the value to the customer of the performance completion to date.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This reflects hours performed by contract staff.</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Consulting services revenue</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application of the IFRS 15 principles at (1) - (5) set-out above, we have concluded that our 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Laboratory services revenue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that amounts corresponds to the value of the Company's performance and the transfer of value to the customer.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762" w:right="21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 (years ended 31 December 2017 and previously)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Revenue for services, as rendered, is recognised only after persuasive evidence of an arrangement exists, the sales price is fixed or determinable and collectability is reasonably assured.</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Contract costs equate to the product of labour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labour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recognised on the unit of delivery method, the basis applied is the number of units completed as a percentage of the total number of contractual units.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Consulting revenue is recognised on a fee-for-service basis as each hour of the related service is performed.</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Contract staffing revenue is recognised on a fee-for-service basis, over the time the related service is performed, or in the case of permanent placement, once the candidate has been placed with the client.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14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Informatics revenue is recognised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License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Contracts generally contain provisions for renegotiation in the event of changes in the scope, nature, duration, or volume of services of the contract. Renegotiated amounts are recognised as revenue by revision to the total contract value arising as a result of an authorised customer change order.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party costs (Reimbursable expenses)</w:t>
      </w:r>
    </w:p>
    <w:p>
      <w:pPr>
        <w:spacing w:after="0" w:line="18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Reimbursable expenses comprise investigator payments and certain other costs which are reimbursed by clients under terms specific to each contract to the investigators. Third party costs (reimbursable expenses) and the related revenue were separately presented on the face of the Consolidated Statement of Operations for periods up to and including the year-ended 31 December 2017.</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IFRS 9 (year-ended 31 December 2018)</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IFRS 9 -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replaces IAS 39 </w:t>
      </w:r>
      <w:r>
        <w:rPr>
          <w:rFonts w:ascii="Arial" w:cs="Arial" w:eastAsia="Arial" w:hAnsi="Arial"/>
          <w:sz w:val="14"/>
          <w:szCs w:val="14"/>
          <w:i w:val="1"/>
          <w:iCs w:val="1"/>
          <w:color w:val="auto"/>
        </w:rPr>
        <w:t>Financial instruments: Recognition and Measurement effective from 1 January 2018</w:t>
      </w:r>
      <w:r>
        <w:rPr>
          <w:rFonts w:ascii="Arial" w:cs="Arial" w:eastAsia="Arial" w:hAnsi="Arial"/>
          <w:sz w:val="14"/>
          <w:szCs w:val="14"/>
          <w:color w:val="auto"/>
        </w:rPr>
        <w:t>. It addresses the classification, measurement and de-recognition of financial assets and financial liabilities, introduces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762" w:right="21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a new impairment model for financial assets and new rules for hedge accounting. Adoption of IFRS 9 did not have any impact on the amounts recognised in prior periods or the current period. See </w:t>
      </w:r>
      <w:r>
        <w:rPr>
          <w:rFonts w:ascii="Arial" w:cs="Arial" w:eastAsia="Arial" w:hAnsi="Arial"/>
          <w:sz w:val="14"/>
          <w:szCs w:val="14"/>
          <w:i w:val="1"/>
          <w:iCs w:val="1"/>
          <w:color w:val="auto"/>
        </w:rPr>
        <w:t>note</w:t>
      </w:r>
      <w:r>
        <w:rPr>
          <w:rFonts w:ascii="Arial" w:cs="Arial" w:eastAsia="Arial" w:hAnsi="Arial"/>
          <w:sz w:val="14"/>
          <w:szCs w:val="14"/>
          <w:color w:val="auto"/>
        </w:rPr>
        <w:t xml:space="preserve"> </w:t>
      </w:r>
      <w:r>
        <w:rPr>
          <w:rFonts w:ascii="Arial" w:cs="Arial" w:eastAsia="Arial" w:hAnsi="Arial"/>
          <w:sz w:val="14"/>
          <w:szCs w:val="14"/>
          <w:i w:val="1"/>
          <w:iCs w:val="1"/>
          <w:color w:val="auto"/>
        </w:rPr>
        <w:t>34 Impact of change in accounting policies.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Group assessed the business models and contractual cash flows which apply to its financial assets and classified the assets into the appropriate IFRS 9 categories accordingly.</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Financial</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Classification and</w:t>
            </w:r>
          </w:p>
        </w:tc>
        <w:tc>
          <w:tcPr>
            <w:tcW w:w="1860" w:type="dxa"/>
            <w:vAlign w:val="bottom"/>
            <w:tcBorders>
              <w:top w:val="single" w:sz="8" w:color="auto"/>
              <w:right w:val="single" w:sz="8" w:color="auto"/>
            </w:tcBorders>
          </w:tcPr>
          <w:p>
            <w:pPr>
              <w:spacing w:after="0"/>
              <w:rPr>
                <w:sz w:val="16"/>
                <w:szCs w:val="16"/>
                <w:color w:val="auto"/>
              </w:rPr>
            </w:pPr>
          </w:p>
        </w:tc>
        <w:tc>
          <w:tcPr>
            <w:tcW w:w="26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asset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measurement under IAS</w:t>
            </w:r>
          </w:p>
        </w:tc>
        <w:tc>
          <w:tcPr>
            <w:tcW w:w="1860" w:type="dxa"/>
            <w:vAlign w:val="bottom"/>
            <w:tcBorders>
              <w:right w:val="single" w:sz="8" w:color="auto"/>
            </w:tcBorders>
          </w:tcPr>
          <w:p>
            <w:pPr>
              <w:ind w:left="380"/>
              <w:spacing w:after="0"/>
              <w:rPr>
                <w:sz w:val="20"/>
                <w:szCs w:val="20"/>
                <w:color w:val="auto"/>
              </w:rPr>
            </w:pPr>
            <w:r>
              <w:rPr>
                <w:rFonts w:ascii="Arial" w:cs="Arial" w:eastAsia="Arial" w:hAnsi="Arial"/>
                <w:sz w:val="14"/>
                <w:szCs w:val="14"/>
                <w:b w:val="1"/>
                <w:bCs w:val="1"/>
                <w:color w:val="auto"/>
              </w:rPr>
              <w:t>Classification and</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39</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w w:val="95"/>
              </w:rPr>
              <w:t>measurement under IFRS 9</w:t>
            </w:r>
          </w:p>
        </w:tc>
        <w:tc>
          <w:tcPr>
            <w:tcW w:w="2620" w:type="dxa"/>
            <w:vAlign w:val="bottom"/>
            <w:tcBorders>
              <w:right w:val="single" w:sz="8" w:color="auto"/>
            </w:tcBorders>
          </w:tcPr>
          <w:p>
            <w:pPr>
              <w:ind w:left="460"/>
              <w:spacing w:after="0"/>
              <w:rPr>
                <w:sz w:val="20"/>
                <w:szCs w:val="20"/>
                <w:color w:val="auto"/>
              </w:rPr>
            </w:pPr>
            <w:r>
              <w:rPr>
                <w:rFonts w:ascii="Arial" w:cs="Arial" w:eastAsia="Arial" w:hAnsi="Arial"/>
                <w:sz w:val="14"/>
                <w:szCs w:val="14"/>
                <w:b w:val="1"/>
                <w:bCs w:val="1"/>
                <w:color w:val="auto"/>
              </w:rPr>
              <w:t>Classification test outcomes</w:t>
            </w:r>
          </w:p>
        </w:tc>
        <w:tc>
          <w:tcPr>
            <w:tcW w:w="0" w:type="dxa"/>
            <w:vAlign w:val="bottom"/>
          </w:tcPr>
          <w:p>
            <w:pPr>
              <w:spacing w:after="0"/>
              <w:rPr>
                <w:sz w:val="1"/>
                <w:szCs w:val="1"/>
                <w:color w:val="auto"/>
              </w:rPr>
            </w:pPr>
          </w:p>
        </w:tc>
      </w:tr>
      <w:tr>
        <w:trPr>
          <w:trHeight w:val="21"/>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Cash and</w:t>
            </w:r>
          </w:p>
        </w:tc>
        <w:tc>
          <w:tcPr>
            <w:tcW w:w="16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cash</w:t>
            </w: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Loans and receivables at</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Financial assets at fair value</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equivalents</w:t>
            </w:r>
          </w:p>
        </w:tc>
        <w:tc>
          <w:tcPr>
            <w:tcW w:w="16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9"/>
              </w:rPr>
              <w:t>Business model test result: hold to collect</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fair value (initial</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(initial recognition) followed</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Trade</w:t>
            </w: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contractual cash flows. Cash flow</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recognition) followed by</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by amortised cost net of</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receivables</w:t>
            </w: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2"/>
              </w:rPr>
              <w:t>characteristics test result: solely payments of</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3"/>
              </w:rPr>
              <w:t>amortised cost (subsequent</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impairments (subsequent</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principal and interest.</w:t>
            </w: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measurement).</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measurement).</w:t>
            </w:r>
          </w:p>
        </w:tc>
        <w:tc>
          <w:tcPr>
            <w:tcW w:w="2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Short-term financial</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Short-term financial assets at</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w w:val="90"/>
              </w:rPr>
              <w:t>Current asset</w:t>
            </w: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fair value (initial recognition)</w:t>
            </w: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840" w:type="dxa"/>
            <w:vAlign w:val="bottom"/>
            <w:tcBorders>
              <w:left w:val="single" w:sz="8" w:color="auto"/>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ind w:left="20"/>
              <w:spacing w:after="0" w:line="138" w:lineRule="exact"/>
              <w:rPr>
                <w:sz w:val="20"/>
                <w:szCs w:val="20"/>
                <w:color w:val="auto"/>
              </w:rPr>
            </w:pPr>
            <w:r>
              <w:rPr>
                <w:rFonts w:ascii="Arial" w:cs="Arial" w:eastAsia="Arial" w:hAnsi="Arial"/>
                <w:sz w:val="14"/>
                <w:szCs w:val="14"/>
                <w:color w:val="auto"/>
              </w:rPr>
              <w:t>investments at fair value</w:t>
            </w:r>
          </w:p>
        </w:tc>
        <w:tc>
          <w:tcPr>
            <w:tcW w:w="186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investments</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through OCI</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either through OCI or profit or</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loss</w:t>
            </w:r>
          </w:p>
        </w:tc>
        <w:tc>
          <w:tcPr>
            <w:tcW w:w="2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Non-current</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Long-term financial assets</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Long-term financial assets at</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financial</w:t>
            </w: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at fair value through profit</w:t>
            </w: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5"/>
              </w:rPr>
              <w:t>fair value through profit or loss</w:t>
            </w: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assets</w:t>
            </w: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or loss</w:t>
            </w:r>
          </w:p>
        </w:tc>
        <w:tc>
          <w:tcPr>
            <w:tcW w:w="1860" w:type="dxa"/>
            <w:vAlign w:val="bottom"/>
            <w:tcBorders>
              <w:right w:val="single" w:sz="8" w:color="auto"/>
            </w:tcBorders>
            <w:vMerge w:val="continue"/>
          </w:tcPr>
          <w:p>
            <w:pPr>
              <w:spacing w:after="0"/>
              <w:rPr>
                <w:sz w:val="8"/>
                <w:szCs w:val="8"/>
                <w:color w:val="auto"/>
              </w:rPr>
            </w:pPr>
          </w:p>
        </w:tc>
        <w:tc>
          <w:tcPr>
            <w:tcW w:w="2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Business model test result: hold to collect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Contingent</w:t>
            </w: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7"/>
              </w:rPr>
              <w:t>Fair value through profit or</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Fair value through profit or</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contractual cash flows. Cash flow</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2"/>
              </w:rPr>
              <w:t>characteristics test result: potential variability</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w w:val="91"/>
              </w:rPr>
              <w:t>consideration</w:t>
            </w:r>
          </w:p>
        </w:tc>
        <w:tc>
          <w:tcPr>
            <w:tcW w:w="1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loss.</w:t>
            </w:r>
          </w:p>
        </w:tc>
        <w:tc>
          <w:tcPr>
            <w:tcW w:w="1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loss.</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2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4"/>
              </w:rPr>
              <w:t>in future payments results in changes to fair</w:t>
            </w:r>
          </w:p>
        </w:tc>
        <w:tc>
          <w:tcPr>
            <w:tcW w:w="0" w:type="dxa"/>
            <w:vAlign w:val="bottom"/>
          </w:tcPr>
          <w:p>
            <w:pPr>
              <w:spacing w:after="0"/>
              <w:rPr>
                <w:sz w:val="1"/>
                <w:szCs w:val="1"/>
                <w:color w:val="auto"/>
              </w:rPr>
            </w:pPr>
          </w:p>
        </w:tc>
      </w:tr>
      <w:tr>
        <w:trPr>
          <w:trHeight w:val="74"/>
        </w:trPr>
        <w:tc>
          <w:tcPr>
            <w:tcW w:w="840" w:type="dxa"/>
            <w:vAlign w:val="bottom"/>
            <w:tcBorders>
              <w:left w:val="single" w:sz="8" w:color="auto"/>
              <w:right w:val="single" w:sz="8" w:color="auto"/>
            </w:tcBorders>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2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4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As outlined above, the classification requirements under IFRS 9 did not impact the measurement or carrying amount of financial assets at 1 January 2018. See </w:t>
      </w:r>
      <w:r>
        <w:rPr>
          <w:rFonts w:ascii="Arial" w:cs="Arial" w:eastAsia="Arial" w:hAnsi="Arial"/>
          <w:sz w:val="14"/>
          <w:szCs w:val="14"/>
          <w:i w:val="1"/>
          <w:iCs w:val="1"/>
          <w:color w:val="auto"/>
        </w:rPr>
        <w:t>note 34 Impact of change in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w:t>
      </w:r>
    </w:p>
    <w:p>
      <w:pPr>
        <w:spacing w:after="0" w:line="1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Cash and cash equivalents (IFRS 9 - year ended 31 December 2018, IAS 39 - years ended 31 December 2017 and previously )</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Cash and cash equivalents include cash and highly liquid investments with original maturities of three months or less and are stated at fair value on initial recognition followed by amortised cost, which approximates fair value. This classification is applied under both IFRS 9 and IAS 39.</w:t>
      </w:r>
    </w:p>
    <w:p>
      <w:pPr>
        <w:spacing w:after="0" w:line="1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Trade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IFRS 9 - year ended 31 December 2018</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Group's financial assets measured at amortised cost, the most significant of which are trade receivables and unbilled receivables, are subject to IFRS 9's new expected credit loss model. The Group's impairment methodology has been revised in line with the requirements of IFRS 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762" w:right="21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200" w:lineRule="exact"/>
        <w:rPr>
          <w:sz w:val="20"/>
          <w:szCs w:val="20"/>
          <w:color w:val="auto"/>
        </w:rPr>
      </w:pPr>
    </w:p>
    <w:p>
      <w:pPr>
        <w:spacing w:after="0" w:line="34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For trade receivables and unbilled revenue, the Group applies the simplified approach permitted by IFRS 9, which requires expected lifetime losses to be recognised from initial recognition of the receivables. See notes 16, 26 and 34 for further details. As part of the IFRS 9 transition, the Group assessed its existing trade and unbilled receivables for impairment, using reasonable and supportable information that is available without undue cost or effort, to determine the credit risk of the receivables at the date on which they were initially recognised and compared that to the credit risk as at 1 January 2018. This assessment has not resulted in a material adjustment to trade and unbilled receivables. See </w:t>
      </w:r>
      <w:r>
        <w:rPr>
          <w:rFonts w:ascii="Arial" w:cs="Arial" w:eastAsia="Arial" w:hAnsi="Arial"/>
          <w:sz w:val="13"/>
          <w:szCs w:val="13"/>
          <w:i w:val="1"/>
          <w:iCs w:val="1"/>
          <w:color w:val="auto"/>
        </w:rPr>
        <w:t>note 34 Impact of change in accounting policies.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Under IAS 39, impairment of trade receivables was assessed based on the incurred loss model. Individual receivables which were known to be uncollectible were written off by reducing the carrying amount directly. The other receivables were assessed collectively to determine whether there was objective evidence that an impairment had been incurred but not yet identified. The estimated impairment losses were recognised as a provision for impairment. Receivables were written off against the provision when there was no expectation of recovering cash.</w:t>
      </w:r>
    </w:p>
    <w:p>
      <w:pPr>
        <w:spacing w:after="0" w:line="122" w:lineRule="exact"/>
        <w:rPr>
          <w:sz w:val="20"/>
          <w:szCs w:val="20"/>
          <w:color w:val="auto"/>
        </w:rPr>
      </w:pPr>
    </w:p>
    <w:p>
      <w:pPr>
        <w:ind w:right="7620" w:firstLine="5"/>
        <w:spacing w:after="0" w:line="507" w:lineRule="auto"/>
        <w:tabs>
          <w:tab w:leader="none" w:pos="298"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Current asset investments and non-current financial assets IFRS 9 - year ended 31 December 2018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From 1 January 2018, the Group classifies its financial assets in the following measurement categories:</w:t>
      </w:r>
    </w:p>
    <w:p>
      <w:pPr>
        <w:spacing w:after="0" w:line="19" w:lineRule="exact"/>
        <w:rPr>
          <w:sz w:val="20"/>
          <w:szCs w:val="20"/>
          <w:color w:val="auto"/>
        </w:rPr>
      </w:pPr>
    </w:p>
    <w:p>
      <w:pPr>
        <w:ind w:left="520" w:hanging="261"/>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those to be measured subsequently at fair value through OCI</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those to be measured subsequently at fair value through profit or loss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those to be measured at amortised cost.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classification depends on the entity's business model for managing financial assets and the contractual terms of the cash flows.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 The Group reclassifies debt investments when and only when its business model for managing those assets changes.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Purchases or sales of financial assets are recognised on trade date, the date the Group commits to purchase or sell the asset. Financial assets are de-recognised when the rights to receive cash flows from the financial assets have expired or have been transferred and the group has transferred substantially all the risks and rewards of ownership.</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Subsequent measurement of debt instruments depends on the Group's business model for managing the asset and the cash flow characteristics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There are three measurement categories into which the Group classifies its financial instruments:</w:t>
      </w:r>
    </w:p>
    <w:p>
      <w:pPr>
        <w:spacing w:after="0" w:line="178" w:lineRule="exact"/>
        <w:rPr>
          <w:sz w:val="20"/>
          <w:szCs w:val="20"/>
          <w:color w:val="auto"/>
        </w:rPr>
      </w:pPr>
    </w:p>
    <w:p>
      <w:pPr>
        <w:jc w:val="both"/>
        <w:ind w:left="520" w:hanging="261"/>
        <w:spacing w:after="0" w:line="266"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141" w:lineRule="exact"/>
        <w:rPr>
          <w:rFonts w:ascii="Arial" w:cs="Arial" w:eastAsia="Arial" w:hAnsi="Arial"/>
          <w:sz w:val="14"/>
          <w:szCs w:val="14"/>
          <w:color w:val="auto"/>
        </w:rPr>
      </w:pPr>
    </w:p>
    <w:p>
      <w:pPr>
        <w:ind w:left="520" w:hanging="261"/>
        <w:spacing w:after="0" w:line="280"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FVOCI: Assets that are held for collection of contractual cash flows and for selling the financial assets, where the assets' cash flows represent solely payments of principal and interest, are measured at FVOCI. Movements in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762" w:right="21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93" w:lineRule="exact"/>
        <w:rPr>
          <w:sz w:val="20"/>
          <w:szCs w:val="20"/>
          <w:color w:val="auto"/>
        </w:rPr>
      </w:pPr>
    </w:p>
    <w:p>
      <w:pPr>
        <w:jc w:val="both"/>
        <w:ind w:left="520"/>
        <w:spacing w:after="0" w:line="313" w:lineRule="auto"/>
        <w:rPr>
          <w:sz w:val="20"/>
          <w:szCs w:val="20"/>
          <w:color w:val="auto"/>
        </w:rPr>
      </w:pPr>
      <w:r>
        <w:rPr>
          <w:rFonts w:ascii="Arial" w:cs="Arial" w:eastAsia="Arial" w:hAnsi="Arial"/>
          <w:sz w:val="14"/>
          <w:szCs w:val="14"/>
          <w:color w:val="auto"/>
        </w:rPr>
        <w:t>carrying amount are taken through OCI, except for the recognition of impairment gains or loss.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21" w:lineRule="exact"/>
        <w:rPr>
          <w:sz w:val="20"/>
          <w:szCs w:val="20"/>
          <w:color w:val="auto"/>
        </w:rPr>
      </w:pPr>
    </w:p>
    <w:p>
      <w:pPr>
        <w:ind w:left="520" w:hanging="261"/>
        <w:spacing w:after="0" w:line="280"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FVPL: Assets that do not meet the criteria for amortised cost or FVOCI are measured at FVPL. A gain or loss on a debt investment that is subsequently measured at FPL is recognised in profit or loss.</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From 1 January 2018, the Group assesses on a forward looking basis the expected credit losses associated with its debt instruments carried at amortised cost and FVOCI. The impairment methodology applied depends on whether there has been a significant increase in credit risk.</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Until 31 December 2017, the Group classified financial assets in the following categories;</w:t>
      </w:r>
    </w:p>
    <w:p>
      <w:pPr>
        <w:spacing w:after="0" w:line="178" w:lineRule="exact"/>
        <w:rPr>
          <w:sz w:val="20"/>
          <w:szCs w:val="20"/>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financial assets at fair value through profit or loss, (none existed at 31 December 2017)</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loans and receivables,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held-to-maturity investments,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available-for-sale financial assets (current asset investments) .</w:t>
      </w:r>
    </w:p>
    <w:p>
      <w:pPr>
        <w:spacing w:after="0" w:line="16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classification depended on the purpose for which the investments were acquired. The Group determined the classification of its investments at initial recognition and, in the case of assets classified as held-to-maturity, re-evaluated this designation at the end of each reporting period.</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The measurement at initial recognition did not change on adoption of IFRS 9, see description above. Subsequent to the initial recognition, loans and receivables were carried at amortised cost.</w:t>
      </w:r>
    </w:p>
    <w:p>
      <w:pPr>
        <w:spacing w:after="0" w:line="185" w:lineRule="exact"/>
        <w:rPr>
          <w:sz w:val="20"/>
          <w:szCs w:val="20"/>
          <w:color w:val="auto"/>
        </w:rPr>
      </w:pPr>
    </w:p>
    <w:p>
      <w:pPr>
        <w:ind w:right="8840" w:firstLine="5"/>
        <w:spacing w:after="0" w:line="592" w:lineRule="auto"/>
        <w:tabs>
          <w:tab w:leader="none" w:pos="313"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Interest bearing loans and borrowings IFRS 9 - year ended 31 December 2018</w:t>
      </w:r>
    </w:p>
    <w:p>
      <w:pPr>
        <w:jc w:val="both"/>
        <w:spacing w:after="0" w:line="259" w:lineRule="auto"/>
        <w:rPr>
          <w:sz w:val="20"/>
          <w:szCs w:val="20"/>
          <w:color w:val="auto"/>
        </w:rPr>
      </w:pPr>
      <w:r>
        <w:rPr>
          <w:rFonts w:ascii="Arial" w:cs="Arial" w:eastAsia="Arial" w:hAnsi="Arial"/>
          <w:sz w:val="14"/>
          <w:szCs w:val="14"/>
          <w:color w:val="auto"/>
        </w:rPr>
        <w:t>Borrowings are initially recognised at fair value, net of transaction costs incurred. Borrowings are subsequently measured at amortised costs.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Borrowings are classified as current liabilities unless the Group has an unconditional right to defer settlement of the liability for at least 12 months after the reporting date.</w:t>
      </w:r>
    </w:p>
    <w:p>
      <w:pPr>
        <w:spacing w:after="0" w:line="178" w:lineRule="exact"/>
        <w:rPr>
          <w:sz w:val="20"/>
          <w:szCs w:val="20"/>
          <w:color w:val="auto"/>
        </w:rPr>
      </w:pPr>
    </w:p>
    <w:p>
      <w:pPr>
        <w:jc w:val="both"/>
        <w:ind w:right="100"/>
        <w:spacing w:after="0" w:line="266" w:lineRule="auto"/>
        <w:rPr>
          <w:sz w:val="20"/>
          <w:szCs w:val="20"/>
          <w:color w:val="auto"/>
        </w:rPr>
      </w:pPr>
      <w:r>
        <w:rPr>
          <w:rFonts w:ascii="Arial" w:cs="Arial" w:eastAsia="Arial" w:hAnsi="Arial"/>
          <w:sz w:val="14"/>
          <w:szCs w:val="14"/>
          <w:color w:val="auto"/>
        </w:rPr>
        <w:t>Borrowings are removed from the balance sheet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(e)</w:t>
      </w:r>
      <w:r>
        <w:rPr>
          <w:sz w:val="20"/>
          <w:szCs w:val="20"/>
          <w:color w:val="auto"/>
        </w:rPr>
        <w:tab/>
      </w:r>
      <w:r>
        <w:rPr>
          <w:rFonts w:ascii="Arial" w:cs="Arial" w:eastAsia="Arial" w:hAnsi="Arial"/>
          <w:sz w:val="12"/>
          <w:szCs w:val="12"/>
          <w:b w:val="1"/>
          <w:bCs w:val="1"/>
          <w:color w:val="auto"/>
        </w:rPr>
        <w:t>Hedge accounting</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IFRS 9 - year ended 31 December 2018</w:t>
      </w:r>
    </w:p>
    <w:p>
      <w:pPr>
        <w:spacing w:after="0" w:line="182" w:lineRule="exact"/>
        <w:rPr>
          <w:sz w:val="20"/>
          <w:szCs w:val="20"/>
          <w:color w:val="auto"/>
        </w:rPr>
      </w:pPr>
    </w:p>
    <w:p>
      <w:pPr>
        <w:ind w:right="200"/>
        <w:spacing w:after="0" w:line="280" w:lineRule="auto"/>
        <w:rPr>
          <w:sz w:val="20"/>
          <w:szCs w:val="20"/>
          <w:color w:val="auto"/>
        </w:rPr>
      </w:pPr>
      <w:r>
        <w:rPr>
          <w:rFonts w:ascii="Arial" w:cs="Arial" w:eastAsia="Arial" w:hAnsi="Arial"/>
          <w:sz w:val="14"/>
          <w:szCs w:val="14"/>
          <w:color w:val="auto"/>
        </w:rPr>
        <w:t>The Group's hedge relationships at 1 January 2018 qualify as continuing hedges on the adoption of IFRS 9. As a result, there has not been an impact to the financial position of the Group as a result of adopting IFRS 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762" w:right="21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financial instruments and hedging</w:t>
      </w:r>
    </w:p>
    <w:p>
      <w:pPr>
        <w:spacing w:after="0" w:line="182"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 The Group designates certain derivatives as either:</w:t>
      </w:r>
    </w:p>
    <w:p>
      <w:pPr>
        <w:spacing w:after="0" w:line="142" w:lineRule="exact"/>
        <w:rPr>
          <w:sz w:val="20"/>
          <w:szCs w:val="20"/>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hedges of the fair value of recognised assets or liabilities or a firm commitment (fair value hedges)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hedges of a particular risk associated with the cash flows of recognised assets and liabilities and highly probable forecast transactions (cash flow hedges), or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hedges of a net investment in a foreign operation (net investment hedges).</w:t>
      </w:r>
    </w:p>
    <w:p>
      <w:pPr>
        <w:spacing w:after="0" w:line="167"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fair value of derivative financial instruments designated in hedge relationships are disclosed in note 26. Movements in the hedging reserve in shareholders' equity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 hedges that qualify for hedge accounting</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Gains or losses relating to the effective portion of the change in intrinsic value of the options are recognised in the cash flow hedge reserve within equity. The changes in the time value of the options that relate to the hedged item are recognised within OCI in the costs of hedging reserve within equity.</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fair value of any derivative instrument that does not qualify for hedge accounting are recognised immediately in profit or loss.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There were no open derivative transactions at 31 December 2018.</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October 2015, the Group entered into an interest rate hedge in respect of the planned issuance of the Senior Notes in December 2015. The interest rate hedge matured in November 2015 when the interest rate on the Senior Notes was fixed. The interest rate hedge was considered an effective hedge on application of the provisions of IAS 39 and continues to be considered effective on application of the provisions of IFRS 9. The cash proceeds, representing the realised gain on the interest rate hedge were received on maturity in November 2015. The gain, representing the instrument’s fair value at maturity was recorded in Other Comprehensive Income and is being amortised to the Consolidated Statement of Profit and Loss over the term of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762" w:right="21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purposes of hedge accounting, hedges are designated either as fair value hedges (which hedge the exposure to movements in the fair value of recognised assets or liabilities or firm commitments that are attributable to hedge risks) or cash flow hedges (which hedge exposures to fluctuations in future cash flows derived from a particular risk associated with recognised assets or liabilities or highly probable forecast transactions).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 entering into a hedging instrument, the Group documents, at inception of the transaction, the relationship between the hedging instrument and the hedged item, as well as its risk management objectives and strategy for undertaking the hedging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Group also documents its assessment, at the inception of the hedge transaction, whether the derivative used is highly effective in offsetting the change in fair value or cash flows of the hedged item.</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Derivative financial instruments are recognised at fair value. Where a derivative financial instrument is designated as a hedge of a highly probable forecasted transaction, the effective part of changes in the fair value of the derivative financial instrument is recognised directly in the Consolidated Statement of Comprehensive Income. The associated cumulative gain or loss is removed from other comprehensive income and recognised in the Consolidated Statement of Profit and Loss in the same period or periods during which the hedged item affects profit or loss. The ineffective part of any gain or loss is recognised immediately in the Consolidated Statement of Profit and Loss.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Some of the Group's operational costs are settled in foreign currencies. In order to manage its exposure to changes in Euro exchange rates, the Group hedges part of its monthly forecasted Euro denominated cash outflows for operating costs using foreign currency forward contracts. During the years ended 31 December 2017 and 31 December 2018, the Group entered into forward currency contracts in respect of identified exposure arising from euro payments. All contracts expired during the year ended 31 December 2018.</w:t>
      </w:r>
    </w:p>
    <w:p>
      <w:pPr>
        <w:spacing w:after="0" w:line="138" w:lineRule="exact"/>
        <w:rPr>
          <w:sz w:val="20"/>
          <w:szCs w:val="20"/>
          <w:color w:val="auto"/>
        </w:rPr>
      </w:pPr>
    </w:p>
    <w:p>
      <w:pPr>
        <w:ind w:right="8840" w:firstLine="5"/>
        <w:spacing w:after="0" w:line="592" w:lineRule="auto"/>
        <w:tabs>
          <w:tab w:leader="none" w:pos="282"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 in subsidiaries - Company IFRS 9 - year ended 31 December 2018</w:t>
      </w: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Intercompany loans receivable and payable are initially recognised at fair value. These are subsequently measured at amortised cost, less any loss allowance.</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Investments in subsidiary undertakings are stated at cost less provision for impairment in the Company’s Statement of Financial Position. Loans to subsidiary undertakings which are deemed long term investments in nature are initially recorded at fair value in the Company Statement of Financial Position and subsequently at amortised cost using an effective interest rate methodology.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and amended standards and interpretations effective after 2018</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Certain new accounting standards and interpretations have been published that are not mandatory for 31 December 2018 reporting periods and have not been early adopted by the Group. The Group's assessment of the impact of these new standards and interpretations is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762" w:right="21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IFRS 16, </w:t>
      </w:r>
      <w:r>
        <w:rPr>
          <w:rFonts w:ascii="Arial" w:cs="Arial" w:eastAsia="Arial" w:hAnsi="Arial"/>
          <w:sz w:val="13"/>
          <w:szCs w:val="13"/>
          <w:i w:val="1"/>
          <w:iCs w:val="1"/>
          <w:color w:val="auto"/>
        </w:rPr>
        <w:t>Leases</w:t>
      </w:r>
      <w:r>
        <w:rPr>
          <w:rFonts w:ascii="Arial" w:cs="Arial" w:eastAsia="Arial" w:hAnsi="Arial"/>
          <w:sz w:val="13"/>
          <w:szCs w:val="13"/>
          <w:color w:val="auto"/>
        </w:rPr>
        <w:t xml:space="preserve"> issued in January 2018 by the IASB replaces IAS 17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and related interpretations. IFRS 16 sets out the principles for the recognition, measurement, presentation and disclosure of leases for both the lessee and the lessor. For lessees, IFRS 16 eliminates the classification of leases as either operating leases or finance leases and introduces a single lessee accounting model whereby all leases are accounted for as finance leases, with some exemptions. For lessors, IFRS 16 substantially carried forward the accounting requirement in IAS 17. IFRS 16 is effective for annual periods beginning on or after 1 January 2019. The Group will apply IFRS 16 from the effective date. See </w:t>
      </w:r>
      <w:r>
        <w:rPr>
          <w:rFonts w:ascii="Arial" w:cs="Arial" w:eastAsia="Arial" w:hAnsi="Arial"/>
          <w:sz w:val="13"/>
          <w:szCs w:val="13"/>
          <w:i w:val="1"/>
          <w:iCs w:val="1"/>
          <w:color w:val="auto"/>
        </w:rPr>
        <w:t>note 28 Commitments and contingencies</w:t>
      </w:r>
      <w:r>
        <w:rPr>
          <w:rFonts w:ascii="Arial" w:cs="Arial" w:eastAsia="Arial" w:hAnsi="Arial"/>
          <w:sz w:val="13"/>
          <w:szCs w:val="13"/>
          <w:color w:val="auto"/>
        </w:rPr>
        <w:t xml:space="preserve"> for details of operating leases held during year ended 31 December 2018. A lease liability and right-of-use asset will be recorded on the Consolidated Statement of Financial Position at 1 January 2019. We estimate the impact of adoption of IFRS 16 will be the recognition of a right-of-use asset and of lease liabilities in the range of $100 million to $110 million. Under the new standard we expect an insignificant change in net result due to the replacement of operating leases expenses with amortisation of the lease asset and the interest expense.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Other changes to IFRS have been issued; however, they are either not expected to have a material effect on the Consolidated Financial Statements or they are not currently relevant for the Group.</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accounting policies have been applied consistently in dealing with items which are considered material in relation to the Group’s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consolidation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presentation and functional currency of the Group and Company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change in functional currency was accounted for prospectively from the date of change. All items were translated using the exchange rate at the date of change and the resulting translated amounts for non-monetary items were recorded at their historical cost from 1 August 2015. The Company Financial Statements continue to be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762" w:right="21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non-dollar undertakings at average rates, and on the restatement of the opening net assets at closing rates, are dealt with in a separate translation reserve within equity.</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in the Consolidated Financial Statements where repayment is not foreseen, are taken to the Consolidated Statement of Profit and Loss. Translation differences on long term intercompany balances, in the Consolidated Financial Statements, where repayment is not foreseen are treated as other comprehensive income in the Statement of Comprehensive Income.</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The principal exchange rates used for the translation of results, cash flows and statements of financial position into US dollars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Average</w:t>
            </w:r>
          </w:p>
        </w:tc>
        <w:tc>
          <w:tcPr>
            <w:tcW w:w="1800" w:type="dxa"/>
            <w:vAlign w:val="bottom"/>
            <w:gridSpan w:val="2"/>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Year end</w:t>
            </w:r>
          </w:p>
        </w:tc>
      </w:tr>
      <w:tr>
        <w:trPr>
          <w:trHeight w:val="176"/>
        </w:trPr>
        <w:tc>
          <w:tcPr>
            <w:tcW w:w="226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31 December</w:t>
            </w:r>
          </w:p>
        </w:tc>
        <w:tc>
          <w:tcPr>
            <w:tcW w:w="900" w:type="dxa"/>
            <w:vAlign w:val="bottom"/>
          </w:tcPr>
          <w:p>
            <w:pPr>
              <w:jc w:val="right"/>
              <w:spacing w:after="0"/>
              <w:rPr>
                <w:sz w:val="20"/>
                <w:szCs w:val="20"/>
                <w:color w:val="auto"/>
              </w:rPr>
            </w:pPr>
            <w:r>
              <w:rPr>
                <w:rFonts w:ascii="Arial" w:cs="Arial" w:eastAsia="Arial" w:hAnsi="Arial"/>
                <w:sz w:val="14"/>
                <w:szCs w:val="14"/>
                <w:color w:val="auto"/>
                <w:w w:val="97"/>
              </w:rPr>
              <w:t>31 December</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w w:val="96"/>
              </w:rPr>
              <w:t>31 December</w:t>
            </w:r>
          </w:p>
        </w:tc>
        <w:tc>
          <w:tcPr>
            <w:tcW w:w="860" w:type="dxa"/>
            <w:vAlign w:val="bottom"/>
          </w:tcPr>
          <w:p>
            <w:pPr>
              <w:jc w:val="right"/>
              <w:spacing w:after="0"/>
              <w:rPr>
                <w:sz w:val="20"/>
                <w:szCs w:val="20"/>
                <w:color w:val="auto"/>
              </w:rPr>
            </w:pPr>
            <w:r>
              <w:rPr>
                <w:rFonts w:ascii="Arial" w:cs="Arial" w:eastAsia="Arial" w:hAnsi="Arial"/>
                <w:sz w:val="14"/>
                <w:szCs w:val="14"/>
                <w:color w:val="auto"/>
                <w:w w:val="97"/>
              </w:rPr>
              <w:t>31 December</w:t>
            </w:r>
          </w:p>
        </w:tc>
      </w:tr>
      <w:tr>
        <w:trPr>
          <w:trHeight w:val="184"/>
        </w:trPr>
        <w:tc>
          <w:tcPr>
            <w:tcW w:w="226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6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2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4"/>
                <w:szCs w:val="14"/>
                <w:color w:val="auto"/>
              </w:rPr>
              <w:t>Euro 1:$</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1.1846</w:t>
            </w:r>
          </w:p>
        </w:tc>
        <w:tc>
          <w:tcPr>
            <w:tcW w:w="900" w:type="dxa"/>
            <w:vAlign w:val="bottom"/>
          </w:tcPr>
          <w:p>
            <w:pPr>
              <w:jc w:val="right"/>
              <w:spacing w:after="0"/>
              <w:rPr>
                <w:sz w:val="20"/>
                <w:szCs w:val="20"/>
                <w:color w:val="auto"/>
              </w:rPr>
            </w:pPr>
            <w:r>
              <w:rPr>
                <w:rFonts w:ascii="Arial" w:cs="Arial" w:eastAsia="Arial" w:hAnsi="Arial"/>
                <w:sz w:val="14"/>
                <w:szCs w:val="14"/>
                <w:color w:val="auto"/>
              </w:rPr>
              <w:t>1.1229</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1.1467</w:t>
            </w:r>
          </w:p>
        </w:tc>
        <w:tc>
          <w:tcPr>
            <w:tcW w:w="860" w:type="dxa"/>
            <w:vAlign w:val="bottom"/>
          </w:tcPr>
          <w:p>
            <w:pPr>
              <w:jc w:val="right"/>
              <w:spacing w:after="0"/>
              <w:rPr>
                <w:sz w:val="20"/>
                <w:szCs w:val="20"/>
                <w:color w:val="auto"/>
              </w:rPr>
            </w:pPr>
            <w:r>
              <w:rPr>
                <w:rFonts w:ascii="Arial" w:cs="Arial" w:eastAsia="Arial" w:hAnsi="Arial"/>
                <w:sz w:val="14"/>
                <w:szCs w:val="14"/>
                <w:color w:val="auto"/>
              </w:rPr>
              <w:t>1.2005</w:t>
            </w:r>
          </w:p>
        </w:tc>
      </w:tr>
      <w:tr>
        <w:trPr>
          <w:trHeight w:val="21"/>
        </w:trPr>
        <w:tc>
          <w:tcPr>
            <w:tcW w:w="2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22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4"/>
                <w:szCs w:val="14"/>
                <w:color w:val="auto"/>
              </w:rPr>
              <w:t>Pound Sterling 1:$</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1.3401</w:t>
            </w:r>
          </w:p>
        </w:tc>
        <w:tc>
          <w:tcPr>
            <w:tcW w:w="900" w:type="dxa"/>
            <w:vAlign w:val="bottom"/>
          </w:tcPr>
          <w:p>
            <w:pPr>
              <w:jc w:val="right"/>
              <w:spacing w:after="0"/>
              <w:rPr>
                <w:sz w:val="20"/>
                <w:szCs w:val="20"/>
                <w:color w:val="auto"/>
              </w:rPr>
            </w:pPr>
            <w:r>
              <w:rPr>
                <w:rFonts w:ascii="Arial" w:cs="Arial" w:eastAsia="Arial" w:hAnsi="Arial"/>
                <w:sz w:val="14"/>
                <w:szCs w:val="14"/>
                <w:color w:val="auto"/>
              </w:rPr>
              <w:t>1.2883</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1.2754</w:t>
            </w:r>
          </w:p>
        </w:tc>
        <w:tc>
          <w:tcPr>
            <w:tcW w:w="860" w:type="dxa"/>
            <w:vAlign w:val="bottom"/>
          </w:tcPr>
          <w:p>
            <w:pPr>
              <w:jc w:val="right"/>
              <w:spacing w:after="0"/>
              <w:rPr>
                <w:sz w:val="20"/>
                <w:szCs w:val="20"/>
                <w:color w:val="auto"/>
              </w:rPr>
            </w:pPr>
            <w:r>
              <w:rPr>
                <w:rFonts w:ascii="Arial" w:cs="Arial" w:eastAsia="Arial" w:hAnsi="Arial"/>
                <w:sz w:val="14"/>
                <w:szCs w:val="14"/>
                <w:color w:val="auto"/>
              </w:rPr>
              <w:t>1.3513</w:t>
            </w:r>
          </w:p>
        </w:tc>
      </w:tr>
      <w:tr>
        <w:trPr>
          <w:trHeight w:val="23"/>
        </w:trPr>
        <w:tc>
          <w:tcPr>
            <w:tcW w:w="2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 the cumulative currency translation differences arising prior to the transition date to IFRS have been set to zero for the purposes of ascertaining the gain or loss on disposal of a foreign operation subsequent to 1 June 2004.</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plant and equipment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Items of property, plant and equipment are stated at cost less accumulated depreciation and any provisions for impairment losses.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Years</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Buildings</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40</w:t>
            </w:r>
          </w:p>
        </w:tc>
      </w:tr>
      <w:tr>
        <w:trPr>
          <w:trHeight w:val="21"/>
        </w:trPr>
        <w:tc>
          <w:tcPr>
            <w:tcW w:w="2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2-8</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Office furniture and fixtures</w:t>
            </w:r>
          </w:p>
        </w:tc>
        <w:tc>
          <w:tcPr>
            <w:tcW w:w="1460" w:type="dxa"/>
            <w:vAlign w:val="bottom"/>
          </w:tcPr>
          <w:p>
            <w:pPr>
              <w:jc w:val="center"/>
              <w:spacing w:after="0"/>
              <w:rPr>
                <w:sz w:val="20"/>
                <w:szCs w:val="20"/>
                <w:color w:val="auto"/>
              </w:rPr>
            </w:pPr>
            <w:r>
              <w:rPr>
                <w:rFonts w:ascii="Arial" w:cs="Arial" w:eastAsia="Arial" w:hAnsi="Arial"/>
                <w:sz w:val="14"/>
                <w:szCs w:val="14"/>
                <w:color w:val="auto"/>
                <w:w w:val="76"/>
              </w:rPr>
              <w:t>8</w:t>
            </w:r>
          </w:p>
        </w:tc>
      </w:tr>
      <w:tr>
        <w:trPr>
          <w:trHeight w:val="21"/>
        </w:trPr>
        <w:tc>
          <w:tcPr>
            <w:tcW w:w="2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Motor vehicles</w:t>
            </w:r>
          </w:p>
        </w:tc>
        <w:tc>
          <w:tcPr>
            <w:tcW w:w="1460" w:type="dxa"/>
            <w:vAlign w:val="bottom"/>
          </w:tcPr>
          <w:p>
            <w:pPr>
              <w:jc w:val="center"/>
              <w:spacing w:after="0"/>
              <w:rPr>
                <w:sz w:val="20"/>
                <w:szCs w:val="20"/>
                <w:color w:val="auto"/>
              </w:rPr>
            </w:pPr>
            <w:r>
              <w:rPr>
                <w:rFonts w:ascii="Arial" w:cs="Arial" w:eastAsia="Arial" w:hAnsi="Arial"/>
                <w:sz w:val="14"/>
                <w:szCs w:val="14"/>
                <w:color w:val="auto"/>
                <w:w w:val="76"/>
              </w:rPr>
              <w:t>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Leasehold improvements are amortised using the straight-line method over the estimated useful life of the asset or the lease term, whichever is shorter.</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762" w:right="21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Consolidated Statement of Profit and Loss unless the asset is recorded at a revalued amount in which case it is firstly dealt with through the revaluation reserve with any residual amount being transferred to the Consolidated Statement of Profit and Loss.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Leased assets – as lessee</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Leases where the lessor retains substantially all the risks and benefits of ownership of the assets are classified as operating leases. Operating lease payments are recognised as an expense in the Consolidated Statement of Profit and Loss on a straight line basis over the lease term. Lease incentives are recognised over the term of the lease as an integral part of the total lease expense.</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Finance leases, where the Group has substantially all the risks and benefits of ownership of the leased asset, are capitalised at the inception of the lease at the lower of the fair value of the leased asset or the present value of the minimum lease payments. The corresponding liability to the lessor is included in the Consolidated Statement of Financial Position as a finance lease obligation. Lease payments are allocated between the lease obligation and the finance charges resulting in a reduction of the lease obligation to ensure a constant rate of interest on the remaining balance of the liability. Finance charges are charged to the Consolidated Statement of Profit and Loss as part of finance costs.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Capitalised leased assets are depreciated over the shorter of the estimated useful life of the asset or the lease term.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measures goodwill at the acquisition date as the fair value of the consideration transferred plus the recognised amount of any non-controlling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762" w:right="21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 line basis over the estimated useful lives of intangible assets, currently estimated as follows:</w:t>
      </w:r>
    </w:p>
    <w:p>
      <w:pPr>
        <w:spacing w:after="0" w:line="79"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2180" w:type="dxa"/>
            <w:vAlign w:val="bottom"/>
            <w:shd w:val="clear" w:color="auto" w:fill="CCEEFF"/>
          </w:tcPr>
          <w:p>
            <w:pPr>
              <w:spacing w:after="0"/>
              <w:rPr>
                <w:sz w:val="18"/>
                <w:szCs w:val="18"/>
                <w:color w:val="auto"/>
              </w:rPr>
            </w:pPr>
          </w:p>
        </w:tc>
        <w:tc>
          <w:tcPr>
            <w:tcW w:w="146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Years</w:t>
            </w:r>
          </w:p>
        </w:tc>
      </w:tr>
      <w:tr>
        <w:trPr>
          <w:trHeight w:val="190"/>
        </w:trPr>
        <w:tc>
          <w:tcPr>
            <w:tcW w:w="2180" w:type="dxa"/>
            <w:vAlign w:val="bottom"/>
          </w:tcPr>
          <w:p>
            <w:pPr>
              <w:ind w:left="20"/>
              <w:spacing w:after="0"/>
              <w:rPr>
                <w:sz w:val="20"/>
                <w:szCs w:val="20"/>
                <w:color w:val="auto"/>
              </w:rPr>
            </w:pPr>
            <w:r>
              <w:rPr>
                <w:rFonts w:ascii="Arial" w:cs="Arial" w:eastAsia="Arial" w:hAnsi="Arial"/>
                <w:sz w:val="14"/>
                <w:szCs w:val="14"/>
                <w:color w:val="auto"/>
              </w:rPr>
              <w:t>Computer software</w:t>
            </w:r>
          </w:p>
        </w:tc>
        <w:tc>
          <w:tcPr>
            <w:tcW w:w="1460" w:type="dxa"/>
            <w:vAlign w:val="bottom"/>
          </w:tcPr>
          <w:p>
            <w:pPr>
              <w:jc w:val="center"/>
              <w:spacing w:after="0"/>
              <w:rPr>
                <w:sz w:val="20"/>
                <w:szCs w:val="20"/>
                <w:color w:val="auto"/>
              </w:rPr>
            </w:pPr>
            <w:r>
              <w:rPr>
                <w:rFonts w:ascii="Arial" w:cs="Arial" w:eastAsia="Arial" w:hAnsi="Arial"/>
                <w:sz w:val="14"/>
                <w:szCs w:val="14"/>
                <w:color w:val="auto"/>
                <w:w w:val="98"/>
              </w:rPr>
              <w:t>2-8</w:t>
            </w:r>
          </w:p>
        </w:tc>
      </w:tr>
      <w:tr>
        <w:trPr>
          <w:trHeight w:val="21"/>
        </w:trPr>
        <w:tc>
          <w:tcPr>
            <w:tcW w:w="2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7-11</w:t>
            </w:r>
          </w:p>
        </w:tc>
      </w:tr>
      <w:tr>
        <w:trPr>
          <w:trHeight w:val="190"/>
        </w:trPr>
        <w:tc>
          <w:tcPr>
            <w:tcW w:w="2180" w:type="dxa"/>
            <w:vAlign w:val="bottom"/>
          </w:tcPr>
          <w:p>
            <w:pPr>
              <w:ind w:left="20"/>
              <w:spacing w:after="0"/>
              <w:rPr>
                <w:sz w:val="20"/>
                <w:szCs w:val="20"/>
                <w:color w:val="auto"/>
              </w:rPr>
            </w:pPr>
            <w:r>
              <w:rPr>
                <w:rFonts w:ascii="Arial" w:cs="Arial" w:eastAsia="Arial" w:hAnsi="Arial"/>
                <w:sz w:val="14"/>
                <w:szCs w:val="14"/>
                <w:color w:val="auto"/>
              </w:rPr>
              <w:t>Order backlog</w:t>
            </w:r>
          </w:p>
        </w:tc>
        <w:tc>
          <w:tcPr>
            <w:tcW w:w="1460" w:type="dxa"/>
            <w:vAlign w:val="bottom"/>
          </w:tcPr>
          <w:p>
            <w:pPr>
              <w:jc w:val="center"/>
              <w:spacing w:after="0"/>
              <w:rPr>
                <w:sz w:val="20"/>
                <w:szCs w:val="20"/>
                <w:color w:val="auto"/>
              </w:rPr>
            </w:pPr>
            <w:r>
              <w:rPr>
                <w:rFonts w:ascii="Arial" w:cs="Arial" w:eastAsia="Arial" w:hAnsi="Arial"/>
                <w:sz w:val="14"/>
                <w:szCs w:val="14"/>
                <w:color w:val="auto"/>
                <w:w w:val="98"/>
              </w:rPr>
              <w:t>2-9</w:t>
            </w:r>
          </w:p>
        </w:tc>
      </w:tr>
      <w:tr>
        <w:trPr>
          <w:trHeight w:val="21"/>
        </w:trPr>
        <w:tc>
          <w:tcPr>
            <w:tcW w:w="2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Brand</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190"/>
        </w:trPr>
        <w:tc>
          <w:tcPr>
            <w:tcW w:w="2180" w:type="dxa"/>
            <w:vAlign w:val="bottom"/>
          </w:tcPr>
          <w:p>
            <w:pPr>
              <w:ind w:left="20"/>
              <w:spacing w:after="0"/>
              <w:rPr>
                <w:sz w:val="20"/>
                <w:szCs w:val="20"/>
                <w:color w:val="auto"/>
              </w:rPr>
            </w:pPr>
            <w:r>
              <w:rPr>
                <w:rFonts w:ascii="Arial" w:cs="Arial" w:eastAsia="Arial" w:hAnsi="Arial"/>
                <w:sz w:val="14"/>
                <w:szCs w:val="14"/>
                <w:color w:val="auto"/>
              </w:rPr>
              <w:t>Technology Asset</w:t>
            </w:r>
          </w:p>
        </w:tc>
        <w:tc>
          <w:tcPr>
            <w:tcW w:w="1460" w:type="dxa"/>
            <w:vAlign w:val="bottom"/>
          </w:tcPr>
          <w:p>
            <w:pPr>
              <w:jc w:val="center"/>
              <w:spacing w:after="0"/>
              <w:rPr>
                <w:sz w:val="20"/>
                <w:szCs w:val="20"/>
                <w:color w:val="auto"/>
              </w:rPr>
            </w:pPr>
            <w:r>
              <w:rPr>
                <w:rFonts w:ascii="Arial" w:cs="Arial" w:eastAsia="Arial" w:hAnsi="Arial"/>
                <w:sz w:val="14"/>
                <w:szCs w:val="14"/>
                <w:color w:val="auto"/>
              </w:rPr>
              <w:t>8</w:t>
            </w:r>
          </w:p>
        </w:tc>
      </w:tr>
      <w:tr>
        <w:trPr>
          <w:trHeight w:val="21"/>
        </w:trPr>
        <w:tc>
          <w:tcPr>
            <w:tcW w:w="2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0"/>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Non-compete arrangements</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1"/>
        </w:trPr>
        <w:tc>
          <w:tcPr>
            <w:tcW w:w="2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w:t>
      </w:r>
    </w:p>
    <w:p>
      <w:pPr>
        <w:spacing w:after="0" w:line="1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previously assessed at the end of each reporting period whether there was objective evidence that a financial asset or group of financial assets was impaired. A financial asset or a group of financial assets was impaired and impairment losses were incurred only if there was objective evidence of impairment as a result of one or more events that occurred after the initial recognition of the asset (a 'loss event') and that loss event (or events) had an impact on the estimated future cash flows of the financial asset or group of financial assets that could be reliably estimated.</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payable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762" w:right="21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grants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Grants that compensate the Group for expenses incurred are recognised in the Consolidated Statement of Profit and Loss in the same periods in which the expenditure to which they relate is charged.</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 provision for onerous contracts is recognised when the expected benefits to be derived by the Group from a contract are lower than the unavoidable cost of meeting its obligations under the contract.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capital</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Ordinary shares are classified as equity. Incremental costs directly attributable to the issue of new shares or options are shown in equity as a deduction, net of tax, from the proceeds.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Where ordinary shares are re-purchased by the Company they are cancelled and the nominal value of the shares is transferred to other un-denominated capital within equity.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Pension and other post-employment benefits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Consolidated Statement of Profit and Loss as service is received from the relevant employees.</w:t>
      </w:r>
    </w:p>
    <w:p>
      <w:pPr>
        <w:spacing w:after="0" w:line="146"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762" w:right="21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is the yield at the reporting date on the iboxx corporate bond over 15 years plus 10 basis points. The discount rate used in respect of the Swiss scheme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Share-based payments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2018 in relation to options, RSUs or PSUs that are expected to vest. The amount recognised as an expense is adjusted to reflect the actual number of share options, RSUs or PSUs that vest.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Forfeitures are estimated on the date of grant and revised if actual or expected forfeiture activity differs materially from original estimates.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Share-based payment expense is recognised over the requisite service period for awards of equity instruments to employees based on the grant date fair value of those awards expected to ultimately vest.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payments – Company</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The Company operates a number of share-based payment plans the details of which are presented in </w:t>
      </w:r>
      <w:r>
        <w:rPr>
          <w:rFonts w:ascii="Arial" w:cs="Arial" w:eastAsia="Arial" w:hAnsi="Arial"/>
          <w:sz w:val="14"/>
          <w:szCs w:val="14"/>
          <w:i w:val="1"/>
          <w:iCs w:val="1"/>
          <w:color w:val="auto"/>
        </w:rPr>
        <w:t>note 11 Share-based Payments</w:t>
      </w:r>
      <w:r>
        <w:rPr>
          <w:rFonts w:ascii="Arial" w:cs="Arial" w:eastAsia="Arial" w:hAnsi="Arial"/>
          <w:sz w:val="14"/>
          <w:szCs w:val="14"/>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the subsidiaries pay on date of exercise to the Company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w:t>
      </w:r>
      <w:r>
        <w:rPr>
          <w:rFonts w:ascii="Arial" w:cs="Arial" w:eastAsia="Arial" w:hAnsi="Arial"/>
          <w:sz w:val="14"/>
          <w:szCs w:val="14"/>
          <w:i w:val="1"/>
          <w:iCs w:val="1"/>
          <w:color w:val="auto"/>
        </w:rPr>
        <w:t>note 3</w:t>
      </w:r>
      <w:r>
        <w:rPr>
          <w:rFonts w:ascii="Arial" w:cs="Arial" w:eastAsia="Arial" w:hAnsi="Arial"/>
          <w:sz w:val="14"/>
          <w:szCs w:val="14"/>
          <w:color w:val="auto"/>
        </w:rPr>
        <w:t xml:space="preserve"> </w:t>
      </w:r>
      <w:r>
        <w:rPr>
          <w:rFonts w:ascii="Arial" w:cs="Arial" w:eastAsia="Arial" w:hAnsi="Arial"/>
          <w:sz w:val="14"/>
          <w:szCs w:val="14"/>
          <w:i w:val="1"/>
          <w:iCs w:val="1"/>
          <w:color w:val="auto"/>
        </w:rPr>
        <w:t>Investment in subsidiaries</w:t>
      </w:r>
      <w:r>
        <w:rPr>
          <w:rFonts w:ascii="Arial" w:cs="Arial" w:eastAsia="Arial" w:hAnsi="Arial"/>
          <w:sz w:val="14"/>
          <w:szCs w:val="14"/>
          <w:color w:val="auto"/>
        </w:rPr>
        <w:t>, to the Company only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 costs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Direct costs consist of compensation, associated employee benefits and share-based payments for project-related employees and other direct project-related costs. Reimbursable expenses are included within direct costs on adoption of IFRS 15.</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operating expenses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Other operating expenses consist of compensation, associated employee benefits and share-based payments for non-project-related employees and other indirect costs associated with the business. Other operating expenses also include depreciation expense and the amortisation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762" w:right="21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Exceptional items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credits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Consolidated Statement of Profit and Loss in the same periods in which the expenditure to which they relate to is charged as a deduction against the related expense.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income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is recognised in the Consolidated Statement of Profit and Loss as it accrues using the effective interest rate method and includes interest receivable on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expense</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Financing expense comprises interest payable on borrowings calculated using the effective interest rate method, finance charges on finance leases, foreign exchange gains and losses on bank loans, non-cash finance charges in respect of contingent consideration and gains and losses on hedging instruments that are recognised in the Consolidated Statement of Profit and Loss.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in the Consolidated Statement of Profit and Loss represents the sum of income tax currently payable and deferred income tax.</w:t>
      </w:r>
    </w:p>
    <w:p>
      <w:pPr>
        <w:spacing w:after="0" w:line="178"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assets and liabilities are measured at the tax rates that are expected to apply in the year when the asset is expected to be realised or the liability to be settled.</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762" w:right="21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ordinary share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r>
        <w:rPr>
          <w:rFonts w:ascii="Arial" w:cs="Arial" w:eastAsia="Arial" w:hAnsi="Arial"/>
          <w:sz w:val="15"/>
          <w:szCs w:val="15"/>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2"/>
          <w:szCs w:val="12"/>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Chief Financial Officer (CFO) and Chief Operating Officer (COO) who together are considered the Group’s chief operating decision makers, the ‘CODM’ in the period up to and including 1 March 2017. On 1 March 2017, Mr Ciaran Murray transitioned from his role as Chief Executive Officer to the role of Executive Chairman of the Board of Directors and Dr. Steve Cutler was appointed as Chief Executive Officer. As of 1 March 2017, the Company determined that the CODM was comprised of the Chief Executive Officer and the Chief Financial Officer. An operating segment’s operating results are reviewed regularly by the CODM to make decisions about resources to be allocated to the segment and assess its performance, and for which discrete financial information is available.</w:t>
      </w:r>
    </w:p>
    <w:p>
      <w:pPr>
        <w:spacing w:after="0" w:line="12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128"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Segmental information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Group is a clinical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Company determines and presents operating segments based on the information that is internally provided to the chief operating decision maker, together the ('CODM') in accordance with IFRS 8 </w:t>
      </w:r>
      <w:r>
        <w:rPr>
          <w:rFonts w:ascii="Arial" w:cs="Arial" w:eastAsia="Arial" w:hAnsi="Arial"/>
          <w:sz w:val="14"/>
          <w:szCs w:val="14"/>
          <w:i w:val="1"/>
          <w:iCs w:val="1"/>
          <w:color w:val="auto"/>
        </w:rPr>
        <w:t xml:space="preserve">Operating Segments. </w:t>
      </w:r>
      <w:r>
        <w:rPr>
          <w:rFonts w:ascii="Arial" w:cs="Arial" w:eastAsia="Arial" w:hAnsi="Arial"/>
          <w:sz w:val="14"/>
          <w:szCs w:val="14"/>
          <w:color w:val="auto"/>
        </w:rPr>
        <w:t>The Chief Executive Officer, Chief Financial Officer and Chief Operating Officer, were together considered the Company's CODM in the period up to and including 1 March 2017.</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 1 March 2017, Mr Ciaran Murray transitioned from his role as Chief Executive Officer to the role of Executive Chairman of the Board of Directors and Dr. Steve Cutler was appointed as Chief Executive Officer. As of 1 March 2017, the Company determined that the CODM was comprised of the Chief Executive Officer and the Chief Financial Officer in accordance with the requirements of IFRS 8 </w:t>
      </w:r>
      <w:r>
        <w:rPr>
          <w:rFonts w:ascii="Arial" w:cs="Arial" w:eastAsia="Arial" w:hAnsi="Arial"/>
          <w:sz w:val="14"/>
          <w:szCs w:val="14"/>
          <w:i w:val="1"/>
          <w:iCs w:val="1"/>
          <w:color w:val="auto"/>
        </w:rPr>
        <w:t>Operating Segments.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 Company operates as one business segment, which is the provision of outsourced development services on a global basis to the pharmaceutical, biotechnology and medical devices industries.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139 to 141 of this report. The Company's areas of operation outside of Ireland include the United States, United Kingdom, Belgium, France, Germany, Italy, Spain, The Netherlands, Sweden, Turkey, Poland, Czech Republic, Latvia, Russia, Ukraine, Hungary, Israel,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762" w:right="21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Segmental information (</w:t>
      </w:r>
      <w:r>
        <w:rPr>
          <w:rFonts w:ascii="Arial" w:cs="Arial" w:eastAsia="Arial" w:hAnsi="Arial"/>
          <w:sz w:val="14"/>
          <w:szCs w:val="14"/>
          <w:b w:val="1"/>
          <w:bCs w:val="1"/>
          <w:i w:val="1"/>
          <w:iCs w:val="1"/>
          <w:color w:val="auto"/>
        </w:rPr>
        <w:t>continued)</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Romania, Canada, Mexico, Brazil, Colombia, Argentina, Chile, Peru, India, China (including Hong Kong), South Korea, Japan, Thailand, Taiwan, Singapore, The Philippines, Australia, New Zealand, and South Africa.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tcPr>
          <w:p>
            <w:pPr>
              <w:spacing w:after="0"/>
              <w:rPr>
                <w:sz w:val="20"/>
                <w:szCs w:val="20"/>
                <w:color w:val="auto"/>
              </w:rPr>
            </w:pPr>
            <w:r>
              <w:rPr>
                <w:rFonts w:ascii="Arial" w:cs="Arial" w:eastAsia="Arial" w:hAnsi="Arial"/>
                <w:sz w:val="14"/>
                <w:szCs w:val="14"/>
                <w:i w:val="1"/>
                <w:iCs w:val="1"/>
                <w:color w:val="auto"/>
              </w:rPr>
              <w:t>Geographical segment information</w:t>
            </w:r>
          </w:p>
        </w:tc>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6"/>
        </w:trPr>
        <w:tc>
          <w:tcPr>
            <w:tcW w:w="36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6"/>
        </w:trPr>
        <w:tc>
          <w:tcPr>
            <w:tcW w:w="3600" w:type="dxa"/>
            <w:vAlign w:val="bottom"/>
            <w:shd w:val="clear" w:color="auto" w:fill="CCEEFF"/>
          </w:tcPr>
          <w:p>
            <w:pPr>
              <w:spacing w:after="0"/>
              <w:rPr>
                <w:sz w:val="15"/>
                <w:szCs w:val="15"/>
                <w:color w:val="auto"/>
              </w:rPr>
            </w:pPr>
          </w:p>
        </w:tc>
        <w:tc>
          <w:tcPr>
            <w:tcW w:w="24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600" w:type="dxa"/>
            <w:vAlign w:val="bottom"/>
            <w:shd w:val="clear" w:color="auto" w:fill="CCEEFF"/>
          </w:tcPr>
          <w:p>
            <w:pPr>
              <w:spacing w:after="0"/>
              <w:rPr>
                <w:sz w:val="14"/>
                <w:szCs w:val="14"/>
                <w:color w:val="auto"/>
              </w:rPr>
            </w:pPr>
          </w:p>
        </w:tc>
        <w:tc>
          <w:tcPr>
            <w:tcW w:w="24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60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600" w:type="dxa"/>
            <w:vAlign w:val="bottom"/>
          </w:tcPr>
          <w:p>
            <w:pPr>
              <w:spacing w:after="0"/>
              <w:rPr>
                <w:sz w:val="16"/>
                <w:szCs w:val="16"/>
                <w:color w:val="auto"/>
              </w:rPr>
            </w:pPr>
          </w:p>
        </w:tc>
        <w:tc>
          <w:tcPr>
            <w:tcW w:w="24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External revenue</w:t>
            </w:r>
          </w:p>
        </w:tc>
        <w:tc>
          <w:tcPr>
            <w:tcW w:w="2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auto"/>
              </w:rPr>
              <w:t>Ireland (1)**</w:t>
            </w:r>
          </w:p>
        </w:tc>
        <w:tc>
          <w:tcPr>
            <w:tcW w:w="2480" w:type="dxa"/>
            <w:vAlign w:val="bottom"/>
          </w:tcPr>
          <w:p>
            <w:pPr>
              <w:jc w:val="right"/>
              <w:ind w:right="9"/>
              <w:spacing w:after="0"/>
              <w:rPr>
                <w:sz w:val="20"/>
                <w:szCs w:val="20"/>
                <w:color w:val="auto"/>
              </w:rPr>
            </w:pPr>
            <w:r>
              <w:rPr>
                <w:rFonts w:ascii="Arial" w:cs="Arial" w:eastAsia="Arial" w:hAnsi="Arial"/>
                <w:sz w:val="14"/>
                <w:szCs w:val="14"/>
                <w:b w:val="1"/>
                <w:bCs w:val="1"/>
                <w:color w:val="auto"/>
              </w:rPr>
              <w:t>1,066,200</w:t>
            </w:r>
          </w:p>
        </w:tc>
        <w:tc>
          <w:tcPr>
            <w:tcW w:w="880" w:type="dxa"/>
            <w:vAlign w:val="bottom"/>
          </w:tcPr>
          <w:p>
            <w:pPr>
              <w:jc w:val="right"/>
              <w:spacing w:after="0"/>
              <w:rPr>
                <w:sz w:val="20"/>
                <w:szCs w:val="20"/>
                <w:color w:val="auto"/>
              </w:rPr>
            </w:pPr>
            <w:r>
              <w:rPr>
                <w:rFonts w:ascii="Arial" w:cs="Arial" w:eastAsia="Arial" w:hAnsi="Arial"/>
                <w:sz w:val="14"/>
                <w:szCs w:val="14"/>
                <w:color w:val="auto"/>
              </w:rPr>
              <w:t>944,130</w:t>
            </w:r>
          </w:p>
        </w:tc>
      </w:tr>
      <w:tr>
        <w:trPr>
          <w:trHeight w:val="21"/>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Europe (17)**</w:t>
            </w: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379,883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355,552</w:t>
            </w: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auto"/>
              </w:rPr>
              <w:t>United States (1)**</w:t>
            </w:r>
          </w:p>
        </w:tc>
        <w:tc>
          <w:tcPr>
            <w:tcW w:w="2480" w:type="dxa"/>
            <w:vAlign w:val="bottom"/>
          </w:tcPr>
          <w:p>
            <w:pPr>
              <w:jc w:val="right"/>
              <w:ind w:right="9"/>
              <w:spacing w:after="0"/>
              <w:rPr>
                <w:sz w:val="20"/>
                <w:szCs w:val="20"/>
                <w:color w:val="auto"/>
              </w:rPr>
            </w:pPr>
            <w:r>
              <w:rPr>
                <w:rFonts w:ascii="Arial" w:cs="Arial" w:eastAsia="Arial" w:hAnsi="Arial"/>
                <w:sz w:val="14"/>
                <w:szCs w:val="14"/>
                <w:b w:val="1"/>
                <w:bCs w:val="1"/>
                <w:color w:val="auto"/>
              </w:rPr>
              <w:t>894,978</w:t>
            </w:r>
          </w:p>
        </w:tc>
        <w:tc>
          <w:tcPr>
            <w:tcW w:w="880" w:type="dxa"/>
            <w:vAlign w:val="bottom"/>
          </w:tcPr>
          <w:p>
            <w:pPr>
              <w:jc w:val="right"/>
              <w:spacing w:after="0"/>
              <w:rPr>
                <w:sz w:val="20"/>
                <w:szCs w:val="20"/>
                <w:color w:val="auto"/>
              </w:rPr>
            </w:pPr>
            <w:r>
              <w:rPr>
                <w:rFonts w:ascii="Arial" w:cs="Arial" w:eastAsia="Arial" w:hAnsi="Arial"/>
                <w:sz w:val="14"/>
                <w:szCs w:val="14"/>
                <w:color w:val="auto"/>
              </w:rPr>
              <w:t>881,829</w:t>
            </w:r>
          </w:p>
        </w:tc>
      </w:tr>
      <w:tr>
        <w:trPr>
          <w:trHeight w:val="21"/>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World (18)**</w:t>
            </w: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254,716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220,810</w:t>
            </w:r>
          </w:p>
        </w:tc>
      </w:tr>
      <w:tr>
        <w:trPr>
          <w:trHeight w:val="213"/>
        </w:trPr>
        <w:tc>
          <w:tcPr>
            <w:tcW w:w="360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2,402,321</w:t>
            </w:r>
          </w:p>
        </w:tc>
      </w:tr>
      <w:tr>
        <w:trPr>
          <w:trHeight w:val="21"/>
        </w:trPr>
        <w:tc>
          <w:tcPr>
            <w:tcW w:w="360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ind w:right="9200" w:firstLine="5"/>
        <w:spacing w:after="0" w:line="366" w:lineRule="auto"/>
        <w:tabs>
          <w:tab w:leader="none" w:pos="106" w:val="left"/>
        </w:tabs>
        <w:numPr>
          <w:ilvl w:val="0"/>
          <w:numId w:val="42"/>
        </w:numPr>
        <w:rPr>
          <w:rFonts w:ascii="Arial" w:cs="Arial" w:eastAsia="Arial" w:hAnsi="Arial"/>
          <w:sz w:val="12"/>
          <w:szCs w:val="12"/>
          <w:color w:val="auto"/>
        </w:rPr>
      </w:pPr>
      <w:r>
        <w:rPr>
          <w:rFonts w:ascii="Arial" w:cs="Arial" w:eastAsia="Arial" w:hAnsi="Arial"/>
          <w:sz w:val="12"/>
          <w:szCs w:val="12"/>
          <w:color w:val="auto"/>
        </w:rPr>
        <w:t>2017 restated to reflect gross revenue. **denotes number of countries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shd w:val="clear" w:color="auto" w:fill="CCEEFF"/>
          </w:tcPr>
          <w:p>
            <w:pPr>
              <w:spacing w:after="0"/>
              <w:rPr>
                <w:sz w:val="15"/>
                <w:szCs w:val="15"/>
                <w:color w:val="auto"/>
              </w:rPr>
            </w:pPr>
          </w:p>
        </w:tc>
        <w:tc>
          <w:tcPr>
            <w:tcW w:w="29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180" w:type="dxa"/>
            <w:vAlign w:val="bottom"/>
            <w:shd w:val="clear" w:color="auto" w:fill="CCEEFF"/>
          </w:tcPr>
          <w:p>
            <w:pPr>
              <w:spacing w:after="0"/>
              <w:rPr>
                <w:sz w:val="14"/>
                <w:szCs w:val="14"/>
                <w:color w:val="auto"/>
              </w:rPr>
            </w:pPr>
          </w:p>
        </w:tc>
        <w:tc>
          <w:tcPr>
            <w:tcW w:w="29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18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180" w:type="dxa"/>
            <w:vAlign w:val="bottom"/>
          </w:tcPr>
          <w:p>
            <w:pPr>
              <w:spacing w:after="0"/>
              <w:rPr>
                <w:sz w:val="16"/>
                <w:szCs w:val="16"/>
                <w:color w:val="auto"/>
              </w:rPr>
            </w:pPr>
          </w:p>
        </w:tc>
        <w:tc>
          <w:tcPr>
            <w:tcW w:w="29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29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Ireland</w:t>
            </w:r>
          </w:p>
        </w:tc>
        <w:tc>
          <w:tcPr>
            <w:tcW w:w="2900" w:type="dxa"/>
            <w:vAlign w:val="bottom"/>
          </w:tcPr>
          <w:p>
            <w:pPr>
              <w:jc w:val="right"/>
              <w:ind w:right="9"/>
              <w:spacing w:after="0"/>
              <w:rPr>
                <w:sz w:val="20"/>
                <w:szCs w:val="20"/>
                <w:color w:val="auto"/>
              </w:rPr>
            </w:pPr>
            <w:r>
              <w:rPr>
                <w:rFonts w:ascii="Arial" w:cs="Arial" w:eastAsia="Arial" w:hAnsi="Arial"/>
                <w:sz w:val="14"/>
                <w:szCs w:val="14"/>
                <w:b w:val="1"/>
                <w:bCs w:val="1"/>
                <w:color w:val="auto"/>
              </w:rPr>
              <w:t>241,309</w:t>
            </w:r>
          </w:p>
        </w:tc>
        <w:tc>
          <w:tcPr>
            <w:tcW w:w="880" w:type="dxa"/>
            <w:vAlign w:val="bottom"/>
          </w:tcPr>
          <w:p>
            <w:pPr>
              <w:jc w:val="right"/>
              <w:spacing w:after="0"/>
              <w:rPr>
                <w:sz w:val="20"/>
                <w:szCs w:val="20"/>
                <w:color w:val="auto"/>
              </w:rPr>
            </w:pPr>
            <w:r>
              <w:rPr>
                <w:rFonts w:ascii="Arial" w:cs="Arial" w:eastAsia="Arial" w:hAnsi="Arial"/>
                <w:sz w:val="14"/>
                <w:szCs w:val="14"/>
                <w:color w:val="auto"/>
              </w:rPr>
              <w:t>244,964</w:t>
            </w:r>
          </w:p>
        </w:tc>
      </w:tr>
      <w:tr>
        <w:trPr>
          <w:trHeight w:val="21"/>
        </w:trPr>
        <w:tc>
          <w:tcPr>
            <w:tcW w:w="3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305,786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315,944</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2900" w:type="dxa"/>
            <w:vAlign w:val="bottom"/>
          </w:tcPr>
          <w:p>
            <w:pPr>
              <w:jc w:val="right"/>
              <w:ind w:right="9"/>
              <w:spacing w:after="0"/>
              <w:rPr>
                <w:sz w:val="20"/>
                <w:szCs w:val="20"/>
                <w:color w:val="auto"/>
              </w:rPr>
            </w:pPr>
            <w:r>
              <w:rPr>
                <w:rFonts w:ascii="Arial" w:cs="Arial" w:eastAsia="Arial" w:hAnsi="Arial"/>
                <w:sz w:val="14"/>
                <w:szCs w:val="14"/>
                <w:b w:val="1"/>
                <w:bCs w:val="1"/>
                <w:color w:val="auto"/>
              </w:rPr>
              <w:t>445,569</w:t>
            </w:r>
          </w:p>
        </w:tc>
        <w:tc>
          <w:tcPr>
            <w:tcW w:w="880" w:type="dxa"/>
            <w:vAlign w:val="bottom"/>
          </w:tcPr>
          <w:p>
            <w:pPr>
              <w:jc w:val="right"/>
              <w:spacing w:after="0"/>
              <w:rPr>
                <w:sz w:val="20"/>
                <w:szCs w:val="20"/>
                <w:color w:val="auto"/>
              </w:rPr>
            </w:pPr>
            <w:r>
              <w:rPr>
                <w:rFonts w:ascii="Arial" w:cs="Arial" w:eastAsia="Arial" w:hAnsi="Arial"/>
                <w:sz w:val="14"/>
                <w:szCs w:val="14"/>
                <w:color w:val="auto"/>
              </w:rPr>
              <w:t>463,957</w:t>
            </w:r>
          </w:p>
        </w:tc>
      </w:tr>
      <w:tr>
        <w:trPr>
          <w:trHeight w:val="21"/>
        </w:trPr>
        <w:tc>
          <w:tcPr>
            <w:tcW w:w="3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World</w:t>
            </w:r>
          </w:p>
        </w:tc>
        <w:tc>
          <w:tcPr>
            <w:tcW w:w="2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49,735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48,577</w:t>
            </w:r>
          </w:p>
        </w:tc>
      </w:tr>
      <w:tr>
        <w:trPr>
          <w:trHeight w:val="213"/>
        </w:trPr>
        <w:tc>
          <w:tcPr>
            <w:tcW w:w="318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1,042,399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1,073,442</w:t>
            </w:r>
          </w:p>
        </w:tc>
      </w:tr>
      <w:tr>
        <w:trPr>
          <w:trHeight w:val="21"/>
        </w:trPr>
        <w:tc>
          <w:tcPr>
            <w:tcW w:w="318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Major customers</w:t>
      </w:r>
    </w:p>
    <w:p>
      <w:pPr>
        <w:spacing w:after="0" w:line="19"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During the year ended 31 December 2018, 14% (2017: 21%) of the Group’s revenues were derived from its top customer which is the only customer which represents in excess of 10% of the Group’s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762" w:right="21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353" w:lineRule="exact"/>
        <w:rPr>
          <w:sz w:val="20"/>
          <w:szCs w:val="20"/>
          <w:color w:val="auto"/>
        </w:rPr>
      </w:pPr>
    </w:p>
    <w:p>
      <w:pPr>
        <w:ind w:left="260" w:hanging="255"/>
        <w:spacing w:after="0"/>
        <w:tabs>
          <w:tab w:leader="none" w:pos="26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Profit before taxation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Profit before taxation is stated after charging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Year ended 31 December 2018</w:t>
            </w:r>
          </w:p>
        </w:tc>
        <w:tc>
          <w:tcPr>
            <w:tcW w:w="210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w w:val="96"/>
              </w:rPr>
              <w:t>Year ended 31 December 2017</w:t>
            </w:r>
          </w:p>
        </w:tc>
      </w:tr>
      <w:tr>
        <w:trPr>
          <w:trHeight w:val="176"/>
        </w:trPr>
        <w:tc>
          <w:tcPr>
            <w:tcW w:w="2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Statutory</w:t>
            </w:r>
          </w:p>
        </w:tc>
        <w:tc>
          <w:tcPr>
            <w:tcW w:w="860" w:type="dxa"/>
            <w:vAlign w:val="bottom"/>
          </w:tcPr>
          <w:p>
            <w:pPr>
              <w:jc w:val="right"/>
              <w:ind w:right="149"/>
              <w:spacing w:after="0"/>
              <w:rPr>
                <w:sz w:val="20"/>
                <w:szCs w:val="20"/>
                <w:color w:val="auto"/>
              </w:rPr>
            </w:pPr>
            <w:r>
              <w:rPr>
                <w:rFonts w:ascii="Arial" w:cs="Arial" w:eastAsia="Arial" w:hAnsi="Arial"/>
                <w:sz w:val="14"/>
                <w:szCs w:val="14"/>
                <w:b w:val="1"/>
                <w:bCs w:val="1"/>
                <w:color w:val="auto"/>
              </w:rPr>
              <w:t>Affiliated</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Statutory</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Affiliated</w:t>
            </w:r>
          </w:p>
        </w:tc>
        <w:tc>
          <w:tcPr>
            <w:tcW w:w="56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84"/>
        </w:trPr>
        <w:tc>
          <w:tcPr>
            <w:tcW w:w="2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auditor</w:t>
            </w:r>
          </w:p>
        </w:tc>
        <w:tc>
          <w:tcPr>
            <w:tcW w:w="860" w:type="dxa"/>
            <w:vAlign w:val="bottom"/>
          </w:tcPr>
          <w:p>
            <w:pPr>
              <w:jc w:val="right"/>
              <w:ind w:right="149"/>
              <w:spacing w:after="0"/>
              <w:rPr>
                <w:sz w:val="20"/>
                <w:szCs w:val="20"/>
                <w:color w:val="auto"/>
              </w:rPr>
            </w:pPr>
            <w:r>
              <w:rPr>
                <w:rFonts w:ascii="Arial" w:cs="Arial" w:eastAsia="Arial" w:hAnsi="Arial"/>
                <w:sz w:val="14"/>
                <w:szCs w:val="14"/>
                <w:b w:val="1"/>
                <w:bCs w:val="1"/>
                <w:color w:val="auto"/>
              </w:rPr>
              <w:t>firms</w:t>
            </w:r>
          </w:p>
        </w:tc>
        <w:tc>
          <w:tcPr>
            <w:tcW w:w="64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auditor</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firms</w:t>
            </w:r>
          </w:p>
        </w:tc>
        <w:tc>
          <w:tcPr>
            <w:tcW w:w="560" w:type="dxa"/>
            <w:vAlign w:val="bottom"/>
          </w:tcPr>
          <w:p>
            <w:pPr>
              <w:spacing w:after="0"/>
              <w:rPr>
                <w:sz w:val="15"/>
                <w:szCs w:val="15"/>
                <w:color w:val="auto"/>
              </w:rPr>
            </w:pPr>
          </w:p>
        </w:tc>
      </w:tr>
      <w:tr>
        <w:trPr>
          <w:trHeight w:val="21"/>
        </w:trPr>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2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8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$’000</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c>
          <w:tcPr>
            <w:tcW w:w="8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$’000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Auditor's remuneration:</w:t>
            </w: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
        </w:trPr>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2"/>
        </w:trPr>
        <w:tc>
          <w:tcPr>
            <w:tcW w:w="2120" w:type="dxa"/>
            <w:vAlign w:val="bottom"/>
            <w:shd w:val="clear" w:color="auto" w:fill="CCEEFF"/>
          </w:tcPr>
          <w:p>
            <w:pPr>
              <w:ind w:left="20"/>
              <w:spacing w:after="0" w:line="212" w:lineRule="exact"/>
              <w:rPr>
                <w:sz w:val="20"/>
                <w:szCs w:val="20"/>
                <w:color w:val="auto"/>
              </w:rPr>
            </w:pPr>
            <w:r>
              <w:rPr>
                <w:rFonts w:ascii="Arial" w:cs="Arial" w:eastAsia="Arial" w:hAnsi="Arial"/>
                <w:sz w:val="14"/>
                <w:szCs w:val="14"/>
                <w:color w:val="auto"/>
              </w:rPr>
              <w:t xml:space="preserve">Audit fees </w:t>
            </w:r>
            <w:r>
              <w:rPr>
                <w:rFonts w:ascii="Arial" w:cs="Arial" w:eastAsia="Arial" w:hAnsi="Arial"/>
                <w:sz w:val="19"/>
                <w:szCs w:val="19"/>
                <w:color w:val="auto"/>
                <w:vertAlign w:val="superscript"/>
              </w:rPr>
              <w:t>(1) (2)</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1,515</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1,515</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1,447</w:t>
            </w:r>
          </w:p>
        </w:tc>
        <w:tc>
          <w:tcPr>
            <w:tcW w:w="8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r>
      <w:tr>
        <w:trPr>
          <w:trHeight w:val="212"/>
        </w:trPr>
        <w:tc>
          <w:tcPr>
            <w:tcW w:w="2120" w:type="dxa"/>
            <w:vAlign w:val="bottom"/>
          </w:tcPr>
          <w:p>
            <w:pPr>
              <w:ind w:left="20"/>
              <w:spacing w:after="0" w:line="212" w:lineRule="exact"/>
              <w:rPr>
                <w:sz w:val="20"/>
                <w:szCs w:val="20"/>
                <w:color w:val="auto"/>
              </w:rPr>
            </w:pPr>
            <w:r>
              <w:rPr>
                <w:rFonts w:ascii="Arial" w:cs="Arial" w:eastAsia="Arial" w:hAnsi="Arial"/>
                <w:sz w:val="14"/>
                <w:szCs w:val="14"/>
                <w:color w:val="auto"/>
              </w:rPr>
              <w:t xml:space="preserve">Other assurance fees </w:t>
            </w:r>
            <w:r>
              <w:rPr>
                <w:rFonts w:ascii="Arial" w:cs="Arial" w:eastAsia="Arial" w:hAnsi="Arial"/>
                <w:sz w:val="19"/>
                <w:szCs w:val="19"/>
                <w:color w:val="auto"/>
                <w:vertAlign w:val="superscript"/>
              </w:rPr>
              <w:t>(3)</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60" w:type="dxa"/>
            <w:vAlign w:val="bottom"/>
          </w:tcPr>
          <w:p>
            <w:pPr>
              <w:jc w:val="right"/>
              <w:ind w:right="149"/>
              <w:spacing w:after="0"/>
              <w:rPr>
                <w:sz w:val="20"/>
                <w:szCs w:val="20"/>
                <w:color w:val="auto"/>
              </w:rPr>
            </w:pPr>
            <w:r>
              <w:rPr>
                <w:rFonts w:ascii="Arial" w:cs="Arial" w:eastAsia="Arial" w:hAnsi="Arial"/>
                <w:sz w:val="14"/>
                <w:szCs w:val="14"/>
                <w:b w:val="1"/>
                <w:bCs w:val="1"/>
                <w:color w:val="auto"/>
              </w:rPr>
              <w:t>93</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146</w:t>
            </w:r>
          </w:p>
        </w:tc>
        <w:tc>
          <w:tcPr>
            <w:tcW w:w="7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109</w:t>
            </w:r>
          </w:p>
        </w:tc>
        <w:tc>
          <w:tcPr>
            <w:tcW w:w="56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12"/>
        </w:trPr>
        <w:tc>
          <w:tcPr>
            <w:tcW w:w="2120" w:type="dxa"/>
            <w:vAlign w:val="bottom"/>
            <w:shd w:val="clear" w:color="auto" w:fill="CCEEFF"/>
          </w:tcPr>
          <w:p>
            <w:pPr>
              <w:ind w:left="20"/>
              <w:spacing w:after="0" w:line="212" w:lineRule="exact"/>
              <w:rPr>
                <w:sz w:val="20"/>
                <w:szCs w:val="20"/>
                <w:color w:val="auto"/>
              </w:rPr>
            </w:pPr>
            <w:r>
              <w:rPr>
                <w:rFonts w:ascii="Arial" w:cs="Arial" w:eastAsia="Arial" w:hAnsi="Arial"/>
                <w:sz w:val="14"/>
                <w:szCs w:val="14"/>
                <w:color w:val="auto"/>
              </w:rPr>
              <w:t xml:space="preserve">Tax advisory fees </w:t>
            </w:r>
            <w:r>
              <w:rPr>
                <w:rFonts w:ascii="Arial" w:cs="Arial" w:eastAsia="Arial" w:hAnsi="Arial"/>
                <w:sz w:val="19"/>
                <w:szCs w:val="19"/>
                <w:color w:val="auto"/>
                <w:vertAlign w:val="superscript"/>
              </w:rPr>
              <w:t>(4)</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142</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642</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495</w:t>
            </w:r>
          </w:p>
        </w:tc>
        <w:tc>
          <w:tcPr>
            <w:tcW w:w="8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355</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r>
      <w:tr>
        <w:trPr>
          <w:trHeight w:val="212"/>
        </w:trPr>
        <w:tc>
          <w:tcPr>
            <w:tcW w:w="2120" w:type="dxa"/>
            <w:vAlign w:val="bottom"/>
            <w:tcBorders>
              <w:bottom w:val="single" w:sz="8" w:color="auto"/>
            </w:tcBorders>
          </w:tcPr>
          <w:p>
            <w:pPr>
              <w:ind w:left="20"/>
              <w:spacing w:after="0" w:line="212" w:lineRule="exact"/>
              <w:rPr>
                <w:sz w:val="20"/>
                <w:szCs w:val="20"/>
                <w:color w:val="auto"/>
              </w:rPr>
            </w:pPr>
            <w:r>
              <w:rPr>
                <w:rFonts w:ascii="Arial" w:cs="Arial" w:eastAsia="Arial" w:hAnsi="Arial"/>
                <w:sz w:val="14"/>
                <w:szCs w:val="14"/>
                <w:color w:val="auto"/>
              </w:rPr>
              <w:t xml:space="preserve">Other non-audit fees </w:t>
            </w:r>
            <w:r>
              <w:rPr>
                <w:rFonts w:ascii="Arial" w:cs="Arial" w:eastAsia="Arial" w:hAnsi="Arial"/>
                <w:sz w:val="19"/>
                <w:szCs w:val="19"/>
                <w:color w:val="auto"/>
                <w:vertAlign w:val="superscript"/>
              </w:rPr>
              <w:t>(5)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w:t>
            </w: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40</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1,297</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w:t>
            </w:r>
          </w:p>
        </w:tc>
      </w:tr>
      <w:tr>
        <w:trPr>
          <w:trHeight w:val="18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fees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2,108</w:t>
            </w:r>
          </w:p>
        </w:tc>
        <w:tc>
          <w:tcPr>
            <w:tcW w:w="8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235</w:t>
            </w: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2,343</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3,239</w:t>
            </w:r>
          </w:p>
        </w:tc>
        <w:tc>
          <w:tcPr>
            <w:tcW w:w="8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464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3,703</w:t>
            </w:r>
          </w:p>
        </w:tc>
      </w:tr>
      <w:tr>
        <w:trPr>
          <w:trHeight w:val="20"/>
        </w:trPr>
        <w:tc>
          <w:tcPr>
            <w:tcW w:w="2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141" w:lineRule="exact"/>
        <w:rPr>
          <w:sz w:val="20"/>
          <w:szCs w:val="20"/>
          <w:color w:val="auto"/>
        </w:rPr>
      </w:pPr>
    </w:p>
    <w:p>
      <w:pPr>
        <w:ind w:left="260" w:hanging="192"/>
        <w:spacing w:after="0"/>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Audit fees include annual audit fees for ICON plc.</w:t>
      </w:r>
    </w:p>
    <w:p>
      <w:pPr>
        <w:spacing w:after="0" w:line="8" w:lineRule="exact"/>
        <w:rPr>
          <w:rFonts w:ascii="Arial" w:cs="Arial" w:eastAsia="Arial" w:hAnsi="Arial"/>
          <w:sz w:val="13"/>
          <w:szCs w:val="13"/>
          <w:i w:val="1"/>
          <w:iCs w:val="1"/>
          <w:color w:val="auto"/>
        </w:rPr>
      </w:pPr>
    </w:p>
    <w:p>
      <w:pPr>
        <w:ind w:left="260" w:hanging="192"/>
        <w:spacing w:after="0" w:line="237" w:lineRule="auto"/>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Audit fees for the Company for the year are set at $30,000 (2017: $30,000)</w:t>
      </w:r>
    </w:p>
    <w:p>
      <w:pPr>
        <w:ind w:left="260" w:hanging="192"/>
        <w:spacing w:after="0" w:line="237" w:lineRule="auto"/>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Other assurance fees principally consist of fees for the audit of remaining subsidiaries and fees for the audit of the financial statements of employee benefit plans.</w:t>
      </w:r>
    </w:p>
    <w:p>
      <w:pPr>
        <w:ind w:left="260" w:hanging="192"/>
        <w:spacing w:after="0" w:line="237" w:lineRule="auto"/>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Tax advisory fees are for tax compliance and tax advisory services.</w:t>
      </w:r>
    </w:p>
    <w:p>
      <w:pPr>
        <w:ind w:left="260" w:hanging="192"/>
        <w:spacing w:after="0"/>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Other non-audit fees principally consist of fees for financial due diligence. The higher level of other non-audit fees in 2017 compared to 2018 relates specifically to additional financial due diligence services ($1.1 million) provided in connection with a proposed significant one-time potential acquisition transaction by the company in 2017.</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Directors’ remuneration disclosures as required by Section 305 of the Companies Act 2014 are set out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shd w:val="clear" w:color="auto" w:fill="CCEEFF"/>
          </w:tcPr>
          <w:p>
            <w:pPr>
              <w:spacing w:after="0"/>
              <w:rPr>
                <w:sz w:val="15"/>
                <w:szCs w:val="15"/>
                <w:color w:val="auto"/>
              </w:rPr>
            </w:pPr>
          </w:p>
        </w:tc>
        <w:tc>
          <w:tcPr>
            <w:tcW w:w="22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920" w:type="dxa"/>
            <w:vAlign w:val="bottom"/>
            <w:shd w:val="clear" w:color="auto" w:fill="CCEEFF"/>
          </w:tcPr>
          <w:p>
            <w:pPr>
              <w:spacing w:after="0"/>
              <w:rPr>
                <w:sz w:val="14"/>
                <w:szCs w:val="14"/>
                <w:color w:val="auto"/>
              </w:rPr>
            </w:pPr>
          </w:p>
        </w:tc>
        <w:tc>
          <w:tcPr>
            <w:tcW w:w="22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392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920" w:type="dxa"/>
            <w:vAlign w:val="bottom"/>
          </w:tcPr>
          <w:p>
            <w:pPr>
              <w:spacing w:after="0"/>
              <w:rPr>
                <w:sz w:val="16"/>
                <w:szCs w:val="16"/>
                <w:color w:val="auto"/>
              </w:rPr>
            </w:pPr>
          </w:p>
        </w:tc>
        <w:tc>
          <w:tcPr>
            <w:tcW w:w="22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Directors’ emoluments</w:t>
            </w:r>
          </w:p>
        </w:tc>
        <w:tc>
          <w:tcPr>
            <w:tcW w:w="2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Emoluments</w:t>
            </w:r>
          </w:p>
        </w:tc>
        <w:tc>
          <w:tcPr>
            <w:tcW w:w="2260" w:type="dxa"/>
            <w:vAlign w:val="bottom"/>
          </w:tcPr>
          <w:p>
            <w:pPr>
              <w:jc w:val="right"/>
              <w:ind w:right="9"/>
              <w:spacing w:after="0"/>
              <w:rPr>
                <w:sz w:val="20"/>
                <w:szCs w:val="20"/>
                <w:color w:val="auto"/>
              </w:rPr>
            </w:pPr>
            <w:r>
              <w:rPr>
                <w:rFonts w:ascii="Arial" w:cs="Arial" w:eastAsia="Arial" w:hAnsi="Arial"/>
                <w:sz w:val="14"/>
                <w:szCs w:val="14"/>
                <w:b w:val="1"/>
                <w:bCs w:val="1"/>
                <w:color w:val="auto"/>
              </w:rPr>
              <w:t>3,618</w:t>
            </w:r>
          </w:p>
        </w:tc>
        <w:tc>
          <w:tcPr>
            <w:tcW w:w="860" w:type="dxa"/>
            <w:vAlign w:val="bottom"/>
          </w:tcPr>
          <w:p>
            <w:pPr>
              <w:jc w:val="right"/>
              <w:spacing w:after="0"/>
              <w:rPr>
                <w:sz w:val="20"/>
                <w:szCs w:val="20"/>
                <w:color w:val="auto"/>
              </w:rPr>
            </w:pPr>
            <w:r>
              <w:rPr>
                <w:rFonts w:ascii="Arial" w:cs="Arial" w:eastAsia="Arial" w:hAnsi="Arial"/>
                <w:sz w:val="14"/>
                <w:szCs w:val="14"/>
                <w:color w:val="auto"/>
              </w:rPr>
              <w:t>4,905</w:t>
            </w:r>
          </w:p>
        </w:tc>
      </w:tr>
      <w:tr>
        <w:trPr>
          <w:trHeight w:val="21"/>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Benefits under long-term incentive schemes</w:t>
            </w:r>
          </w:p>
        </w:tc>
        <w:tc>
          <w:tcPr>
            <w:tcW w:w="2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1,730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9,423</w:t>
            </w: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Gain on exercise of share options</w:t>
            </w:r>
          </w:p>
        </w:tc>
        <w:tc>
          <w:tcPr>
            <w:tcW w:w="2260" w:type="dxa"/>
            <w:vAlign w:val="bottom"/>
          </w:tcPr>
          <w:p>
            <w:pPr>
              <w:jc w:val="right"/>
              <w:ind w:right="9"/>
              <w:spacing w:after="0"/>
              <w:rPr>
                <w:sz w:val="20"/>
                <w:szCs w:val="20"/>
                <w:color w:val="auto"/>
              </w:rPr>
            </w:pPr>
            <w:r>
              <w:rPr>
                <w:rFonts w:ascii="Arial" w:cs="Arial" w:eastAsia="Arial" w:hAnsi="Arial"/>
                <w:sz w:val="14"/>
                <w:szCs w:val="14"/>
                <w:b w:val="1"/>
                <w:bCs w:val="1"/>
                <w:color w:val="auto"/>
              </w:rPr>
              <w:t>20,798</w:t>
            </w:r>
          </w:p>
        </w:tc>
        <w:tc>
          <w:tcPr>
            <w:tcW w:w="860" w:type="dxa"/>
            <w:vAlign w:val="bottom"/>
          </w:tcPr>
          <w:p>
            <w:pPr>
              <w:jc w:val="right"/>
              <w:spacing w:after="0"/>
              <w:rPr>
                <w:sz w:val="20"/>
                <w:szCs w:val="20"/>
                <w:color w:val="auto"/>
              </w:rPr>
            </w:pPr>
            <w:r>
              <w:rPr>
                <w:rFonts w:ascii="Arial" w:cs="Arial" w:eastAsia="Arial" w:hAnsi="Arial"/>
                <w:sz w:val="14"/>
                <w:szCs w:val="14"/>
                <w:color w:val="auto"/>
              </w:rPr>
              <w:t>17,632</w:t>
            </w:r>
          </w:p>
        </w:tc>
      </w:tr>
      <w:tr>
        <w:trPr>
          <w:trHeight w:val="21"/>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contributions (defined contribution)</w:t>
            </w:r>
          </w:p>
        </w:tc>
        <w:tc>
          <w:tcPr>
            <w:tcW w:w="2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1"/>
        </w:trPr>
        <w:tc>
          <w:tcPr>
            <w:tcW w:w="392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Further details regarding Directors’ shareholdings, share options and compensation are shown in note 9 – Payroll and related benefits.</w:t>
      </w:r>
    </w:p>
    <w:p>
      <w:pPr>
        <w:spacing w:after="0" w:line="9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Retirement benefits accrue to two Directors (2017: one Director) under a defined contribution scheme. In 2017, additional amounts of $140,000 were paid to the second director in lieu of of a contribution to a defined contribution scheme.</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Included in the benefits under long-term incentive scheme are amounts relating to share entitlements, the calculation of which was based on the share-based payment charge calculated under IFRS 2 </w:t>
      </w:r>
      <w:r>
        <w:rPr>
          <w:rFonts w:ascii="Arial" w:cs="Arial" w:eastAsia="Arial" w:hAnsi="Arial"/>
          <w:sz w:val="14"/>
          <w:szCs w:val="14"/>
          <w:i w:val="1"/>
          <w:iCs w:val="1"/>
          <w:color w:val="auto"/>
        </w:rPr>
        <w:t>Share Based Payments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995" w:right="21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3.  Profit before taxation </w:t>
            </w:r>
            <w:r>
              <w:rPr>
                <w:rFonts w:ascii="Arial" w:cs="Arial" w:eastAsia="Arial" w:hAnsi="Arial"/>
                <w:sz w:val="14"/>
                <w:szCs w:val="14"/>
                <w:b w:val="1"/>
                <w:bCs w:val="1"/>
                <w:i w:val="1"/>
                <w:iCs w:val="1"/>
                <w:color w:val="auto"/>
              </w:rPr>
              <w:t>(continued)</w:t>
            </w:r>
          </w:p>
        </w:tc>
        <w:tc>
          <w:tcPr>
            <w:tcW w:w="1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06"/>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76"/>
        </w:trPr>
        <w:tc>
          <w:tcPr>
            <w:tcW w:w="20" w:type="dxa"/>
            <w:vAlign w:val="bottom"/>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Year ended</w:t>
            </w:r>
          </w:p>
        </w:tc>
      </w:tr>
      <w:tr>
        <w:trPr>
          <w:trHeight w:val="169"/>
        </w:trPr>
        <w:tc>
          <w:tcPr>
            <w:tcW w:w="20" w:type="dxa"/>
            <w:vAlign w:val="bottom"/>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 December</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31 December</w:t>
            </w:r>
          </w:p>
        </w:tc>
      </w:tr>
      <w:tr>
        <w:trPr>
          <w:trHeight w:val="185"/>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2017</w:t>
            </w: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$’000</w:t>
            </w: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Depreciation and amortisation</w:t>
            </w:r>
          </w:p>
        </w:tc>
        <w:tc>
          <w:tcPr>
            <w:tcW w:w="1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Depreciation of property, plant and equipment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19,996</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19,876</w:t>
            </w: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Amortisation of intangible assets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45,920</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41,421</w:t>
            </w:r>
          </w:p>
        </w:tc>
      </w:tr>
      <w:tr>
        <w:trPr>
          <w:trHeight w:val="181"/>
        </w:trPr>
        <w:tc>
          <w:tcPr>
            <w:tcW w:w="20" w:type="dxa"/>
            <w:vAlign w:val="bottom"/>
          </w:tcPr>
          <w:p>
            <w:pPr>
              <w:spacing w:after="0"/>
              <w:rPr>
                <w:sz w:val="15"/>
                <w:szCs w:val="15"/>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Total depreciation and amortisation</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65,916</w:t>
            </w: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61,297</w:t>
            </w:r>
          </w:p>
        </w:tc>
      </w:tr>
      <w:tr>
        <w:trPr>
          <w:trHeight w:val="23"/>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4"/>
                <w:szCs w:val="14"/>
                <w:b w:val="1"/>
                <w:bCs w:val="1"/>
                <w:color w:val="auto"/>
              </w:rPr>
              <w:t>Loss on sale of property, plant &amp; equipment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228</w:t>
            </w:r>
          </w:p>
        </w:tc>
      </w:tr>
      <w:tr>
        <w:trPr>
          <w:trHeight w:val="21"/>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76"/>
        </w:trPr>
        <w:tc>
          <w:tcPr>
            <w:tcW w:w="20" w:type="dxa"/>
            <w:vAlign w:val="bottom"/>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Year ended</w:t>
            </w:r>
          </w:p>
        </w:tc>
      </w:tr>
      <w:tr>
        <w:trPr>
          <w:trHeight w:val="169"/>
        </w:trPr>
        <w:tc>
          <w:tcPr>
            <w:tcW w:w="20" w:type="dxa"/>
            <w:vAlign w:val="bottom"/>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 December</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31 December</w:t>
            </w:r>
          </w:p>
        </w:tc>
      </w:tr>
      <w:tr>
        <w:trPr>
          <w:trHeight w:val="185"/>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2017</w:t>
            </w: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$’000</w:t>
            </w: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lease rentals</w:t>
            </w:r>
          </w:p>
        </w:tc>
        <w:tc>
          <w:tcPr>
            <w:tcW w:w="16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Premises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36,383</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39,950</w:t>
            </w: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Motor vehicles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3,227</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3,544</w:t>
            </w: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Plant and equipment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680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551</w:t>
            </w:r>
          </w:p>
        </w:tc>
      </w:tr>
      <w:tr>
        <w:trPr>
          <w:trHeight w:val="21"/>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4"/>
                <w:szCs w:val="14"/>
                <w:b w:val="1"/>
                <w:bCs w:val="1"/>
                <w:color w:val="auto"/>
              </w:rPr>
              <w:t>Total operating lease rentals *</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40,290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44,045</w:t>
            </w:r>
          </w:p>
        </w:tc>
      </w:tr>
      <w:tr>
        <w:trPr>
          <w:trHeight w:val="23"/>
        </w:trPr>
        <w:tc>
          <w:tcPr>
            <w:tcW w:w="4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 Operating lease rentals includes rate expenses incurred during the year.</w:t>
            </w:r>
          </w:p>
        </w:tc>
        <w:tc>
          <w:tcPr>
            <w:tcW w:w="16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346"/>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4.  Financing income</w:t>
            </w: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6"/>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r>
      <w:tr>
        <w:trPr>
          <w:trHeight w:val="176"/>
        </w:trPr>
        <w:tc>
          <w:tcPr>
            <w:tcW w:w="20" w:type="dxa"/>
            <w:vAlign w:val="bottom"/>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31 December</w:t>
            </w:r>
          </w:p>
        </w:tc>
        <w:tc>
          <w:tcPr>
            <w:tcW w:w="8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Interest receivable</w:t>
            </w:r>
          </w:p>
        </w:tc>
        <w:tc>
          <w:tcPr>
            <w:tcW w:w="1640" w:type="dxa"/>
            <w:vAlign w:val="bottom"/>
          </w:tcPr>
          <w:p>
            <w:pPr>
              <w:jc w:val="right"/>
              <w:ind w:right="49"/>
              <w:spacing w:after="0"/>
              <w:rPr>
                <w:sz w:val="20"/>
                <w:szCs w:val="20"/>
                <w:color w:val="auto"/>
              </w:rPr>
            </w:pPr>
            <w:r>
              <w:rPr>
                <w:rFonts w:ascii="Arial" w:cs="Arial" w:eastAsia="Arial" w:hAnsi="Arial"/>
                <w:sz w:val="14"/>
                <w:szCs w:val="14"/>
                <w:b w:val="1"/>
                <w:bCs w:val="1"/>
                <w:color w:val="auto"/>
              </w:rPr>
              <w:t>4,759</w:t>
            </w:r>
          </w:p>
        </w:tc>
        <w:tc>
          <w:tcPr>
            <w:tcW w:w="840" w:type="dxa"/>
            <w:vAlign w:val="bottom"/>
          </w:tcPr>
          <w:p>
            <w:pPr>
              <w:jc w:val="right"/>
              <w:spacing w:after="0"/>
              <w:rPr>
                <w:sz w:val="20"/>
                <w:szCs w:val="20"/>
                <w:color w:val="auto"/>
              </w:rPr>
            </w:pPr>
            <w:r>
              <w:rPr>
                <w:rFonts w:ascii="Arial" w:cs="Arial" w:eastAsia="Arial" w:hAnsi="Arial"/>
                <w:sz w:val="14"/>
                <w:szCs w:val="14"/>
                <w:color w:val="auto"/>
              </w:rPr>
              <w:t>2,346</w:t>
            </w:r>
          </w:p>
        </w:tc>
        <w:tc>
          <w:tcPr>
            <w:tcW w:w="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Release of contingent liability *</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finance income</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4,759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8,346</w:t>
            </w:r>
          </w:p>
        </w:tc>
        <w:tc>
          <w:tcPr>
            <w:tcW w:w="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i w:val="1"/>
          <w:iCs w:val="1"/>
          <w:color w:val="auto"/>
        </w:rPr>
        <w:t>*During the year ended 31 December 2017, a credit of $6.0 million was recorded being the reduction in the assessment of the fair value of contingent consideration liability relating to the acquisition of GPHS (see note 14 of the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All of the above relate to items not at fair value through profit and loss.</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20" w:top="995" w:right="29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4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5.</w:t>
        <w:tab/>
        <w:t>Financing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34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43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340" w:type="dxa"/>
            <w:vAlign w:val="bottom"/>
          </w:tcPr>
          <w:p>
            <w:pPr>
              <w:spacing w:after="0"/>
              <w:rPr>
                <w:sz w:val="16"/>
                <w:szCs w:val="16"/>
                <w:color w:val="auto"/>
              </w:rPr>
            </w:pPr>
          </w:p>
        </w:tc>
        <w:tc>
          <w:tcPr>
            <w:tcW w:w="17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3"/>
        </w:trPr>
        <w:tc>
          <w:tcPr>
            <w:tcW w:w="43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Interest and facility fees on bank overdraft and Senior Notes</w:t>
            </w: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repayable within 5 years, not by installments*</w:t>
            </w: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13,613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12,994</w:t>
            </w: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Facility fees (including amortisation)</w:t>
            </w:r>
          </w:p>
        </w:tc>
        <w:tc>
          <w:tcPr>
            <w:tcW w:w="1780" w:type="dxa"/>
            <w:vAlign w:val="bottom"/>
          </w:tcPr>
          <w:p>
            <w:pPr>
              <w:jc w:val="right"/>
              <w:ind w:right="9"/>
              <w:spacing w:after="0"/>
              <w:rPr>
                <w:sz w:val="20"/>
                <w:szCs w:val="20"/>
                <w:color w:val="auto"/>
              </w:rPr>
            </w:pPr>
            <w:r>
              <w:rPr>
                <w:rFonts w:ascii="Arial" w:cs="Arial" w:eastAsia="Arial" w:hAnsi="Arial"/>
                <w:sz w:val="14"/>
                <w:szCs w:val="14"/>
                <w:b w:val="1"/>
                <w:bCs w:val="1"/>
                <w:color w:val="auto"/>
              </w:rPr>
              <w:t>812</w:t>
            </w:r>
          </w:p>
        </w:tc>
        <w:tc>
          <w:tcPr>
            <w:tcW w:w="86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21"/>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Amortisation of gain on interest rate hedge</w:t>
            </w: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223"/>
        </w:trPr>
        <w:tc>
          <w:tcPr>
            <w:tcW w:w="43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finance expense</w:t>
            </w: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13,502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1"/>
        </w:trPr>
        <w:tc>
          <w:tcPr>
            <w:tcW w:w="43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interest rate on the Senior Notes is fixed at 3.64%. Costs directly related to the Senior Notes are amortised over the term of the Senior Notes.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All of the above relate to items not at fair value through profit and loss.</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239"/>
          </w:cols>
          <w:pgMar w:left="220" w:top="1164" w:right="1440"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current and deferred tax expense for the years ended 31 December 2018 and 2017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16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16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Current tax expense</w:t>
            </w:r>
          </w:p>
        </w:tc>
        <w:tc>
          <w:tcPr>
            <w:tcW w:w="1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Current year</w:t>
            </w: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Ireland</w:t>
            </w:r>
          </w:p>
        </w:tc>
        <w:tc>
          <w:tcPr>
            <w:tcW w:w="1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26,898</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21,418</w:t>
            </w:r>
          </w:p>
        </w:tc>
      </w:tr>
      <w:tr>
        <w:trPr>
          <w:trHeight w:val="226"/>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w:t>
            </w:r>
          </w:p>
        </w:tc>
        <w:tc>
          <w:tcPr>
            <w:tcW w:w="1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17,127</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22,431</w:t>
            </w:r>
          </w:p>
        </w:tc>
      </w:tr>
      <w:tr>
        <w:trPr>
          <w:trHeight w:val="189"/>
        </w:trPr>
        <w:tc>
          <w:tcPr>
            <w:tcW w:w="16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44,025</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43,849</w:t>
            </w: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tax expense/ (credit)</w:t>
            </w: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Origination and reversal of temporary differences</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2,584</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11,217</w:t>
            </w:r>
          </w:p>
        </w:tc>
      </w:tr>
      <w:tr>
        <w:trPr>
          <w:trHeight w:val="180"/>
        </w:trPr>
        <w:tc>
          <w:tcPr>
            <w:tcW w:w="440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Over provided in prior years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70"/>
        </w:trPr>
        <w:tc>
          <w:tcPr>
            <w:tcW w:w="1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1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income tax expense in profit and loss</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45,558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54,721</w:t>
            </w:r>
          </w:p>
        </w:tc>
      </w:tr>
      <w:tr>
        <w:trPr>
          <w:trHeight w:val="180"/>
        </w:trPr>
        <w:tc>
          <w:tcPr>
            <w:tcW w:w="16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Tax recognised directly in equity</w:t>
            </w:r>
          </w:p>
        </w:tc>
        <w:tc>
          <w:tcPr>
            <w:tcW w:w="1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Deferred tax recognised directly in equity</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8,195</w:t>
            </w:r>
          </w:p>
        </w:tc>
        <w:tc>
          <w:tcPr>
            <w:tcW w:w="900" w:type="dxa"/>
            <w:vAlign w:val="bottom"/>
          </w:tcPr>
          <w:p>
            <w:pPr>
              <w:jc w:val="right"/>
              <w:spacing w:after="0"/>
              <w:rPr>
                <w:sz w:val="20"/>
                <w:szCs w:val="20"/>
                <w:color w:val="auto"/>
              </w:rPr>
            </w:pPr>
            <w:r>
              <w:rPr>
                <w:rFonts w:ascii="Arial" w:cs="Arial" w:eastAsia="Arial" w:hAnsi="Arial"/>
                <w:sz w:val="14"/>
                <w:szCs w:val="14"/>
                <w:color w:val="auto"/>
              </w:rPr>
              <w:t>(6,842)</w:t>
            </w: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tax recognised directly in equity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(7,519)</w:t>
            </w:r>
          </w:p>
        </w:tc>
      </w:tr>
      <w:tr>
        <w:trPr>
          <w:trHeight w:val="170"/>
        </w:trPr>
        <w:tc>
          <w:tcPr>
            <w:tcW w:w="1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1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tax recognised in equity</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3,569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(14,361)</w:t>
            </w:r>
          </w:p>
        </w:tc>
      </w:tr>
      <w:tr>
        <w:trPr>
          <w:trHeight w:val="180"/>
        </w:trPr>
        <w:tc>
          <w:tcPr>
            <w:tcW w:w="16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Income tax recognised in other comprehensive income</w:t>
            </w:r>
          </w:p>
        </w:tc>
        <w:tc>
          <w:tcPr>
            <w:tcW w:w="1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Fair value of cash flow hedge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148</w:t>
            </w: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Tax impact of pension contributions</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w:t>
            </w: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Tax on currency impact on long term funding</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119</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973</w:t>
            </w:r>
          </w:p>
        </w:tc>
      </w:tr>
      <w:tr>
        <w:trPr>
          <w:trHeight w:val="21"/>
        </w:trPr>
        <w:tc>
          <w:tcPr>
            <w:tcW w:w="440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16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income tax recognised in other comprehensive income</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(29)</w:t>
            </w:r>
          </w:p>
        </w:tc>
        <w:tc>
          <w:tcPr>
            <w:tcW w:w="900" w:type="dxa"/>
            <w:vAlign w:val="bottom"/>
          </w:tcPr>
          <w:p>
            <w:pPr>
              <w:jc w:val="right"/>
              <w:ind w:right="9"/>
              <w:spacing w:after="0"/>
              <w:rPr>
                <w:sz w:val="20"/>
                <w:szCs w:val="20"/>
                <w:color w:val="auto"/>
              </w:rPr>
            </w:pPr>
            <w:r>
              <w:rPr>
                <w:rFonts w:ascii="Arial" w:cs="Arial" w:eastAsia="Arial" w:hAnsi="Arial"/>
                <w:sz w:val="14"/>
                <w:szCs w:val="14"/>
                <w:b w:val="1"/>
                <w:bCs w:val="1"/>
                <w:color w:val="auto"/>
              </w:rPr>
              <w:t>367</w:t>
            </w:r>
          </w:p>
        </w:tc>
      </w:tr>
      <w:tr>
        <w:trPr>
          <w:trHeight w:val="23"/>
        </w:trPr>
        <w:tc>
          <w:tcPr>
            <w:tcW w:w="1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total tax expense of $45.6 million and $54.7 million for the years ended 31 December 2018 and 31 December 2017 respectively, reflects tax at standard rates on taxable profits in the jurisdictions in which the Group operates, foreign withholding tax and the availability of tax losses.</w:t>
      </w:r>
    </w:p>
    <w:p>
      <w:pPr>
        <w:spacing w:after="0" w:line="132"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The deferred tax charge of $2.6 million for the year ended 31 December 2018 and the deferred tax charge of $11.2 million for the year ended 31 December 2017, relates to deferred tax arising in respect of net operating losses and temporary differences in capital items, the timing of certain goodwill amortisation on US acquisitions and the timing of tax deductions available relating to the Group’s share-based compensation schemes. No deferred tax asset has been recognised on the defined benefit pension scheme as it is not probable that sufficient taxable profit will be available against which the deductible temporary difference can be utilised, with the exception of pension contributions made in the UK during 2017, the tax benefit for which has been recognised in other comprehensive income.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699" w:right="21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the expected tax expense, computed by applying the standard Irish tax rate to income before tax to the actual tax expense,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Year ended</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Year ended</w:t>
            </w:r>
          </w:p>
        </w:tc>
      </w:tr>
      <w:tr>
        <w:trPr>
          <w:trHeight w:val="169"/>
        </w:trPr>
        <w:tc>
          <w:tcPr>
            <w:tcW w:w="50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31</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2"/>
              </w:rPr>
              <w:t>31 December</w:t>
            </w:r>
          </w:p>
        </w:tc>
      </w:tr>
      <w:tr>
        <w:trPr>
          <w:trHeight w:val="169"/>
        </w:trPr>
        <w:tc>
          <w:tcPr>
            <w:tcW w:w="50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December</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185"/>
        </w:trPr>
        <w:tc>
          <w:tcPr>
            <w:tcW w:w="50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spacing w:after="0"/>
              <w:rPr>
                <w:sz w:val="16"/>
                <w:szCs w:val="16"/>
                <w:color w:val="auto"/>
              </w:rPr>
            </w:pPr>
          </w:p>
        </w:tc>
      </w:tr>
      <w:tr>
        <w:trPr>
          <w:trHeight w:val="190"/>
        </w:trPr>
        <w:tc>
          <w:tcPr>
            <w:tcW w:w="506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$’000</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3"/>
        </w:trPr>
        <w:tc>
          <w:tcPr>
            <w:tcW w:w="5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Profit before tax</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368,375</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327,665</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Irish standard tax rate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23"/>
        </w:trPr>
        <w:tc>
          <w:tcPr>
            <w:tcW w:w="50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Taxes at Irish standard tax rate</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46,047</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40,958</w:t>
            </w:r>
          </w:p>
        </w:tc>
      </w:tr>
      <w:tr>
        <w:trPr>
          <w:trHeight w:val="223"/>
        </w:trPr>
        <w:tc>
          <w:tcPr>
            <w:tcW w:w="50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33"/>
        </w:trPr>
        <w:tc>
          <w:tcPr>
            <w:tcW w:w="5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Reversal of prior year over provision in respect of current foreign taxes</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(1,051)</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(345)</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and other income taxed at higher rates</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10,922</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7,088</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Effect of change in tax rates</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(147)</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2,984</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Increase/(decrease) in unrecognised tax benefits</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(5,423)</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933</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Non taxable income and non tax deductible expenses</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(5,036)</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(3,846)</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Losses for which no benefit has been recognised</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5,667</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2,083</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Impact of mandatory repatriation</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7,694</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tax incentives</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(1,243)</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(830)</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Impact of stock compensation</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(3,675)</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(2,398)</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(503)</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w:t>
            </w:r>
          </w:p>
        </w:tc>
      </w:tr>
      <w:tr>
        <w:trPr>
          <w:trHeight w:val="223"/>
        </w:trPr>
        <w:tc>
          <w:tcPr>
            <w:tcW w:w="50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Tax expense on profit for the year</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45,558</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54,721</w:t>
            </w:r>
          </w:p>
        </w:tc>
      </w:tr>
      <w:tr>
        <w:trPr>
          <w:trHeight w:val="338"/>
        </w:trPr>
        <w:tc>
          <w:tcPr>
            <w:tcW w:w="50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1"/>
              </w:rPr>
              <w:t>The net deferred tax asset at 31 December 2018 and 31 December 2017 was as follows:</w:t>
            </w:r>
          </w:p>
        </w:tc>
        <w:tc>
          <w:tcPr>
            <w:tcW w:w="9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5"/>
        </w:trPr>
        <w:tc>
          <w:tcPr>
            <w:tcW w:w="50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6"/>
        </w:trPr>
        <w:tc>
          <w:tcPr>
            <w:tcW w:w="50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50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8"/>
              </w:rPr>
              <w:t>31 December</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9"/>
              </w:rPr>
              <w:t>31 December</w:t>
            </w:r>
          </w:p>
        </w:tc>
      </w:tr>
      <w:tr>
        <w:trPr>
          <w:trHeight w:val="185"/>
        </w:trPr>
        <w:tc>
          <w:tcPr>
            <w:tcW w:w="50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50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 assets</w:t>
            </w:r>
          </w:p>
        </w:tc>
        <w:tc>
          <w:tcPr>
            <w:tcW w:w="9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Net operating losses carried forward</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3,615</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3,402</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23,754</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23,627</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4,855</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3,989</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5,681</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2,197</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2,548</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24,578</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31,044</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740</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taxation assets</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64,682</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65,350</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Less: offset against deferred tax liabilities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(33,017)</w:t>
            </w:r>
          </w:p>
        </w:tc>
        <w:tc>
          <w:tcPr>
            <w:tcW w:w="940" w:type="dxa"/>
            <w:vAlign w:val="bottom"/>
          </w:tcPr>
          <w:p>
            <w:pPr>
              <w:jc w:val="right"/>
              <w:spacing w:after="0"/>
              <w:rPr>
                <w:sz w:val="20"/>
                <w:szCs w:val="20"/>
                <w:color w:val="auto"/>
              </w:rPr>
            </w:pPr>
            <w:r>
              <w:rPr>
                <w:rFonts w:ascii="Arial" w:cs="Arial" w:eastAsia="Arial" w:hAnsi="Arial"/>
                <w:sz w:val="14"/>
                <w:szCs w:val="14"/>
                <w:color w:val="auto"/>
              </w:rPr>
              <w:t>(32,018)</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Deferred tax asset disclosed on Consolidated Statement of Financial Position</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31,665</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33,332</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0"/>
        </w:trPr>
        <w:tc>
          <w:tcPr>
            <w:tcW w:w="5060" w:type="dxa"/>
            <w:vAlign w:val="bottom"/>
          </w:tcPr>
          <w:p>
            <w:pPr>
              <w:spacing w:after="0"/>
              <w:rPr>
                <w:sz w:val="24"/>
                <w:szCs w:val="24"/>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50</w:t>
            </w:r>
          </w:p>
        </w:tc>
        <w:tc>
          <w:tcPr>
            <w:tcW w:w="940" w:type="dxa"/>
            <w:vAlign w:val="bottom"/>
          </w:tcPr>
          <w:p>
            <w:pPr>
              <w:spacing w:after="0"/>
              <w:rPr>
                <w:sz w:val="24"/>
                <w:szCs w:val="24"/>
                <w:color w:val="auto"/>
              </w:rPr>
            </w:pPr>
          </w:p>
        </w:tc>
      </w:tr>
    </w:tbl>
    <w:p>
      <w:pPr>
        <w:sectPr>
          <w:pgSz w:w="11900" w:h="16838" w:orient="portrait"/>
          <w:cols w:equalWidth="0" w:num="1">
            <w:col w:w="10239"/>
          </w:cols>
          <w:pgMar w:left="220" w:top="762" w:right="1440"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6.</w:t>
        <w:tab/>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8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48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Deferred taxation liabilities</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4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981</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1,139</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and related assets</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25,149</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22,655</w:t>
            </w:r>
          </w:p>
        </w:tc>
      </w:tr>
      <w:tr>
        <w:trPr>
          <w:trHeight w:val="190"/>
        </w:trPr>
        <w:tc>
          <w:tcPr>
            <w:tcW w:w="4840" w:type="dxa"/>
            <w:vAlign w:val="bottom"/>
          </w:tcPr>
          <w:p>
            <w:pPr>
              <w:ind w:left="20"/>
              <w:spacing w:after="0"/>
              <w:rPr>
                <w:sz w:val="20"/>
                <w:szCs w:val="20"/>
                <w:color w:val="auto"/>
              </w:rPr>
            </w:pPr>
            <w:r>
              <w:rPr>
                <w:rFonts w:ascii="Arial" w:cs="Arial" w:eastAsia="Arial" w:hAnsi="Arial"/>
                <w:sz w:val="14"/>
                <w:szCs w:val="14"/>
                <w:color w:val="auto"/>
              </w:rPr>
              <w:t>Other intangible assets</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9,397</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11,801</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Accruals to cash method adjustment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5,703</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4,139</w:t>
            </w:r>
          </w:p>
        </w:tc>
      </w:tr>
      <w:tr>
        <w:trPr>
          <w:trHeight w:val="181"/>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deferred taxation liabilities</w:t>
            </w:r>
          </w:p>
        </w:tc>
        <w:tc>
          <w:tcPr>
            <w:tcW w:w="1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41,230</w:t>
            </w: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39,734</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offset against deferred tax assets</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(33,017)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(32,018)</w:t>
            </w:r>
          </w:p>
        </w:tc>
      </w:tr>
      <w:tr>
        <w:trPr>
          <w:trHeight w:val="202"/>
        </w:trPr>
        <w:tc>
          <w:tcPr>
            <w:tcW w:w="48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1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Deferred tax liability disclosed on Consolidated Statement of Financial Position</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8,213</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7,716</w:t>
            </w:r>
          </w:p>
        </w:tc>
      </w:tr>
      <w:tr>
        <w:trPr>
          <w:trHeight w:val="202"/>
        </w:trPr>
        <w:tc>
          <w:tcPr>
            <w:tcW w:w="48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19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23,452</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25,616</w:t>
            </w:r>
          </w:p>
        </w:tc>
      </w:tr>
      <w:tr>
        <w:trPr>
          <w:trHeight w:val="21"/>
        </w:trPr>
        <w:tc>
          <w:tcPr>
            <w:tcW w:w="4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movement in temporary differences during the year ended 31 December 2018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Balance 1</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5"/>
              </w:rPr>
              <w:t>Recognised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Recognised in Other</w:t>
            </w: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Balance 31</w:t>
            </w: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January</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85"/>
              </w:rPr>
              <w:t>Recognised</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on</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88"/>
              </w:rPr>
              <w:t>Recognised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in Income</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9"/>
              </w:rPr>
              <w:t>Acquisition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Income</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in Equity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Net operating loss</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3,402</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3,615</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carry forwards</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407</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(194)</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23,627</w:t>
            </w: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127</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23,754</w:t>
            </w: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Property, plant and</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3,989</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4,855</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866</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2,548</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2,197</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(351)</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Share-based</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31,044</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24,578</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payment</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1,729</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(8,195)</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6,872*</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(1,191)</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5,681</w:t>
            </w: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Arial" w:cs="Arial" w:eastAsia="Arial" w:hAnsi="Arial"/>
                <w:sz w:val="14"/>
                <w:szCs w:val="14"/>
                <w:color w:val="auto"/>
              </w:rPr>
              <w:t>Other</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740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(738)</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Total deferred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 assets</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72,222</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849</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(8,195)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64,682</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Deferred taxation</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1,139</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981</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equipment</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Goodwill on</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22,655</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25,149</w:t>
            </w: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acquisition</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2,494</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 to cash</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method</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4,139</w:t>
            </w: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5,703</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1,349</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Other intangible</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11,801</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9,397</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assets</w:t>
            </w:r>
          </w:p>
        </w:tc>
        <w:tc>
          <w:tcPr>
            <w:tcW w:w="840" w:type="dxa"/>
            <w:vAlign w:val="bottom"/>
            <w:vMerge w:val="continue"/>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(2,404)</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Total deferred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 liabilities</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39,734</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1,281</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215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41,230</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Net deferred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asset/(liability)</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32,488</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(432)</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(8,410)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41388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13885"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balance at 1 January 2018 includes the effect of initially applying IFRS 15</w:t>
      </w:r>
      <w:r>
        <w:rPr>
          <w:rFonts w:ascii="Arial" w:cs="Arial" w:eastAsia="Arial" w:hAnsi="Arial"/>
          <w:sz w:val="14"/>
          <w:szCs w:val="14"/>
          <w:i w:val="1"/>
          <w:i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**These adjustments relate to foreign currency translation on the deferred tax liabilities</w:t>
      </w:r>
      <w:r>
        <w:rPr>
          <w:rFonts w:ascii="Arial" w:cs="Arial" w:eastAsia="Arial" w:hAnsi="Arial"/>
          <w:sz w:val="14"/>
          <w:szCs w:val="14"/>
          <w:i w:val="1"/>
          <w:iCs w:val="1"/>
          <w:color w:val="auto"/>
        </w:rPr>
        <w:t>.</w:t>
      </w:r>
    </w:p>
    <w:p>
      <w:pPr>
        <w:sectPr>
          <w:pgSz w:w="11900" w:h="16838" w:orient="portrait"/>
          <w:cols w:equalWidth="0" w:num="1">
            <w:col w:w="10239"/>
          </w:cols>
          <w:pgMar w:left="220" w:top="762" w:right="1440" w:bottom="1440" w:gutter="0" w:footer="0" w:header="0"/>
        </w:sectPr>
      </w:pPr>
    </w:p>
    <w:p>
      <w:pPr>
        <w:spacing w:after="0" w:line="18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239"/>
          </w:cols>
          <w:pgMar w:left="220" w:top="762"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The movement in temporary differences during the year ended 31 December 2017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Balance 1</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5"/>
              </w:rPr>
              <w:t>Recognised</w:t>
            </w:r>
          </w:p>
        </w:tc>
        <w:tc>
          <w:tcPr>
            <w:tcW w:w="1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Recognised in Other</w:t>
            </w: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Balance 31</w:t>
            </w: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January</w:t>
            </w: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88"/>
              </w:rPr>
              <w:t>Recognised</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on</w:t>
            </w:r>
          </w:p>
        </w:tc>
        <w:tc>
          <w:tcPr>
            <w:tcW w:w="22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Comprehensive Recognised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in Income</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9"/>
              </w:rPr>
              <w:t>Acquisition</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Income</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in Equity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14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w:t>
            </w: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Net operating loss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4,089</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3,402</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carry forwards</w:t>
            </w:r>
          </w:p>
        </w:tc>
        <w:tc>
          <w:tcPr>
            <w:tcW w:w="800" w:type="dxa"/>
            <w:vAlign w:val="bottom"/>
            <w:vMerge w:val="continue"/>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(1,613)</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366</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560</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27,445</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(4,148)</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330</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23,627</w:t>
            </w: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Property, plant and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2,859</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3,989</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800" w:type="dxa"/>
            <w:vAlign w:val="bottom"/>
            <w:vMerge w:val="continue"/>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1,094</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36</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3,327</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2,548</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(779)</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Share-based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31,355</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31,044</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payment</w:t>
            </w:r>
          </w:p>
        </w:tc>
        <w:tc>
          <w:tcPr>
            <w:tcW w:w="800" w:type="dxa"/>
            <w:vAlign w:val="bottom"/>
            <w:vMerge w:val="continue"/>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(14,672)</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14,361</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(387)</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1,112</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w:t>
            </w: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taxation assets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69,090</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(20,505)</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1,844</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560</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14,361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65,350</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w:t>
            </w: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Property, plant and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979</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1,139</w:t>
            </w:r>
          </w:p>
        </w:tc>
        <w:tc>
          <w:tcPr>
            <w:tcW w:w="0" w:type="dxa"/>
            <w:vAlign w:val="bottom"/>
          </w:tcPr>
          <w:p>
            <w:pPr>
              <w:spacing w:after="0"/>
              <w:rPr>
                <w:sz w:val="1"/>
                <w:szCs w:val="1"/>
                <w:color w:val="auto"/>
              </w:rPr>
            </w:pPr>
          </w:p>
        </w:tc>
      </w:tr>
      <w:tr>
        <w:trPr>
          <w:trHeight w:val="180"/>
        </w:trPr>
        <w:tc>
          <w:tcPr>
            <w:tcW w:w="1260" w:type="dxa"/>
            <w:vAlign w:val="bottom"/>
          </w:tcPr>
          <w:p>
            <w:pPr>
              <w:ind w:left="160"/>
              <w:spacing w:after="0"/>
              <w:rPr>
                <w:sz w:val="20"/>
                <w:szCs w:val="20"/>
                <w:color w:val="auto"/>
              </w:rPr>
            </w:pPr>
            <w:r>
              <w:rPr>
                <w:rFonts w:ascii="Arial" w:cs="Arial" w:eastAsia="Arial" w:hAnsi="Arial"/>
                <w:sz w:val="14"/>
                <w:szCs w:val="14"/>
                <w:color w:val="auto"/>
              </w:rPr>
              <w:t>equipment</w:t>
            </w:r>
          </w:p>
        </w:tc>
        <w:tc>
          <w:tcPr>
            <w:tcW w:w="800" w:type="dxa"/>
            <w:vAlign w:val="bottom"/>
            <w:vMerge w:val="continue"/>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103</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on</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26,617</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22,655</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acquisition</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(3,962)</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Accruals to cash</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60"/>
              <w:spacing w:after="0"/>
              <w:rPr>
                <w:sz w:val="20"/>
                <w:szCs w:val="20"/>
                <w:color w:val="auto"/>
              </w:rPr>
            </w:pPr>
            <w:r>
              <w:rPr>
                <w:rFonts w:ascii="Arial" w:cs="Arial" w:eastAsia="Arial" w:hAnsi="Arial"/>
                <w:sz w:val="14"/>
                <w:szCs w:val="14"/>
                <w:color w:val="auto"/>
              </w:rPr>
              <w:t>method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1,440</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4,139</w:t>
            </w:r>
          </w:p>
        </w:tc>
        <w:tc>
          <w:tcPr>
            <w:tcW w:w="0" w:type="dxa"/>
            <w:vAlign w:val="bottom"/>
          </w:tcPr>
          <w:p>
            <w:pPr>
              <w:spacing w:after="0"/>
              <w:rPr>
                <w:sz w:val="1"/>
                <w:szCs w:val="1"/>
                <w:color w:val="auto"/>
              </w:rPr>
            </w:pPr>
          </w:p>
        </w:tc>
      </w:tr>
      <w:tr>
        <w:trPr>
          <w:trHeight w:val="180"/>
        </w:trPr>
        <w:tc>
          <w:tcPr>
            <w:tcW w:w="1260" w:type="dxa"/>
            <w:vAlign w:val="bottom"/>
          </w:tcPr>
          <w:p>
            <w:pPr>
              <w:ind w:left="160"/>
              <w:spacing w:after="0"/>
              <w:rPr>
                <w:sz w:val="20"/>
                <w:szCs w:val="20"/>
                <w:color w:val="auto"/>
              </w:rPr>
            </w:pPr>
            <w:r>
              <w:rPr>
                <w:rFonts w:ascii="Arial" w:cs="Arial" w:eastAsia="Arial" w:hAnsi="Arial"/>
                <w:sz w:val="14"/>
                <w:szCs w:val="14"/>
                <w:color w:val="auto"/>
              </w:rPr>
              <w:t>adjustment</w:t>
            </w:r>
          </w:p>
        </w:tc>
        <w:tc>
          <w:tcPr>
            <w:tcW w:w="800" w:type="dxa"/>
            <w:vAlign w:val="bottom"/>
            <w:vMerge w:val="continue"/>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2,829</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(517)</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387*</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6,700</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11,801</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assets</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(6,232)</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11,333</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Arial" w:cs="Arial" w:eastAsia="Arial" w:hAnsi="Arial"/>
                <w:sz w:val="14"/>
                <w:szCs w:val="14"/>
                <w:color w:val="auto"/>
              </w:rPr>
              <w:t>Other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(2,075)</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2,075</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Total deferred</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 liabilities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35,736</w:t>
            </w: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(9,337)</w:t>
            </w: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12,948</w:t>
            </w:r>
          </w:p>
        </w:tc>
        <w:tc>
          <w:tcPr>
            <w:tcW w:w="14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b w:val="1"/>
                <w:bCs w:val="1"/>
                <w:color w:val="auto"/>
              </w:rPr>
              <w:t>387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39,734</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Net deferred</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asset/(liability)</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33,354</w:t>
            </w: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(11,168)</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(11,104)</w:t>
            </w:r>
          </w:p>
        </w:tc>
        <w:tc>
          <w:tcPr>
            <w:tcW w:w="1440" w:type="dxa"/>
            <w:vAlign w:val="bottom"/>
          </w:tcPr>
          <w:p>
            <w:pPr>
              <w:jc w:val="right"/>
              <w:ind w:right="29"/>
              <w:spacing w:after="0"/>
              <w:rPr>
                <w:sz w:val="20"/>
                <w:szCs w:val="20"/>
                <w:color w:val="auto"/>
              </w:rPr>
            </w:pPr>
            <w:r>
              <w:rPr>
                <w:rFonts w:ascii="Arial" w:cs="Arial" w:eastAsia="Arial" w:hAnsi="Arial"/>
                <w:sz w:val="14"/>
                <w:szCs w:val="14"/>
                <w:b w:val="1"/>
                <w:bCs w:val="1"/>
                <w:color w:val="auto"/>
              </w:rPr>
              <w:t>560</w:t>
            </w:r>
          </w:p>
        </w:tc>
        <w:tc>
          <w:tcPr>
            <w:tcW w:w="820" w:type="dxa"/>
            <w:vAlign w:val="bottom"/>
          </w:tcPr>
          <w:p>
            <w:pPr>
              <w:jc w:val="right"/>
              <w:ind w:right="89"/>
              <w:spacing w:after="0"/>
              <w:rPr>
                <w:sz w:val="20"/>
                <w:szCs w:val="20"/>
                <w:color w:val="auto"/>
              </w:rPr>
            </w:pPr>
            <w:r>
              <w:rPr>
                <w:rFonts w:ascii="Arial" w:cs="Arial" w:eastAsia="Arial" w:hAnsi="Arial"/>
                <w:sz w:val="14"/>
                <w:szCs w:val="14"/>
                <w:b w:val="1"/>
                <w:bCs w:val="1"/>
                <w:color w:val="auto"/>
              </w:rPr>
              <w:t>13,974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25,616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41388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13885"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*These adjustments relate to foreign currency translation on the deferred tax liabilities</w:t>
      </w:r>
      <w:r>
        <w:rPr>
          <w:rFonts w:ascii="Arial" w:cs="Arial" w:eastAsia="Arial" w:hAnsi="Arial"/>
          <w:sz w:val="14"/>
          <w:szCs w:val="14"/>
          <w:i w:val="1"/>
          <w:i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Unrecognised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relating to the following net operating losses have not been recognised to the extent that it is considered unlikely that a benefit will be received in the future.</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At 31 December 2018, non-US subsidiaries had operating loss carry-forwards for income tax purposes that may be carried forward indefinitely, available to offset against future taxable income, if any, of approximately $70.0 million (31 December 2017: $75.8 million). At 31 December 2018, non–US subsidiaries also had additional operating loss carry forwards of $4.6 million which are due to expire between 2019 and 2021 and operating loss carry forwards of $2.8 million which are due to expire between 2026 and 2035.</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 31 December 2018, U.S. subsidiaries also had excess disallowed interest carry-forwards of $21.9 million. These carry-forwards are available for offset against future taxable income in the event that the U.S. subsidiaries have excess capacity for interest deduction in future tax years.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total, the Group has unrecognised deferred tax assets of $27.4 million at 31 December 2018 and $22.8 million at 31 December 2017. The Group has not recognised these remaining deferred tax assets because it believes that it is more likely than not that the losses and other deferred tax assets will not be utilised given their history of operating losses.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762" w:right="21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Unrecognised deferred tax liabilities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has recognised a deferred tax liability of $4.9 million (2017: $3.1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the event these earnings were ever remitted. In addition, withholding taxes applicable to remittances from foreign subsidiaries would not be expected to be material given Ireland’s tax treaty network and the EU parent subsidiary directive.</w:t>
      </w:r>
    </w:p>
    <w:p>
      <w:pPr>
        <w:spacing w:after="0" w:line="130" w:lineRule="exact"/>
        <w:rPr>
          <w:sz w:val="20"/>
          <w:szCs w:val="20"/>
          <w:color w:val="auto"/>
        </w:rPr>
      </w:pPr>
    </w:p>
    <w:p>
      <w:pPr>
        <w:ind w:left="260" w:hanging="255"/>
        <w:spacing w:after="0"/>
        <w:tabs>
          <w:tab w:leader="none" w:pos="2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for basic and diluted net earnings per share for the year ended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31 December</w:t>
            </w:r>
          </w:p>
        </w:tc>
        <w:tc>
          <w:tcPr>
            <w:tcW w:w="1020" w:type="dxa"/>
            <w:vAlign w:val="bottom"/>
            <w:tcBorders>
              <w:right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4"/>
              </w:rPr>
              <w:t>31 December</w:t>
            </w:r>
          </w:p>
        </w:tc>
        <w:tc>
          <w:tcPr>
            <w:tcW w:w="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31 December</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2"/>
              </w:rPr>
              <w:t>31 December</w:t>
            </w:r>
          </w:p>
        </w:tc>
        <w:tc>
          <w:tcPr>
            <w:tcW w:w="8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88"/>
              </w:rPr>
              <w:t>31 December</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31 December</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340" w:type="dxa"/>
            <w:vAlign w:val="bottom"/>
          </w:tcPr>
          <w:p>
            <w:pPr>
              <w:spacing w:after="0"/>
              <w:rPr>
                <w:sz w:val="16"/>
                <w:szCs w:val="16"/>
                <w:color w:val="auto"/>
              </w:rPr>
            </w:pPr>
          </w:p>
        </w:tc>
        <w:tc>
          <w:tcPr>
            <w:tcW w:w="68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8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$’000</w:t>
            </w:r>
          </w:p>
        </w:tc>
        <w:tc>
          <w:tcPr>
            <w:tcW w:w="820" w:type="dxa"/>
            <w:vAlign w:val="bottom"/>
          </w:tcPr>
          <w:p>
            <w:pPr>
              <w:jc w:val="right"/>
              <w:spacing w:after="0"/>
              <w:rPr>
                <w:sz w:val="20"/>
                <w:szCs w:val="20"/>
                <w:color w:val="auto"/>
              </w:rPr>
            </w:pPr>
            <w:r>
              <w:rPr>
                <w:rFonts w:ascii="Arial" w:cs="Arial" w:eastAsia="Arial" w:hAnsi="Arial"/>
                <w:sz w:val="14"/>
                <w:szCs w:val="14"/>
                <w:color w:val="auto"/>
              </w:rPr>
              <w:t>$’000</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Excluding</w:t>
            </w:r>
          </w:p>
        </w:tc>
        <w:tc>
          <w:tcPr>
            <w:tcW w:w="1020" w:type="dxa"/>
            <w:vAlign w:val="bottom"/>
            <w:tcBorders>
              <w:right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Exceptional</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Including</w:t>
            </w:r>
          </w:p>
        </w:tc>
        <w:tc>
          <w:tcPr>
            <w:tcW w:w="120" w:type="dxa"/>
            <w:vAlign w:val="bottom"/>
            <w:tcBorders>
              <w:right w:val="single" w:sz="8" w:color="CCEEFF"/>
            </w:tcBorders>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Excluding</w:t>
            </w:r>
          </w:p>
        </w:tc>
        <w:tc>
          <w:tcPr>
            <w:tcW w:w="8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Exceptional</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Including</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Exceptional</w:t>
            </w:r>
          </w:p>
        </w:tc>
        <w:tc>
          <w:tcPr>
            <w:tcW w:w="34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items</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Exceptional</w:t>
            </w:r>
          </w:p>
        </w:tc>
        <w:tc>
          <w:tcPr>
            <w:tcW w:w="12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Exceptional</w:t>
            </w:r>
          </w:p>
        </w:tc>
        <w:tc>
          <w:tcPr>
            <w:tcW w:w="880" w:type="dxa"/>
            <w:vAlign w:val="bottom"/>
            <w:tcBorders>
              <w:right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items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Exceptional</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items</w:t>
            </w:r>
          </w:p>
        </w:tc>
        <w:tc>
          <w:tcPr>
            <w:tcW w:w="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items</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items</w:t>
            </w: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items</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w w:val="99"/>
              </w:rPr>
              <w:t>Numerator computations</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Basic and diluted earnings</w:t>
            </w: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per share</w:t>
            </w:r>
          </w:p>
        </w:tc>
        <w:tc>
          <w:tcPr>
            <w:tcW w:w="7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right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700" w:type="dxa"/>
            <w:vAlign w:val="bottom"/>
            <w:tcBorders>
              <w:bottom w:val="single" w:sz="8" w:color="CCEEFF"/>
              <w:right w:val="single" w:sz="8" w:color="auto"/>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right w:val="single" w:sz="8" w:color="auto"/>
            </w:tcBorders>
            <w:shd w:val="clear" w:color="auto" w:fill="CCEEFF"/>
          </w:tcPr>
          <w:p>
            <w:pPr>
              <w:spacing w:after="0"/>
              <w:rPr>
                <w:sz w:val="15"/>
                <w:szCs w:val="15"/>
                <w:color w:val="auto"/>
              </w:rPr>
            </w:pPr>
          </w:p>
        </w:tc>
        <w:tc>
          <w:tcPr>
            <w:tcW w:w="82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Arial" w:cs="Arial" w:eastAsia="Arial" w:hAnsi="Arial"/>
                <w:sz w:val="14"/>
                <w:szCs w:val="14"/>
                <w:color w:val="auto"/>
              </w:rPr>
              <w:t>Profit for the period</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333,854</w:t>
            </w:r>
          </w:p>
        </w:tc>
        <w:tc>
          <w:tcPr>
            <w:tcW w:w="340" w:type="dxa"/>
            <w:vAlign w:val="bottom"/>
          </w:tcPr>
          <w:p>
            <w:pPr>
              <w:spacing w:after="0"/>
              <w:rPr>
                <w:sz w:val="16"/>
                <w:szCs w:val="16"/>
                <w:color w:val="auto"/>
              </w:rPr>
            </w:pPr>
          </w:p>
        </w:tc>
        <w:tc>
          <w:tcPr>
            <w:tcW w:w="68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(11,037)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322,817</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279,728</w:t>
            </w:r>
          </w:p>
        </w:tc>
        <w:tc>
          <w:tcPr>
            <w:tcW w:w="40" w:type="dxa"/>
            <w:vAlign w:val="bottom"/>
          </w:tcPr>
          <w:p>
            <w:pPr>
              <w:spacing w:after="0"/>
              <w:rPr>
                <w:sz w:val="16"/>
                <w:szCs w:val="16"/>
                <w:color w:val="auto"/>
              </w:rPr>
            </w:pPr>
          </w:p>
        </w:tc>
        <w:tc>
          <w:tcPr>
            <w:tcW w:w="88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(6,784)</w:t>
            </w:r>
          </w:p>
        </w:tc>
        <w:tc>
          <w:tcPr>
            <w:tcW w:w="820" w:type="dxa"/>
            <w:vAlign w:val="bottom"/>
          </w:tcPr>
          <w:p>
            <w:pPr>
              <w:jc w:val="right"/>
              <w:spacing w:after="0"/>
              <w:rPr>
                <w:sz w:val="20"/>
                <w:szCs w:val="20"/>
                <w:color w:val="auto"/>
              </w:rPr>
            </w:pPr>
            <w:r>
              <w:rPr>
                <w:rFonts w:ascii="Arial" w:cs="Arial" w:eastAsia="Arial" w:hAnsi="Arial"/>
                <w:sz w:val="14"/>
                <w:szCs w:val="14"/>
                <w:color w:val="auto"/>
              </w:rPr>
              <w:t>272,944</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70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740" w:type="dxa"/>
            <w:vAlign w:val="bottom"/>
            <w:tcBorders>
              <w:bottom w:val="single" w:sz="8" w:color="auto"/>
              <w:right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CCEEFF"/>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700" w:type="dxa"/>
            <w:vAlign w:val="bottom"/>
          </w:tcPr>
          <w:p>
            <w:pPr>
              <w:ind w:left="20"/>
              <w:spacing w:after="0"/>
              <w:rPr>
                <w:sz w:val="20"/>
                <w:szCs w:val="20"/>
                <w:color w:val="auto"/>
              </w:rPr>
            </w:pPr>
            <w:r>
              <w:rPr>
                <w:rFonts w:ascii="Arial" w:cs="Arial" w:eastAsia="Arial" w:hAnsi="Arial"/>
                <w:sz w:val="14"/>
                <w:szCs w:val="14"/>
                <w:color w:val="auto"/>
              </w:rPr>
              <w:t>Profit attributable to equity</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333,854</w:t>
            </w:r>
          </w:p>
        </w:tc>
        <w:tc>
          <w:tcPr>
            <w:tcW w:w="340" w:type="dxa"/>
            <w:vAlign w:val="bottom"/>
          </w:tcPr>
          <w:p>
            <w:pPr>
              <w:spacing w:after="0"/>
              <w:rPr>
                <w:sz w:val="14"/>
                <w:szCs w:val="14"/>
                <w:color w:val="auto"/>
              </w:rPr>
            </w:pPr>
          </w:p>
        </w:tc>
        <w:tc>
          <w:tcPr>
            <w:tcW w:w="68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(11,037)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322,817</w:t>
            </w:r>
          </w:p>
        </w:tc>
        <w:tc>
          <w:tcPr>
            <w:tcW w:w="1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rPr>
                <w:sz w:val="20"/>
                <w:szCs w:val="20"/>
                <w:color w:val="auto"/>
              </w:rPr>
            </w:pPr>
            <w:r>
              <w:rPr>
                <w:rFonts w:ascii="Arial" w:cs="Arial" w:eastAsia="Arial" w:hAnsi="Arial"/>
                <w:sz w:val="14"/>
                <w:szCs w:val="14"/>
                <w:color w:val="auto"/>
              </w:rPr>
              <w:t>holders</w:t>
            </w:r>
          </w:p>
        </w:tc>
        <w:tc>
          <w:tcPr>
            <w:tcW w:w="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279,728</w:t>
            </w:r>
          </w:p>
        </w:tc>
        <w:tc>
          <w:tcPr>
            <w:tcW w:w="40" w:type="dxa"/>
            <w:vAlign w:val="bottom"/>
          </w:tcPr>
          <w:p>
            <w:pPr>
              <w:spacing w:after="0"/>
              <w:rPr>
                <w:sz w:val="15"/>
                <w:szCs w:val="15"/>
                <w:color w:val="auto"/>
              </w:rPr>
            </w:pPr>
          </w:p>
        </w:tc>
        <w:tc>
          <w:tcPr>
            <w:tcW w:w="88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(6,784)</w:t>
            </w:r>
          </w:p>
        </w:tc>
        <w:tc>
          <w:tcPr>
            <w:tcW w:w="820" w:type="dxa"/>
            <w:vAlign w:val="bottom"/>
          </w:tcPr>
          <w:p>
            <w:pPr>
              <w:jc w:val="right"/>
              <w:spacing w:after="0"/>
              <w:rPr>
                <w:sz w:val="20"/>
                <w:szCs w:val="20"/>
                <w:color w:val="auto"/>
              </w:rPr>
            </w:pPr>
            <w:r>
              <w:rPr>
                <w:rFonts w:ascii="Arial" w:cs="Arial" w:eastAsia="Arial" w:hAnsi="Arial"/>
                <w:sz w:val="14"/>
                <w:szCs w:val="14"/>
                <w:color w:val="auto"/>
              </w:rPr>
              <w:t>272,944</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780" w:type="dxa"/>
            <w:vAlign w:val="bottom"/>
            <w:gridSpan w:val="2"/>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1"/>
              </w:rPr>
              <w:t>Denominator computations</w:t>
            </w: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Number of Shares</w:t>
            </w:r>
          </w:p>
        </w:tc>
        <w:tc>
          <w:tcPr>
            <w:tcW w:w="880" w:type="dxa"/>
            <w:vAlign w:val="bottom"/>
            <w:tcBorders>
              <w:bottom w:val="single" w:sz="8" w:color="CCEEFF"/>
              <w:right w:val="single" w:sz="8" w:color="CCEEFF"/>
            </w:tcBorders>
            <w:shd w:val="clear" w:color="auto" w:fill="CCEEFF"/>
          </w:tcPr>
          <w:p>
            <w:pPr>
              <w:spacing w:after="0"/>
              <w:rPr>
                <w:sz w:val="18"/>
                <w:szCs w:val="18"/>
                <w:color w:val="auto"/>
              </w:rPr>
            </w:pPr>
          </w:p>
        </w:tc>
        <w:tc>
          <w:tcPr>
            <w:tcW w:w="82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line="160" w:lineRule="exact"/>
              <w:rPr>
                <w:sz w:val="20"/>
                <w:szCs w:val="20"/>
                <w:color w:val="auto"/>
              </w:rPr>
            </w:pPr>
            <w:r>
              <w:rPr>
                <w:rFonts w:ascii="Arial" w:cs="Arial" w:eastAsia="Arial" w:hAnsi="Arial"/>
                <w:sz w:val="14"/>
                <w:szCs w:val="14"/>
                <w:color w:val="auto"/>
                <w:w w:val="91"/>
              </w:rPr>
              <w:t>Weighted average number of</w:t>
            </w:r>
          </w:p>
        </w:tc>
        <w:tc>
          <w:tcPr>
            <w:tcW w:w="1120" w:type="dxa"/>
            <w:vAlign w:val="bottom"/>
            <w:gridSpan w:val="2"/>
          </w:tcPr>
          <w:p>
            <w:pPr>
              <w:jc w:val="right"/>
              <w:ind w:right="9"/>
              <w:spacing w:after="0" w:line="160" w:lineRule="exact"/>
              <w:rPr>
                <w:sz w:val="20"/>
                <w:szCs w:val="20"/>
                <w:color w:val="auto"/>
              </w:rPr>
            </w:pPr>
            <w:r>
              <w:rPr>
                <w:rFonts w:ascii="Arial" w:cs="Arial" w:eastAsia="Arial" w:hAnsi="Arial"/>
                <w:sz w:val="14"/>
                <w:szCs w:val="14"/>
                <w:b w:val="1"/>
                <w:bCs w:val="1"/>
                <w:color w:val="auto"/>
              </w:rPr>
              <w:t>54,118,764</w:t>
            </w:r>
          </w:p>
        </w:tc>
        <w:tc>
          <w:tcPr>
            <w:tcW w:w="76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rPr>
              <w:t>54,118,764</w:t>
            </w:r>
          </w:p>
        </w:tc>
        <w:tc>
          <w:tcPr>
            <w:tcW w:w="120" w:type="dxa"/>
            <w:vAlign w:val="bottom"/>
            <w:tcBorders>
              <w:right w:val="single" w:sz="8" w:color="auto"/>
            </w:tcBorders>
          </w:tcPr>
          <w:p>
            <w:pPr>
              <w:spacing w:after="0"/>
              <w:rPr>
                <w:sz w:val="13"/>
                <w:szCs w:val="13"/>
                <w:color w:val="auto"/>
              </w:rPr>
            </w:pPr>
          </w:p>
        </w:tc>
        <w:tc>
          <w:tcPr>
            <w:tcW w:w="820" w:type="dxa"/>
            <w:vAlign w:val="bottom"/>
            <w:tcBorders>
              <w:top w:val="single" w:sz="8" w:color="auto"/>
              <w:right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rPr>
              <w:t>54,118,764</w:t>
            </w:r>
          </w:p>
        </w:tc>
        <w:tc>
          <w:tcPr>
            <w:tcW w:w="78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54,129,439</w:t>
            </w:r>
          </w:p>
        </w:tc>
        <w:tc>
          <w:tcPr>
            <w:tcW w:w="88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54,129,439</w:t>
            </w:r>
          </w:p>
        </w:tc>
        <w:tc>
          <w:tcPr>
            <w:tcW w:w="820" w:type="dxa"/>
            <w:vAlign w:val="bottom"/>
            <w:tcBorders>
              <w:top w:val="single" w:sz="8" w:color="auto"/>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54,129,439</w:t>
            </w: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Arial" w:cs="Arial" w:eastAsia="Arial" w:hAnsi="Arial"/>
                <w:sz w:val="14"/>
                <w:szCs w:val="14"/>
                <w:color w:val="auto"/>
                <w:w w:val="89"/>
              </w:rPr>
              <w:t>ordinary shares outstanding –</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rPr>
                <w:sz w:val="20"/>
                <w:szCs w:val="20"/>
                <w:color w:val="auto"/>
              </w:rPr>
            </w:pPr>
            <w:r>
              <w:rPr>
                <w:rFonts w:ascii="Arial" w:cs="Arial" w:eastAsia="Arial" w:hAnsi="Arial"/>
                <w:sz w:val="14"/>
                <w:szCs w:val="14"/>
                <w:color w:val="auto"/>
              </w:rPr>
              <w:t>basic</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dilutive potential</w:t>
            </w:r>
          </w:p>
        </w:tc>
        <w:tc>
          <w:tcPr>
            <w:tcW w:w="11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620,574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620,574</w:t>
            </w:r>
          </w:p>
        </w:tc>
        <w:tc>
          <w:tcPr>
            <w:tcW w:w="12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620,574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740,058</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740,058</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740,058</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7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7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740" w:type="dxa"/>
            <w:vAlign w:val="bottom"/>
            <w:tcBorders>
              <w:bottom w:val="single" w:sz="8" w:color="CCEEFF"/>
              <w:right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right w:val="single" w:sz="8" w:color="auto"/>
            </w:tcBorders>
            <w:shd w:val="clear" w:color="auto" w:fill="CCEEFF"/>
          </w:tcPr>
          <w:p>
            <w:pPr>
              <w:spacing w:after="0"/>
              <w:rPr>
                <w:sz w:val="17"/>
                <w:szCs w:val="17"/>
                <w:color w:val="auto"/>
              </w:rPr>
            </w:pPr>
          </w:p>
        </w:tc>
        <w:tc>
          <w:tcPr>
            <w:tcW w:w="820" w:type="dxa"/>
            <w:vAlign w:val="bottom"/>
            <w:tcBorders>
              <w:bottom w:val="single" w:sz="8" w:color="CCEEFF"/>
              <w:right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91"/>
              </w:rPr>
              <w:t>Weighted average number of</w:t>
            </w:r>
          </w:p>
        </w:tc>
        <w:tc>
          <w:tcPr>
            <w:tcW w:w="112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54,739,338</w:t>
            </w: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54,739,338</w:t>
            </w:r>
          </w:p>
        </w:tc>
        <w:tc>
          <w:tcPr>
            <w:tcW w:w="12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54,739,338</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54,869,497</w:t>
            </w:r>
          </w:p>
        </w:tc>
        <w:tc>
          <w:tcPr>
            <w:tcW w:w="8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54,869,497</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54,869,497</w:t>
            </w:r>
          </w:p>
        </w:tc>
        <w:tc>
          <w:tcPr>
            <w:tcW w:w="20" w:type="dxa"/>
            <w:vAlign w:val="bottom"/>
            <w:tcBorders>
              <w:top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ind w:left="20"/>
              <w:spacing w:after="0"/>
              <w:rPr>
                <w:sz w:val="20"/>
                <w:szCs w:val="20"/>
                <w:color w:val="auto"/>
              </w:rPr>
            </w:pPr>
            <w:r>
              <w:rPr>
                <w:rFonts w:ascii="Arial" w:cs="Arial" w:eastAsia="Arial" w:hAnsi="Arial"/>
                <w:sz w:val="14"/>
                <w:szCs w:val="14"/>
                <w:color w:val="auto"/>
                <w:w w:val="91"/>
              </w:rPr>
              <w:t>ordinary shares outstanding -</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rPr>
                <w:sz w:val="20"/>
                <w:szCs w:val="20"/>
                <w:color w:val="auto"/>
              </w:rPr>
            </w:pPr>
            <w:r>
              <w:rPr>
                <w:rFonts w:ascii="Arial" w:cs="Arial" w:eastAsia="Arial" w:hAnsi="Arial"/>
                <w:sz w:val="14"/>
                <w:szCs w:val="14"/>
                <w:color w:val="auto"/>
              </w:rPr>
              <w:t>diluted</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70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gridSpan w:val="2"/>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CCEEFF"/>
            </w:tcBorders>
            <w:gridSpan w:val="2"/>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w:t>
            </w:r>
          </w:p>
        </w:tc>
        <w:tc>
          <w:tcPr>
            <w:tcW w:w="7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20" w:type="dxa"/>
            <w:vAlign w:val="bottom"/>
            <w:tcBorders>
              <w:bottom w:val="single" w:sz="8" w:color="CCEEFF"/>
              <w:right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rPr>
                <w:sz w:val="20"/>
                <w:szCs w:val="20"/>
                <w:color w:val="auto"/>
              </w:rPr>
            </w:pPr>
            <w:r>
              <w:rPr>
                <w:rFonts w:ascii="Arial" w:cs="Arial" w:eastAsia="Arial" w:hAnsi="Arial"/>
                <w:sz w:val="14"/>
                <w:szCs w:val="14"/>
                <w:color w:val="auto"/>
                <w:w w:val="97"/>
              </w:rPr>
              <w:t>Basic earnings per ordinary</w:t>
            </w:r>
          </w:p>
        </w:tc>
        <w:tc>
          <w:tcPr>
            <w:tcW w:w="1120" w:type="dxa"/>
            <w:vAlign w:val="bottom"/>
            <w:gridSpan w:val="2"/>
            <w:vMerge w:val="restart"/>
          </w:tcPr>
          <w:p>
            <w:pPr>
              <w:jc w:val="right"/>
              <w:ind w:right="69"/>
              <w:spacing w:after="0"/>
              <w:rPr>
                <w:sz w:val="20"/>
                <w:szCs w:val="20"/>
                <w:color w:val="auto"/>
              </w:rPr>
            </w:pPr>
            <w:r>
              <w:rPr>
                <w:rFonts w:ascii="Arial" w:cs="Arial" w:eastAsia="Arial" w:hAnsi="Arial"/>
                <w:sz w:val="14"/>
                <w:szCs w:val="14"/>
                <w:b w:val="1"/>
                <w:bCs w:val="1"/>
                <w:color w:val="auto"/>
              </w:rPr>
              <w:t>6.16</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(0.20)</w:t>
            </w: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5.96</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rPr>
                <w:sz w:val="20"/>
                <w:szCs w:val="20"/>
                <w:color w:val="auto"/>
              </w:rPr>
            </w:pPr>
            <w:r>
              <w:rPr>
                <w:rFonts w:ascii="Arial" w:cs="Arial" w:eastAsia="Arial" w:hAnsi="Arial"/>
                <w:sz w:val="14"/>
                <w:szCs w:val="14"/>
                <w:color w:val="auto"/>
              </w:rPr>
              <w:t>share</w:t>
            </w:r>
          </w:p>
        </w:tc>
        <w:tc>
          <w:tcPr>
            <w:tcW w:w="11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5.17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Diluted earnings per ordinary</w:t>
            </w:r>
          </w:p>
        </w:tc>
        <w:tc>
          <w:tcPr>
            <w:tcW w:w="1120" w:type="dxa"/>
            <w:vAlign w:val="bottom"/>
            <w:gridSpan w:val="2"/>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6.10</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(0.20)</w:t>
            </w:r>
          </w:p>
        </w:tc>
        <w:tc>
          <w:tcPr>
            <w:tcW w:w="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auto"/>
            </w:tcBorders>
            <w:gridSpan w:val="2"/>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5.90</w:t>
            </w:r>
          </w:p>
        </w:tc>
        <w:tc>
          <w:tcPr>
            <w:tcW w:w="7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204,553 anti-dilutive shares in issue at 31 December 2018 comprised of 167,557 options, 35,953 PSUs and 1,043 RSUs (31 December 2017: 258,487).</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762" w:right="21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4"/>
                <w:szCs w:val="14"/>
                <w:b w:val="1"/>
                <w:bCs w:val="1"/>
                <w:color w:val="auto"/>
              </w:rPr>
              <w:t>8.  Exceptional items</w:t>
            </w:r>
          </w:p>
        </w:tc>
        <w:tc>
          <w:tcPr>
            <w:tcW w:w="2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39"/>
        </w:trPr>
        <w:tc>
          <w:tcPr>
            <w:tcW w:w="4000" w:type="dxa"/>
            <w:vAlign w:val="bottom"/>
          </w:tcPr>
          <w:p>
            <w:pPr>
              <w:spacing w:after="0"/>
              <w:rPr>
                <w:sz w:val="20"/>
                <w:szCs w:val="20"/>
                <w:color w:val="auto"/>
              </w:rPr>
            </w:pPr>
            <w:r>
              <w:rPr>
                <w:rFonts w:ascii="Arial" w:cs="Arial" w:eastAsia="Arial" w:hAnsi="Arial"/>
                <w:sz w:val="14"/>
                <w:szCs w:val="14"/>
                <w:color w:val="auto"/>
              </w:rPr>
              <w:t>Exceptional items are comprised of the following:</w:t>
            </w: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40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6"/>
        </w:trPr>
        <w:tc>
          <w:tcPr>
            <w:tcW w:w="400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00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spacing w:after="0"/>
              <w:rPr>
                <w:sz w:val="16"/>
                <w:szCs w:val="16"/>
                <w:color w:val="auto"/>
              </w:rPr>
            </w:pPr>
          </w:p>
        </w:tc>
        <w:tc>
          <w:tcPr>
            <w:tcW w:w="20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2060" w:type="dxa"/>
            <w:vAlign w:val="bottom"/>
          </w:tcPr>
          <w:p>
            <w:pPr>
              <w:jc w:val="right"/>
              <w:ind w:right="49"/>
              <w:spacing w:after="0"/>
              <w:rPr>
                <w:sz w:val="20"/>
                <w:szCs w:val="20"/>
                <w:color w:val="auto"/>
              </w:rPr>
            </w:pPr>
            <w:r>
              <w:rPr>
                <w:rFonts w:ascii="Arial" w:cs="Arial" w:eastAsia="Arial" w:hAnsi="Arial"/>
                <w:sz w:val="14"/>
                <w:szCs w:val="14"/>
                <w:b w:val="1"/>
                <w:bCs w:val="1"/>
                <w:color w:val="auto"/>
              </w:rPr>
              <w:t>12,490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7,753</w:t>
            </w:r>
          </w:p>
        </w:tc>
      </w:tr>
      <w:tr>
        <w:trPr>
          <w:trHeight w:val="21"/>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w:t>
            </w:r>
          </w:p>
        </w:tc>
        <w:tc>
          <w:tcPr>
            <w:tcW w:w="2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(1,453)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w:t>
            </w:r>
          </w:p>
        </w:tc>
      </w:tr>
      <w:tr>
        <w:trPr>
          <w:trHeight w:val="181"/>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Exceptional items (net)</w:t>
            </w:r>
          </w:p>
        </w:tc>
        <w:tc>
          <w:tcPr>
            <w:tcW w:w="20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11,037</w:t>
            </w: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6,784</w:t>
            </w:r>
          </w:p>
        </w:tc>
      </w:tr>
      <w:tr>
        <w:trPr>
          <w:trHeight w:val="23"/>
        </w:trPr>
        <w:tc>
          <w:tcPr>
            <w:tcW w:w="4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 restructuring charge of $12.5 million was recognised during the year ended 31 December 2018, under a restructuring plan adopted following a review of operations. The restructuring plan reflected resource rationalisation across the business to improve resource utilisation resulting in a charge of $9.7 million and office consolidation resulting in the recognition of an onerous lease obligation of $2.8 million.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Workforce</w:t>
            </w:r>
          </w:p>
        </w:tc>
        <w:tc>
          <w:tcPr>
            <w:tcW w:w="10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Onerous</w:t>
            </w:r>
          </w:p>
        </w:tc>
        <w:tc>
          <w:tcPr>
            <w:tcW w:w="720" w:type="dxa"/>
            <w:vAlign w:val="bottom"/>
            <w:shd w:val="clear" w:color="auto" w:fill="CCEEFF"/>
          </w:tcPr>
          <w:p>
            <w:pPr>
              <w:spacing w:after="0"/>
              <w:rPr>
                <w:sz w:val="15"/>
                <w:szCs w:val="15"/>
                <w:color w:val="auto"/>
              </w:rPr>
            </w:pPr>
          </w:p>
        </w:tc>
      </w:tr>
      <w:tr>
        <w:trPr>
          <w:trHeight w:val="205"/>
        </w:trPr>
        <w:tc>
          <w:tcPr>
            <w:tcW w:w="40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reductions</w:t>
            </w:r>
          </w:p>
        </w:tc>
        <w:tc>
          <w:tcPr>
            <w:tcW w:w="10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Lease</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81"/>
        </w:trPr>
        <w:tc>
          <w:tcPr>
            <w:tcW w:w="40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4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provision recognised</w:t>
            </w:r>
          </w:p>
        </w:tc>
        <w:tc>
          <w:tcPr>
            <w:tcW w:w="11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9,684</w:t>
            </w:r>
          </w:p>
        </w:tc>
        <w:tc>
          <w:tcPr>
            <w:tcW w:w="10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2,806</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12,490</w:t>
            </w: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1160" w:type="dxa"/>
            <w:vAlign w:val="bottom"/>
          </w:tcPr>
          <w:p>
            <w:pPr>
              <w:jc w:val="right"/>
              <w:ind w:right="129"/>
              <w:spacing w:after="0"/>
              <w:rPr>
                <w:sz w:val="20"/>
                <w:szCs w:val="20"/>
                <w:color w:val="auto"/>
              </w:rPr>
            </w:pPr>
            <w:r>
              <w:rPr>
                <w:rFonts w:ascii="Arial" w:cs="Arial" w:eastAsia="Arial" w:hAnsi="Arial"/>
                <w:sz w:val="14"/>
                <w:szCs w:val="14"/>
                <w:color w:val="auto"/>
              </w:rPr>
              <w:t>(5,399)</w:t>
            </w:r>
          </w:p>
        </w:tc>
        <w:tc>
          <w:tcPr>
            <w:tcW w:w="1040" w:type="dxa"/>
            <w:vAlign w:val="bottom"/>
          </w:tcPr>
          <w:p>
            <w:pPr>
              <w:jc w:val="right"/>
              <w:ind w:right="209"/>
              <w:spacing w:after="0"/>
              <w:rPr>
                <w:sz w:val="20"/>
                <w:szCs w:val="20"/>
                <w:color w:val="auto"/>
              </w:rPr>
            </w:pPr>
            <w:r>
              <w:rPr>
                <w:rFonts w:ascii="Arial" w:cs="Arial" w:eastAsia="Arial" w:hAnsi="Arial"/>
                <w:sz w:val="14"/>
                <w:szCs w:val="14"/>
                <w:color w:val="auto"/>
              </w:rPr>
              <w:t>(672)</w:t>
            </w:r>
          </w:p>
        </w:tc>
        <w:tc>
          <w:tcPr>
            <w:tcW w:w="720" w:type="dxa"/>
            <w:vAlign w:val="bottom"/>
          </w:tcPr>
          <w:p>
            <w:pPr>
              <w:jc w:val="right"/>
              <w:spacing w:after="0"/>
              <w:rPr>
                <w:sz w:val="20"/>
                <w:szCs w:val="20"/>
                <w:color w:val="auto"/>
              </w:rPr>
            </w:pPr>
            <w:r>
              <w:rPr>
                <w:rFonts w:ascii="Arial" w:cs="Arial" w:eastAsia="Arial" w:hAnsi="Arial"/>
                <w:sz w:val="14"/>
                <w:szCs w:val="14"/>
                <w:color w:val="auto"/>
              </w:rPr>
              <w:t>(6,071)</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2018</w:t>
            </w:r>
          </w:p>
        </w:tc>
        <w:tc>
          <w:tcPr>
            <w:tcW w:w="11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4,285</w:t>
            </w:r>
          </w:p>
        </w:tc>
        <w:tc>
          <w:tcPr>
            <w:tcW w:w="10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2,134</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6,419</w:t>
            </w:r>
          </w:p>
        </w:tc>
      </w:tr>
      <w:tr>
        <w:trPr>
          <w:trHeight w:val="21"/>
        </w:trPr>
        <w:tc>
          <w:tcPr>
            <w:tcW w:w="40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Prior Period Restructuring Charges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restructuring charge of $7.8 million was recognised during the year ended 31 December 2017, under a restructuring plan adopted following a review of operations. The restructuring plan reflected resource rationalisation across the business to improve resource utilisation. No additional charge was recorded during the twelve months ended 31 December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Workforce</w:t>
            </w:r>
          </w:p>
        </w:tc>
      </w:tr>
      <w:tr>
        <w:trPr>
          <w:trHeight w:val="205"/>
        </w:trPr>
        <w:tc>
          <w:tcPr>
            <w:tcW w:w="57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reductions</w:t>
            </w:r>
          </w:p>
        </w:tc>
      </w:tr>
      <w:tr>
        <w:trPr>
          <w:trHeight w:val="181"/>
        </w:trPr>
        <w:tc>
          <w:tcPr>
            <w:tcW w:w="5780" w:type="dxa"/>
            <w:vAlign w:val="bottom"/>
          </w:tcPr>
          <w:p>
            <w:pPr>
              <w:spacing w:after="0"/>
              <w:rPr>
                <w:sz w:val="15"/>
                <w:szCs w:val="15"/>
                <w:color w:val="auto"/>
              </w:rPr>
            </w:pPr>
          </w:p>
        </w:tc>
        <w:tc>
          <w:tcPr>
            <w:tcW w:w="12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7,753</w:t>
            </w:r>
          </w:p>
        </w:tc>
      </w:tr>
      <w:tr>
        <w:trPr>
          <w:trHeight w:val="190"/>
        </w:trPr>
        <w:tc>
          <w:tcPr>
            <w:tcW w:w="57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(4,656)</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2017</w:t>
            </w: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3,097</w:t>
            </w:r>
          </w:p>
        </w:tc>
      </w:tr>
      <w:tr>
        <w:trPr>
          <w:trHeight w:val="190"/>
        </w:trPr>
        <w:tc>
          <w:tcPr>
            <w:tcW w:w="57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(1,015)</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2018</w:t>
            </w: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2,082</w:t>
            </w:r>
          </w:p>
        </w:tc>
      </w:tr>
      <w:tr>
        <w:trPr>
          <w:trHeight w:val="21"/>
        </w:trPr>
        <w:tc>
          <w:tcPr>
            <w:tcW w:w="5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 restructuring charge of $8.2 million was recognised during the year ended 31 December 2016, under a restructuring plan adopted following a review by the Group of its operations. The restructuring plan reflected resource rationalisation in certain area of the business to improve resource utilisation, resulting in a charge of $6.2 million and office consolidation resulting in the recognition of an onerous lease of $2.0 million during the twelve months ended 31 December 2016. No additional charge was recorded during the twelve months ended 31 December 2017 and 31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699" w:right="219"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hanging="255"/>
        <w:spacing w:after="0"/>
        <w:tabs>
          <w:tab w:leader="none" w:pos="2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Exceptional items </w:t>
      </w:r>
      <w:r>
        <w:rPr>
          <w:rFonts w:ascii="Arial" w:cs="Arial" w:eastAsia="Arial" w:hAnsi="Arial"/>
          <w:sz w:val="14"/>
          <w:szCs w:val="14"/>
          <w:b w:val="1"/>
          <w:bCs w:val="1"/>
          <w:i w:val="1"/>
          <w:iCs w:val="1"/>
          <w:color w:val="auto"/>
        </w:rPr>
        <w:t>(continued)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Workforce</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Onerous</w:t>
            </w:r>
          </w:p>
        </w:tc>
        <w:tc>
          <w:tcPr>
            <w:tcW w:w="700" w:type="dxa"/>
            <w:vAlign w:val="bottom"/>
            <w:shd w:val="clear" w:color="auto" w:fill="CCEEFF"/>
          </w:tcPr>
          <w:p>
            <w:pPr>
              <w:spacing w:after="0"/>
              <w:rPr>
                <w:sz w:val="15"/>
                <w:szCs w:val="15"/>
                <w:color w:val="auto"/>
              </w:rPr>
            </w:pPr>
          </w:p>
        </w:tc>
      </w:tr>
      <w:tr>
        <w:trPr>
          <w:trHeight w:val="185"/>
        </w:trPr>
        <w:tc>
          <w:tcPr>
            <w:tcW w:w="318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Reductions</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Lease</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3180" w:type="dxa"/>
            <w:vAlign w:val="bottom"/>
          </w:tcPr>
          <w:p>
            <w:pPr>
              <w:spacing w:after="0"/>
              <w:rPr>
                <w:sz w:val="16"/>
                <w:szCs w:val="16"/>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3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3"/>
        </w:trPr>
        <w:tc>
          <w:tcPr>
            <w:tcW w:w="31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Total provision recognised</w:t>
            </w: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6,190</w:t>
            </w:r>
          </w:p>
        </w:tc>
        <w:tc>
          <w:tcPr>
            <w:tcW w:w="920" w:type="dxa"/>
            <w:vAlign w:val="bottom"/>
          </w:tcPr>
          <w:p>
            <w:pPr>
              <w:jc w:val="right"/>
              <w:ind w:right="249"/>
              <w:spacing w:after="0"/>
              <w:rPr>
                <w:sz w:val="20"/>
                <w:szCs w:val="20"/>
                <w:color w:val="auto"/>
              </w:rPr>
            </w:pPr>
            <w:r>
              <w:rPr>
                <w:rFonts w:ascii="Arial" w:cs="Arial" w:eastAsia="Arial" w:hAnsi="Arial"/>
                <w:sz w:val="14"/>
                <w:szCs w:val="14"/>
                <w:color w:val="auto"/>
              </w:rPr>
              <w:t>1,969</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8,159</w:t>
            </w:r>
          </w:p>
        </w:tc>
      </w:tr>
      <w:tr>
        <w:trPr>
          <w:trHeight w:val="21"/>
        </w:trPr>
        <w:tc>
          <w:tcPr>
            <w:tcW w:w="3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Utilisation</w:t>
            </w:r>
          </w:p>
        </w:tc>
        <w:tc>
          <w:tcPr>
            <w:tcW w:w="2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(5,734)</w:t>
            </w:r>
          </w:p>
        </w:tc>
        <w:tc>
          <w:tcPr>
            <w:tcW w:w="9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(571)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(6,305)</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exchange</w:t>
            </w:r>
          </w:p>
        </w:tc>
        <w:tc>
          <w:tcPr>
            <w:tcW w:w="216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9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2016</w:t>
            </w: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393</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1,398</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1,791</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2160" w:type="dxa"/>
            <w:vAlign w:val="bottom"/>
          </w:tcPr>
          <w:p>
            <w:pPr>
              <w:jc w:val="right"/>
              <w:ind w:right="9"/>
              <w:spacing w:after="0"/>
              <w:rPr>
                <w:sz w:val="20"/>
                <w:szCs w:val="20"/>
                <w:color w:val="auto"/>
              </w:rPr>
            </w:pPr>
            <w:r>
              <w:rPr>
                <w:rFonts w:ascii="Arial" w:cs="Arial" w:eastAsia="Arial" w:hAnsi="Arial"/>
                <w:sz w:val="14"/>
                <w:szCs w:val="14"/>
                <w:color w:val="auto"/>
              </w:rPr>
              <w:t>(393)</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(1,081)</w:t>
            </w:r>
          </w:p>
        </w:tc>
        <w:tc>
          <w:tcPr>
            <w:tcW w:w="700" w:type="dxa"/>
            <w:vAlign w:val="bottom"/>
          </w:tcPr>
          <w:p>
            <w:pPr>
              <w:jc w:val="right"/>
              <w:spacing w:after="0"/>
              <w:rPr>
                <w:sz w:val="20"/>
                <w:szCs w:val="20"/>
                <w:color w:val="auto"/>
              </w:rPr>
            </w:pPr>
            <w:r>
              <w:rPr>
                <w:rFonts w:ascii="Arial" w:cs="Arial" w:eastAsia="Arial" w:hAnsi="Arial"/>
                <w:sz w:val="14"/>
                <w:szCs w:val="14"/>
                <w:color w:val="auto"/>
              </w:rPr>
              <w:t>(1,474)</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2017</w:t>
            </w: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317</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317</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(317)</w:t>
            </w:r>
          </w:p>
        </w:tc>
        <w:tc>
          <w:tcPr>
            <w:tcW w:w="70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2018</w:t>
            </w: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1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5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tab/>
        <w:t>Payroll and related benefits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Payroll costs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The aggregate payroll costs of employees of the Group for the year ended 31 December 2018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4"/>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40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0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Wages and salaries</w:t>
            </w:r>
          </w:p>
        </w:tc>
        <w:tc>
          <w:tcPr>
            <w:tcW w:w="11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994,169</w:t>
            </w:r>
          </w:p>
        </w:tc>
        <w:tc>
          <w:tcPr>
            <w:tcW w:w="880" w:type="dxa"/>
            <w:vAlign w:val="bottom"/>
          </w:tcPr>
          <w:p>
            <w:pPr>
              <w:jc w:val="right"/>
              <w:spacing w:after="0"/>
              <w:rPr>
                <w:sz w:val="20"/>
                <w:szCs w:val="20"/>
                <w:color w:val="auto"/>
              </w:rPr>
            </w:pPr>
            <w:r>
              <w:rPr>
                <w:rFonts w:ascii="Arial" w:cs="Arial" w:eastAsia="Arial" w:hAnsi="Arial"/>
                <w:sz w:val="14"/>
                <w:szCs w:val="14"/>
                <w:color w:val="auto"/>
              </w:rPr>
              <w:t>931,682</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Social welfare costs</w:t>
            </w:r>
          </w:p>
        </w:tc>
        <w:tc>
          <w:tcPr>
            <w:tcW w:w="1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141,906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126,940</w:t>
            </w: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Pension costs for defined contribution pension schemes</w:t>
            </w: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40,773</w:t>
            </w:r>
          </w:p>
        </w:tc>
        <w:tc>
          <w:tcPr>
            <w:tcW w:w="880" w:type="dxa"/>
            <w:vAlign w:val="bottom"/>
          </w:tcPr>
          <w:p>
            <w:pPr>
              <w:jc w:val="right"/>
              <w:spacing w:after="0"/>
              <w:rPr>
                <w:sz w:val="20"/>
                <w:szCs w:val="20"/>
                <w:color w:val="auto"/>
              </w:rPr>
            </w:pPr>
            <w:r>
              <w:rPr>
                <w:rFonts w:ascii="Arial" w:cs="Arial" w:eastAsia="Arial" w:hAnsi="Arial"/>
                <w:sz w:val="14"/>
                <w:szCs w:val="14"/>
                <w:color w:val="auto"/>
              </w:rPr>
              <w:t>35,301</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costs for defined benefit pension schemes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w:t>
            </w: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Termination benefits</w:t>
            </w: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8</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9,684</w:t>
            </w:r>
          </w:p>
        </w:tc>
        <w:tc>
          <w:tcPr>
            <w:tcW w:w="880" w:type="dxa"/>
            <w:vAlign w:val="bottom"/>
          </w:tcPr>
          <w:p>
            <w:pPr>
              <w:jc w:val="right"/>
              <w:spacing w:after="0"/>
              <w:rPr>
                <w:sz w:val="20"/>
                <w:szCs w:val="20"/>
                <w:color w:val="auto"/>
              </w:rPr>
            </w:pPr>
            <w:r>
              <w:rPr>
                <w:rFonts w:ascii="Arial" w:cs="Arial" w:eastAsia="Arial" w:hAnsi="Arial"/>
                <w:sz w:val="14"/>
                <w:szCs w:val="14"/>
                <w:color w:val="auto"/>
              </w:rPr>
              <w:t>7,753</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11</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28,059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31,120</w:t>
            </w:r>
          </w:p>
        </w:tc>
      </w:tr>
      <w:tr>
        <w:trPr>
          <w:trHeight w:val="181"/>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charge to income</w:t>
            </w:r>
          </w:p>
        </w:tc>
        <w:tc>
          <w:tcPr>
            <w:tcW w:w="1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1,214,983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1,133,671</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Re-measurement of post-employment benefit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23"/>
        </w:trPr>
        <w:tc>
          <w:tcPr>
            <w:tcW w:w="40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payroll and related benefit costs</w:t>
            </w:r>
          </w:p>
        </w:tc>
        <w:tc>
          <w:tcPr>
            <w:tcW w:w="1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1,212,343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1,133,776</w:t>
            </w:r>
          </w:p>
        </w:tc>
      </w:tr>
      <w:tr>
        <w:trPr>
          <w:trHeight w:val="21"/>
        </w:trPr>
        <w:tc>
          <w:tcPr>
            <w:tcW w:w="4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ind w:left="80" w:hanging="75"/>
        <w:spacing w:after="0"/>
        <w:tabs>
          <w:tab w:leader="none" w:pos="80" w:val="left"/>
        </w:tabs>
        <w:numPr>
          <w:ilvl w:val="0"/>
          <w:numId w:val="51"/>
        </w:numPr>
        <w:rPr>
          <w:rFonts w:ascii="Arial" w:cs="Arial" w:eastAsia="Arial" w:hAnsi="Arial"/>
          <w:sz w:val="10"/>
          <w:szCs w:val="10"/>
          <w:color w:val="auto"/>
        </w:rPr>
      </w:pPr>
      <w:r>
        <w:rPr>
          <w:rFonts w:ascii="Arial" w:cs="Arial" w:eastAsia="Arial" w:hAnsi="Arial"/>
          <w:sz w:val="10"/>
          <w:szCs w:val="10"/>
          <w:i w:val="1"/>
          <w:iCs w:val="1"/>
          <w:color w:val="auto"/>
        </w:rPr>
        <w:t>IFRS 2 requires that the fair value of share options and restricted share units is calculated and amortised over the vesting period of the related share option, restricted share unit or performance share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239"/>
          </w:cols>
          <w:pgMar w:left="220" w:top="699" w:right="1440"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Average employee numbers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average number of employees, including executive Directors, employed by the Group during the year ended 31 December 2018 was as follows</w:t>
      </w:r>
      <w:r>
        <w:rPr>
          <w:rFonts w:ascii="Arial" w:cs="Arial" w:eastAsia="Arial" w:hAnsi="Arial"/>
          <w:sz w:val="14"/>
          <w:szCs w:val="14"/>
          <w:b w:val="1"/>
          <w:bCs w:val="1"/>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360" w:type="dxa"/>
            <w:vAlign w:val="bottom"/>
            <w:shd w:val="clear" w:color="auto" w:fill="CCEEFF"/>
          </w:tcPr>
          <w:p>
            <w:pPr>
              <w:spacing w:after="0"/>
              <w:rPr>
                <w:sz w:val="14"/>
                <w:szCs w:val="14"/>
                <w:color w:val="auto"/>
              </w:rPr>
            </w:pPr>
          </w:p>
        </w:tc>
        <w:tc>
          <w:tcPr>
            <w:tcW w:w="2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212"/>
        </w:trPr>
        <w:tc>
          <w:tcPr>
            <w:tcW w:w="3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2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192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Administration</w:t>
            </w:r>
          </w:p>
        </w:tc>
        <w:tc>
          <w:tcPr>
            <w:tcW w:w="2740" w:type="dxa"/>
            <w:vAlign w:val="bottom"/>
          </w:tcPr>
          <w:p>
            <w:pPr>
              <w:jc w:val="right"/>
              <w:ind w:right="9"/>
              <w:spacing w:after="0"/>
              <w:rPr>
                <w:sz w:val="20"/>
                <w:szCs w:val="20"/>
                <w:color w:val="auto"/>
              </w:rPr>
            </w:pPr>
            <w:r>
              <w:rPr>
                <w:rFonts w:ascii="Arial" w:cs="Arial" w:eastAsia="Arial" w:hAnsi="Arial"/>
                <w:sz w:val="14"/>
                <w:szCs w:val="14"/>
                <w:b w:val="1"/>
                <w:bCs w:val="1"/>
                <w:color w:val="auto"/>
              </w:rPr>
              <w:t>1,578</w:t>
            </w:r>
          </w:p>
        </w:tc>
        <w:tc>
          <w:tcPr>
            <w:tcW w:w="88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21"/>
        </w:trPr>
        <w:tc>
          <w:tcPr>
            <w:tcW w:w="3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Clinical research</w:t>
            </w:r>
          </w:p>
        </w:tc>
        <w:tc>
          <w:tcPr>
            <w:tcW w:w="2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11,249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10,465</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Laboratory</w:t>
            </w:r>
          </w:p>
        </w:tc>
        <w:tc>
          <w:tcPr>
            <w:tcW w:w="2740" w:type="dxa"/>
            <w:vAlign w:val="bottom"/>
          </w:tcPr>
          <w:p>
            <w:pPr>
              <w:jc w:val="right"/>
              <w:ind w:right="9"/>
              <w:spacing w:after="0"/>
              <w:rPr>
                <w:sz w:val="20"/>
                <w:szCs w:val="20"/>
                <w:color w:val="auto"/>
              </w:rPr>
            </w:pPr>
            <w:r>
              <w:rPr>
                <w:rFonts w:ascii="Arial" w:cs="Arial" w:eastAsia="Arial" w:hAnsi="Arial"/>
                <w:sz w:val="14"/>
                <w:szCs w:val="14"/>
                <w:b w:val="1"/>
                <w:bCs w:val="1"/>
                <w:color w:val="auto"/>
              </w:rPr>
              <w:t>557</w:t>
            </w:r>
          </w:p>
        </w:tc>
        <w:tc>
          <w:tcPr>
            <w:tcW w:w="880" w:type="dxa"/>
            <w:vAlign w:val="bottom"/>
          </w:tcPr>
          <w:p>
            <w:pPr>
              <w:jc w:val="right"/>
              <w:spacing w:after="0"/>
              <w:rPr>
                <w:sz w:val="20"/>
                <w:szCs w:val="20"/>
                <w:color w:val="auto"/>
              </w:rPr>
            </w:pPr>
            <w:r>
              <w:rPr>
                <w:rFonts w:ascii="Arial" w:cs="Arial" w:eastAsia="Arial" w:hAnsi="Arial"/>
                <w:sz w:val="14"/>
                <w:szCs w:val="14"/>
                <w:color w:val="auto"/>
              </w:rPr>
              <w:t>534</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2"/>
        </w:trPr>
        <w:tc>
          <w:tcPr>
            <w:tcW w:w="3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740" w:type="dxa"/>
            <w:vAlign w:val="bottom"/>
          </w:tcPr>
          <w:p>
            <w:pPr>
              <w:jc w:val="right"/>
              <w:ind w:right="9"/>
              <w:spacing w:after="0"/>
              <w:rPr>
                <w:sz w:val="20"/>
                <w:szCs w:val="20"/>
                <w:color w:val="auto"/>
              </w:rPr>
            </w:pPr>
            <w:r>
              <w:rPr>
                <w:rFonts w:ascii="Arial" w:cs="Arial" w:eastAsia="Arial" w:hAnsi="Arial"/>
                <w:sz w:val="14"/>
                <w:szCs w:val="14"/>
                <w:b w:val="1"/>
                <w:bCs w:val="1"/>
                <w:color w:val="auto"/>
              </w:rPr>
              <w:t>13,576</w:t>
            </w:r>
          </w:p>
        </w:tc>
        <w:tc>
          <w:tcPr>
            <w:tcW w:w="880" w:type="dxa"/>
            <w:vAlign w:val="bottom"/>
          </w:tcPr>
          <w:p>
            <w:pPr>
              <w:jc w:val="right"/>
              <w:spacing w:after="0"/>
              <w:rPr>
                <w:sz w:val="20"/>
                <w:szCs w:val="20"/>
                <w:color w:val="auto"/>
              </w:rPr>
            </w:pPr>
            <w:r>
              <w:rPr>
                <w:rFonts w:ascii="Arial" w:cs="Arial" w:eastAsia="Arial" w:hAnsi="Arial"/>
                <w:sz w:val="14"/>
                <w:szCs w:val="14"/>
                <w:color w:val="auto"/>
              </w:rPr>
              <w:t>12,755</w:t>
            </w:r>
          </w:p>
        </w:tc>
      </w:tr>
      <w:tr>
        <w:trPr>
          <w:trHeight w:val="23"/>
        </w:trPr>
        <w:tc>
          <w:tcPr>
            <w:tcW w:w="33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38"/>
        </w:trPr>
        <w:tc>
          <w:tcPr>
            <w:tcW w:w="3360" w:type="dxa"/>
            <w:vAlign w:val="bottom"/>
          </w:tcPr>
          <w:p>
            <w:pPr>
              <w:spacing w:after="0"/>
              <w:rPr>
                <w:sz w:val="20"/>
                <w:szCs w:val="20"/>
                <w:color w:val="auto"/>
              </w:rPr>
            </w:pPr>
            <w:r>
              <w:rPr>
                <w:rFonts w:ascii="Arial" w:cs="Arial" w:eastAsia="Arial" w:hAnsi="Arial"/>
                <w:sz w:val="14"/>
                <w:szCs w:val="14"/>
                <w:b w:val="1"/>
                <w:bCs w:val="1"/>
                <w:color w:val="auto"/>
              </w:rPr>
              <w:t>Directors’ remuneration</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Remuneration policy</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Non-Executive Directors’ remuneration</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Non-Executive Directors are remunerated by way of Directors’ fees and are also eligible for participation in the share option scheme. During 2018, each Non-Executive Director (excluding the Board Chairman) was paid an annual retainer of $65,000 and additional fees for Board Committee service.</w:t>
      </w:r>
    </w:p>
    <w:p>
      <w:pPr>
        <w:spacing w:after="0" w:line="143"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Mr. Murray’s Executive Chairman term expired on 12 May 2018 and he transitioned to the Non-Executive Director role of Non-Executive Chairman. The arrangements with the Non-Executive Chairman of the Board provide for payment of €300,000 (translated at average rate for the year: $355,380) annually. During 2018, Mr. Declan McKeon served as Lead Independent Director and received an additional fee of $25,000 for this role. Mr. Ronan Murphy was appointed as Lead Independent Director with effect from 1 January 2019. He will receive an additional fee of $25,000 for this role.</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Non-Executive Directors are not eligible for performance related cash bonuses and no pension contributions are made on their behalf. The Compensation and Organisation Committee sets non-Executive remuneration.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Executive Directors’ and Key Executive Officers’ remuneration</w:t>
      </w:r>
    </w:p>
    <w:p>
      <w:pPr>
        <w:spacing w:after="0" w:line="178"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ranging from 25% to 100% of salary based on group and individual performance.</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total bonus of $1.4 million was awarded to the following individuals; Dr. Steve Cutler, Chief Executive Officer ($1.1 million) and Mr. Brendan Brennan, Chief Financial Officer ($0.3 million) to reflect their contribution to the performance of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826" w:right="219"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Company during 2018. These amounts were approved by the Compensation and Organisation Committee and have been paid during the year ended 31 December 2019.</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Operations.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Interest at</w:t>
            </w:r>
          </w:p>
        </w:tc>
        <w:tc>
          <w:tcPr>
            <w:tcW w:w="142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Interest at</w:t>
            </w:r>
          </w:p>
        </w:tc>
      </w:tr>
      <w:tr>
        <w:trPr>
          <w:trHeight w:val="200"/>
        </w:trPr>
        <w:tc>
          <w:tcPr>
            <w:tcW w:w="17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31 December 2018</w:t>
            </w:r>
          </w:p>
        </w:tc>
        <w:tc>
          <w:tcPr>
            <w:tcW w:w="14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31 December 2017</w:t>
            </w:r>
          </w:p>
        </w:tc>
      </w:tr>
      <w:tr>
        <w:trPr>
          <w:trHeight w:val="176"/>
        </w:trPr>
        <w:tc>
          <w:tcPr>
            <w:tcW w:w="176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Name of company and</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Number</w:t>
            </w:r>
          </w:p>
        </w:tc>
        <w:tc>
          <w:tcPr>
            <w:tcW w:w="680" w:type="dxa"/>
            <w:vAlign w:val="bottom"/>
          </w:tcPr>
          <w:p>
            <w:pPr>
              <w:spacing w:after="0"/>
              <w:rPr>
                <w:sz w:val="15"/>
                <w:szCs w:val="15"/>
                <w:color w:val="auto"/>
              </w:rPr>
            </w:pPr>
          </w:p>
        </w:tc>
      </w:tr>
      <w:tr>
        <w:trPr>
          <w:trHeight w:val="184"/>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description of shares</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w w:val="97"/>
              </w:rPr>
              <w:t>of shares</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Options</w:t>
            </w: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3"/>
        </w:trPr>
        <w:tc>
          <w:tcPr>
            <w:tcW w:w="17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Ciaran Murray</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133,259</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4,063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206,127</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9,199</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73,472</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64,133</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40,424</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165,328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26,911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202,147</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John Climax</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685,011</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47,755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765,011</w:t>
            </w:r>
          </w:p>
        </w:tc>
        <w:tc>
          <w:tcPr>
            <w:tcW w:w="680" w:type="dxa"/>
            <w:vAlign w:val="bottom"/>
          </w:tcPr>
          <w:p>
            <w:pPr>
              <w:jc w:val="right"/>
              <w:spacing w:after="0"/>
              <w:rPr>
                <w:sz w:val="20"/>
                <w:szCs w:val="20"/>
                <w:color w:val="auto"/>
              </w:rPr>
            </w:pPr>
            <w:r>
              <w:rPr>
                <w:rFonts w:ascii="Arial" w:cs="Arial" w:eastAsia="Arial" w:hAnsi="Arial"/>
                <w:sz w:val="14"/>
                <w:szCs w:val="14"/>
                <w:color w:val="auto"/>
              </w:rPr>
              <w:t>44,750</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Prof. Dermot Kelleher</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23,495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42,250</w:t>
            </w:r>
          </w:p>
        </w:tc>
      </w:tr>
      <w:tr>
        <w:trPr>
          <w:trHeight w:val="583"/>
        </w:trPr>
        <w:tc>
          <w:tcPr>
            <w:tcW w:w="17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57</w:t>
            </w:r>
          </w:p>
        </w:tc>
        <w:tc>
          <w:tcPr>
            <w:tcW w:w="68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826" w:right="21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Interest at</w:t>
            </w:r>
          </w:p>
        </w:tc>
        <w:tc>
          <w:tcPr>
            <w:tcW w:w="142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Interest at</w:t>
            </w:r>
          </w:p>
        </w:tc>
      </w:tr>
      <w:tr>
        <w:trPr>
          <w:trHeight w:val="200"/>
        </w:trPr>
        <w:tc>
          <w:tcPr>
            <w:tcW w:w="17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31 December 2018</w:t>
            </w:r>
          </w:p>
        </w:tc>
        <w:tc>
          <w:tcPr>
            <w:tcW w:w="14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31 December 2017</w:t>
            </w:r>
          </w:p>
        </w:tc>
      </w:tr>
      <w:tr>
        <w:trPr>
          <w:trHeight w:val="176"/>
        </w:trPr>
        <w:tc>
          <w:tcPr>
            <w:tcW w:w="176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Name of company and</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5"/>
                <w:szCs w:val="15"/>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Number</w:t>
            </w:r>
          </w:p>
        </w:tc>
        <w:tc>
          <w:tcPr>
            <w:tcW w:w="680" w:type="dxa"/>
            <w:vAlign w:val="bottom"/>
          </w:tcPr>
          <w:p>
            <w:pPr>
              <w:spacing w:after="0"/>
              <w:rPr>
                <w:sz w:val="15"/>
                <w:szCs w:val="15"/>
                <w:color w:val="auto"/>
              </w:rPr>
            </w:pPr>
          </w:p>
        </w:tc>
      </w:tr>
      <w:tr>
        <w:trPr>
          <w:trHeight w:val="184"/>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description of shares</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w w:val="97"/>
              </w:rPr>
              <w:t>of shares</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Options</w:t>
            </w: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3"/>
        </w:trPr>
        <w:tc>
          <w:tcPr>
            <w:tcW w:w="17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Declan McKeon</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23,495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33,650</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 William Hall</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23,495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37,250</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Mary Pendergast</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43,255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38,250</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 Hugh Brady</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43,255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38,250</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Ronan Murphy</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12,698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7,693</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Eugene McCague</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5,005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Joan Garahy</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5,005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34,398</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1,440</w:t>
            </w:r>
          </w:p>
        </w:tc>
        <w:tc>
          <w:tcPr>
            <w:tcW w:w="680" w:type="dxa"/>
            <w:vAlign w:val="bottom"/>
          </w:tcPr>
          <w:p>
            <w:pPr>
              <w:jc w:val="right"/>
              <w:spacing w:after="0"/>
              <w:rPr>
                <w:sz w:val="20"/>
                <w:szCs w:val="20"/>
                <w:color w:val="auto"/>
              </w:rPr>
            </w:pPr>
            <w:r>
              <w:rPr>
                <w:rFonts w:ascii="Arial" w:cs="Arial" w:eastAsia="Arial" w:hAnsi="Arial"/>
                <w:sz w:val="14"/>
                <w:szCs w:val="14"/>
                <w:color w:val="auto"/>
              </w:rPr>
              <w:t>36,203</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Further details regarding the above share options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Exercise</w:t>
            </w: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0"/>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price</w:t>
            </w:r>
          </w:p>
        </w:tc>
        <w:tc>
          <w:tcPr>
            <w:tcW w:w="7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Grant date</w:t>
            </w:r>
          </w:p>
        </w:tc>
        <w:tc>
          <w:tcPr>
            <w:tcW w:w="6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Expiry date</w:t>
            </w:r>
          </w:p>
        </w:tc>
      </w:tr>
      <w:tr>
        <w:trPr>
          <w:trHeight w:val="213"/>
        </w:trPr>
        <w:tc>
          <w:tcPr>
            <w:tcW w:w="1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Ciaran Murray*</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12,540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26,916</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35,157</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45,948</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2016</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2024</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2017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18 May 2018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3"/>
        </w:trPr>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680" w:type="dxa"/>
            <w:vAlign w:val="bottom"/>
          </w:tcPr>
          <w:p>
            <w:pPr>
              <w:ind w:left="20"/>
              <w:spacing w:after="0"/>
              <w:rPr>
                <w:sz w:val="20"/>
                <w:szCs w:val="20"/>
                <w:color w:val="auto"/>
              </w:rPr>
            </w:pPr>
            <w:r>
              <w:rPr>
                <w:rFonts w:ascii="Arial" w:cs="Arial" w:eastAsia="Arial" w:hAnsi="Arial"/>
                <w:sz w:val="14"/>
                <w:szCs w:val="14"/>
                <w:color w:val="auto"/>
              </w:rPr>
              <w:t>Brendan Brennan</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15,813</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$32.37</w:t>
            </w: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5"/>
              </w:rPr>
              <w:t>1 May 2013</w:t>
            </w: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1 May 2021</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1,006</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6,967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10,285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13,611</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2016</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2024</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14,206</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$83.47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2025</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11,584</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$115.11</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2018</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2026</w:t>
            </w: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0"/>
        </w:trPr>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ind w:right="369"/>
              <w:spacing w:after="0"/>
              <w:rPr>
                <w:sz w:val="20"/>
                <w:szCs w:val="20"/>
                <w:color w:val="auto"/>
              </w:rPr>
            </w:pPr>
            <w:r>
              <w:rPr>
                <w:rFonts w:ascii="Arial" w:cs="Arial" w:eastAsia="Arial" w:hAnsi="Arial"/>
                <w:sz w:val="14"/>
                <w:szCs w:val="14"/>
                <w:color w:val="auto"/>
              </w:rPr>
              <w:t>58</w:t>
            </w:r>
          </w:p>
        </w:tc>
        <w:tc>
          <w:tcPr>
            <w:tcW w:w="720" w:type="dxa"/>
            <w:vAlign w:val="bottom"/>
          </w:tcPr>
          <w:p>
            <w:pPr>
              <w:spacing w:after="0"/>
              <w:rPr>
                <w:sz w:val="24"/>
                <w:szCs w:val="24"/>
                <w:color w:val="auto"/>
              </w:rPr>
            </w:pPr>
          </w:p>
        </w:tc>
      </w:tr>
    </w:tbl>
    <w:p>
      <w:pPr>
        <w:sectPr>
          <w:pgSz w:w="11900" w:h="16838" w:orient="portrait"/>
          <w:cols w:equalWidth="0" w:num="1">
            <w:col w:w="10239"/>
          </w:cols>
          <w:pgMar w:left="220" w:top="826" w:right="1440"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Exercise</w:t>
            </w: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price</w:t>
            </w:r>
          </w:p>
        </w:tc>
        <w:tc>
          <w:tcPr>
            <w:tcW w:w="7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9"/>
              </w:rPr>
              <w:t>Grant date</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Expiry date</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Steve Cutler</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3,167</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6,789</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30,632</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2016</w:t>
            </w: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62,887</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$83.47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2017</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49,353</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$115.11</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2018</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Dr. John Climax</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$22.30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27 April 2012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27 April 2020</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$32.37</w:t>
            </w:r>
          </w:p>
        </w:tc>
        <w:tc>
          <w:tcPr>
            <w:tcW w:w="7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5"/>
              </w:rPr>
              <w:t>1 May 2013</w:t>
            </w: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 May 2021</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10,557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Prof. Dermot Kelleher</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6,335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Declan McKeon</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6,335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Professor William Hall</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6,335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Mary Pendergast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10,557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Professor Hugh Brady</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10,557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Ronan Murphy</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 May 2025</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17"/>
        </w:trPr>
        <w:tc>
          <w:tcPr>
            <w:tcW w:w="18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May 2026</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Eugene McCague</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May 2026</w:t>
            </w:r>
          </w:p>
        </w:tc>
      </w:tr>
      <w:tr>
        <w:trPr>
          <w:trHeight w:val="20"/>
        </w:trPr>
        <w:tc>
          <w:tcPr>
            <w:tcW w:w="18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0239"/>
          </w:cols>
          <w:pgMar w:left="220" w:top="826" w:right="1440" w:bottom="1440" w:gutter="0" w:footer="0" w:header="0"/>
        </w:sectPr>
      </w:pPr>
    </w:p>
    <w:p>
      <w:pPr>
        <w:ind w:left="566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239"/>
          </w:cols>
          <w:pgMar w:left="220" w:top="826"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Exercise</w:t>
            </w: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price</w:t>
            </w:r>
          </w:p>
        </w:tc>
        <w:tc>
          <w:tcPr>
            <w:tcW w:w="7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9"/>
              </w:rPr>
              <w:t>Grant date</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Expiry date</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7"/>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Joan Garahy</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May 2026</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$32.37</w:t>
            </w:r>
          </w:p>
        </w:tc>
        <w:tc>
          <w:tcPr>
            <w:tcW w:w="7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5"/>
              </w:rPr>
              <w:t>1 May 2013</w:t>
            </w: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 May 2021</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519</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1,115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4,875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2023</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9,189</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2024</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10,234</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$83.47</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2017</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2025</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7,211</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$115.11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2026</w:t>
            </w:r>
          </w:p>
        </w:tc>
      </w:tr>
      <w:tr>
        <w:trPr>
          <w:trHeight w:val="20"/>
        </w:trPr>
        <w:tc>
          <w:tcPr>
            <w:tcW w:w="18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jc w:val="both"/>
        <w:ind w:left="520" w:hanging="261"/>
        <w:spacing w:after="0" w:line="272" w:lineRule="auto"/>
        <w:tabs>
          <w:tab w:leader="none" w:pos="520"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 February 2018, the Board approved the appointment of Mr. Murray as non-Executive Chairman of the Board of Directors with effect from 12 May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(12 May 2018) were accelerated and the outstanding Ordinary Share Options and Restricted Share Units vested on that date. The unvested Performance Share Units with vesting dates between 12 May 2018 and March 2019 were forfeit on Mr. Murray ceasing to be an ICON plc employee on 12 May 2018.</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Restricted Share Units (“RSUs”) and Performance Share Units (“PSUs”) have been awarded to the Directors, Executive Officer and Company Secretary: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RSUs</w:t>
            </w:r>
          </w:p>
        </w:tc>
        <w:tc>
          <w:tcPr>
            <w:tcW w:w="11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Award date</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Vesting Date</w:t>
            </w:r>
          </w:p>
        </w:tc>
        <w:tc>
          <w:tcPr>
            <w:tcW w:w="7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9"/>
              </w:rPr>
              <w:t>PSUs</w:t>
            </w:r>
            <w:r>
              <w:rPr>
                <w:rFonts w:ascii="Arial" w:cs="Arial" w:eastAsia="Arial" w:hAnsi="Arial"/>
                <w:sz w:val="19"/>
                <w:szCs w:val="19"/>
                <w:b w:val="1"/>
                <w:bCs w:val="1"/>
                <w:color w:val="auto"/>
                <w:w w:val="99"/>
                <w:vertAlign w:val="superscript"/>
              </w:rPr>
              <w:t>(1)</w:t>
            </w:r>
          </w:p>
        </w:tc>
        <w:tc>
          <w:tcPr>
            <w:tcW w:w="11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Award Date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Vesting date</w:t>
            </w:r>
          </w:p>
        </w:tc>
      </w:tr>
      <w:tr>
        <w:trPr>
          <w:trHeight w:val="222"/>
        </w:trPr>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2"/>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Steve Cutler</w:t>
            </w: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5,271</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22,117</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 March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 March 2019</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4,299</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18,449</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 March 2017</w:t>
            </w:r>
          </w:p>
        </w:tc>
        <w:tc>
          <w:tcPr>
            <w:tcW w:w="1000" w:type="dxa"/>
            <w:vAlign w:val="bottom"/>
          </w:tcPr>
          <w:p>
            <w:pPr>
              <w:jc w:val="right"/>
              <w:spacing w:after="0"/>
              <w:rPr>
                <w:sz w:val="20"/>
                <w:szCs w:val="20"/>
                <w:color w:val="auto"/>
              </w:rPr>
            </w:pPr>
            <w:r>
              <w:rPr>
                <w:rFonts w:ascii="Arial" w:cs="Arial" w:eastAsia="Arial" w:hAnsi="Arial"/>
                <w:sz w:val="14"/>
                <w:szCs w:val="14"/>
                <w:color w:val="auto"/>
              </w:rPr>
              <w:t>3 March 2020</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4,424</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 March 2016</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15,050</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 March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March 2021</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5,272</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4,299</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4,302</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2021</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0"/>
        </w:trPr>
        <w:tc>
          <w:tcPr>
            <w:tcW w:w="1520" w:type="dxa"/>
            <w:vAlign w:val="bottom"/>
          </w:tcPr>
          <w:p>
            <w:pPr>
              <w:ind w:left="20"/>
              <w:spacing w:after="0"/>
              <w:rPr>
                <w:sz w:val="20"/>
                <w:szCs w:val="20"/>
                <w:color w:val="auto"/>
              </w:rPr>
            </w:pPr>
            <w:r>
              <w:rPr>
                <w:rFonts w:ascii="Arial" w:cs="Arial" w:eastAsia="Arial" w:hAnsi="Arial"/>
                <w:sz w:val="14"/>
                <w:szCs w:val="14"/>
                <w:color w:val="auto"/>
              </w:rPr>
              <w:t>Brendan Brennan</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1,190</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9,827</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4 March 2016</w:t>
            </w:r>
          </w:p>
        </w:tc>
        <w:tc>
          <w:tcPr>
            <w:tcW w:w="1000" w:type="dxa"/>
            <w:vAlign w:val="bottom"/>
          </w:tcPr>
          <w:p>
            <w:pPr>
              <w:jc w:val="right"/>
              <w:spacing w:after="0"/>
              <w:rPr>
                <w:sz w:val="20"/>
                <w:szCs w:val="20"/>
                <w:color w:val="auto"/>
              </w:rPr>
            </w:pPr>
            <w:r>
              <w:rPr>
                <w:rFonts w:ascii="Arial" w:cs="Arial" w:eastAsia="Arial" w:hAnsi="Arial"/>
                <w:sz w:val="14"/>
                <w:szCs w:val="14"/>
                <w:color w:val="auto"/>
              </w:rPr>
              <w:t>4 March 2019</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1,009</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4,167</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 March 2017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March 2020</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1,966</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4 March 2016</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3,532</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 March 2018</w:t>
            </w:r>
          </w:p>
        </w:tc>
        <w:tc>
          <w:tcPr>
            <w:tcW w:w="1000" w:type="dxa"/>
            <w:vAlign w:val="bottom"/>
          </w:tcPr>
          <w:p>
            <w:pPr>
              <w:jc w:val="right"/>
              <w:spacing w:after="0"/>
              <w:rPr>
                <w:sz w:val="20"/>
                <w:szCs w:val="20"/>
                <w:color w:val="auto"/>
              </w:rPr>
            </w:pPr>
            <w:r>
              <w:rPr>
                <w:rFonts w:ascii="Arial" w:cs="Arial" w:eastAsia="Arial" w:hAnsi="Arial"/>
                <w:sz w:val="14"/>
                <w:szCs w:val="14"/>
                <w:color w:val="auto"/>
              </w:rPr>
              <w:t>3 March 2021</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1,192</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1,009</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7"/>
        </w:trPr>
        <w:tc>
          <w:tcPr>
            <w:tcW w:w="15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1,010</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2021</w:t>
            </w:r>
          </w:p>
        </w:tc>
        <w:tc>
          <w:tcPr>
            <w:tcW w:w="7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3"/>
        </w:trPr>
        <w:tc>
          <w:tcPr>
            <w:tcW w:w="15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192"/>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857</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6,635</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 March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 March 2019</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627</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3,002</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 March 2017</w:t>
            </w:r>
          </w:p>
        </w:tc>
        <w:tc>
          <w:tcPr>
            <w:tcW w:w="1000" w:type="dxa"/>
            <w:vAlign w:val="bottom"/>
          </w:tcPr>
          <w:p>
            <w:pPr>
              <w:jc w:val="right"/>
              <w:spacing w:after="0"/>
              <w:rPr>
                <w:sz w:val="20"/>
                <w:szCs w:val="20"/>
                <w:color w:val="auto"/>
              </w:rPr>
            </w:pPr>
            <w:r>
              <w:rPr>
                <w:rFonts w:ascii="Arial" w:cs="Arial" w:eastAsia="Arial" w:hAnsi="Arial"/>
                <w:sz w:val="14"/>
                <w:szCs w:val="14"/>
                <w:color w:val="auto"/>
              </w:rPr>
              <w:t>3 March 2020</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1,329</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 March 2016</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2,199</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 March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March 2021</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859</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627</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630</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2021</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6558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55820" cy="6985"/>
                    </a:xfrm>
                    <a:prstGeom prst="rect">
                      <a:avLst/>
                    </a:prstGeom>
                    <a:noFill/>
                  </pic:spPr>
                </pic:pic>
              </a:graphicData>
            </a:graphic>
          </wp:anchor>
        </w:drawing>
      </w:r>
    </w:p>
    <w:p>
      <w:pPr>
        <w:spacing w:after="0" w:line="7" w:lineRule="exact"/>
        <w:rPr>
          <w:sz w:val="20"/>
          <w:szCs w:val="20"/>
          <w:color w:val="auto"/>
        </w:rPr>
      </w:pPr>
    </w:p>
    <w:p>
      <w:pPr>
        <w:ind w:left="520" w:hanging="261"/>
        <w:spacing w:after="0"/>
        <w:tabs>
          <w:tab w:leader="none" w:pos="5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Of the issued PSUs, performance conditions will determine how many of them vest and, if performance targets are exceeded, additional PSUs will be issued and vest in accordance with the terms of the relevant PSU award.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826" w:right="219"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2018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20"/>
                <w:szCs w:val="20"/>
                <w:color w:val="auto"/>
              </w:rPr>
            </w:pPr>
            <w:r>
              <w:rPr>
                <w:rFonts w:ascii="Arial" w:cs="Arial" w:eastAsia="Arial" w:hAnsi="Arial"/>
                <w:sz w:val="14"/>
                <w:szCs w:val="14"/>
                <w:b w:val="1"/>
                <w:bCs w:val="1"/>
                <w:color w:val="auto"/>
              </w:rPr>
              <w:t>Share options exercised and sold</w:t>
            </w:r>
          </w:p>
        </w:tc>
        <w:tc>
          <w:tcPr>
            <w:tcW w:w="2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Average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10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Number of Share</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exercise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Vest</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Options</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price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2100" w:type="dxa"/>
            <w:vAlign w:val="bottom"/>
          </w:tcPr>
          <w:p>
            <w:pPr>
              <w:jc w:val="right"/>
              <w:ind w:right="269"/>
              <w:spacing w:after="0"/>
              <w:rPr>
                <w:sz w:val="20"/>
                <w:szCs w:val="20"/>
                <w:color w:val="auto"/>
              </w:rPr>
            </w:pPr>
            <w:r>
              <w:rPr>
                <w:rFonts w:ascii="Arial" w:cs="Arial" w:eastAsia="Arial" w:hAnsi="Arial"/>
                <w:sz w:val="14"/>
                <w:szCs w:val="14"/>
                <w:color w:val="auto"/>
              </w:rPr>
              <w:t>86,172</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$44.58</w:t>
            </w:r>
          </w:p>
        </w:tc>
        <w:tc>
          <w:tcPr>
            <w:tcW w:w="1060" w:type="dxa"/>
            <w:vAlign w:val="bottom"/>
          </w:tcPr>
          <w:p>
            <w:pPr>
              <w:jc w:val="right"/>
              <w:spacing w:after="0"/>
              <w:rPr>
                <w:sz w:val="20"/>
                <w:szCs w:val="20"/>
                <w:color w:val="auto"/>
              </w:rPr>
            </w:pPr>
            <w:r>
              <w:rPr>
                <w:rFonts w:ascii="Arial" w:cs="Arial" w:eastAsia="Arial" w:hAnsi="Arial"/>
                <w:sz w:val="14"/>
                <w:szCs w:val="14"/>
                <w:color w:val="auto"/>
              </w:rPr>
              <w:t>$125.44</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2,245</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$47.03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Ciaran Murray</w:t>
            </w:r>
          </w:p>
        </w:tc>
        <w:tc>
          <w:tcPr>
            <w:tcW w:w="210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77,873</w:t>
            </w: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$32.37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$146.85</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Declan McKeon</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15,160</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$58.94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Dr. John Climax</w:t>
            </w:r>
          </w:p>
        </w:tc>
        <w:tc>
          <w:tcPr>
            <w:tcW w:w="210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2,000</w:t>
            </w: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$20.28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$142.87</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Dermot Kelleher</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23,760</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$53.04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$137.96</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William Hall</w:t>
            </w:r>
          </w:p>
        </w:tc>
        <w:tc>
          <w:tcPr>
            <w:tcW w:w="210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18,760</w:t>
            </w: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$57.90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$134.90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9,016</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$58.14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$132.55</w:t>
            </w:r>
          </w:p>
        </w:tc>
      </w:tr>
      <w:tr>
        <w:trPr>
          <w:trHeight w:val="329"/>
        </w:trPr>
        <w:tc>
          <w:tcPr>
            <w:tcW w:w="2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Shares sold</w:t>
            </w:r>
          </w:p>
        </w:tc>
        <w:tc>
          <w:tcPr>
            <w:tcW w:w="2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Number</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Sales</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of 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John Climax</w:t>
            </w:r>
          </w:p>
        </w:tc>
        <w:tc>
          <w:tcPr>
            <w:tcW w:w="2100" w:type="dxa"/>
            <w:vAlign w:val="bottom"/>
          </w:tcPr>
          <w:p>
            <w:pPr>
              <w:spacing w:after="0"/>
              <w:rPr>
                <w:sz w:val="16"/>
                <w:szCs w:val="16"/>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80,000</w:t>
            </w:r>
          </w:p>
        </w:tc>
        <w:tc>
          <w:tcPr>
            <w:tcW w:w="1060" w:type="dxa"/>
            <w:vAlign w:val="bottom"/>
          </w:tcPr>
          <w:p>
            <w:pPr>
              <w:jc w:val="right"/>
              <w:spacing w:after="0"/>
              <w:rPr>
                <w:sz w:val="20"/>
                <w:szCs w:val="20"/>
                <w:color w:val="auto"/>
              </w:rPr>
            </w:pPr>
            <w:r>
              <w:rPr>
                <w:rFonts w:ascii="Arial" w:cs="Arial" w:eastAsia="Arial" w:hAnsi="Arial"/>
                <w:sz w:val="14"/>
                <w:szCs w:val="14"/>
                <w:color w:val="auto"/>
              </w:rPr>
              <w:t>$129.27</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29"/>
        </w:trPr>
        <w:tc>
          <w:tcPr>
            <w:tcW w:w="2680" w:type="dxa"/>
            <w:vAlign w:val="bottom"/>
          </w:tcPr>
          <w:p>
            <w:pPr>
              <w:spacing w:after="0"/>
              <w:rPr>
                <w:sz w:val="20"/>
                <w:szCs w:val="20"/>
                <w:color w:val="auto"/>
              </w:rPr>
            </w:pPr>
            <w:r>
              <w:rPr>
                <w:rFonts w:ascii="Arial" w:cs="Arial" w:eastAsia="Arial" w:hAnsi="Arial"/>
                <w:sz w:val="14"/>
                <w:szCs w:val="14"/>
                <w:b w:val="1"/>
                <w:bCs w:val="1"/>
                <w:color w:val="auto"/>
              </w:rPr>
              <w:t>RSUs vested</w:t>
            </w: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9"/>
        </w:trPr>
        <w:tc>
          <w:tcPr>
            <w:tcW w:w="26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Number</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Vest</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of 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2100" w:type="dxa"/>
            <w:vAlign w:val="bottom"/>
          </w:tcPr>
          <w:p>
            <w:pPr>
              <w:spacing w:after="0"/>
              <w:rPr>
                <w:sz w:val="16"/>
                <w:szCs w:val="16"/>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59,396</w:t>
            </w:r>
          </w:p>
        </w:tc>
        <w:tc>
          <w:tcPr>
            <w:tcW w:w="1060" w:type="dxa"/>
            <w:vAlign w:val="bottom"/>
          </w:tcPr>
          <w:p>
            <w:pPr>
              <w:jc w:val="right"/>
              <w:spacing w:after="0"/>
              <w:rPr>
                <w:sz w:val="20"/>
                <w:szCs w:val="20"/>
                <w:color w:val="auto"/>
              </w:rPr>
            </w:pPr>
            <w:r>
              <w:rPr>
                <w:rFonts w:ascii="Arial" w:cs="Arial" w:eastAsia="Arial" w:hAnsi="Arial"/>
                <w:sz w:val="14"/>
                <w:szCs w:val="14"/>
                <w:color w:val="auto"/>
              </w:rPr>
              <w:t>$121.70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2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19,514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$121.71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Ciaran Murray</w:t>
            </w:r>
          </w:p>
        </w:tc>
        <w:tc>
          <w:tcPr>
            <w:tcW w:w="2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109,777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$118.49</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2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17,093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$121.97</w:t>
            </w:r>
          </w:p>
        </w:tc>
      </w:tr>
      <w:tr>
        <w:trPr>
          <w:trHeight w:val="329"/>
        </w:trPr>
        <w:tc>
          <w:tcPr>
            <w:tcW w:w="2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Shares (vested RSUs) sold</w:t>
            </w:r>
          </w:p>
        </w:tc>
        <w:tc>
          <w:tcPr>
            <w:tcW w:w="2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9"/>
        </w:trPr>
        <w:tc>
          <w:tcPr>
            <w:tcW w:w="26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Number</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Sales</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of 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2100" w:type="dxa"/>
            <w:vAlign w:val="bottom"/>
          </w:tcPr>
          <w:p>
            <w:pPr>
              <w:spacing w:after="0"/>
              <w:rPr>
                <w:sz w:val="16"/>
                <w:szCs w:val="16"/>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45,883</w:t>
            </w:r>
          </w:p>
        </w:tc>
        <w:tc>
          <w:tcPr>
            <w:tcW w:w="1060" w:type="dxa"/>
            <w:vAlign w:val="bottom"/>
          </w:tcPr>
          <w:p>
            <w:pPr>
              <w:jc w:val="right"/>
              <w:spacing w:after="0"/>
              <w:rPr>
                <w:sz w:val="20"/>
                <w:szCs w:val="20"/>
                <w:color w:val="auto"/>
              </w:rPr>
            </w:pPr>
            <w:r>
              <w:rPr>
                <w:rFonts w:ascii="Arial" w:cs="Arial" w:eastAsia="Arial" w:hAnsi="Arial"/>
                <w:sz w:val="14"/>
                <w:szCs w:val="14"/>
                <w:color w:val="auto"/>
              </w:rPr>
              <w:t>$119.28</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2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10,315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$120.41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Ciaran Murray</w:t>
            </w:r>
          </w:p>
        </w:tc>
        <w:tc>
          <w:tcPr>
            <w:tcW w:w="2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113,840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2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18,533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$121.12</w:t>
            </w:r>
          </w:p>
        </w:tc>
      </w:tr>
      <w:tr>
        <w:trPr>
          <w:trHeight w:val="20"/>
        </w:trPr>
        <w:tc>
          <w:tcPr>
            <w:tcW w:w="26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market price of the Company’s ordinary shares during the year ended 31 December 2018 moved in the range of $101.22 to $155.33 (year ended 31 December 2017: in the range of $74.30 to $124.48). The closing share price at 31 December 2018 was $129.21 (at 31 December 2017 $112.15).</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826" w:right="21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compensation table - Year ended 31 December 2018</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640" w:type="dxa"/>
            <w:vAlign w:val="bottom"/>
            <w:tcBorders>
              <w:top w:val="single" w:sz="8" w:color="auto"/>
              <w:left w:val="single" w:sz="8" w:color="auto"/>
              <w:right w:val="single" w:sz="8" w:color="auto"/>
            </w:tcBorders>
            <w:shd w:val="clear" w:color="auto" w:fill="CCEEFF"/>
          </w:tcPr>
          <w:p>
            <w:pPr>
              <w:spacing w:after="0"/>
              <w:rPr>
                <w:sz w:val="15"/>
                <w:szCs w:val="15"/>
                <w:color w:val="auto"/>
              </w:rPr>
            </w:pPr>
          </w:p>
        </w:tc>
        <w:tc>
          <w:tcPr>
            <w:tcW w:w="380" w:type="dxa"/>
            <w:vAlign w:val="bottom"/>
            <w:tcBorders>
              <w:top w:val="single" w:sz="8" w:color="auto"/>
              <w:right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Company</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Performance</w:t>
            </w:r>
          </w:p>
        </w:tc>
        <w:tc>
          <w:tcPr>
            <w:tcW w:w="880" w:type="dxa"/>
            <w:vAlign w:val="bottom"/>
            <w:tcBorders>
              <w:top w:val="single" w:sz="8" w:color="auto"/>
              <w:right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6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Directors’</w:t>
            </w:r>
          </w:p>
        </w:tc>
        <w:tc>
          <w:tcPr>
            <w:tcW w:w="880" w:type="dxa"/>
            <w:vAlign w:val="bottom"/>
            <w:tcBorders>
              <w:top w:val="single" w:sz="8" w:color="auto"/>
              <w:right w:val="single" w:sz="8" w:color="auto"/>
            </w:tcBorders>
            <w:shd w:val="clear" w:color="auto" w:fill="CCEEFF"/>
          </w:tcPr>
          <w:p>
            <w:pPr>
              <w:spacing w:after="0"/>
              <w:rPr>
                <w:sz w:val="15"/>
                <w:szCs w:val="15"/>
                <w:color w:val="auto"/>
              </w:rPr>
            </w:pPr>
          </w:p>
        </w:tc>
      </w:tr>
      <w:tr>
        <w:trPr>
          <w:trHeight w:val="159"/>
        </w:trPr>
        <w:tc>
          <w:tcPr>
            <w:tcW w:w="640" w:type="dxa"/>
            <w:vAlign w:val="bottom"/>
            <w:tcBorders>
              <w:left w:val="single" w:sz="8" w:color="auto"/>
              <w:right w:val="single" w:sz="8" w:color="auto"/>
            </w:tcBorders>
            <w:shd w:val="clear" w:color="auto" w:fill="CCEEFF"/>
          </w:tcPr>
          <w:p>
            <w:pPr>
              <w:spacing w:after="0"/>
              <w:rPr>
                <w:sz w:val="13"/>
                <w:szCs w:val="13"/>
                <w:color w:val="auto"/>
              </w:rPr>
            </w:pPr>
          </w:p>
        </w:tc>
        <w:tc>
          <w:tcPr>
            <w:tcW w:w="38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pension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related</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All other</w:t>
            </w:r>
          </w:p>
        </w:tc>
        <w:tc>
          <w:tcPr>
            <w:tcW w:w="58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based</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fees</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Total</w:t>
            </w:r>
          </w:p>
        </w:tc>
      </w:tr>
      <w:tr>
        <w:trPr>
          <w:trHeight w:val="159"/>
        </w:trPr>
        <w:tc>
          <w:tcPr>
            <w:tcW w:w="64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Name</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99"/>
              </w:rPr>
              <w:t>Year</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Salary</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92"/>
              </w:rPr>
              <w:t>contribution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compensation</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compensation</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92"/>
              </w:rPr>
              <w:t>Subtotal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payments</w:t>
            </w:r>
          </w:p>
        </w:tc>
        <w:tc>
          <w:tcPr>
            <w:tcW w:w="62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8"/>
              </w:rPr>
              <w:t>compensation</w:t>
            </w:r>
          </w:p>
        </w:tc>
      </w:tr>
      <w:tr>
        <w:trPr>
          <w:trHeight w:val="196"/>
        </w:trPr>
        <w:tc>
          <w:tcPr>
            <w:tcW w:w="640" w:type="dxa"/>
            <w:vAlign w:val="bottom"/>
            <w:tcBorders>
              <w:left w:val="single" w:sz="8" w:color="auto"/>
              <w:bottom w:val="single" w:sz="8" w:color="CCEEFF"/>
              <w:right w:val="single" w:sz="8" w:color="auto"/>
            </w:tcBorders>
            <w:shd w:val="clear" w:color="auto" w:fill="CCEEFF"/>
          </w:tcPr>
          <w:p>
            <w:pPr>
              <w:spacing w:after="0"/>
              <w:rPr>
                <w:sz w:val="16"/>
                <w:szCs w:val="16"/>
                <w:color w:val="auto"/>
              </w:rPr>
            </w:pPr>
          </w:p>
        </w:tc>
        <w:tc>
          <w:tcPr>
            <w:tcW w:w="380" w:type="dxa"/>
            <w:vAlign w:val="bottom"/>
            <w:tcBorders>
              <w:bottom w:val="single" w:sz="8" w:color="CCEEFF"/>
              <w:right w:val="single" w:sz="8" w:color="auto"/>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CCEEFF"/>
              <w:right w:val="single" w:sz="8" w:color="auto"/>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r>
      <w:tr>
        <w:trPr>
          <w:trHeight w:val="166"/>
        </w:trPr>
        <w:tc>
          <w:tcPr>
            <w:tcW w:w="640" w:type="dxa"/>
            <w:vAlign w:val="bottom"/>
            <w:tcBorders>
              <w:top w:val="single" w:sz="8" w:color="auto"/>
              <w:left w:val="single" w:sz="8" w:color="auto"/>
              <w:right w:val="single" w:sz="8" w:color="auto"/>
            </w:tcBorders>
          </w:tcPr>
          <w:p>
            <w:pPr>
              <w:spacing w:after="0"/>
              <w:rPr>
                <w:sz w:val="14"/>
                <w:szCs w:val="14"/>
                <w:color w:val="auto"/>
              </w:rPr>
            </w:pPr>
          </w:p>
        </w:tc>
        <w:tc>
          <w:tcPr>
            <w:tcW w:w="380" w:type="dxa"/>
            <w:vAlign w:val="bottom"/>
            <w:tcBorders>
              <w:top w:val="single" w:sz="8" w:color="auto"/>
              <w:right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$’000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5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6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r>
      <w:tr>
        <w:trPr>
          <w:trHeight w:val="36"/>
        </w:trPr>
        <w:tc>
          <w:tcPr>
            <w:tcW w:w="640" w:type="dxa"/>
            <w:vAlign w:val="bottom"/>
            <w:tcBorders>
              <w:left w:val="single" w:sz="8" w:color="auto"/>
              <w:bottom w:val="single" w:sz="8" w:color="auto"/>
              <w:right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164"/>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Ciaran</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17</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Murray*</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Declan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300</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McKeon</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John</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238</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Climax</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249</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285</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Lambe**</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Dermot</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242</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Kelleher</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William</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276</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Hall</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Mary</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251</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4"/>
              </w:rPr>
              <w:t>Pendergast</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Hugh</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246</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Brady</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Steve</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186</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2,581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5,258</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7,883</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Cutler</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105</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207</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Murphy</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Eugene</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McCague</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Joan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127</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Garahy</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172"/>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3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1,235</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203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1,100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200</w:t>
            </w:r>
          </w:p>
        </w:tc>
        <w:tc>
          <w:tcPr>
            <w:tcW w:w="58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2,738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5,291</w:t>
            </w:r>
          </w:p>
        </w:tc>
        <w:tc>
          <w:tcPr>
            <w:tcW w:w="6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1,083</w:t>
            </w:r>
          </w:p>
        </w:tc>
        <w:tc>
          <w:tcPr>
            <w:tcW w:w="88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9,112</w:t>
            </w: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r>
    </w:tbl>
    <w:p>
      <w:pPr>
        <w:spacing w:after="0" w:line="3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*Appointed as Executive Chairman on 1 March 2017 and non-Executive Chairman from 12 May 2018. The vesting of the Ordinary Share Options and Restricted Share Units which were unvested on Mr. Murray ceasing to be an ICON plc employee (12 May 2018) were accelerated and the outstanding Ordinary Share Options and Restricted Share Units vested on that date. The unvested Performance Share Units with vesting dates between 12 May 2018 and March 2019 were forfeit on Mr. Murray ceasing to be an ICON plc employee on 12 May 2018.</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**Retired from the Board at the AGM on 24 July 2018</w:t>
      </w:r>
    </w:p>
    <w:p>
      <w:pPr>
        <w:spacing w:after="0" w:line="41" w:lineRule="exact"/>
        <w:rPr>
          <w:sz w:val="20"/>
          <w:szCs w:val="20"/>
          <w:color w:val="auto"/>
        </w:rPr>
      </w:pPr>
    </w:p>
    <w:p>
      <w:pPr>
        <w:ind w:right="180"/>
        <w:spacing w:after="0" w:line="256" w:lineRule="auto"/>
        <w:rPr>
          <w:sz w:val="20"/>
          <w:szCs w:val="20"/>
          <w:color w:val="auto"/>
        </w:rPr>
      </w:pPr>
      <w:r>
        <w:rPr>
          <w:rFonts w:ascii="Arial" w:cs="Arial" w:eastAsia="Arial" w:hAnsi="Arial"/>
          <w:sz w:val="13"/>
          <w:szCs w:val="13"/>
          <w:color w:val="auto"/>
        </w:rPr>
        <w:t>***Share-based payments is the IFRS 2 expense related to share options, RSUs and PSUs. The aggregate amount of the gains earned by the Directors on the exercise of share options during the financial year is disclosed in Note 3 under ‘Directors’ emoluments’.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826" w:right="219" w:bottom="1440" w:gutter="0" w:footer="0" w:header="0"/>
        </w:sectPr>
      </w:pPr>
    </w:p>
    <w:bookmarkStart w:id="66" w:name="page67"/>
    <w:bookmarkEnd w:id="6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compensation table - Year ended 31 December 2017</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720" w:type="dxa"/>
            <w:vAlign w:val="bottom"/>
            <w:tcBorders>
              <w:top w:val="single" w:sz="8" w:color="auto"/>
              <w:left w:val="single" w:sz="8" w:color="auto"/>
              <w:right w:val="single" w:sz="8" w:color="auto"/>
            </w:tcBorders>
            <w:shd w:val="clear" w:color="auto" w:fill="CCEEFF"/>
          </w:tcPr>
          <w:p>
            <w:pPr>
              <w:spacing w:after="0"/>
              <w:rPr>
                <w:sz w:val="15"/>
                <w:szCs w:val="15"/>
                <w:color w:val="auto"/>
              </w:rPr>
            </w:pPr>
          </w:p>
        </w:tc>
        <w:tc>
          <w:tcPr>
            <w:tcW w:w="400" w:type="dxa"/>
            <w:vAlign w:val="bottom"/>
            <w:tcBorders>
              <w:top w:val="single" w:sz="8" w:color="auto"/>
              <w:right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Company</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Performance</w:t>
            </w:r>
          </w:p>
        </w:tc>
        <w:tc>
          <w:tcPr>
            <w:tcW w:w="860" w:type="dxa"/>
            <w:vAlign w:val="bottom"/>
            <w:tcBorders>
              <w:top w:val="single" w:sz="8" w:color="auto"/>
              <w:right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auto"/>
            </w:tcBorders>
            <w:shd w:val="clear" w:color="auto" w:fill="CCEEFF"/>
          </w:tcPr>
          <w:p>
            <w:pPr>
              <w:spacing w:after="0"/>
              <w:rPr>
                <w:sz w:val="15"/>
                <w:szCs w:val="15"/>
                <w:color w:val="auto"/>
              </w:rPr>
            </w:pPr>
          </w:p>
        </w:tc>
        <w:tc>
          <w:tcPr>
            <w:tcW w:w="1200" w:type="dxa"/>
            <w:vAlign w:val="bottom"/>
            <w:tcBorders>
              <w:top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Share- Directors’</w:t>
            </w:r>
          </w:p>
        </w:tc>
        <w:tc>
          <w:tcPr>
            <w:tcW w:w="860" w:type="dxa"/>
            <w:vAlign w:val="bottom"/>
            <w:tcBorders>
              <w:top w:val="single" w:sz="8" w:color="auto"/>
              <w:right w:val="single" w:sz="8" w:color="auto"/>
            </w:tcBorders>
            <w:shd w:val="clear" w:color="auto" w:fill="CCEEFF"/>
          </w:tcPr>
          <w:p>
            <w:pPr>
              <w:spacing w:after="0"/>
              <w:rPr>
                <w:sz w:val="15"/>
                <w:szCs w:val="15"/>
                <w:color w:val="auto"/>
              </w:rPr>
            </w:pPr>
          </w:p>
        </w:tc>
      </w:tr>
      <w:tr>
        <w:trPr>
          <w:trHeight w:val="159"/>
        </w:trPr>
        <w:tc>
          <w:tcPr>
            <w:tcW w:w="720" w:type="dxa"/>
            <w:vAlign w:val="bottom"/>
            <w:tcBorders>
              <w:left w:val="single" w:sz="8" w:color="auto"/>
              <w:right w:val="single" w:sz="8" w:color="auto"/>
            </w:tcBorders>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pension</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related</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All other</w:t>
            </w:r>
          </w:p>
        </w:tc>
        <w:tc>
          <w:tcPr>
            <w:tcW w:w="58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based</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fees</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9"/>
        </w:trPr>
        <w:tc>
          <w:tcPr>
            <w:tcW w:w="720" w:type="dxa"/>
            <w:vAlign w:val="bottom"/>
            <w:tcBorders>
              <w:left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Name</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rPr>
              <w:t>Year</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Salary</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92"/>
              </w:rPr>
              <w:t>contribution</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compensation</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compensation</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Subtotal</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5"/>
              </w:rPr>
              <w:t>payments</w:t>
            </w:r>
          </w:p>
        </w:tc>
        <w:tc>
          <w:tcPr>
            <w:tcW w:w="500" w:type="dxa"/>
            <w:vAlign w:val="bottom"/>
            <w:tcBorders>
              <w:right w:val="single" w:sz="8" w:color="auto"/>
            </w:tcBorders>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compensation</w:t>
            </w:r>
          </w:p>
        </w:tc>
      </w:tr>
      <w:tr>
        <w:trPr>
          <w:trHeight w:val="196"/>
        </w:trPr>
        <w:tc>
          <w:tcPr>
            <w:tcW w:w="720" w:type="dxa"/>
            <w:vAlign w:val="bottom"/>
            <w:tcBorders>
              <w:left w:val="single" w:sz="8" w:color="auto"/>
              <w:bottom w:val="single" w:sz="8" w:color="CCEEFF"/>
              <w:right w:val="single" w:sz="8" w:color="auto"/>
            </w:tcBorders>
            <w:shd w:val="clear" w:color="auto" w:fill="CCEEFF"/>
          </w:tcPr>
          <w:p>
            <w:pPr>
              <w:spacing w:after="0"/>
              <w:rPr>
                <w:sz w:val="16"/>
                <w:szCs w:val="16"/>
                <w:color w:val="auto"/>
              </w:rPr>
            </w:pPr>
          </w:p>
        </w:tc>
        <w:tc>
          <w:tcPr>
            <w:tcW w:w="400" w:type="dxa"/>
            <w:vAlign w:val="bottom"/>
            <w:tcBorders>
              <w:bottom w:val="single" w:sz="8" w:color="CCEEFF"/>
              <w:right w:val="single" w:sz="8" w:color="auto"/>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CCEEFF"/>
              <w:right w:val="single" w:sz="8" w:color="auto"/>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r>
      <w:tr>
        <w:trPr>
          <w:trHeight w:val="166"/>
        </w:trPr>
        <w:tc>
          <w:tcPr>
            <w:tcW w:w="720" w:type="dxa"/>
            <w:vAlign w:val="bottom"/>
            <w:tcBorders>
              <w:top w:val="single" w:sz="8" w:color="auto"/>
              <w:left w:val="single" w:sz="8" w:color="auto"/>
              <w:right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5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r>
      <w:tr>
        <w:trPr>
          <w:trHeight w:val="164"/>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Ciaran</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140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1,633</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6,279</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7,912</w:t>
            </w: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Murray*</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Declan</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338</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McKeon**</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81"/>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9"/>
              </w:rPr>
              <w:t>John Climax</w:t>
            </w:r>
          </w:p>
        </w:tc>
        <w:tc>
          <w:tcPr>
            <w:tcW w:w="40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238</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Lambe</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73"/>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Dermot</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w:t>
            </w: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Kelleher</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William</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172</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285</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Hall</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73"/>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Mary</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167</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w:t>
            </w: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96"/>
              </w:rPr>
              <w:t>Pendergast</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6"/>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3"/>
              </w:rPr>
              <w:t>Hugh Brady</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167</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232</w:t>
            </w: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81"/>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9"/>
              </w:rPr>
              <w:t>Steve Cutler</w:t>
            </w:r>
          </w:p>
        </w:tc>
        <w:tc>
          <w:tcPr>
            <w:tcW w:w="40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110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4,953</w:t>
            </w: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w:t>
            </w: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50</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160</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Murphy</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73"/>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Eugene</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59"/>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McCague</w:t>
            </w:r>
          </w:p>
        </w:tc>
        <w:tc>
          <w:tcPr>
            <w:tcW w:w="4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85"/>
              </w:rPr>
              <w:t>Joan Garahy</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172"/>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40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2,164</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250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1,549</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4,233</w:t>
            </w: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12,464</w:t>
            </w: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17,517</w:t>
            </w:r>
          </w:p>
        </w:tc>
      </w:tr>
      <w:tr>
        <w:trPr>
          <w:trHeight w:val="20"/>
        </w:trPr>
        <w:tc>
          <w:tcPr>
            <w:tcW w:w="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 Appointed as Executive Chairman on 1 March 2017.</w:t>
      </w:r>
    </w:p>
    <w:p>
      <w:pPr>
        <w:spacing w:after="0" w:line="7" w:lineRule="exact"/>
        <w:rPr>
          <w:sz w:val="20"/>
          <w:szCs w:val="20"/>
          <w:color w:val="auto"/>
        </w:rPr>
      </w:pPr>
    </w:p>
    <w:p>
      <w:pPr>
        <w:ind w:left="160" w:hanging="155"/>
        <w:spacing w:after="0"/>
        <w:tabs>
          <w:tab w:leader="none" w:pos="1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Appointed as Lead Independent Director on 1 March 2017. Acting Chairman until 1 March 2017.</w:t>
      </w:r>
    </w:p>
    <w:p>
      <w:pPr>
        <w:ind w:left="220" w:hanging="215"/>
        <w:spacing w:after="0" w:line="237" w:lineRule="auto"/>
        <w:tabs>
          <w:tab w:leader="none" w:pos="2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Appointed to the Board on 3 October 2017.</w:t>
      </w:r>
    </w:p>
    <w:p>
      <w:pPr>
        <w:ind w:left="300" w:hanging="295"/>
        <w:spacing w:after="0" w:line="237" w:lineRule="auto"/>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Appointed to the Board on 16 November 2017.</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3"/>
          <w:szCs w:val="13"/>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3"/>
          <w:szCs w:val="13"/>
          <w:i w:val="1"/>
          <w:iCs w:val="1"/>
          <w:color w:val="auto"/>
        </w:rPr>
        <w:t xml:space="preserve">note 3 </w:t>
      </w:r>
      <w:r>
        <w:rPr>
          <w:rFonts w:ascii="Arial" w:cs="Arial" w:eastAsia="Arial" w:hAnsi="Arial"/>
          <w:sz w:val="13"/>
          <w:szCs w:val="13"/>
          <w:color w:val="auto"/>
        </w:rPr>
        <w:t>under ‘Directors’ emoluments’.</w:t>
      </w:r>
    </w:p>
    <w:p>
      <w:pPr>
        <w:spacing w:after="0" w:line="26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Retirement benefit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Group operates a number of defined contribution schemes and two defined benefit pension schemes. The Group accounts for pensions in accordance with IAS 19R </w:t>
      </w:r>
      <w:r>
        <w:rPr>
          <w:rFonts w:ascii="Arial" w:cs="Arial" w:eastAsia="Arial" w:hAnsi="Arial"/>
          <w:sz w:val="12"/>
          <w:szCs w:val="12"/>
          <w:i w:val="1"/>
          <w:iCs w:val="1"/>
          <w:color w:val="auto"/>
        </w:rPr>
        <w:t>Employee Benefits</w:t>
      </w:r>
      <w:r>
        <w:rPr>
          <w:rFonts w:ascii="Arial" w:cs="Arial" w:eastAsia="Arial" w:hAnsi="Arial"/>
          <w:sz w:val="12"/>
          <w:szCs w:val="12"/>
          <w:color w:val="auto"/>
        </w:rPr>
        <w:t xml:space="preserve"> (“IAS 19R”).</w:t>
      </w:r>
    </w:p>
    <w:p>
      <w:pPr>
        <w:spacing w:after="0" w:line="165" w:lineRule="exact"/>
        <w:rPr>
          <w:sz w:val="20"/>
          <w:szCs w:val="20"/>
          <w:color w:val="auto"/>
        </w:rPr>
      </w:pPr>
    </w:p>
    <w:p>
      <w:pPr>
        <w:ind w:left="540" w:hanging="514"/>
        <w:spacing w:after="0"/>
        <w:tabs>
          <w:tab w:leader="none" w:pos="54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Defined Contribution Schemes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8% of the participant's annual compensation. Contributions to this plan are recorded as a remuneration expense in the Consolidated Statement of Profit and Loss. Contributions for the year ended 31 December 2018 and year ended 31 December 2017 were $25,241,000 and $20,355,000 respectively.</w:t>
      </w:r>
    </w:p>
    <w:p>
      <w:pPr>
        <w:spacing w:after="0" w:line="146"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participant's contributions up to 3% and matches 50% of participant's contributions thereafter to a maximum Company contribution of 4.5% of the participant's annual compensation. Contributions to the U.S. Plan are recorded, in the year contributed, as an expense in the Consolidated Statement of Profit and Loss. Contributions for the year ended 31 December 2018 and year ended 31 December 2017 were $15,532,000 and $14,946,000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826" w:right="21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198" w:lineRule="exact"/>
        <w:rPr>
          <w:rFonts w:ascii="Arial" w:cs="Arial" w:eastAsia="Arial" w:hAnsi="Arial"/>
          <w:sz w:val="14"/>
          <w:szCs w:val="14"/>
          <w:b w:val="1"/>
          <w:bCs w:val="1"/>
          <w:color w:val="auto"/>
        </w:rPr>
      </w:pPr>
    </w:p>
    <w:p>
      <w:pPr>
        <w:ind w:left="540" w:hanging="514"/>
        <w:spacing w:after="0"/>
        <w:tabs>
          <w:tab w:leader="none" w:pos="540" w:val="left"/>
        </w:tabs>
        <w:numPr>
          <w:ilvl w:val="1"/>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Defined Benefit Plans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ICON Development Solutions Limited defined benefit pension plan</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plan is managed externally and the related pension costs and liabilities are assessed in accordance with the advice of a professionally qualified actuary. Plan assets at 31 December 2018 and 31 December 2017 consist of units held in independently administered funds.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in determining the fair value of the plan assets and the present value of the projected benefit obligation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shd w:val="clear" w:color="auto" w:fill="CCEEFF"/>
          </w:tcPr>
          <w:p>
            <w:pPr>
              <w:spacing w:after="0"/>
              <w:rPr>
                <w:sz w:val="15"/>
                <w:szCs w:val="15"/>
                <w:color w:val="auto"/>
              </w:rPr>
            </w:pPr>
          </w:p>
        </w:tc>
        <w:tc>
          <w:tcPr>
            <w:tcW w:w="28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Inflation rate</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3.20%</w:t>
            </w:r>
          </w:p>
        </w:tc>
        <w:tc>
          <w:tcPr>
            <w:tcW w:w="92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21"/>
        </w:trPr>
        <w:tc>
          <w:tcPr>
            <w:tcW w:w="3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Future pension increases</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3.70%</w:t>
            </w:r>
          </w:p>
        </w:tc>
        <w:tc>
          <w:tcPr>
            <w:tcW w:w="92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discount rate is determined by reference to UK long dated government and corporate bond yields at the reporting date. This is represented by the iboxx corporate bond over 15 year index plus 10 basis points.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at the commencement of the year in determining the net periodic pension cost for the year ended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shd w:val="clear" w:color="auto" w:fill="CCEEFF"/>
          </w:tcPr>
          <w:p>
            <w:pPr>
              <w:spacing w:after="0"/>
              <w:rPr>
                <w:sz w:val="15"/>
                <w:szCs w:val="15"/>
                <w:color w:val="auto"/>
              </w:rPr>
            </w:pPr>
          </w:p>
        </w:tc>
        <w:tc>
          <w:tcPr>
            <w:tcW w:w="284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0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3.70%</w:t>
            </w:r>
          </w:p>
        </w:tc>
        <w:tc>
          <w:tcPr>
            <w:tcW w:w="92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Mortality assumptions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Assumptions regarding mortality experience are set based on actuarial advice in accordance with published statistics and experience. The mortality assumptions adopted at 31 December 2018 are 100% of the standard tables S2PxA, Year of Birth, no age rating for males and females, projected using CMI_2017 converging to 1.25% p.a.. These imply the following life expectancies, for persons retiring at age 62: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shd w:val="clear" w:color="auto" w:fill="CCEEFF"/>
          </w:tcPr>
          <w:p>
            <w:pPr>
              <w:spacing w:after="0"/>
              <w:rPr>
                <w:sz w:val="15"/>
                <w:szCs w:val="15"/>
                <w:color w:val="auto"/>
              </w:rPr>
            </w:pPr>
          </w:p>
        </w:tc>
        <w:tc>
          <w:tcPr>
            <w:tcW w:w="2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28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233"/>
        </w:trPr>
        <w:tc>
          <w:tcPr>
            <w:tcW w:w="3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2"/>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2018</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 years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 years</w:t>
            </w: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auto"/>
              </w:rPr>
              <w:t>Female retiring in 2018</w:t>
            </w: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26.7 years</w:t>
            </w:r>
          </w:p>
        </w:tc>
        <w:tc>
          <w:tcPr>
            <w:tcW w:w="880" w:type="dxa"/>
            <w:vAlign w:val="bottom"/>
          </w:tcPr>
          <w:p>
            <w:pPr>
              <w:jc w:val="right"/>
              <w:spacing w:after="0"/>
              <w:rPr>
                <w:sz w:val="20"/>
                <w:szCs w:val="20"/>
                <w:color w:val="auto"/>
              </w:rPr>
            </w:pPr>
            <w:r>
              <w:rPr>
                <w:rFonts w:ascii="Arial" w:cs="Arial" w:eastAsia="Arial" w:hAnsi="Arial"/>
                <w:sz w:val="14"/>
                <w:szCs w:val="14"/>
                <w:color w:val="auto"/>
              </w:rPr>
              <w:t>26.7 years</w:t>
            </w:r>
          </w:p>
        </w:tc>
      </w:tr>
      <w:tr>
        <w:trPr>
          <w:trHeight w:val="21"/>
        </w:trPr>
        <w:tc>
          <w:tcPr>
            <w:tcW w:w="3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2038</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 years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 years</w:t>
            </w: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auto"/>
              </w:rPr>
              <w:t>Female retiring in 2038</w:t>
            </w: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28.3 years</w:t>
            </w:r>
          </w:p>
        </w:tc>
        <w:tc>
          <w:tcPr>
            <w:tcW w:w="880" w:type="dxa"/>
            <w:vAlign w:val="bottom"/>
          </w:tcPr>
          <w:p>
            <w:pPr>
              <w:jc w:val="right"/>
              <w:spacing w:after="0"/>
              <w:rPr>
                <w:sz w:val="20"/>
                <w:szCs w:val="20"/>
                <w:color w:val="auto"/>
              </w:rPr>
            </w:pPr>
            <w:r>
              <w:rPr>
                <w:rFonts w:ascii="Arial" w:cs="Arial" w:eastAsia="Arial" w:hAnsi="Arial"/>
                <w:sz w:val="14"/>
                <w:szCs w:val="14"/>
                <w:color w:val="auto"/>
              </w:rPr>
              <w:t>28.3 years</w:t>
            </w:r>
          </w:p>
        </w:tc>
      </w:tr>
      <w:tr>
        <w:trPr>
          <w:trHeight w:val="23"/>
        </w:trPr>
        <w:tc>
          <w:tcPr>
            <w:tcW w:w="3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67"/>
        </w:trPr>
        <w:tc>
          <w:tcPr>
            <w:tcW w:w="3280" w:type="dxa"/>
            <w:vAlign w:val="bottom"/>
          </w:tcPr>
          <w:p>
            <w:pPr>
              <w:spacing w:after="0"/>
              <w:rPr>
                <w:sz w:val="24"/>
                <w:szCs w:val="24"/>
                <w:color w:val="auto"/>
              </w:rPr>
            </w:pPr>
          </w:p>
        </w:tc>
        <w:tc>
          <w:tcPr>
            <w:tcW w:w="2820" w:type="dxa"/>
            <w:vAlign w:val="bottom"/>
          </w:tcPr>
          <w:p>
            <w:pPr>
              <w:jc w:val="right"/>
              <w:ind w:right="229"/>
              <w:spacing w:after="0"/>
              <w:rPr>
                <w:sz w:val="20"/>
                <w:szCs w:val="20"/>
                <w:color w:val="auto"/>
              </w:rPr>
            </w:pPr>
            <w:r>
              <w:rPr>
                <w:rFonts w:ascii="Arial" w:cs="Arial" w:eastAsia="Arial" w:hAnsi="Arial"/>
                <w:sz w:val="14"/>
                <w:szCs w:val="14"/>
                <w:color w:val="auto"/>
              </w:rPr>
              <w:t>64</w:t>
            </w:r>
          </w:p>
        </w:tc>
        <w:tc>
          <w:tcPr>
            <w:tcW w:w="880" w:type="dxa"/>
            <w:vAlign w:val="bottom"/>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tc>
        <w:tc>
          <w:tcPr>
            <w:tcW w:w="20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60"/>
        </w:trPr>
        <w:tc>
          <w:tcPr>
            <w:tcW w:w="4000" w:type="dxa"/>
            <w:vAlign w:val="bottom"/>
          </w:tcPr>
          <w:p>
            <w:pPr>
              <w:spacing w:after="0"/>
              <w:rPr>
                <w:sz w:val="20"/>
                <w:szCs w:val="20"/>
                <w:color w:val="auto"/>
              </w:rPr>
            </w:pPr>
            <w:r>
              <w:rPr>
                <w:rFonts w:ascii="Arial" w:cs="Arial" w:eastAsia="Arial" w:hAnsi="Arial"/>
                <w:sz w:val="14"/>
                <w:szCs w:val="14"/>
                <w:i w:val="1"/>
                <w:iCs w:val="1"/>
                <w:color w:val="auto"/>
              </w:rPr>
              <w:t>Consolidated Financial Statements</w:t>
            </w: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000" w:type="dxa"/>
            <w:vAlign w:val="bottom"/>
          </w:tcPr>
          <w:p>
            <w:pPr>
              <w:spacing w:after="0"/>
              <w:rPr>
                <w:sz w:val="20"/>
                <w:szCs w:val="20"/>
                <w:color w:val="auto"/>
              </w:rPr>
            </w:pPr>
            <w:r>
              <w:rPr>
                <w:rFonts w:ascii="Arial" w:cs="Arial" w:eastAsia="Arial" w:hAnsi="Arial"/>
                <w:sz w:val="14"/>
                <w:szCs w:val="14"/>
                <w:b w:val="1"/>
                <w:bCs w:val="1"/>
                <w:color w:val="auto"/>
              </w:rPr>
              <w:t>Funding status</w:t>
            </w: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6"/>
        </w:trPr>
        <w:tc>
          <w:tcPr>
            <w:tcW w:w="40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6"/>
        </w:trPr>
        <w:tc>
          <w:tcPr>
            <w:tcW w:w="4000" w:type="dxa"/>
            <w:vAlign w:val="bottom"/>
            <w:shd w:val="clear" w:color="auto" w:fill="CCEEFF"/>
          </w:tcPr>
          <w:p>
            <w:pPr>
              <w:spacing w:after="0"/>
              <w:rPr>
                <w:sz w:val="15"/>
                <w:szCs w:val="15"/>
                <w:color w:val="auto"/>
              </w:rPr>
            </w:pPr>
          </w:p>
        </w:tc>
        <w:tc>
          <w:tcPr>
            <w:tcW w:w="2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00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2"/>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(30,045)</w:t>
            </w:r>
          </w:p>
        </w:tc>
        <w:tc>
          <w:tcPr>
            <w:tcW w:w="880" w:type="dxa"/>
            <w:vAlign w:val="bottom"/>
          </w:tcPr>
          <w:p>
            <w:pPr>
              <w:jc w:val="right"/>
              <w:spacing w:after="0"/>
              <w:rPr>
                <w:sz w:val="20"/>
                <w:szCs w:val="20"/>
                <w:color w:val="auto"/>
              </w:rPr>
            </w:pPr>
            <w:r>
              <w:rPr>
                <w:rFonts w:ascii="Arial" w:cs="Arial" w:eastAsia="Arial" w:hAnsi="Arial"/>
                <w:sz w:val="14"/>
                <w:szCs w:val="14"/>
                <w:color w:val="auto"/>
              </w:rPr>
              <w:t>(37,759)</w:t>
            </w: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w:t>
            </w:r>
          </w:p>
        </w:tc>
        <w:tc>
          <w:tcPr>
            <w:tcW w:w="2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27,297</w:t>
            </w:r>
          </w:p>
        </w:tc>
        <w:tc>
          <w:tcPr>
            <w:tcW w:w="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32,423</w:t>
            </w:r>
          </w:p>
        </w:tc>
      </w:tr>
      <w:tr>
        <w:trPr>
          <w:trHeight w:val="181"/>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Non-current other liabilities (note 20)</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(2,748)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(5,336)</w:t>
            </w:r>
          </w:p>
        </w:tc>
      </w:tr>
      <w:tr>
        <w:trPr>
          <w:trHeight w:val="33"/>
        </w:trPr>
        <w:tc>
          <w:tcPr>
            <w:tcW w:w="40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Movement in the net benefit obligation recognised in non-current other liabilities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Fair</w:t>
            </w:r>
          </w:p>
        </w:tc>
        <w:tc>
          <w:tcPr>
            <w:tcW w:w="1420" w:type="dxa"/>
            <w:vAlign w:val="bottom"/>
            <w:shd w:val="clear" w:color="auto" w:fill="CCEEFF"/>
          </w:tcPr>
          <w:p>
            <w:pPr>
              <w:spacing w:after="0"/>
              <w:rPr>
                <w:sz w:val="15"/>
                <w:szCs w:val="15"/>
                <w:color w:val="auto"/>
              </w:rPr>
            </w:pPr>
          </w:p>
        </w:tc>
      </w:tr>
      <w:tr>
        <w:trPr>
          <w:trHeight w:val="169"/>
        </w:trPr>
        <w:tc>
          <w:tcPr>
            <w:tcW w:w="35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Value</w:t>
            </w:r>
          </w:p>
        </w:tc>
        <w:tc>
          <w:tcPr>
            <w:tcW w:w="142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Present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of</w:t>
            </w:r>
          </w:p>
        </w:tc>
        <w:tc>
          <w:tcPr>
            <w:tcW w:w="142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Value of</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Plan</w:t>
            </w:r>
          </w:p>
        </w:tc>
        <w:tc>
          <w:tcPr>
            <w:tcW w:w="1420" w:type="dxa"/>
            <w:vAlign w:val="bottom"/>
            <w:shd w:val="clear" w:color="auto" w:fill="CCEEFF"/>
          </w:tcPr>
          <w:p>
            <w:pPr>
              <w:spacing w:after="0"/>
              <w:rPr>
                <w:sz w:val="14"/>
                <w:szCs w:val="14"/>
                <w:color w:val="auto"/>
              </w:rPr>
            </w:pP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Obligations</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Assets</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190"/>
        </w:trPr>
        <w:tc>
          <w:tcPr>
            <w:tcW w:w="352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42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3"/>
        </w:trPr>
        <w:tc>
          <w:tcPr>
            <w:tcW w:w="35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(37,759)</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32,423</w:t>
            </w:r>
          </w:p>
        </w:tc>
        <w:tc>
          <w:tcPr>
            <w:tcW w:w="1420" w:type="dxa"/>
            <w:vAlign w:val="bottom"/>
          </w:tcPr>
          <w:p>
            <w:pPr>
              <w:jc w:val="right"/>
              <w:ind w:right="209"/>
              <w:spacing w:after="0"/>
              <w:rPr>
                <w:sz w:val="20"/>
                <w:szCs w:val="20"/>
                <w:color w:val="auto"/>
              </w:rPr>
            </w:pPr>
            <w:r>
              <w:rPr>
                <w:rFonts w:ascii="Arial" w:cs="Arial" w:eastAsia="Arial" w:hAnsi="Arial"/>
                <w:sz w:val="14"/>
                <w:szCs w:val="14"/>
                <w:color w:val="auto"/>
              </w:rPr>
              <w:t>(5,336)</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(125)</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(899)</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768</w:t>
            </w:r>
          </w:p>
        </w:tc>
        <w:tc>
          <w:tcPr>
            <w:tcW w:w="1420" w:type="dxa"/>
            <w:vAlign w:val="bottom"/>
          </w:tcPr>
          <w:p>
            <w:pPr>
              <w:jc w:val="right"/>
              <w:ind w:right="209"/>
              <w:spacing w:after="0"/>
              <w:rPr>
                <w:sz w:val="20"/>
                <w:szCs w:val="20"/>
                <w:color w:val="auto"/>
              </w:rPr>
            </w:pPr>
            <w:r>
              <w:rPr>
                <w:rFonts w:ascii="Arial" w:cs="Arial" w:eastAsia="Arial" w:hAnsi="Arial"/>
                <w:sz w:val="14"/>
                <w:szCs w:val="14"/>
                <w:color w:val="auto"/>
              </w:rPr>
              <w:t>(131)</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(38,783)</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33,191</w:t>
            </w:r>
          </w:p>
        </w:tc>
        <w:tc>
          <w:tcPr>
            <w:tcW w:w="14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(5,592)</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Re-measurements</w:t>
            </w:r>
          </w:p>
        </w:tc>
        <w:tc>
          <w:tcPr>
            <w:tcW w:w="1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(1,355)</w:t>
            </w:r>
          </w:p>
        </w:tc>
        <w:tc>
          <w:tcPr>
            <w:tcW w:w="14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(1,355)</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200</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200</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3,313</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3,313</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350</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350</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3,863</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(1,355)</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2,508</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3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1,836</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(1,654)</w:t>
            </w:r>
          </w:p>
        </w:tc>
        <w:tc>
          <w:tcPr>
            <w:tcW w:w="1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182</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Contributions:</w:t>
            </w:r>
          </w:p>
        </w:tc>
        <w:tc>
          <w:tcPr>
            <w:tcW w:w="13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 Employers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154</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154</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Plan participants</w:t>
            </w: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3,063</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(3,063)</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3,039</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(2,885)</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154</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3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(30,045)</w:t>
            </w:r>
          </w:p>
        </w:tc>
        <w:tc>
          <w:tcPr>
            <w:tcW w:w="7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27,297</w:t>
            </w:r>
          </w:p>
        </w:tc>
        <w:tc>
          <w:tcPr>
            <w:tcW w:w="142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(2,748)</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50"/>
        </w:trPr>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jc w:val="right"/>
              <w:ind w:right="1089"/>
              <w:spacing w:after="0"/>
              <w:rPr>
                <w:sz w:val="20"/>
                <w:szCs w:val="20"/>
                <w:color w:val="auto"/>
              </w:rPr>
            </w:pPr>
            <w:r>
              <w:rPr>
                <w:rFonts w:ascii="Arial" w:cs="Arial" w:eastAsia="Arial" w:hAnsi="Arial"/>
                <w:sz w:val="14"/>
                <w:szCs w:val="14"/>
                <w:color w:val="auto"/>
              </w:rPr>
              <w:t>65</w:t>
            </w:r>
          </w:p>
        </w:tc>
      </w:tr>
    </w:tbl>
    <w:p>
      <w:pPr>
        <w:sectPr>
          <w:pgSz w:w="11900" w:h="16838" w:orient="portrait"/>
          <w:cols w:equalWidth="0" w:num="1">
            <w:col w:w="10239"/>
          </w:cols>
          <w:pgMar w:left="220" w:top="762" w:right="1440"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Fair</w:t>
            </w:r>
          </w:p>
        </w:tc>
        <w:tc>
          <w:tcPr>
            <w:tcW w:w="1140" w:type="dxa"/>
            <w:vAlign w:val="bottom"/>
            <w:shd w:val="clear" w:color="auto" w:fill="CCEEFF"/>
          </w:tcPr>
          <w:p>
            <w:pPr>
              <w:spacing w:after="0"/>
              <w:rPr>
                <w:sz w:val="15"/>
                <w:szCs w:val="15"/>
                <w:color w:val="auto"/>
              </w:rPr>
            </w:pP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Value</w:t>
            </w:r>
          </w:p>
        </w:tc>
        <w:tc>
          <w:tcPr>
            <w:tcW w:w="114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Present</w:t>
            </w: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of</w:t>
            </w:r>
          </w:p>
        </w:tc>
        <w:tc>
          <w:tcPr>
            <w:tcW w:w="114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Value of</w:t>
            </w: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Plan</w:t>
            </w:r>
          </w:p>
        </w:tc>
        <w:tc>
          <w:tcPr>
            <w:tcW w:w="1140" w:type="dxa"/>
            <w:vAlign w:val="bottom"/>
            <w:shd w:val="clear" w:color="auto" w:fill="CCEEFF"/>
          </w:tcPr>
          <w:p>
            <w:pPr>
              <w:spacing w:after="0"/>
              <w:rPr>
                <w:sz w:val="14"/>
                <w:szCs w:val="14"/>
                <w:color w:val="auto"/>
              </w:rPr>
            </w:pP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Obligations</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Assets</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190"/>
        </w:trPr>
        <w:tc>
          <w:tcPr>
            <w:tcW w:w="35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020" w:type="dxa"/>
            <w:vAlign w:val="bottom"/>
          </w:tcPr>
          <w:p>
            <w:pPr>
              <w:jc w:val="right"/>
              <w:ind w:right="349"/>
              <w:spacing w:after="0"/>
              <w:rPr>
                <w:sz w:val="20"/>
                <w:szCs w:val="20"/>
                <w:color w:val="auto"/>
              </w:rPr>
            </w:pPr>
            <w:r>
              <w:rPr>
                <w:rFonts w:ascii="Arial" w:cs="Arial" w:eastAsia="Arial" w:hAnsi="Arial"/>
                <w:sz w:val="14"/>
                <w:szCs w:val="14"/>
                <w:b w:val="1"/>
                <w:bCs w:val="1"/>
                <w:color w:val="auto"/>
              </w:rPr>
              <w:t>$’000</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35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(32,906)</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24,876</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(8,030)</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(112)</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(112)</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(929)</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755</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(174)</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8</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(33,939)</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25,631</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(8,308)</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Re-measurements</w:t>
            </w:r>
          </w:p>
        </w:tc>
        <w:tc>
          <w:tcPr>
            <w:tcW w:w="1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224</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224</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957</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957</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(1,497)</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(1,497)</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(119)</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(119)</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(659)</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224</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(435)</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2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(3,207)</w:t>
            </w:r>
          </w:p>
        </w:tc>
        <w:tc>
          <w:tcPr>
            <w:tcW w:w="10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rPr>
              <w:t>2,606</w:t>
            </w:r>
          </w:p>
        </w:tc>
        <w:tc>
          <w:tcPr>
            <w:tcW w:w="114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(601)</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Contributions:</w:t>
            </w: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 Employers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4,008</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4,008</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Plan participants</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22</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68</w:t>
            </w:r>
          </w:p>
        </w:tc>
        <w:tc>
          <w:tcPr>
            <w:tcW w:w="1020" w:type="dxa"/>
            <w:vAlign w:val="bottom"/>
          </w:tcPr>
          <w:p>
            <w:pPr>
              <w:jc w:val="right"/>
              <w:ind w:right="329"/>
              <w:spacing w:after="0"/>
              <w:rPr>
                <w:sz w:val="20"/>
                <w:szCs w:val="20"/>
                <w:color w:val="auto"/>
              </w:rPr>
            </w:pPr>
            <w:r>
              <w:rPr>
                <w:rFonts w:ascii="Arial" w:cs="Arial" w:eastAsia="Arial" w:hAnsi="Arial"/>
                <w:sz w:val="14"/>
                <w:szCs w:val="14"/>
                <w:color w:val="auto"/>
              </w:rPr>
              <w:t>(68)</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46</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3,962</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4,008</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2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(37,759)</w:t>
            </w:r>
          </w:p>
        </w:tc>
        <w:tc>
          <w:tcPr>
            <w:tcW w:w="10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32,423</w:t>
            </w:r>
          </w:p>
        </w:tc>
        <w:tc>
          <w:tcPr>
            <w:tcW w:w="114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(5,336)</w:t>
            </w:r>
          </w:p>
        </w:tc>
      </w:tr>
      <w:tr>
        <w:trPr>
          <w:trHeight w:val="21"/>
        </w:trPr>
        <w:tc>
          <w:tcPr>
            <w:tcW w:w="582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29"/>
        </w:trPr>
        <w:tc>
          <w:tcPr>
            <w:tcW w:w="5820" w:type="dxa"/>
            <w:vAlign w:val="bottom"/>
            <w:gridSpan w:val="3"/>
          </w:tcPr>
          <w:p>
            <w:pPr>
              <w:spacing w:after="0"/>
              <w:rPr>
                <w:sz w:val="20"/>
                <w:szCs w:val="20"/>
                <w:color w:val="auto"/>
              </w:rPr>
            </w:pPr>
            <w:r>
              <w:rPr>
                <w:rFonts w:ascii="Arial" w:cs="Arial" w:eastAsia="Arial" w:hAnsi="Arial"/>
                <w:sz w:val="14"/>
                <w:szCs w:val="14"/>
                <w:color w:val="auto"/>
                <w:w w:val="90"/>
              </w:rPr>
              <w:t>Re-measurements are recognised in the Consolidated Statement of Comprehensive Income as follows:</w:t>
            </w:r>
          </w:p>
        </w:tc>
        <w:tc>
          <w:tcPr>
            <w:tcW w:w="1140" w:type="dxa"/>
            <w:vAlign w:val="bottom"/>
          </w:tcPr>
          <w:p>
            <w:pPr>
              <w:spacing w:after="0"/>
              <w:rPr>
                <w:sz w:val="24"/>
                <w:szCs w:val="24"/>
                <w:color w:val="auto"/>
              </w:rPr>
            </w:pPr>
          </w:p>
        </w:tc>
      </w:tr>
      <w:tr>
        <w:trPr>
          <w:trHeight w:val="106"/>
        </w:trPr>
        <w:tc>
          <w:tcPr>
            <w:tcW w:w="3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76"/>
        </w:trPr>
        <w:tc>
          <w:tcPr>
            <w:tcW w:w="3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11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Year ended</w:t>
            </w: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11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92"/>
              </w:rPr>
              <w:t>31 December</w:t>
            </w: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2017</w:t>
            </w:r>
          </w:p>
        </w:tc>
      </w:tr>
      <w:tr>
        <w:trPr>
          <w:trHeight w:val="190"/>
        </w:trPr>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$’000</w:t>
            </w:r>
          </w:p>
        </w:tc>
      </w:tr>
      <w:tr>
        <w:trPr>
          <w:trHeight w:val="21"/>
        </w:trPr>
        <w:tc>
          <w:tcPr>
            <w:tcW w:w="4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4800" w:type="dxa"/>
            <w:vAlign w:val="bottom"/>
            <w:gridSpan w:val="2"/>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0"/>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Return on plan assets (excl. amounts included in interest income/expense)</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(1,355)</w:t>
            </w: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224</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200</w:t>
            </w:r>
          </w:p>
        </w:tc>
        <w:tc>
          <w:tcPr>
            <w:tcW w:w="11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957</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2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3,313</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(1,497)</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gain or loss</w:t>
            </w:r>
          </w:p>
        </w:tc>
        <w:tc>
          <w:tcPr>
            <w:tcW w:w="1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350</w:t>
            </w:r>
          </w:p>
        </w:tc>
        <w:tc>
          <w:tcPr>
            <w:tcW w:w="11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(119)</w:t>
            </w:r>
          </w:p>
        </w:tc>
      </w:tr>
      <w:tr>
        <w:trPr>
          <w:trHeight w:val="223"/>
        </w:trPr>
        <w:tc>
          <w:tcPr>
            <w:tcW w:w="35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at end of year</w:t>
            </w: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2,508</w:t>
            </w:r>
          </w:p>
        </w:tc>
        <w:tc>
          <w:tcPr>
            <w:tcW w:w="11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(435)</w:t>
            </w:r>
          </w:p>
        </w:tc>
      </w:tr>
      <w:tr>
        <w:trPr>
          <w:trHeight w:val="21"/>
        </w:trPr>
        <w:tc>
          <w:tcPr>
            <w:tcW w:w="3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Defined benefit pension expense recognised in the Consolidated Statement of Profit and Loss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6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396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7"/>
              </w:rPr>
              <w:t>31 December</w:t>
            </w:r>
          </w:p>
        </w:tc>
      </w:tr>
      <w:tr>
        <w:trPr>
          <w:trHeight w:val="185"/>
        </w:trPr>
        <w:tc>
          <w:tcPr>
            <w:tcW w:w="396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96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Current service cost recognised in profit or loss</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112</w:t>
            </w:r>
          </w:p>
        </w:tc>
      </w:tr>
      <w:tr>
        <w:trPr>
          <w:trHeight w:val="21"/>
        </w:trPr>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expense recognised in profit or loss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174</w:t>
            </w: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9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Net periodic pension cost</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256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278</w:t>
            </w:r>
          </w:p>
        </w:tc>
      </w:tr>
      <w:tr>
        <w:trPr>
          <w:trHeight w:val="23"/>
        </w:trPr>
        <w:tc>
          <w:tcPr>
            <w:tcW w:w="39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9"/>
        </w:trPr>
        <w:tc>
          <w:tcPr>
            <w:tcW w:w="3960" w:type="dxa"/>
            <w:vAlign w:val="bottom"/>
          </w:tcPr>
          <w:p>
            <w:pPr>
              <w:spacing w:after="0"/>
              <w:rPr>
                <w:sz w:val="24"/>
                <w:szCs w:val="24"/>
                <w:color w:val="auto"/>
              </w:rPr>
            </w:pPr>
          </w:p>
        </w:tc>
        <w:tc>
          <w:tcPr>
            <w:tcW w:w="2100" w:type="dxa"/>
            <w:vAlign w:val="bottom"/>
          </w:tcPr>
          <w:p>
            <w:pPr>
              <w:jc w:val="right"/>
              <w:ind w:right="189"/>
              <w:spacing w:after="0"/>
              <w:rPr>
                <w:sz w:val="20"/>
                <w:szCs w:val="20"/>
                <w:color w:val="auto"/>
              </w:rPr>
            </w:pPr>
            <w:r>
              <w:rPr>
                <w:rFonts w:ascii="Arial" w:cs="Arial" w:eastAsia="Arial" w:hAnsi="Arial"/>
                <w:sz w:val="14"/>
                <w:szCs w:val="14"/>
                <w:color w:val="auto"/>
              </w:rPr>
              <w:t>66</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762" w:right="1440"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0"/>
        </w:trPr>
        <w:tc>
          <w:tcPr>
            <w:tcW w:w="4660" w:type="dxa"/>
            <w:vAlign w:val="bottom"/>
          </w:tcPr>
          <w:p>
            <w:pPr>
              <w:spacing w:after="0"/>
              <w:rPr>
                <w:sz w:val="20"/>
                <w:szCs w:val="20"/>
                <w:color w:val="auto"/>
              </w:rPr>
            </w:pPr>
            <w:r>
              <w:rPr>
                <w:rFonts w:ascii="Arial" w:cs="Arial" w:eastAsia="Arial" w:hAnsi="Arial"/>
                <w:sz w:val="14"/>
                <w:szCs w:val="14"/>
                <w:i w:val="1"/>
                <w:iCs w:val="1"/>
                <w:color w:val="auto"/>
              </w:rPr>
              <w:t>Plan Assets Fair Value</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9"/>
        </w:trPr>
        <w:tc>
          <w:tcPr>
            <w:tcW w:w="4660" w:type="dxa"/>
            <w:vAlign w:val="bottom"/>
          </w:tcPr>
          <w:p>
            <w:pPr>
              <w:spacing w:after="0"/>
              <w:rPr>
                <w:sz w:val="20"/>
                <w:szCs w:val="20"/>
                <w:color w:val="auto"/>
              </w:rPr>
            </w:pPr>
            <w:r>
              <w:rPr>
                <w:rFonts w:ascii="Arial" w:cs="Arial" w:eastAsia="Arial" w:hAnsi="Arial"/>
                <w:sz w:val="14"/>
                <w:szCs w:val="14"/>
                <w:color w:val="auto"/>
              </w:rPr>
              <w:t>The fair value of plan assets at 31 December 2018 is analysed as follows:</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4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6"/>
        </w:trPr>
        <w:tc>
          <w:tcPr>
            <w:tcW w:w="46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46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6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6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660" w:type="dxa"/>
            <w:vAlign w:val="bottom"/>
          </w:tcPr>
          <w:p>
            <w:pPr>
              <w:ind w:left="20"/>
              <w:spacing w:after="0"/>
              <w:rPr>
                <w:sz w:val="20"/>
                <w:szCs w:val="20"/>
                <w:color w:val="auto"/>
              </w:rPr>
            </w:pPr>
            <w:r>
              <w:rPr>
                <w:rFonts w:ascii="Arial" w:cs="Arial" w:eastAsia="Arial" w:hAnsi="Arial"/>
                <w:sz w:val="14"/>
                <w:szCs w:val="14"/>
                <w:color w:val="auto"/>
              </w:rPr>
              <w:t>Unit funds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27,297</w:t>
            </w:r>
          </w:p>
        </w:tc>
        <w:tc>
          <w:tcPr>
            <w:tcW w:w="900" w:type="dxa"/>
            <w:vAlign w:val="bottom"/>
          </w:tcPr>
          <w:p>
            <w:pPr>
              <w:jc w:val="right"/>
              <w:spacing w:after="0"/>
              <w:rPr>
                <w:sz w:val="20"/>
                <w:szCs w:val="20"/>
                <w:color w:val="auto"/>
              </w:rPr>
            </w:pPr>
            <w:r>
              <w:rPr>
                <w:rFonts w:ascii="Arial" w:cs="Arial" w:eastAsia="Arial" w:hAnsi="Arial"/>
                <w:sz w:val="14"/>
                <w:szCs w:val="14"/>
                <w:color w:val="auto"/>
              </w:rPr>
              <w:t>32,423</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plan’s assets do not include any of the Group’s own financial instruments, nor any property occupied by, or other assets used by the Group.</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At 31 December 2018 the long-term expected return on corporate bonds and gilts (fixed interest and index linked) was determined by reference to bond yields and gilt yields.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underlying asset split of the funds at 31 December 2018 and 31 December 2017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20" w:type="dxa"/>
            <w:vAlign w:val="bottom"/>
            <w:shd w:val="clear" w:color="auto" w:fill="CCEEFF"/>
          </w:tcPr>
          <w:p>
            <w:pPr>
              <w:spacing w:after="0"/>
              <w:rPr>
                <w:sz w:val="15"/>
                <w:szCs w:val="15"/>
                <w:color w:val="auto"/>
              </w:rPr>
            </w:pPr>
          </w:p>
        </w:tc>
        <w:tc>
          <w:tcPr>
            <w:tcW w:w="30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31 December</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0"/>
              </w:rPr>
              <w:t>31 December</w:t>
            </w:r>
          </w:p>
        </w:tc>
      </w:tr>
      <w:tr>
        <w:trPr>
          <w:trHeight w:val="185"/>
        </w:trPr>
        <w:tc>
          <w:tcPr>
            <w:tcW w:w="30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2017</w:t>
            </w:r>
          </w:p>
        </w:tc>
      </w:tr>
      <w:tr>
        <w:trPr>
          <w:trHeight w:val="233"/>
        </w:trPr>
        <w:tc>
          <w:tcPr>
            <w:tcW w:w="30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30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25.00%</w:t>
            </w:r>
          </w:p>
        </w:tc>
        <w:tc>
          <w:tcPr>
            <w:tcW w:w="940" w:type="dxa"/>
            <w:vAlign w:val="bottom"/>
          </w:tcPr>
          <w:p>
            <w:pPr>
              <w:jc w:val="right"/>
              <w:spacing w:after="0"/>
              <w:rPr>
                <w:sz w:val="20"/>
                <w:szCs w:val="20"/>
                <w:color w:val="auto"/>
              </w:rPr>
            </w:pPr>
            <w:r>
              <w:rPr>
                <w:rFonts w:ascii="Arial" w:cs="Arial" w:eastAsia="Arial" w:hAnsi="Arial"/>
                <w:sz w:val="14"/>
                <w:szCs w:val="14"/>
                <w:color w:val="auto"/>
              </w:rPr>
              <w:t>22.00%</w:t>
            </w:r>
          </w:p>
        </w:tc>
      </w:tr>
      <w:tr>
        <w:trPr>
          <w:trHeight w:val="21"/>
        </w:trPr>
        <w:tc>
          <w:tcPr>
            <w:tcW w:w="3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Gilts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65.00%</w:t>
            </w:r>
          </w:p>
        </w:tc>
      </w:tr>
      <w:tr>
        <w:trPr>
          <w:trHeight w:val="22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w:t>
            </w: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assets of the scheme are invested with Legal and General and held in a combination of the Active Corporate Bond over 10 Year fund, Gilt, and Index Linked Gilt funds. The overall investment strategy is that approximately 75% of investments are in government bonds (both fixed interest and index linked) and approximately 25% of investments are held in corporate bonds. This results in a concentration of investments in bond type assets, although invested in a number of different bond funds.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sensitivity of the defined benefit obligation to changes in the weighted principal assumptions 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shd w:val="clear" w:color="auto" w:fill="CCEEFF"/>
          </w:tcPr>
          <w:p>
            <w:pPr>
              <w:spacing w:after="0"/>
              <w:rPr>
                <w:sz w:val="18"/>
                <w:szCs w:val="18"/>
                <w:color w:val="auto"/>
              </w:rPr>
            </w:pPr>
          </w:p>
        </w:tc>
        <w:tc>
          <w:tcPr>
            <w:tcW w:w="294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Change in Assumption</w:t>
            </w:r>
          </w:p>
        </w:tc>
        <w:tc>
          <w:tcPr>
            <w:tcW w:w="2140" w:type="dxa"/>
            <w:vAlign w:val="bottom"/>
            <w:shd w:val="clear" w:color="auto" w:fill="CCEEFF"/>
          </w:tcPr>
          <w:p>
            <w:pPr>
              <w:jc w:val="center"/>
              <w:ind w:right="149"/>
              <w:spacing w:after="0"/>
              <w:rPr>
                <w:sz w:val="20"/>
                <w:szCs w:val="20"/>
                <w:color w:val="auto"/>
              </w:rPr>
            </w:pPr>
            <w:r>
              <w:rPr>
                <w:rFonts w:ascii="Arial" w:cs="Arial" w:eastAsia="Arial" w:hAnsi="Arial"/>
                <w:sz w:val="14"/>
                <w:szCs w:val="14"/>
                <w:b w:val="1"/>
                <w:bCs w:val="1"/>
                <w:color w:val="auto"/>
                <w:w w:val="91"/>
              </w:rPr>
              <w:t>Change in Liabilities</w:t>
            </w:r>
          </w:p>
        </w:tc>
      </w:tr>
      <w:tr>
        <w:trPr>
          <w:trHeight w:val="233"/>
        </w:trPr>
        <w:tc>
          <w:tcPr>
            <w:tcW w:w="18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Decrease of 0.25% p.a.</w:t>
            </w:r>
          </w:p>
        </w:tc>
        <w:tc>
          <w:tcPr>
            <w:tcW w:w="2140" w:type="dxa"/>
            <w:vAlign w:val="bottom"/>
            <w:tcBorders>
              <w:bottom w:val="single" w:sz="8" w:color="CCEEFF"/>
            </w:tcBorders>
            <w:shd w:val="clear" w:color="auto" w:fill="CCEEFF"/>
          </w:tcPr>
          <w:p>
            <w:pPr>
              <w:jc w:val="center"/>
              <w:ind w:right="149"/>
              <w:spacing w:after="0"/>
              <w:rPr>
                <w:sz w:val="20"/>
                <w:szCs w:val="20"/>
                <w:color w:val="auto"/>
              </w:rPr>
            </w:pPr>
            <w:r>
              <w:rPr>
                <w:rFonts w:ascii="Arial" w:cs="Arial" w:eastAsia="Arial" w:hAnsi="Arial"/>
                <w:sz w:val="14"/>
                <w:szCs w:val="14"/>
                <w:color w:val="auto"/>
                <w:w w:val="88"/>
              </w:rPr>
              <w:t>Increase by 6.3%</w:t>
            </w:r>
          </w:p>
        </w:tc>
      </w:tr>
      <w:tr>
        <w:trPr>
          <w:trHeight w:val="190"/>
        </w:trPr>
        <w:tc>
          <w:tcPr>
            <w:tcW w:w="1880" w:type="dxa"/>
            <w:vAlign w:val="bottom"/>
          </w:tcPr>
          <w:p>
            <w:pPr>
              <w:ind w:left="20"/>
              <w:spacing w:after="0"/>
              <w:rPr>
                <w:sz w:val="20"/>
                <w:szCs w:val="20"/>
                <w:color w:val="auto"/>
              </w:rPr>
            </w:pPr>
            <w:r>
              <w:rPr>
                <w:rFonts w:ascii="Arial" w:cs="Arial" w:eastAsia="Arial" w:hAnsi="Arial"/>
                <w:sz w:val="14"/>
                <w:szCs w:val="14"/>
                <w:color w:val="auto"/>
              </w:rPr>
              <w:t>Rate of Inflation</w:t>
            </w:r>
          </w:p>
        </w:tc>
        <w:tc>
          <w:tcPr>
            <w:tcW w:w="2940" w:type="dxa"/>
            <w:vAlign w:val="bottom"/>
          </w:tcPr>
          <w:p>
            <w:pPr>
              <w:ind w:left="560"/>
              <w:spacing w:after="0"/>
              <w:rPr>
                <w:sz w:val="20"/>
                <w:szCs w:val="20"/>
                <w:color w:val="auto"/>
              </w:rPr>
            </w:pPr>
            <w:r>
              <w:rPr>
                <w:rFonts w:ascii="Arial" w:cs="Arial" w:eastAsia="Arial" w:hAnsi="Arial"/>
                <w:sz w:val="14"/>
                <w:szCs w:val="14"/>
                <w:color w:val="auto"/>
              </w:rPr>
              <w:t>Increase of 0.25% p.a.</w:t>
            </w:r>
          </w:p>
        </w:tc>
        <w:tc>
          <w:tcPr>
            <w:tcW w:w="2140" w:type="dxa"/>
            <w:vAlign w:val="bottom"/>
          </w:tcPr>
          <w:p>
            <w:pPr>
              <w:jc w:val="center"/>
              <w:ind w:right="149"/>
              <w:spacing w:after="0"/>
              <w:rPr>
                <w:sz w:val="20"/>
                <w:szCs w:val="20"/>
                <w:color w:val="auto"/>
              </w:rPr>
            </w:pPr>
            <w:r>
              <w:rPr>
                <w:rFonts w:ascii="Arial" w:cs="Arial" w:eastAsia="Arial" w:hAnsi="Arial"/>
                <w:sz w:val="14"/>
                <w:szCs w:val="14"/>
                <w:color w:val="auto"/>
                <w:w w:val="88"/>
              </w:rPr>
              <w:t>Increase by 1.6%</w:t>
            </w:r>
          </w:p>
        </w:tc>
      </w:tr>
      <w:tr>
        <w:trPr>
          <w:trHeight w:val="21"/>
        </w:trPr>
        <w:tc>
          <w:tcPr>
            <w:tcW w:w="1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Rate of Salary Growth</w:t>
            </w:r>
          </w:p>
        </w:tc>
        <w:tc>
          <w:tcPr>
            <w:tcW w:w="2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Increase of 0.25% p.a.</w:t>
            </w:r>
          </w:p>
        </w:tc>
        <w:tc>
          <w:tcPr>
            <w:tcW w:w="2140" w:type="dxa"/>
            <w:vAlign w:val="bottom"/>
            <w:tcBorders>
              <w:bottom w:val="single" w:sz="8" w:color="CCEEFF"/>
            </w:tcBorders>
            <w:shd w:val="clear" w:color="auto" w:fill="CCEEFF"/>
          </w:tcPr>
          <w:p>
            <w:pPr>
              <w:jc w:val="center"/>
              <w:ind w:right="149"/>
              <w:spacing w:after="0"/>
              <w:rPr>
                <w:sz w:val="20"/>
                <w:szCs w:val="20"/>
                <w:color w:val="auto"/>
              </w:rPr>
            </w:pPr>
            <w:r>
              <w:rPr>
                <w:rFonts w:ascii="Arial" w:cs="Arial" w:eastAsia="Arial" w:hAnsi="Arial"/>
                <w:sz w:val="14"/>
                <w:szCs w:val="14"/>
                <w:color w:val="auto"/>
                <w:w w:val="88"/>
              </w:rPr>
              <w:t>Increase by 0.2%</w:t>
            </w:r>
          </w:p>
        </w:tc>
      </w:tr>
      <w:tr>
        <w:trPr>
          <w:trHeight w:val="190"/>
        </w:trPr>
        <w:tc>
          <w:tcPr>
            <w:tcW w:w="1880" w:type="dxa"/>
            <w:vAlign w:val="bottom"/>
          </w:tcPr>
          <w:p>
            <w:pPr>
              <w:ind w:left="20"/>
              <w:spacing w:after="0"/>
              <w:rPr>
                <w:sz w:val="20"/>
                <w:szCs w:val="20"/>
                <w:color w:val="auto"/>
              </w:rPr>
            </w:pPr>
            <w:r>
              <w:rPr>
                <w:rFonts w:ascii="Arial" w:cs="Arial" w:eastAsia="Arial" w:hAnsi="Arial"/>
                <w:sz w:val="14"/>
                <w:szCs w:val="14"/>
                <w:color w:val="auto"/>
              </w:rPr>
              <w:t>Rate of Mortality</w:t>
            </w:r>
          </w:p>
        </w:tc>
        <w:tc>
          <w:tcPr>
            <w:tcW w:w="2940" w:type="dxa"/>
            <w:vAlign w:val="bottom"/>
          </w:tcPr>
          <w:p>
            <w:pPr>
              <w:ind w:left="560"/>
              <w:spacing w:after="0"/>
              <w:rPr>
                <w:sz w:val="20"/>
                <w:szCs w:val="20"/>
                <w:color w:val="auto"/>
              </w:rPr>
            </w:pPr>
            <w:r>
              <w:rPr>
                <w:rFonts w:ascii="Arial" w:cs="Arial" w:eastAsia="Arial" w:hAnsi="Arial"/>
                <w:sz w:val="14"/>
                <w:szCs w:val="14"/>
                <w:color w:val="auto"/>
              </w:rPr>
              <w:t>Increase in life expectancy of 1 year</w:t>
            </w:r>
          </w:p>
        </w:tc>
        <w:tc>
          <w:tcPr>
            <w:tcW w:w="2140" w:type="dxa"/>
            <w:vAlign w:val="bottom"/>
          </w:tcPr>
          <w:p>
            <w:pPr>
              <w:jc w:val="center"/>
              <w:ind w:right="149"/>
              <w:spacing w:after="0"/>
              <w:rPr>
                <w:sz w:val="20"/>
                <w:szCs w:val="20"/>
                <w:color w:val="auto"/>
              </w:rPr>
            </w:pPr>
            <w:r>
              <w:rPr>
                <w:rFonts w:ascii="Arial" w:cs="Arial" w:eastAsia="Arial" w:hAnsi="Arial"/>
                <w:sz w:val="14"/>
                <w:szCs w:val="14"/>
                <w:color w:val="auto"/>
                <w:w w:val="88"/>
              </w:rPr>
              <w:t>Increase by 3.3%</w:t>
            </w:r>
          </w:p>
        </w:tc>
      </w:tr>
      <w:tr>
        <w:trPr>
          <w:trHeight w:val="21"/>
        </w:trPr>
        <w:tc>
          <w:tcPr>
            <w:tcW w:w="1880" w:type="dxa"/>
            <w:vAlign w:val="bottom"/>
            <w:tcBorders>
              <w:bottom w:val="single" w:sz="8" w:color="00000A"/>
            </w:tcBorders>
          </w:tcPr>
          <w:p>
            <w:pPr>
              <w:spacing w:after="0" w:line="20" w:lineRule="exact"/>
              <w:rPr>
                <w:sz w:val="1"/>
                <w:szCs w:val="1"/>
                <w:color w:val="auto"/>
              </w:rPr>
            </w:pPr>
          </w:p>
        </w:tc>
        <w:tc>
          <w:tcPr>
            <w:tcW w:w="2940" w:type="dxa"/>
            <w:vAlign w:val="bottom"/>
            <w:tcBorders>
              <w:bottom w:val="single" w:sz="8" w:color="00000A"/>
            </w:tcBorders>
          </w:tcPr>
          <w:p>
            <w:pPr>
              <w:spacing w:after="0" w:line="20" w:lineRule="exact"/>
              <w:rPr>
                <w:sz w:val="1"/>
                <w:szCs w:val="1"/>
                <w:color w:val="auto"/>
              </w:rPr>
            </w:pPr>
          </w:p>
        </w:tc>
        <w:tc>
          <w:tcPr>
            <w:tcW w:w="2140" w:type="dxa"/>
            <w:vAlign w:val="bottom"/>
            <w:tcBorders>
              <w:bottom w:val="single" w:sz="8" w:color="00000A"/>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sensitivities shown above are approximate. Each sensitivity considers one change in isolation. The inflation sensitivity includes the impact of changes to the assumptions for revaluation, pension increases and salary growth.</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762" w:right="21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and Maturity Profiles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Group expects to contribute approximately $0.2 million of normal contribution to the defined benefit pension scheme for the year ended 31 December 2019. The average duration of the defined benefit obligation at the period ending 31 December 2018 is 26 years.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Aptiv Solutions Pension Scheme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7 May 2014, the Company acquired 100% of the common stock of Aptiv Solutions (“Aptiv”). The acquisition of Aptiv was accounted for as a business combination in accordance with IFRS 3 Business Combinations.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31 December 2018 and 31 December 2017 consist of units held in independently administered funds.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in determining the fair value of the plan assets and the present value of the projected benefit obligation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shd w:val="clear" w:color="auto" w:fill="CCEEFF"/>
          </w:tcPr>
          <w:p>
            <w:pPr>
              <w:spacing w:after="0"/>
              <w:rPr>
                <w:sz w:val="15"/>
                <w:szCs w:val="15"/>
                <w:color w:val="auto"/>
              </w:rPr>
            </w:pPr>
          </w:p>
        </w:tc>
        <w:tc>
          <w:tcPr>
            <w:tcW w:w="28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Inflation rate</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1"/>
        </w:trPr>
        <w:tc>
          <w:tcPr>
            <w:tcW w:w="3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Future pension increases</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9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discount rate is determined by reference to Swiss corporate bond yields at the reporting date.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at the commencement of the year in determining the net periodic pension cost for the year ended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shd w:val="clear" w:color="auto" w:fill="CCEEFF"/>
          </w:tcPr>
          <w:p>
            <w:pPr>
              <w:spacing w:after="0"/>
              <w:rPr>
                <w:sz w:val="15"/>
                <w:szCs w:val="15"/>
                <w:color w:val="auto"/>
              </w:rPr>
            </w:pPr>
          </w:p>
        </w:tc>
        <w:tc>
          <w:tcPr>
            <w:tcW w:w="284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0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0.75%</w:t>
            </w: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9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Mortality assumptions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Assumptions regarding mortality experience are set based on actuarial advice in accordance with published statistics and experience. The mortality assumptions adopted at 31 December 2018 are determined using the BVG 2015 generational table, where the mortality rates are projected forward for each individual based on their date of birth to reflect expected future mortality improvements. These tables imply the following life expectancies, for males retiring at age 65 and females retiring at age 64:</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762" w:right="21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 December</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5"/>
              </w:rPr>
              <w:t>31 December</w:t>
            </w: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33"/>
        </w:trPr>
        <w:tc>
          <w:tcPr>
            <w:tcW w:w="3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2018</w:t>
            </w:r>
          </w:p>
        </w:tc>
        <w:tc>
          <w:tcPr>
            <w:tcW w:w="14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 years</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22.4 years</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Female retiring in 2018</w:t>
            </w:r>
          </w:p>
        </w:tc>
        <w:tc>
          <w:tcPr>
            <w:tcW w:w="14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23.7 years</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25.3 years</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2038</w:t>
            </w:r>
          </w:p>
        </w:tc>
        <w:tc>
          <w:tcPr>
            <w:tcW w:w="14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 years</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24.3 years</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Female retiring in 2038</w:t>
            </w:r>
          </w:p>
        </w:tc>
        <w:tc>
          <w:tcPr>
            <w:tcW w:w="14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25.3 years</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27.2 years</w:t>
            </w:r>
          </w:p>
        </w:tc>
      </w:tr>
      <w:tr>
        <w:trPr>
          <w:trHeight w:val="23"/>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8"/>
        </w:trPr>
        <w:tc>
          <w:tcPr>
            <w:tcW w:w="3400" w:type="dxa"/>
            <w:vAlign w:val="bottom"/>
          </w:tcPr>
          <w:p>
            <w:pPr>
              <w:spacing w:after="0"/>
              <w:rPr>
                <w:sz w:val="20"/>
                <w:szCs w:val="20"/>
                <w:color w:val="auto"/>
              </w:rPr>
            </w:pPr>
            <w:r>
              <w:rPr>
                <w:rFonts w:ascii="Arial" w:cs="Arial" w:eastAsia="Arial" w:hAnsi="Arial"/>
                <w:sz w:val="14"/>
                <w:szCs w:val="14"/>
                <w:b w:val="1"/>
                <w:bCs w:val="1"/>
                <w:color w:val="auto"/>
              </w:rPr>
              <w:t>Funding status</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3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6"/>
        </w:trPr>
        <w:tc>
          <w:tcPr>
            <w:tcW w:w="3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0"/>
              </w:rPr>
              <w:t>31 December</w:t>
            </w:r>
          </w:p>
        </w:tc>
        <w:tc>
          <w:tcPr>
            <w:tcW w:w="20" w:type="dxa"/>
            <w:vAlign w:val="bottom"/>
          </w:tcPr>
          <w:p>
            <w:pPr>
              <w:spacing w:after="0"/>
              <w:rPr>
                <w:sz w:val="15"/>
                <w:szCs w:val="15"/>
                <w:color w:val="auto"/>
              </w:rPr>
            </w:pP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148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b w:val="1"/>
                <w:bCs w:val="1"/>
                <w:color w:val="auto"/>
              </w:rPr>
              <w:t>(5,279)</w:t>
            </w:r>
          </w:p>
        </w:tc>
        <w:tc>
          <w:tcPr>
            <w:tcW w:w="900" w:type="dxa"/>
            <w:vAlign w:val="bottom"/>
          </w:tcPr>
          <w:p>
            <w:pPr>
              <w:jc w:val="right"/>
              <w:spacing w:after="0"/>
              <w:rPr>
                <w:sz w:val="20"/>
                <w:szCs w:val="20"/>
                <w:color w:val="auto"/>
              </w:rPr>
            </w:pPr>
            <w:r>
              <w:rPr>
                <w:rFonts w:ascii="Arial" w:cs="Arial" w:eastAsia="Arial" w:hAnsi="Arial"/>
                <w:sz w:val="14"/>
                <w:szCs w:val="14"/>
                <w:color w:val="auto"/>
              </w:rPr>
              <w:t>(5,927)</w:t>
            </w:r>
          </w:p>
        </w:tc>
        <w:tc>
          <w:tcPr>
            <w:tcW w:w="2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w:t>
            </w:r>
          </w:p>
        </w:tc>
        <w:tc>
          <w:tcPr>
            <w:tcW w:w="14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4,707</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5,202</w:t>
            </w:r>
          </w:p>
        </w:tc>
        <w:tc>
          <w:tcPr>
            <w:tcW w:w="20" w:type="dxa"/>
            <w:vAlign w:val="bottom"/>
          </w:tcPr>
          <w:p>
            <w:pPr>
              <w:spacing w:after="0"/>
              <w:rPr>
                <w:sz w:val="18"/>
                <w:szCs w:val="18"/>
                <w:color w:val="auto"/>
              </w:rPr>
            </w:pPr>
          </w:p>
        </w:tc>
      </w:tr>
      <w:tr>
        <w:trPr>
          <w:trHeight w:val="181"/>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Non-current other liabilities (note 20)</w:t>
            </w:r>
          </w:p>
        </w:tc>
        <w:tc>
          <w:tcPr>
            <w:tcW w:w="14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(572)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20" w:type="dxa"/>
            <w:vAlign w:val="bottom"/>
          </w:tcPr>
          <w:p>
            <w:pPr>
              <w:spacing w:after="0"/>
              <w:rPr>
                <w:sz w:val="15"/>
                <w:szCs w:val="15"/>
                <w:color w:val="auto"/>
              </w:rPr>
            </w:pPr>
          </w:p>
        </w:tc>
      </w:tr>
      <w:tr>
        <w:trPr>
          <w:trHeight w:val="23"/>
        </w:trPr>
        <w:tc>
          <w:tcPr>
            <w:tcW w:w="606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6060" w:type="dxa"/>
            <w:vAlign w:val="bottom"/>
            <w:gridSpan w:val="3"/>
          </w:tcPr>
          <w:p>
            <w:pPr>
              <w:spacing w:after="0"/>
              <w:rPr>
                <w:sz w:val="20"/>
                <w:szCs w:val="20"/>
                <w:color w:val="auto"/>
              </w:rPr>
            </w:pPr>
            <w:r>
              <w:rPr>
                <w:rFonts w:ascii="Arial" w:cs="Arial" w:eastAsia="Arial" w:hAnsi="Arial"/>
                <w:sz w:val="14"/>
                <w:szCs w:val="14"/>
                <w:color w:val="auto"/>
              </w:rPr>
              <w:t>Movement in the net benefit obligation recognised in non-current other liabilities was as follows: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3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6"/>
        </w:trPr>
        <w:tc>
          <w:tcPr>
            <w:tcW w:w="3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Present Value of</w:t>
            </w:r>
          </w:p>
        </w:tc>
        <w:tc>
          <w:tcPr>
            <w:tcW w:w="118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Fair</w:t>
            </w: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Obligations</w:t>
            </w:r>
          </w:p>
        </w:tc>
        <w:tc>
          <w:tcPr>
            <w:tcW w:w="118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Value</w:t>
            </w:r>
          </w:p>
        </w:tc>
        <w:tc>
          <w:tcPr>
            <w:tcW w:w="9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of</w:t>
            </w: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Plan</w:t>
            </w: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Assets</w:t>
            </w: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3400" w:type="dxa"/>
            <w:vAlign w:val="bottom"/>
          </w:tcPr>
          <w:p>
            <w:pPr>
              <w:spacing w:after="0"/>
              <w:rPr>
                <w:sz w:val="16"/>
                <w:szCs w:val="16"/>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1180" w:type="dxa"/>
            <w:vAlign w:val="bottom"/>
          </w:tcPr>
          <w:p>
            <w:pPr>
              <w:jc w:val="right"/>
              <w:ind w:right="569"/>
              <w:spacing w:after="0"/>
              <w:rPr>
                <w:sz w:val="20"/>
                <w:szCs w:val="20"/>
                <w:color w:val="auto"/>
              </w:rPr>
            </w:pPr>
            <w:r>
              <w:rPr>
                <w:rFonts w:ascii="Arial" w:cs="Arial" w:eastAsia="Arial" w:hAnsi="Arial"/>
                <w:sz w:val="14"/>
                <w:szCs w:val="14"/>
                <w:b w:val="1"/>
                <w:bCs w:val="1"/>
                <w:color w:val="auto"/>
              </w:rPr>
              <w:t>$’000</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$’000</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3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(5,927)</w:t>
            </w:r>
          </w:p>
        </w:tc>
        <w:tc>
          <w:tcPr>
            <w:tcW w:w="1180" w:type="dxa"/>
            <w:vAlign w:val="bottom"/>
          </w:tcPr>
          <w:p>
            <w:pPr>
              <w:jc w:val="right"/>
              <w:ind w:right="569"/>
              <w:spacing w:after="0"/>
              <w:rPr>
                <w:sz w:val="20"/>
                <w:szCs w:val="20"/>
                <w:color w:val="auto"/>
              </w:rPr>
            </w:pPr>
            <w:r>
              <w:rPr>
                <w:rFonts w:ascii="Arial" w:cs="Arial" w:eastAsia="Arial" w:hAnsi="Arial"/>
                <w:sz w:val="14"/>
                <w:szCs w:val="14"/>
                <w:color w:val="auto"/>
              </w:rPr>
              <w:t>5,202</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(725)</w:t>
            </w:r>
          </w:p>
        </w:tc>
        <w:tc>
          <w:tcPr>
            <w:tcW w:w="2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(138)</w:t>
            </w:r>
          </w:p>
        </w:tc>
        <w:tc>
          <w:tcPr>
            <w:tcW w:w="118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(138)</w:t>
            </w:r>
          </w:p>
        </w:tc>
        <w:tc>
          <w:tcPr>
            <w:tcW w:w="20" w:type="dxa"/>
            <w:vAlign w:val="bottom"/>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(47)</w:t>
            </w:r>
          </w:p>
        </w:tc>
        <w:tc>
          <w:tcPr>
            <w:tcW w:w="1180" w:type="dxa"/>
            <w:vAlign w:val="bottom"/>
          </w:tcPr>
          <w:p>
            <w:pPr>
              <w:jc w:val="right"/>
              <w:ind w:right="569"/>
              <w:spacing w:after="0"/>
              <w:rPr>
                <w:sz w:val="20"/>
                <w:szCs w:val="20"/>
                <w:color w:val="auto"/>
              </w:rPr>
            </w:pPr>
            <w:r>
              <w:rPr>
                <w:rFonts w:ascii="Arial" w:cs="Arial" w:eastAsia="Arial" w:hAnsi="Arial"/>
                <w:sz w:val="14"/>
                <w:szCs w:val="14"/>
                <w:color w:val="auto"/>
              </w:rPr>
              <w:t>41</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8</w:t>
            </w:r>
          </w:p>
        </w:tc>
        <w:tc>
          <w:tcPr>
            <w:tcW w:w="118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8"/>
                <w:szCs w:val="18"/>
                <w:color w:val="auto"/>
              </w:rPr>
            </w:pPr>
          </w:p>
        </w:tc>
      </w:tr>
      <w:tr>
        <w:trPr>
          <w:trHeight w:val="181"/>
        </w:trPr>
        <w:tc>
          <w:tcPr>
            <w:tcW w:w="3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(6,104)</w:t>
            </w:r>
          </w:p>
        </w:tc>
        <w:tc>
          <w:tcPr>
            <w:tcW w:w="1180" w:type="dxa"/>
            <w:vAlign w:val="bottom"/>
            <w:tcBorders>
              <w:top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5,243</w:t>
            </w:r>
          </w:p>
        </w:tc>
        <w:tc>
          <w:tcPr>
            <w:tcW w:w="9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(861)</w:t>
            </w:r>
          </w:p>
        </w:tc>
        <w:tc>
          <w:tcPr>
            <w:tcW w:w="20" w:type="dxa"/>
            <w:vAlign w:val="bottom"/>
          </w:tcPr>
          <w:p>
            <w:pPr>
              <w:spacing w:after="0"/>
              <w:rPr>
                <w:sz w:val="15"/>
                <w:szCs w:val="15"/>
                <w:color w:val="auto"/>
              </w:rPr>
            </w:pP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Re-measurements</w:t>
            </w: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color w:val="auto"/>
              </w:rPr>
              <w:t>(240)</w:t>
            </w:r>
          </w:p>
        </w:tc>
        <w:tc>
          <w:tcPr>
            <w:tcW w:w="9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(240)</w:t>
            </w:r>
          </w:p>
        </w:tc>
        <w:tc>
          <w:tcPr>
            <w:tcW w:w="20" w:type="dxa"/>
            <w:vAlign w:val="bottom"/>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w w:val="99"/>
              </w:rPr>
              <w:t>Gain or loss from change in demographic assumptions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360</w:t>
            </w:r>
          </w:p>
        </w:tc>
        <w:tc>
          <w:tcPr>
            <w:tcW w:w="118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9"/>
              <w:spacing w:after="0"/>
              <w:rPr>
                <w:sz w:val="20"/>
                <w:szCs w:val="20"/>
                <w:color w:val="auto"/>
              </w:rPr>
            </w:pPr>
            <w:r>
              <w:rPr>
                <w:rFonts w:ascii="Arial" w:cs="Arial" w:eastAsia="Arial" w:hAnsi="Arial"/>
                <w:sz w:val="14"/>
                <w:szCs w:val="14"/>
                <w:color w:val="auto"/>
              </w:rPr>
              <w:t>360</w:t>
            </w:r>
          </w:p>
        </w:tc>
        <w:tc>
          <w:tcPr>
            <w:tcW w:w="2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12</w:t>
            </w:r>
          </w:p>
        </w:tc>
        <w:tc>
          <w:tcPr>
            <w:tcW w:w="118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9"/>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3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372</w:t>
            </w:r>
          </w:p>
        </w:tc>
        <w:tc>
          <w:tcPr>
            <w:tcW w:w="118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b w:val="1"/>
                <w:bCs w:val="1"/>
                <w:color w:val="auto"/>
              </w:rPr>
              <w:t>(240)</w:t>
            </w:r>
          </w:p>
        </w:tc>
        <w:tc>
          <w:tcPr>
            <w:tcW w:w="9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132</w:t>
            </w:r>
          </w:p>
        </w:tc>
        <w:tc>
          <w:tcPr>
            <w:tcW w:w="20" w:type="dxa"/>
            <w:vAlign w:val="bottom"/>
          </w:tcPr>
          <w:p>
            <w:pPr>
              <w:spacing w:after="0"/>
              <w:rPr>
                <w:sz w:val="17"/>
                <w:szCs w:val="17"/>
                <w:color w:val="auto"/>
              </w:rPr>
            </w:pPr>
          </w:p>
        </w:tc>
      </w:tr>
      <w:tr>
        <w:trPr>
          <w:trHeight w:val="181"/>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4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50</w:t>
            </w:r>
          </w:p>
        </w:tc>
        <w:tc>
          <w:tcPr>
            <w:tcW w:w="118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color w:val="auto"/>
              </w:rPr>
              <w:t>(2)</w:t>
            </w:r>
          </w:p>
        </w:tc>
        <w:tc>
          <w:tcPr>
            <w:tcW w:w="9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5"/>
                <w:szCs w:val="15"/>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3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Contributions:</w:t>
            </w: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Employers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color w:val="auto"/>
              </w:rPr>
              <w:t>109</w:t>
            </w:r>
          </w:p>
        </w:tc>
        <w:tc>
          <w:tcPr>
            <w:tcW w:w="9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 Plan participants</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(83)</w:t>
            </w:r>
          </w:p>
        </w:tc>
        <w:tc>
          <w:tcPr>
            <w:tcW w:w="1180" w:type="dxa"/>
            <w:vAlign w:val="bottom"/>
          </w:tcPr>
          <w:p>
            <w:pPr>
              <w:jc w:val="right"/>
              <w:ind w:right="569"/>
              <w:spacing w:after="0"/>
              <w:rPr>
                <w:sz w:val="20"/>
                <w:szCs w:val="20"/>
                <w:color w:val="auto"/>
              </w:rPr>
            </w:pPr>
            <w:r>
              <w:rPr>
                <w:rFonts w:ascii="Arial" w:cs="Arial" w:eastAsia="Arial" w:hAnsi="Arial"/>
                <w:sz w:val="14"/>
                <w:szCs w:val="14"/>
                <w:color w:val="auto"/>
              </w:rPr>
              <w:t>83</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payments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486</w:t>
            </w:r>
          </w:p>
        </w:tc>
        <w:tc>
          <w:tcPr>
            <w:tcW w:w="1180" w:type="dxa"/>
            <w:vAlign w:val="bottom"/>
            <w:tcBorders>
              <w:bottom w:val="single" w:sz="8" w:color="CCEEFF"/>
            </w:tcBorders>
            <w:shd w:val="clear" w:color="auto" w:fill="CCEEFF"/>
          </w:tcPr>
          <w:p>
            <w:pPr>
              <w:jc w:val="right"/>
              <w:ind w:right="549"/>
              <w:spacing w:after="0"/>
              <w:rPr>
                <w:sz w:val="20"/>
                <w:szCs w:val="20"/>
                <w:color w:val="auto"/>
              </w:rPr>
            </w:pPr>
            <w:r>
              <w:rPr>
                <w:rFonts w:ascii="Arial" w:cs="Arial" w:eastAsia="Arial" w:hAnsi="Arial"/>
                <w:sz w:val="14"/>
                <w:szCs w:val="14"/>
                <w:color w:val="auto"/>
              </w:rPr>
              <w:t>(486)</w:t>
            </w:r>
          </w:p>
        </w:tc>
        <w:tc>
          <w:tcPr>
            <w:tcW w:w="9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181"/>
        </w:trPr>
        <w:tc>
          <w:tcPr>
            <w:tcW w:w="3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403</w:t>
            </w:r>
          </w:p>
        </w:tc>
        <w:tc>
          <w:tcPr>
            <w:tcW w:w="118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(294)</w:t>
            </w:r>
          </w:p>
        </w:tc>
        <w:tc>
          <w:tcPr>
            <w:tcW w:w="9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109</w:t>
            </w:r>
          </w:p>
        </w:tc>
        <w:tc>
          <w:tcPr>
            <w:tcW w:w="20" w:type="dxa"/>
            <w:vAlign w:val="bottom"/>
          </w:tcPr>
          <w:p>
            <w:pPr>
              <w:spacing w:after="0"/>
              <w:rPr>
                <w:sz w:val="15"/>
                <w:szCs w:val="15"/>
                <w:color w:val="auto"/>
              </w:rPr>
            </w:pP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(5,279)</w:t>
            </w:r>
          </w:p>
        </w:tc>
        <w:tc>
          <w:tcPr>
            <w:tcW w:w="1180" w:type="dxa"/>
            <w:vAlign w:val="bottom"/>
            <w:tcBorders>
              <w:bottom w:val="single" w:sz="8" w:color="CCEEFF"/>
            </w:tcBorders>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4,707</w:t>
            </w:r>
          </w:p>
        </w:tc>
        <w:tc>
          <w:tcPr>
            <w:tcW w:w="9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(572)</w:t>
            </w:r>
          </w:p>
        </w:tc>
        <w:tc>
          <w:tcPr>
            <w:tcW w:w="20" w:type="dxa"/>
            <w:vAlign w:val="bottom"/>
          </w:tcPr>
          <w:p>
            <w:pPr>
              <w:spacing w:after="0"/>
              <w:rPr>
                <w:sz w:val="17"/>
                <w:szCs w:val="17"/>
                <w:color w:val="auto"/>
              </w:rPr>
            </w:pPr>
          </w:p>
        </w:tc>
      </w:tr>
      <w:tr>
        <w:trPr>
          <w:trHeight w:val="529"/>
        </w:trPr>
        <w:tc>
          <w:tcPr>
            <w:tcW w:w="34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69</w:t>
            </w: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239"/>
          </w:cols>
          <w:pgMar w:left="220" w:top="762" w:right="1440"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Present Value of</w:t>
            </w: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Fair</w:t>
            </w:r>
          </w:p>
        </w:tc>
        <w:tc>
          <w:tcPr>
            <w:tcW w:w="1100" w:type="dxa"/>
            <w:vAlign w:val="bottom"/>
            <w:shd w:val="clear" w:color="auto" w:fill="CCEEFF"/>
          </w:tcPr>
          <w:p>
            <w:pPr>
              <w:spacing w:after="0"/>
              <w:rPr>
                <w:sz w:val="15"/>
                <w:szCs w:val="15"/>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Obligations</w:t>
            </w: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Value</w:t>
            </w:r>
          </w:p>
        </w:tc>
        <w:tc>
          <w:tcPr>
            <w:tcW w:w="11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of</w:t>
            </w:r>
          </w:p>
        </w:tc>
        <w:tc>
          <w:tcPr>
            <w:tcW w:w="1100" w:type="dxa"/>
            <w:vAlign w:val="bottom"/>
            <w:shd w:val="clear" w:color="auto" w:fill="CCEEFF"/>
          </w:tcPr>
          <w:p>
            <w:pPr>
              <w:spacing w:after="0"/>
              <w:rPr>
                <w:sz w:val="14"/>
                <w:szCs w:val="14"/>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Plan</w:t>
            </w:r>
          </w:p>
        </w:tc>
        <w:tc>
          <w:tcPr>
            <w:tcW w:w="1100" w:type="dxa"/>
            <w:vAlign w:val="bottom"/>
            <w:shd w:val="clear" w:color="auto" w:fill="CCEEFF"/>
          </w:tcPr>
          <w:p>
            <w:pPr>
              <w:spacing w:after="0"/>
              <w:rPr>
                <w:sz w:val="14"/>
                <w:szCs w:val="14"/>
                <w:color w:val="auto"/>
              </w:rPr>
            </w:pP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Assets</w:t>
            </w:r>
          </w:p>
        </w:tc>
        <w:tc>
          <w:tcPr>
            <w:tcW w:w="110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spacing w:after="0"/>
              <w:rPr>
                <w:sz w:val="16"/>
                <w:szCs w:val="16"/>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980" w:type="dxa"/>
            <w:vAlign w:val="bottom"/>
          </w:tcPr>
          <w:p>
            <w:pPr>
              <w:jc w:val="right"/>
              <w:ind w:right="369"/>
              <w:spacing w:after="0"/>
              <w:rPr>
                <w:sz w:val="20"/>
                <w:szCs w:val="20"/>
                <w:color w:val="auto"/>
              </w:rPr>
            </w:pPr>
            <w:r>
              <w:rPr>
                <w:rFonts w:ascii="Arial" w:cs="Arial" w:eastAsia="Arial" w:hAnsi="Arial"/>
                <w:sz w:val="14"/>
                <w:szCs w:val="14"/>
                <w:b w:val="1"/>
                <w:bCs w:val="1"/>
                <w:color w:val="auto"/>
              </w:rPr>
              <w:t>$’000</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3"/>
        </w:trPr>
        <w:tc>
          <w:tcPr>
            <w:tcW w:w="3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(6,928)</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6,006</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(922)</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(243)</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(243)</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(54)</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47</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(7)</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81"/>
        </w:trPr>
        <w:tc>
          <w:tcPr>
            <w:tcW w:w="3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(7,225)</w:t>
            </w:r>
          </w:p>
        </w:tc>
        <w:tc>
          <w:tcPr>
            <w:tcW w:w="98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6,053</w:t>
            </w:r>
          </w:p>
        </w:tc>
        <w:tc>
          <w:tcPr>
            <w:tcW w:w="11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(1,172)</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Re-measurements</w:t>
            </w: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(296)</w:t>
            </w:r>
          </w:p>
        </w:tc>
        <w:tc>
          <w:tcPr>
            <w:tcW w:w="11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(296)</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w w:val="99"/>
              </w:rPr>
              <w:t>Gain or loss from change in demographic assumptions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577</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577</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49</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49</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7"/>
        </w:trPr>
        <w:tc>
          <w:tcPr>
            <w:tcW w:w="3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626</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(296)</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330</w:t>
            </w:r>
          </w:p>
        </w:tc>
      </w:tr>
      <w:tr>
        <w:trPr>
          <w:trHeight w:val="181"/>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(303)</w:t>
            </w:r>
          </w:p>
        </w:tc>
        <w:tc>
          <w:tcPr>
            <w:tcW w:w="98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rPr>
              <w:t>263</w:t>
            </w:r>
          </w:p>
        </w:tc>
        <w:tc>
          <w:tcPr>
            <w:tcW w:w="11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(40)</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Contributions:</w:t>
            </w:r>
          </w:p>
        </w:tc>
        <w:tc>
          <w:tcPr>
            <w:tcW w:w="1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 Employers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157</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157</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Plan participants</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(120)</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120</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1,095</w:t>
            </w:r>
          </w:p>
        </w:tc>
        <w:tc>
          <w:tcPr>
            <w:tcW w:w="980" w:type="dxa"/>
            <w:vAlign w:val="bottom"/>
          </w:tcPr>
          <w:p>
            <w:pPr>
              <w:jc w:val="right"/>
              <w:ind w:right="349"/>
              <w:spacing w:after="0"/>
              <w:rPr>
                <w:sz w:val="20"/>
                <w:szCs w:val="20"/>
                <w:color w:val="auto"/>
              </w:rPr>
            </w:pPr>
            <w:r>
              <w:rPr>
                <w:rFonts w:ascii="Arial" w:cs="Arial" w:eastAsia="Arial" w:hAnsi="Arial"/>
                <w:sz w:val="14"/>
                <w:szCs w:val="14"/>
                <w:color w:val="auto"/>
              </w:rPr>
              <w:t>(1,095)</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7"/>
        </w:trPr>
        <w:tc>
          <w:tcPr>
            <w:tcW w:w="3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975</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(818)</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157</w:t>
            </w:r>
          </w:p>
        </w:tc>
      </w:tr>
      <w:tr>
        <w:trPr>
          <w:trHeight w:val="181"/>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(5,927)</w:t>
            </w:r>
          </w:p>
        </w:tc>
        <w:tc>
          <w:tcPr>
            <w:tcW w:w="98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5,202</w:t>
            </w:r>
          </w:p>
        </w:tc>
        <w:tc>
          <w:tcPr>
            <w:tcW w:w="11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(725)</w:t>
            </w:r>
          </w:p>
        </w:tc>
      </w:tr>
      <w:tr>
        <w:trPr>
          <w:trHeight w:val="23"/>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Re-measurements are recognised in the Consolidated Statement of Comprehensive Income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7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47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720" w:type="dxa"/>
            <w:vAlign w:val="bottom"/>
          </w:tcPr>
          <w:p>
            <w:pPr>
              <w:spacing w:after="0"/>
              <w:rPr>
                <w:sz w:val="16"/>
                <w:szCs w:val="16"/>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7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Return on Plan Assets (excl. amounts included in interest income/expense)</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1"/>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360</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577</w:t>
            </w:r>
          </w:p>
        </w:tc>
      </w:tr>
      <w:tr>
        <w:trPr>
          <w:trHeight w:val="21"/>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gain or loss</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w:t>
            </w:r>
          </w:p>
        </w:tc>
      </w:tr>
      <w:tr>
        <w:trPr>
          <w:trHeight w:val="223"/>
        </w:trPr>
        <w:tc>
          <w:tcPr>
            <w:tcW w:w="47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at end of year</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132</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330</w:t>
            </w:r>
          </w:p>
        </w:tc>
      </w:tr>
      <w:tr>
        <w:trPr>
          <w:trHeight w:val="529"/>
        </w:trPr>
        <w:tc>
          <w:tcPr>
            <w:tcW w:w="47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70</w:t>
            </w: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0239"/>
          </w:cols>
          <w:pgMar w:left="220" w:top="762" w:right="1440"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Defined benefit pension expense recognised in the Consolidated Statement of Profit and Loss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5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45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560" w:type="dxa"/>
            <w:vAlign w:val="bottom"/>
          </w:tcPr>
          <w:p>
            <w:pPr>
              <w:spacing w:after="0"/>
              <w:rPr>
                <w:sz w:val="16"/>
                <w:szCs w:val="16"/>
                <w:color w:val="auto"/>
              </w:rPr>
            </w:pPr>
          </w:p>
        </w:tc>
        <w:tc>
          <w:tcPr>
            <w:tcW w:w="1540" w:type="dxa"/>
            <w:vAlign w:val="bottom"/>
          </w:tcPr>
          <w:p>
            <w:pPr>
              <w:jc w:val="right"/>
              <w:ind w:right="26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5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color w:val="auto"/>
              </w:rPr>
              <w:t>Current service cost recognised in profit or loss</w:t>
            </w:r>
          </w:p>
        </w:tc>
        <w:tc>
          <w:tcPr>
            <w:tcW w:w="1540" w:type="dxa"/>
            <w:vAlign w:val="bottom"/>
          </w:tcPr>
          <w:p>
            <w:pPr>
              <w:jc w:val="right"/>
              <w:ind w:right="269"/>
              <w:spacing w:after="0"/>
              <w:rPr>
                <w:sz w:val="20"/>
                <w:szCs w:val="20"/>
                <w:color w:val="auto"/>
              </w:rPr>
            </w:pPr>
            <w:r>
              <w:rPr>
                <w:rFonts w:ascii="Arial" w:cs="Arial" w:eastAsia="Arial" w:hAnsi="Arial"/>
                <w:sz w:val="14"/>
                <w:szCs w:val="14"/>
                <w:b w:val="1"/>
                <w:bCs w:val="1"/>
                <w:color w:val="auto"/>
              </w:rPr>
              <w:t>138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243</w:t>
            </w:r>
          </w:p>
        </w:tc>
      </w:tr>
      <w:tr>
        <w:trPr>
          <w:trHeight w:val="21"/>
        </w:trPr>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expense recognised in profit or loss</w:t>
            </w:r>
          </w:p>
        </w:tc>
        <w:tc>
          <w:tcPr>
            <w:tcW w:w="15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color w:val="auto"/>
              </w:rPr>
              <w:t>Past service cost</w:t>
            </w:r>
          </w:p>
        </w:tc>
        <w:tc>
          <w:tcPr>
            <w:tcW w:w="1540" w:type="dxa"/>
            <w:vAlign w:val="bottom"/>
          </w:tcPr>
          <w:p>
            <w:pPr>
              <w:jc w:val="right"/>
              <w:ind w:right="229"/>
              <w:spacing w:after="0"/>
              <w:rPr>
                <w:sz w:val="20"/>
                <w:szCs w:val="20"/>
                <w:color w:val="auto"/>
              </w:rPr>
            </w:pPr>
            <w:r>
              <w:rPr>
                <w:rFonts w:ascii="Arial" w:cs="Arial" w:eastAsia="Arial" w:hAnsi="Arial"/>
                <w:sz w:val="14"/>
                <w:szCs w:val="14"/>
                <w:b w:val="1"/>
                <w:bCs w:val="1"/>
                <w:color w:val="auto"/>
              </w:rPr>
              <w:t>(8)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5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Net periodic pension cost</w:t>
            </w:r>
          </w:p>
        </w:tc>
        <w:tc>
          <w:tcPr>
            <w:tcW w:w="1540" w:type="dxa"/>
            <w:vAlign w:val="bottom"/>
          </w:tcPr>
          <w:p>
            <w:pPr>
              <w:jc w:val="right"/>
              <w:ind w:right="269"/>
              <w:spacing w:after="0"/>
              <w:rPr>
                <w:sz w:val="20"/>
                <w:szCs w:val="20"/>
                <w:color w:val="auto"/>
              </w:rPr>
            </w:pPr>
            <w:r>
              <w:rPr>
                <w:rFonts w:ascii="Arial" w:cs="Arial" w:eastAsia="Arial" w:hAnsi="Arial"/>
                <w:sz w:val="14"/>
                <w:szCs w:val="14"/>
                <w:b w:val="1"/>
                <w:bCs w:val="1"/>
                <w:color w:val="auto"/>
              </w:rPr>
              <w:t>136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250</w:t>
            </w:r>
          </w:p>
        </w:tc>
      </w:tr>
      <w:tr>
        <w:trPr>
          <w:trHeight w:val="23"/>
        </w:trPr>
        <w:tc>
          <w:tcPr>
            <w:tcW w:w="4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38"/>
        </w:trPr>
        <w:tc>
          <w:tcPr>
            <w:tcW w:w="4560" w:type="dxa"/>
            <w:vAlign w:val="bottom"/>
          </w:tcPr>
          <w:p>
            <w:pPr>
              <w:spacing w:after="0"/>
              <w:rPr>
                <w:sz w:val="20"/>
                <w:szCs w:val="20"/>
                <w:color w:val="auto"/>
              </w:rPr>
            </w:pPr>
            <w:r>
              <w:rPr>
                <w:rFonts w:ascii="Arial" w:cs="Arial" w:eastAsia="Arial" w:hAnsi="Arial"/>
                <w:sz w:val="14"/>
                <w:szCs w:val="14"/>
                <w:i w:val="1"/>
                <w:iCs w:val="1"/>
                <w:color w:val="auto"/>
              </w:rPr>
              <w:t>Plan Assets Fair Value</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560" w:type="dxa"/>
            <w:vAlign w:val="bottom"/>
          </w:tcPr>
          <w:p>
            <w:pPr>
              <w:spacing w:after="0"/>
              <w:rPr>
                <w:sz w:val="20"/>
                <w:szCs w:val="20"/>
                <w:color w:val="auto"/>
              </w:rPr>
            </w:pPr>
            <w:r>
              <w:rPr>
                <w:rFonts w:ascii="Arial" w:cs="Arial" w:eastAsia="Arial" w:hAnsi="Arial"/>
                <w:sz w:val="14"/>
                <w:szCs w:val="14"/>
                <w:color w:val="auto"/>
                <w:w w:val="99"/>
              </w:rPr>
              <w:t>The fair value of plan assets at 31 December 2018 is analysed as follows: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6"/>
        </w:trPr>
        <w:tc>
          <w:tcPr>
            <w:tcW w:w="4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6"/>
        </w:trPr>
        <w:tc>
          <w:tcPr>
            <w:tcW w:w="45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45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5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5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color w:val="auto"/>
              </w:rPr>
              <w:t>Unit funds</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4,707</w:t>
            </w:r>
          </w:p>
        </w:tc>
        <w:tc>
          <w:tcPr>
            <w:tcW w:w="880" w:type="dxa"/>
            <w:vAlign w:val="bottom"/>
          </w:tcPr>
          <w:p>
            <w:pPr>
              <w:jc w:val="right"/>
              <w:spacing w:after="0"/>
              <w:rPr>
                <w:sz w:val="20"/>
                <w:szCs w:val="20"/>
                <w:color w:val="auto"/>
              </w:rPr>
            </w:pPr>
            <w:r>
              <w:rPr>
                <w:rFonts w:ascii="Arial" w:cs="Arial" w:eastAsia="Arial" w:hAnsi="Arial"/>
                <w:sz w:val="14"/>
                <w:szCs w:val="14"/>
                <w:color w:val="auto"/>
              </w:rPr>
              <w:t>5,202</w:t>
            </w:r>
          </w:p>
        </w:tc>
      </w:tr>
      <w:tr>
        <w:trPr>
          <w:trHeight w:val="23"/>
        </w:trPr>
        <w:tc>
          <w:tcPr>
            <w:tcW w:w="4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assets of the scheme are invested in an insured plan with Swiss Life and held in a combination of debt securities, equity securities and in real estate. There is no self-investment in employer related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sensitivity of the defined benefit obligation to changes in the weighted principal assumptions 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shd w:val="clear" w:color="auto" w:fill="CCEEFF"/>
          </w:tcPr>
          <w:p>
            <w:pPr>
              <w:spacing w:after="0"/>
              <w:rPr>
                <w:sz w:val="18"/>
                <w:szCs w:val="18"/>
                <w:color w:val="auto"/>
              </w:rPr>
            </w:pPr>
          </w:p>
        </w:tc>
        <w:tc>
          <w:tcPr>
            <w:tcW w:w="31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Change in Assumption</w:t>
            </w:r>
          </w:p>
        </w:tc>
        <w:tc>
          <w:tcPr>
            <w:tcW w:w="1980" w:type="dxa"/>
            <w:vAlign w:val="bottom"/>
            <w:shd w:val="clear" w:color="auto" w:fill="CCEEFF"/>
          </w:tcPr>
          <w:p>
            <w:pPr>
              <w:jc w:val="center"/>
              <w:ind w:right="89"/>
              <w:spacing w:after="0"/>
              <w:rPr>
                <w:sz w:val="20"/>
                <w:szCs w:val="20"/>
                <w:color w:val="auto"/>
              </w:rPr>
            </w:pPr>
            <w:r>
              <w:rPr>
                <w:rFonts w:ascii="Arial" w:cs="Arial" w:eastAsia="Arial" w:hAnsi="Arial"/>
                <w:sz w:val="14"/>
                <w:szCs w:val="14"/>
                <w:b w:val="1"/>
                <w:bCs w:val="1"/>
                <w:color w:val="auto"/>
                <w:w w:val="92"/>
              </w:rPr>
              <w:t>Change in Liabilities</w:t>
            </w:r>
          </w:p>
        </w:tc>
      </w:tr>
      <w:tr>
        <w:trPr>
          <w:trHeight w:val="233"/>
        </w:trPr>
        <w:tc>
          <w:tcPr>
            <w:tcW w:w="18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3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Decrease of 0.25% p.a.</w:t>
            </w:r>
          </w:p>
        </w:tc>
        <w:tc>
          <w:tcPr>
            <w:tcW w:w="198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w w:val="90"/>
              </w:rPr>
              <w:t>Increase by 3.7%</w:t>
            </w:r>
          </w:p>
        </w:tc>
      </w:tr>
      <w:tr>
        <w:trPr>
          <w:trHeight w:val="190"/>
        </w:trPr>
        <w:tc>
          <w:tcPr>
            <w:tcW w:w="1880" w:type="dxa"/>
            <w:vAlign w:val="bottom"/>
          </w:tcPr>
          <w:p>
            <w:pPr>
              <w:ind w:left="20"/>
              <w:spacing w:after="0"/>
              <w:rPr>
                <w:sz w:val="20"/>
                <w:szCs w:val="20"/>
                <w:color w:val="auto"/>
              </w:rPr>
            </w:pPr>
            <w:r>
              <w:rPr>
                <w:rFonts w:ascii="Arial" w:cs="Arial" w:eastAsia="Arial" w:hAnsi="Arial"/>
                <w:sz w:val="14"/>
                <w:szCs w:val="14"/>
                <w:color w:val="auto"/>
              </w:rPr>
              <w:t>Rate of Salary Growth</w:t>
            </w:r>
          </w:p>
        </w:tc>
        <w:tc>
          <w:tcPr>
            <w:tcW w:w="3100" w:type="dxa"/>
            <w:vAlign w:val="bottom"/>
          </w:tcPr>
          <w:p>
            <w:pPr>
              <w:ind w:left="560"/>
              <w:spacing w:after="0"/>
              <w:rPr>
                <w:sz w:val="20"/>
                <w:szCs w:val="20"/>
                <w:color w:val="auto"/>
              </w:rPr>
            </w:pPr>
            <w:r>
              <w:rPr>
                <w:rFonts w:ascii="Arial" w:cs="Arial" w:eastAsia="Arial" w:hAnsi="Arial"/>
                <w:sz w:val="14"/>
                <w:szCs w:val="14"/>
                <w:color w:val="auto"/>
              </w:rPr>
              <w:t>Increase of 0.25% p.a.</w:t>
            </w:r>
          </w:p>
        </w:tc>
        <w:tc>
          <w:tcPr>
            <w:tcW w:w="1980" w:type="dxa"/>
            <w:vAlign w:val="bottom"/>
          </w:tcPr>
          <w:p>
            <w:pPr>
              <w:jc w:val="center"/>
              <w:ind w:right="89"/>
              <w:spacing w:after="0"/>
              <w:rPr>
                <w:sz w:val="20"/>
                <w:szCs w:val="20"/>
                <w:color w:val="auto"/>
              </w:rPr>
            </w:pPr>
            <w:r>
              <w:rPr>
                <w:rFonts w:ascii="Arial" w:cs="Arial" w:eastAsia="Arial" w:hAnsi="Arial"/>
                <w:sz w:val="14"/>
                <w:szCs w:val="14"/>
                <w:color w:val="auto"/>
                <w:w w:val="90"/>
              </w:rPr>
              <w:t>Increase by 0.4%</w:t>
            </w:r>
          </w:p>
        </w:tc>
      </w:tr>
      <w:tr>
        <w:trPr>
          <w:trHeight w:val="21"/>
        </w:trPr>
        <w:tc>
          <w:tcPr>
            <w:tcW w:w="1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Rate of Mortality</w:t>
            </w:r>
          </w:p>
        </w:tc>
        <w:tc>
          <w:tcPr>
            <w:tcW w:w="3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Decrease in mortality rate of 1.00% p.a.</w:t>
            </w:r>
          </w:p>
        </w:tc>
        <w:tc>
          <w:tcPr>
            <w:tcW w:w="198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w w:val="90"/>
              </w:rPr>
              <w:t>Increase by 0.3%</w:t>
            </w:r>
          </w:p>
        </w:tc>
      </w:tr>
      <w:tr>
        <w:trPr>
          <w:trHeight w:val="20"/>
        </w:trPr>
        <w:tc>
          <w:tcPr>
            <w:tcW w:w="1880" w:type="dxa"/>
            <w:vAlign w:val="bottom"/>
            <w:shd w:val="clear" w:color="auto" w:fill="00000A"/>
          </w:tcPr>
          <w:p>
            <w:pPr>
              <w:spacing w:after="0" w:line="20" w:lineRule="exact"/>
              <w:rPr>
                <w:sz w:val="1"/>
                <w:szCs w:val="1"/>
                <w:color w:val="auto"/>
              </w:rPr>
            </w:pPr>
          </w:p>
        </w:tc>
        <w:tc>
          <w:tcPr>
            <w:tcW w:w="3100" w:type="dxa"/>
            <w:vAlign w:val="bottom"/>
            <w:shd w:val="clear" w:color="auto" w:fill="00000A"/>
          </w:tcPr>
          <w:p>
            <w:pPr>
              <w:spacing w:after="0" w:line="20" w:lineRule="exact"/>
              <w:rPr>
                <w:sz w:val="1"/>
                <w:szCs w:val="1"/>
                <w:color w:val="auto"/>
              </w:rPr>
            </w:pPr>
          </w:p>
        </w:tc>
        <w:tc>
          <w:tcPr>
            <w:tcW w:w="1980" w:type="dxa"/>
            <w:vAlign w:val="bottom"/>
            <w:shd w:val="clear" w:color="auto" w:fill="00000A"/>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2018 is 14 years.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60"/>
          </w:cols>
          <w:pgMar w:left="220" w:top="762" w:right="219" w:bottom="1440" w:gutter="0" w:footer="0" w:header="0"/>
        </w:sectPr>
      </w:pPr>
    </w:p>
    <w:bookmarkStart w:id="75" w:name="page76"/>
    <w:bookmarkEnd w:id="75"/>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 14 February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14 February 2027.</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146"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400,000 ordinary shares. The 2003 Share Option Plan expired on 17 January 2013. No new options may be granted under this plan.</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Share option awards are granted with an exercise price equal to the market price of the Company’s ordinary shares at date of grant.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31 December 2018 is eight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699" w:right="21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Set out below is a summary of the total number of options outstanding and number of options available to grant under each plan as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449"/>
              <w:spacing w:after="0"/>
              <w:rPr>
                <w:sz w:val="20"/>
                <w:szCs w:val="20"/>
                <w:color w:val="auto"/>
              </w:rPr>
            </w:pPr>
            <w:r>
              <w:rPr>
                <w:rFonts w:ascii="Arial" w:cs="Arial" w:eastAsia="Arial" w:hAnsi="Arial"/>
                <w:sz w:val="14"/>
                <w:szCs w:val="14"/>
                <w:b w:val="1"/>
                <w:bCs w:val="1"/>
                <w:color w:val="auto"/>
              </w:rPr>
              <w:t>Outstanding</w:t>
            </w:r>
          </w:p>
        </w:tc>
        <w:tc>
          <w:tcPr>
            <w:tcW w:w="182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Available to Grant</w:t>
            </w:r>
          </w:p>
        </w:tc>
      </w:tr>
      <w:tr>
        <w:trPr>
          <w:trHeight w:val="176"/>
        </w:trPr>
        <w:tc>
          <w:tcPr>
            <w:tcW w:w="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4"/>
        </w:trPr>
        <w:tc>
          <w:tcPr>
            <w:tcW w:w="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40" w:type="dxa"/>
            <w:vAlign w:val="bottom"/>
          </w:tcPr>
          <w:p>
            <w:pPr>
              <w:ind w:left="20"/>
              <w:spacing w:after="0"/>
              <w:rPr>
                <w:sz w:val="20"/>
                <w:szCs w:val="20"/>
                <w:color w:val="auto"/>
              </w:rPr>
            </w:pPr>
            <w:r>
              <w:rPr>
                <w:rFonts w:ascii="Arial" w:cs="Arial" w:eastAsia="Arial" w:hAnsi="Arial"/>
                <w:sz w:val="14"/>
                <w:szCs w:val="14"/>
                <w:color w:val="auto"/>
                <w:w w:val="96"/>
              </w:rPr>
              <w:t>2003</w:t>
            </w:r>
          </w:p>
        </w:tc>
        <w:tc>
          <w:tcPr>
            <w:tcW w:w="2060" w:type="dxa"/>
            <w:vAlign w:val="bottom"/>
          </w:tcPr>
          <w:p>
            <w:pPr>
              <w:spacing w:after="0"/>
              <w:rPr>
                <w:sz w:val="20"/>
                <w:szCs w:val="20"/>
                <w:color w:val="auto"/>
              </w:rPr>
            </w:pPr>
            <w:r>
              <w:rPr>
                <w:rFonts w:ascii="Arial" w:cs="Arial" w:eastAsia="Arial" w:hAnsi="Arial"/>
                <w:sz w:val="14"/>
                <w:szCs w:val="14"/>
                <w:color w:val="auto"/>
              </w:rPr>
              <w:t>Stock Option Plan</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28,939</w:t>
            </w:r>
          </w:p>
        </w:tc>
        <w:tc>
          <w:tcPr>
            <w:tcW w:w="900" w:type="dxa"/>
            <w:vAlign w:val="bottom"/>
          </w:tcPr>
          <w:p>
            <w:pPr>
              <w:jc w:val="right"/>
              <w:spacing w:after="0"/>
              <w:rPr>
                <w:sz w:val="20"/>
                <w:szCs w:val="20"/>
                <w:color w:val="auto"/>
              </w:rPr>
            </w:pPr>
            <w:r>
              <w:rPr>
                <w:rFonts w:ascii="Arial" w:cs="Arial" w:eastAsia="Arial" w:hAnsi="Arial"/>
                <w:sz w:val="14"/>
                <w:szCs w:val="14"/>
                <w:color w:val="auto"/>
              </w:rPr>
              <w:t>58,088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2008</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 Plans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891,807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1,113,305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3,187,397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3,347,896</w:t>
            </w:r>
          </w:p>
        </w:tc>
      </w:tr>
      <w:tr>
        <w:trPr>
          <w:trHeight w:val="223"/>
        </w:trPr>
        <w:tc>
          <w:tcPr>
            <w:tcW w:w="34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9"/>
              </w:rPr>
              <w:t>Total</w:t>
            </w:r>
          </w:p>
        </w:tc>
        <w:tc>
          <w:tcPr>
            <w:tcW w:w="20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920,746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1,171,393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3,187,397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3,347,896</w:t>
            </w:r>
          </w:p>
        </w:tc>
      </w:tr>
      <w:tr>
        <w:trPr>
          <w:trHeight w:val="21"/>
        </w:trPr>
        <w:tc>
          <w:tcPr>
            <w:tcW w:w="3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1"/>
          <w:szCs w:val="11"/>
          <w:color w:val="auto"/>
        </w:rPr>
        <w:t>The 1998 Long Term Incentive Plan expired on 14 January 2008 and no further options may be granted under this plan.</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The 2003 Share Option Plan expired on 17 January 2013 and no further options may be granted under this plan.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total number of share options outstanding and exercisable at 31 December 2018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shd w:val="clear" w:color="auto" w:fill="CCEEFF"/>
          </w:tcPr>
          <w:p>
            <w:pPr>
              <w:spacing w:after="0"/>
              <w:rPr>
                <w:sz w:val="15"/>
                <w:szCs w:val="15"/>
                <w:color w:val="auto"/>
              </w:rPr>
            </w:pPr>
          </w:p>
        </w:tc>
        <w:tc>
          <w:tcPr>
            <w:tcW w:w="2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Number of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Weighted Average</w:t>
            </w:r>
          </w:p>
        </w:tc>
      </w:tr>
      <w:tr>
        <w:trPr>
          <w:trHeight w:val="185"/>
        </w:trPr>
        <w:tc>
          <w:tcPr>
            <w:tcW w:w="358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Options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Exercise Price</w:t>
            </w:r>
          </w:p>
        </w:tc>
      </w:tr>
      <w:tr>
        <w:trPr>
          <w:trHeight w:val="233"/>
        </w:trPr>
        <w:tc>
          <w:tcPr>
            <w:tcW w:w="3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35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Outstanding at 31 December 2016</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1,466,444</w:t>
            </w:r>
          </w:p>
        </w:tc>
        <w:tc>
          <w:tcPr>
            <w:tcW w:w="1180" w:type="dxa"/>
            <w:vAlign w:val="bottom"/>
          </w:tcPr>
          <w:p>
            <w:pPr>
              <w:jc w:val="right"/>
              <w:spacing w:after="0"/>
              <w:rPr>
                <w:sz w:val="20"/>
                <w:szCs w:val="20"/>
                <w:color w:val="auto"/>
              </w:rPr>
            </w:pPr>
            <w:r>
              <w:rPr>
                <w:rFonts w:ascii="Arial" w:cs="Arial" w:eastAsia="Arial" w:hAnsi="Arial"/>
                <w:sz w:val="14"/>
                <w:szCs w:val="14"/>
                <w:color w:val="auto"/>
              </w:rPr>
              <w:t>$43.45</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Granted</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219,113</w:t>
            </w:r>
          </w:p>
        </w:tc>
        <w:tc>
          <w:tcPr>
            <w:tcW w:w="1180" w:type="dxa"/>
            <w:vAlign w:val="bottom"/>
          </w:tcPr>
          <w:p>
            <w:pPr>
              <w:jc w:val="right"/>
              <w:spacing w:after="0"/>
              <w:rPr>
                <w:sz w:val="20"/>
                <w:szCs w:val="20"/>
                <w:color w:val="auto"/>
              </w:rPr>
            </w:pPr>
            <w:r>
              <w:rPr>
                <w:rFonts w:ascii="Arial" w:cs="Arial" w:eastAsia="Arial" w:hAnsi="Arial"/>
                <w:sz w:val="14"/>
                <w:szCs w:val="14"/>
                <w:color w:val="auto"/>
              </w:rPr>
              <w:t>$85.98</w:t>
            </w:r>
          </w:p>
        </w:tc>
      </w:tr>
      <w:tr>
        <w:trPr>
          <w:trHeight w:val="21"/>
        </w:trPr>
        <w:tc>
          <w:tcPr>
            <w:tcW w:w="3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(458,243)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$30.35</w:t>
            </w: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2220" w:type="dxa"/>
            <w:vAlign w:val="bottom"/>
          </w:tcPr>
          <w:p>
            <w:pPr>
              <w:jc w:val="right"/>
              <w:spacing w:after="0"/>
              <w:rPr>
                <w:sz w:val="20"/>
                <w:szCs w:val="20"/>
                <w:color w:val="auto"/>
              </w:rPr>
            </w:pPr>
            <w:r>
              <w:rPr>
                <w:rFonts w:ascii="Arial" w:cs="Arial" w:eastAsia="Arial" w:hAnsi="Arial"/>
                <w:sz w:val="14"/>
                <w:szCs w:val="14"/>
                <w:color w:val="auto"/>
              </w:rPr>
              <w:t>(55,921)</w:t>
            </w:r>
          </w:p>
        </w:tc>
        <w:tc>
          <w:tcPr>
            <w:tcW w:w="1180" w:type="dxa"/>
            <w:vAlign w:val="bottom"/>
          </w:tcPr>
          <w:p>
            <w:pPr>
              <w:jc w:val="right"/>
              <w:spacing w:after="0"/>
              <w:rPr>
                <w:sz w:val="20"/>
                <w:szCs w:val="20"/>
                <w:color w:val="auto"/>
              </w:rPr>
            </w:pPr>
            <w:r>
              <w:rPr>
                <w:rFonts w:ascii="Arial" w:cs="Arial" w:eastAsia="Arial" w:hAnsi="Arial"/>
                <w:sz w:val="14"/>
                <w:szCs w:val="14"/>
                <w:color w:val="auto"/>
              </w:rPr>
              <w:t>$54.35</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Outstanding at 31 December 2017</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1,171,393</w:t>
            </w:r>
          </w:p>
        </w:tc>
        <w:tc>
          <w:tcPr>
            <w:tcW w:w="1180" w:type="dxa"/>
            <w:vAlign w:val="bottom"/>
          </w:tcPr>
          <w:p>
            <w:pPr>
              <w:jc w:val="right"/>
              <w:spacing w:after="0"/>
              <w:rPr>
                <w:sz w:val="20"/>
                <w:szCs w:val="20"/>
                <w:color w:val="auto"/>
              </w:rPr>
            </w:pPr>
            <w:r>
              <w:rPr>
                <w:rFonts w:ascii="Arial" w:cs="Arial" w:eastAsia="Arial" w:hAnsi="Arial"/>
                <w:sz w:val="14"/>
                <w:szCs w:val="14"/>
                <w:color w:val="auto"/>
              </w:rPr>
              <w:t>$56.02</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Granted</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167,557</w:t>
            </w:r>
          </w:p>
        </w:tc>
        <w:tc>
          <w:tcPr>
            <w:tcW w:w="1180" w:type="dxa"/>
            <w:vAlign w:val="bottom"/>
          </w:tcPr>
          <w:p>
            <w:pPr>
              <w:jc w:val="right"/>
              <w:spacing w:after="0"/>
              <w:rPr>
                <w:sz w:val="20"/>
                <w:szCs w:val="20"/>
                <w:color w:val="auto"/>
              </w:rPr>
            </w:pPr>
            <w:r>
              <w:rPr>
                <w:rFonts w:ascii="Arial" w:cs="Arial" w:eastAsia="Arial" w:hAnsi="Arial"/>
                <w:sz w:val="14"/>
                <w:szCs w:val="14"/>
                <w:color w:val="auto"/>
              </w:rPr>
              <w:t>$118.90</w:t>
            </w:r>
          </w:p>
        </w:tc>
      </w:tr>
      <w:tr>
        <w:trPr>
          <w:trHeight w:val="21"/>
        </w:trPr>
        <w:tc>
          <w:tcPr>
            <w:tcW w:w="3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(408,699)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$41.12</w:t>
            </w: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2220" w:type="dxa"/>
            <w:vAlign w:val="bottom"/>
          </w:tcPr>
          <w:p>
            <w:pPr>
              <w:jc w:val="right"/>
              <w:spacing w:after="0"/>
              <w:rPr>
                <w:sz w:val="20"/>
                <w:szCs w:val="20"/>
                <w:color w:val="auto"/>
              </w:rPr>
            </w:pPr>
            <w:r>
              <w:rPr>
                <w:rFonts w:ascii="Arial" w:cs="Arial" w:eastAsia="Arial" w:hAnsi="Arial"/>
                <w:sz w:val="14"/>
                <w:szCs w:val="14"/>
                <w:color w:val="auto"/>
              </w:rPr>
              <w:t>(9,505)</w:t>
            </w:r>
          </w:p>
        </w:tc>
        <w:tc>
          <w:tcPr>
            <w:tcW w:w="1180" w:type="dxa"/>
            <w:vAlign w:val="bottom"/>
          </w:tcPr>
          <w:p>
            <w:pPr>
              <w:jc w:val="right"/>
              <w:spacing w:after="0"/>
              <w:rPr>
                <w:sz w:val="20"/>
                <w:szCs w:val="20"/>
                <w:color w:val="auto"/>
              </w:rPr>
            </w:pPr>
            <w:r>
              <w:rPr>
                <w:rFonts w:ascii="Arial" w:cs="Arial" w:eastAsia="Arial" w:hAnsi="Arial"/>
                <w:sz w:val="14"/>
                <w:szCs w:val="14"/>
                <w:color w:val="auto"/>
              </w:rPr>
              <w:t>$32.35</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Outstanding at 31 December 2018</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920,746</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$74.32</w:t>
            </w:r>
          </w:p>
        </w:tc>
      </w:tr>
      <w:tr>
        <w:trPr>
          <w:trHeight w:val="23"/>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3"/>
        </w:trPr>
        <w:tc>
          <w:tcPr>
            <w:tcW w:w="35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Exercisable at 31 December 2018</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397,923</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$56.10</w:t>
            </w:r>
          </w:p>
        </w:tc>
      </w:tr>
      <w:tr>
        <w:trPr>
          <w:trHeight w:val="23"/>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intrinsic value of the Company’s shares on date of exercise of share options during the year ended 31 December 2018 was $93.36 (31 December 2017: $69.33).</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At 31 December 2018, the range of exercise prices and weighted average remaining contractual life of outstanding and exercisable options was as follows:</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300"/>
          </w:cols>
          <w:pgMar w:left="220" w:top="762" w:right="137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Options Exercisable</w:t>
            </w:r>
          </w:p>
        </w:tc>
      </w:tr>
      <w:tr>
        <w:trPr>
          <w:trHeight w:val="177"/>
        </w:trPr>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360" w:type="dxa"/>
            <w:vAlign w:val="bottom"/>
            <w:gridSpan w:val="3"/>
            <w:shd w:val="clear" w:color="auto" w:fill="CCEEFF"/>
          </w:tcPr>
          <w:p>
            <w:pPr>
              <w:spacing w:after="0"/>
              <w:rPr>
                <w:sz w:val="15"/>
                <w:szCs w:val="15"/>
                <w:color w:val="auto"/>
              </w:rPr>
            </w:pPr>
          </w:p>
        </w:tc>
      </w:tr>
      <w:tr>
        <w:trPr>
          <w:trHeight w:val="176"/>
        </w:trPr>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5"/>
              </w:rPr>
              <w:t>Range Exercise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Number of Shares Weighted Average</w:t>
            </w:r>
          </w:p>
        </w:tc>
      </w:tr>
      <w:tr>
        <w:trPr>
          <w:trHeight w:val="169"/>
        </w:trPr>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1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Exercise Price</w:t>
            </w:r>
          </w:p>
        </w:tc>
      </w:tr>
      <w:tr>
        <w:trPr>
          <w:trHeight w:val="184"/>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Contractual Life</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Exercise Price</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18,190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18,190</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22.30</w:t>
            </w:r>
          </w:p>
        </w:tc>
        <w:tc>
          <w:tcPr>
            <w:tcW w:w="1200" w:type="dxa"/>
            <w:vAlign w:val="bottom"/>
          </w:tcPr>
          <w:p>
            <w:pPr>
              <w:jc w:val="right"/>
              <w:spacing w:after="0"/>
              <w:rPr>
                <w:sz w:val="20"/>
                <w:szCs w:val="20"/>
                <w:color w:val="auto"/>
              </w:rPr>
            </w:pPr>
            <w:r>
              <w:rPr>
                <w:rFonts w:ascii="Arial" w:cs="Arial" w:eastAsia="Arial" w:hAnsi="Arial"/>
                <w:sz w:val="14"/>
                <w:szCs w:val="14"/>
                <w:color w:val="auto"/>
              </w:rPr>
              <w:t>52,811</w:t>
            </w:r>
          </w:p>
        </w:tc>
        <w:tc>
          <w:tcPr>
            <w:tcW w:w="120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52,811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26.71</w:t>
            </w:r>
          </w:p>
        </w:tc>
        <w:tc>
          <w:tcPr>
            <w:tcW w:w="1200" w:type="dxa"/>
            <w:vAlign w:val="bottom"/>
          </w:tcPr>
          <w:p>
            <w:pPr>
              <w:jc w:val="right"/>
              <w:spacing w:after="0"/>
              <w:rPr>
                <w:sz w:val="20"/>
                <w:szCs w:val="20"/>
                <w:color w:val="auto"/>
              </w:rPr>
            </w:pPr>
            <w:r>
              <w:rPr>
                <w:rFonts w:ascii="Arial" w:cs="Arial" w:eastAsia="Arial" w:hAnsi="Arial"/>
                <w:sz w:val="14"/>
                <w:szCs w:val="14"/>
                <w:color w:val="auto"/>
              </w:rPr>
              <w:t>450</w:t>
            </w:r>
          </w:p>
        </w:tc>
        <w:tc>
          <w:tcPr>
            <w:tcW w:w="1200" w:type="dxa"/>
            <w:vAlign w:val="bottom"/>
          </w:tcPr>
          <w:p>
            <w:pPr>
              <w:jc w:val="right"/>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20,848</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36.22</w:t>
            </w:r>
          </w:p>
        </w:tc>
        <w:tc>
          <w:tcPr>
            <w:tcW w:w="1200" w:type="dxa"/>
            <w:vAlign w:val="bottom"/>
          </w:tcPr>
          <w:p>
            <w:pPr>
              <w:jc w:val="right"/>
              <w:spacing w:after="0"/>
              <w:rPr>
                <w:sz w:val="20"/>
                <w:szCs w:val="20"/>
                <w:color w:val="auto"/>
              </w:rPr>
            </w:pPr>
            <w:r>
              <w:rPr>
                <w:rFonts w:ascii="Arial" w:cs="Arial" w:eastAsia="Arial" w:hAnsi="Arial"/>
                <w:sz w:val="14"/>
                <w:szCs w:val="14"/>
                <w:color w:val="auto"/>
              </w:rPr>
              <w:t>2,141</w:t>
            </w:r>
          </w:p>
        </w:tc>
        <w:tc>
          <w:tcPr>
            <w:tcW w:w="1200" w:type="dxa"/>
            <w:vAlign w:val="bottom"/>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2,141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40.83</w:t>
            </w:r>
          </w:p>
        </w:tc>
        <w:tc>
          <w:tcPr>
            <w:tcW w:w="1200" w:type="dxa"/>
            <w:vAlign w:val="bottom"/>
          </w:tcPr>
          <w:p>
            <w:pPr>
              <w:jc w:val="right"/>
              <w:spacing w:after="0"/>
              <w:rPr>
                <w:sz w:val="20"/>
                <w:szCs w:val="20"/>
                <w:color w:val="auto"/>
              </w:rPr>
            </w:pPr>
            <w:r>
              <w:rPr>
                <w:rFonts w:ascii="Arial" w:cs="Arial" w:eastAsia="Arial" w:hAnsi="Arial"/>
                <w:sz w:val="14"/>
                <w:szCs w:val="14"/>
                <w:color w:val="auto"/>
              </w:rPr>
              <w:t>40,502</w:t>
            </w:r>
          </w:p>
        </w:tc>
        <w:tc>
          <w:tcPr>
            <w:tcW w:w="1200" w:type="dxa"/>
            <w:vAlign w:val="bottom"/>
          </w:tcPr>
          <w:p>
            <w:pPr>
              <w:jc w:val="right"/>
              <w:spacing w:after="0"/>
              <w:rPr>
                <w:sz w:val="20"/>
                <w:szCs w:val="20"/>
                <w:color w:val="auto"/>
              </w:rPr>
            </w:pPr>
            <w:r>
              <w:rPr>
                <w:rFonts w:ascii="Arial" w:cs="Arial" w:eastAsia="Arial" w:hAnsi="Arial"/>
                <w:sz w:val="14"/>
                <w:szCs w:val="14"/>
                <w:color w:val="auto"/>
              </w:rPr>
              <w:t>3.39</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25,360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22,685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14,020</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48.67</w:t>
            </w:r>
          </w:p>
        </w:tc>
        <w:tc>
          <w:tcPr>
            <w:tcW w:w="1200" w:type="dxa"/>
            <w:vAlign w:val="bottom"/>
          </w:tcPr>
          <w:p>
            <w:pPr>
              <w:jc w:val="right"/>
              <w:spacing w:after="0"/>
              <w:rPr>
                <w:sz w:val="20"/>
                <w:szCs w:val="20"/>
                <w:color w:val="auto"/>
              </w:rPr>
            </w:pPr>
            <w:r>
              <w:rPr>
                <w:rFonts w:ascii="Arial" w:cs="Arial" w:eastAsia="Arial" w:hAnsi="Arial"/>
                <w:sz w:val="14"/>
                <w:szCs w:val="14"/>
                <w:color w:val="auto"/>
              </w:rPr>
              <w:t>50,896</w:t>
            </w: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34,906</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65.60</w:t>
            </w:r>
          </w:p>
        </w:tc>
        <w:tc>
          <w:tcPr>
            <w:tcW w:w="1200" w:type="dxa"/>
            <w:vAlign w:val="bottom"/>
          </w:tcPr>
          <w:p>
            <w:pPr>
              <w:jc w:val="right"/>
              <w:spacing w:after="0"/>
              <w:rPr>
                <w:sz w:val="20"/>
                <w:szCs w:val="20"/>
                <w:color w:val="auto"/>
              </w:rPr>
            </w:pPr>
            <w:r>
              <w:rPr>
                <w:rFonts w:ascii="Arial" w:cs="Arial" w:eastAsia="Arial" w:hAnsi="Arial"/>
                <w:sz w:val="14"/>
                <w:szCs w:val="14"/>
                <w:color w:val="auto"/>
              </w:rPr>
              <w:t>66,752</w:t>
            </w:r>
          </w:p>
        </w:tc>
        <w:tc>
          <w:tcPr>
            <w:tcW w:w="1200" w:type="dxa"/>
            <w:vAlign w:val="bottom"/>
          </w:tcPr>
          <w:p>
            <w:pPr>
              <w:jc w:val="right"/>
              <w:spacing w:after="0"/>
              <w:rPr>
                <w:sz w:val="20"/>
                <w:szCs w:val="20"/>
                <w:color w:val="auto"/>
              </w:rPr>
            </w:pPr>
            <w:r>
              <w:rPr>
                <w:rFonts w:ascii="Arial" w:cs="Arial" w:eastAsia="Arial" w:hAnsi="Arial"/>
                <w:sz w:val="14"/>
                <w:szCs w:val="14"/>
                <w:color w:val="auto"/>
              </w:rPr>
              <w:t>5.38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24,543</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66.97</w:t>
            </w:r>
          </w:p>
        </w:tc>
        <w:tc>
          <w:tcPr>
            <w:tcW w:w="1200" w:type="dxa"/>
            <w:vAlign w:val="bottom"/>
          </w:tcPr>
          <w:p>
            <w:pPr>
              <w:jc w:val="right"/>
              <w:spacing w:after="0"/>
              <w:rPr>
                <w:sz w:val="20"/>
                <w:szCs w:val="20"/>
                <w:color w:val="auto"/>
              </w:rPr>
            </w:pPr>
            <w:r>
              <w:rPr>
                <w:rFonts w:ascii="Arial" w:cs="Arial" w:eastAsia="Arial" w:hAnsi="Arial"/>
                <w:sz w:val="14"/>
                <w:szCs w:val="14"/>
                <w:color w:val="auto"/>
              </w:rPr>
              <w:t>1,249</w:t>
            </w:r>
          </w:p>
        </w:tc>
        <w:tc>
          <w:tcPr>
            <w:tcW w:w="1200" w:type="dxa"/>
            <w:vAlign w:val="bottom"/>
          </w:tcPr>
          <w:p>
            <w:pPr>
              <w:jc w:val="right"/>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79,069</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71.95</w:t>
            </w:r>
          </w:p>
        </w:tc>
        <w:tc>
          <w:tcPr>
            <w:tcW w:w="1200" w:type="dxa"/>
            <w:vAlign w:val="bottom"/>
          </w:tcPr>
          <w:p>
            <w:pPr>
              <w:jc w:val="right"/>
              <w:spacing w:after="0"/>
              <w:rPr>
                <w:sz w:val="20"/>
                <w:szCs w:val="20"/>
                <w:color w:val="auto"/>
              </w:rPr>
            </w:pPr>
            <w:r>
              <w:rPr>
                <w:rFonts w:ascii="Arial" w:cs="Arial" w:eastAsia="Arial" w:hAnsi="Arial"/>
                <w:sz w:val="14"/>
                <w:szCs w:val="14"/>
                <w:color w:val="auto"/>
              </w:rPr>
              <w:t>127,905</w:t>
            </w:r>
          </w:p>
        </w:tc>
        <w:tc>
          <w:tcPr>
            <w:tcW w:w="1200" w:type="dxa"/>
            <w:vAlign w:val="bottom"/>
          </w:tcPr>
          <w:p>
            <w:pPr>
              <w:jc w:val="right"/>
              <w:spacing w:after="0"/>
              <w:rPr>
                <w:sz w:val="20"/>
                <w:szCs w:val="20"/>
                <w:color w:val="auto"/>
              </w:rPr>
            </w:pPr>
            <w:r>
              <w:rPr>
                <w:rFonts w:ascii="Arial" w:cs="Arial" w:eastAsia="Arial" w:hAnsi="Arial"/>
                <w:sz w:val="14"/>
                <w:szCs w:val="14"/>
                <w:color w:val="auto"/>
              </w:rPr>
              <w:t>5.17</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74,473</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22,461</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90.03</w:t>
            </w:r>
          </w:p>
        </w:tc>
        <w:tc>
          <w:tcPr>
            <w:tcW w:w="1200" w:type="dxa"/>
            <w:vAlign w:val="bottom"/>
          </w:tcPr>
          <w:p>
            <w:pPr>
              <w:jc w:val="right"/>
              <w:spacing w:after="0"/>
              <w:rPr>
                <w:sz w:val="20"/>
                <w:szCs w:val="20"/>
                <w:color w:val="auto"/>
              </w:rPr>
            </w:pPr>
            <w:r>
              <w:rPr>
                <w:rFonts w:ascii="Arial" w:cs="Arial" w:eastAsia="Arial" w:hAnsi="Arial"/>
                <w:sz w:val="14"/>
                <w:szCs w:val="14"/>
                <w:color w:val="auto"/>
              </w:rPr>
              <w:t>77,846</w:t>
            </w:r>
          </w:p>
        </w:tc>
        <w:tc>
          <w:tcPr>
            <w:tcW w:w="1200" w:type="dxa"/>
            <w:vAlign w:val="bottom"/>
          </w:tcPr>
          <w:p>
            <w:pPr>
              <w:jc w:val="right"/>
              <w:spacing w:after="0"/>
              <w:rPr>
                <w:sz w:val="20"/>
                <w:szCs w:val="20"/>
                <w:color w:val="auto"/>
              </w:rPr>
            </w:pPr>
            <w:r>
              <w:rPr>
                <w:rFonts w:ascii="Arial" w:cs="Arial" w:eastAsia="Arial" w:hAnsi="Arial"/>
                <w:sz w:val="14"/>
                <w:szCs w:val="14"/>
                <w:color w:val="auto"/>
              </w:rPr>
              <w:t>6.38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23,774</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107,794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125.74</w:t>
            </w:r>
          </w:p>
        </w:tc>
        <w:tc>
          <w:tcPr>
            <w:tcW w:w="1200" w:type="dxa"/>
            <w:vAlign w:val="bottom"/>
          </w:tcPr>
          <w:p>
            <w:pPr>
              <w:jc w:val="right"/>
              <w:spacing w:after="0"/>
              <w:rPr>
                <w:sz w:val="20"/>
                <w:szCs w:val="20"/>
                <w:color w:val="auto"/>
              </w:rPr>
            </w:pPr>
            <w:r>
              <w:rPr>
                <w:rFonts w:ascii="Arial" w:cs="Arial" w:eastAsia="Arial" w:hAnsi="Arial"/>
                <w:sz w:val="14"/>
                <w:szCs w:val="14"/>
                <w:color w:val="auto"/>
              </w:rPr>
              <w:t>59,763</w:t>
            </w:r>
          </w:p>
        </w:tc>
        <w:tc>
          <w:tcPr>
            <w:tcW w:w="1200" w:type="dxa"/>
            <w:vAlign w:val="bottom"/>
          </w:tcPr>
          <w:p>
            <w:pPr>
              <w:jc w:val="right"/>
              <w:spacing w:after="0"/>
              <w:rPr>
                <w:sz w:val="20"/>
                <w:szCs w:val="20"/>
                <w:color w:val="auto"/>
              </w:rPr>
            </w:pPr>
            <w:r>
              <w:rPr>
                <w:rFonts w:ascii="Arial" w:cs="Arial" w:eastAsia="Arial" w:hAnsi="Arial"/>
                <w:sz w:val="14"/>
                <w:szCs w:val="14"/>
                <w:color w:val="auto"/>
              </w:rPr>
              <w:t>7.38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3"/>
        </w:trPr>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r>
      <w:tr>
        <w:trPr>
          <w:trHeight w:val="181"/>
        </w:trPr>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4"/>
              </w:rPr>
              <w:t>$20.28 - $125.74</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920,746</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5.01</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74.32</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397,923</w:t>
            </w:r>
          </w:p>
        </w:tc>
        <w:tc>
          <w:tcPr>
            <w:tcW w:w="2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56.10</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 fair values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grant date fair value of share options granted by the Company during the year ended 31 December 2018 was $31.74 based on the following grants: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auto"/>
              </w:rPr>
              <w:t>Grant Date</w:t>
            </w:r>
          </w:p>
        </w:tc>
        <w:tc>
          <w:tcPr>
            <w:tcW w:w="19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Number of Shares</w:t>
            </w: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Weighted Average Exercise Price</w:t>
            </w:r>
          </w:p>
        </w:tc>
      </w:tr>
      <w:tr>
        <w:trPr>
          <w:trHeight w:val="190"/>
        </w:trPr>
        <w:tc>
          <w:tcPr>
            <w:tcW w:w="2800" w:type="dxa"/>
            <w:vAlign w:val="bottom"/>
          </w:tcPr>
          <w:p>
            <w:pPr>
              <w:jc w:val="right"/>
              <w:ind w:right="669"/>
              <w:spacing w:after="0"/>
              <w:rPr>
                <w:sz w:val="20"/>
                <w:szCs w:val="20"/>
                <w:color w:val="auto"/>
              </w:rPr>
            </w:pPr>
            <w:r>
              <w:rPr>
                <w:rFonts w:ascii="Arial" w:cs="Arial" w:eastAsia="Arial" w:hAnsi="Arial"/>
                <w:sz w:val="14"/>
                <w:szCs w:val="14"/>
                <w:color w:val="auto"/>
              </w:rPr>
              <w:t>3 Mar 18</w:t>
            </w:r>
          </w:p>
        </w:tc>
        <w:tc>
          <w:tcPr>
            <w:tcW w:w="1960" w:type="dxa"/>
            <w:vAlign w:val="bottom"/>
          </w:tcPr>
          <w:p>
            <w:pPr>
              <w:jc w:val="right"/>
              <w:ind w:right="69"/>
              <w:spacing w:after="0"/>
              <w:rPr>
                <w:sz w:val="20"/>
                <w:szCs w:val="20"/>
                <w:color w:val="auto"/>
              </w:rPr>
            </w:pPr>
            <w:r>
              <w:rPr>
                <w:rFonts w:ascii="Arial" w:cs="Arial" w:eastAsia="Arial" w:hAnsi="Arial"/>
                <w:sz w:val="14"/>
                <w:szCs w:val="14"/>
                <w:color w:val="auto"/>
              </w:rPr>
              <w:t>107,794</w:t>
            </w:r>
          </w:p>
        </w:tc>
        <w:tc>
          <w:tcPr>
            <w:tcW w:w="2200" w:type="dxa"/>
            <w:vAlign w:val="bottom"/>
          </w:tcPr>
          <w:p>
            <w:pPr>
              <w:jc w:val="right"/>
              <w:spacing w:after="0"/>
              <w:rPr>
                <w:sz w:val="20"/>
                <w:szCs w:val="20"/>
                <w:color w:val="auto"/>
              </w:rPr>
            </w:pPr>
            <w:r>
              <w:rPr>
                <w:rFonts w:ascii="Arial" w:cs="Arial" w:eastAsia="Arial" w:hAnsi="Arial"/>
                <w:sz w:val="14"/>
                <w:szCs w:val="14"/>
                <w:color w:val="auto"/>
              </w:rPr>
              <w:t>$115.11</w:t>
            </w:r>
          </w:p>
        </w:tc>
      </w:tr>
      <w:tr>
        <w:trPr>
          <w:trHeight w:val="21"/>
        </w:trPr>
        <w:tc>
          <w:tcPr>
            <w:tcW w:w="2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7"/>
        </w:trPr>
        <w:tc>
          <w:tcPr>
            <w:tcW w:w="280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auto"/>
              </w:rPr>
              <w:t>18 May 18</w:t>
            </w: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59,763</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$125.74</w:t>
            </w:r>
          </w:p>
        </w:tc>
      </w:tr>
      <w:tr>
        <w:trPr>
          <w:trHeight w:val="223"/>
        </w:trPr>
        <w:tc>
          <w:tcPr>
            <w:tcW w:w="28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192"/>
        </w:trPr>
        <w:tc>
          <w:tcPr>
            <w:tcW w:w="28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167,557</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$118.90</w:t>
            </w:r>
          </w:p>
        </w:tc>
      </w:tr>
      <w:tr>
        <w:trPr>
          <w:trHeight w:val="21"/>
        </w:trPr>
        <w:tc>
          <w:tcPr>
            <w:tcW w:w="28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 fair values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grant date fair value of share options granted by the Company during the year ended 31 December 2017 was $23.36 based on the following grants: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Grant Date</w:t>
            </w:r>
          </w:p>
        </w:tc>
        <w:tc>
          <w:tcPr>
            <w:tcW w:w="19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Number of Shares</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Weighted Average Exercise Price</w:t>
            </w:r>
          </w:p>
        </w:tc>
      </w:tr>
      <w:tr>
        <w:trPr>
          <w:trHeight w:val="190"/>
        </w:trPr>
        <w:tc>
          <w:tcPr>
            <w:tcW w:w="2900" w:type="dxa"/>
            <w:vAlign w:val="bottom"/>
          </w:tcPr>
          <w:p>
            <w:pPr>
              <w:jc w:val="right"/>
              <w:ind w:right="649"/>
              <w:spacing w:after="0"/>
              <w:rPr>
                <w:sz w:val="20"/>
                <w:szCs w:val="20"/>
                <w:color w:val="auto"/>
              </w:rPr>
            </w:pPr>
            <w:r>
              <w:rPr>
                <w:rFonts w:ascii="Arial" w:cs="Arial" w:eastAsia="Arial" w:hAnsi="Arial"/>
                <w:sz w:val="14"/>
                <w:szCs w:val="14"/>
                <w:color w:val="auto"/>
              </w:rPr>
              <w:t>3 Mar 17</w:t>
            </w:r>
          </w:p>
        </w:tc>
        <w:tc>
          <w:tcPr>
            <w:tcW w:w="1920" w:type="dxa"/>
            <w:vAlign w:val="bottom"/>
          </w:tcPr>
          <w:p>
            <w:pPr>
              <w:jc w:val="right"/>
              <w:ind w:right="49"/>
              <w:spacing w:after="0"/>
              <w:rPr>
                <w:sz w:val="20"/>
                <w:szCs w:val="20"/>
                <w:color w:val="auto"/>
              </w:rPr>
            </w:pPr>
            <w:r>
              <w:rPr>
                <w:rFonts w:ascii="Arial" w:cs="Arial" w:eastAsia="Arial" w:hAnsi="Arial"/>
                <w:sz w:val="14"/>
                <w:szCs w:val="14"/>
                <w:color w:val="auto"/>
              </w:rPr>
              <w:t>135,243</w:t>
            </w:r>
          </w:p>
        </w:tc>
        <w:tc>
          <w:tcPr>
            <w:tcW w:w="2140" w:type="dxa"/>
            <w:vAlign w:val="bottom"/>
          </w:tcPr>
          <w:p>
            <w:pPr>
              <w:jc w:val="right"/>
              <w:spacing w:after="0"/>
              <w:rPr>
                <w:sz w:val="20"/>
                <w:szCs w:val="20"/>
                <w:color w:val="auto"/>
              </w:rPr>
            </w:pPr>
            <w:r>
              <w:rPr>
                <w:rFonts w:ascii="Arial" w:cs="Arial" w:eastAsia="Arial" w:hAnsi="Arial"/>
                <w:sz w:val="14"/>
                <w:szCs w:val="14"/>
                <w:color w:val="auto"/>
              </w:rPr>
              <w:t>$83.47</w:t>
            </w:r>
          </w:p>
        </w:tc>
      </w:tr>
      <w:tr>
        <w:trPr>
          <w:trHeight w:val="21"/>
        </w:trPr>
        <w:tc>
          <w:tcPr>
            <w:tcW w:w="2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7"/>
        </w:trPr>
        <w:tc>
          <w:tcPr>
            <w:tcW w:w="290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19 May 17</w:t>
            </w:r>
          </w:p>
        </w:tc>
        <w:tc>
          <w:tcPr>
            <w:tcW w:w="1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83,870</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$90.03</w:t>
            </w:r>
          </w:p>
        </w:tc>
      </w:tr>
      <w:tr>
        <w:trPr>
          <w:trHeight w:val="223"/>
        </w:trPr>
        <w:tc>
          <w:tcPr>
            <w:tcW w:w="29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r>
      <w:tr>
        <w:trPr>
          <w:trHeight w:val="218"/>
        </w:trPr>
        <w:tc>
          <w:tcPr>
            <w:tcW w:w="29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219,113</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$85.98</w:t>
            </w:r>
          </w:p>
        </w:tc>
      </w:tr>
      <w:tr>
        <w:trPr>
          <w:trHeight w:val="529"/>
        </w:trPr>
        <w:tc>
          <w:tcPr>
            <w:tcW w:w="29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right"/>
              <w:ind w:right="1089"/>
              <w:spacing w:after="0"/>
              <w:rPr>
                <w:sz w:val="20"/>
                <w:szCs w:val="20"/>
                <w:color w:val="auto"/>
              </w:rPr>
            </w:pPr>
            <w:r>
              <w:rPr>
                <w:rFonts w:ascii="Arial" w:cs="Arial" w:eastAsia="Arial" w:hAnsi="Arial"/>
                <w:sz w:val="14"/>
                <w:szCs w:val="14"/>
                <w:color w:val="auto"/>
              </w:rPr>
              <w:t>74</w:t>
            </w:r>
          </w:p>
        </w:tc>
      </w:tr>
    </w:tbl>
    <w:p>
      <w:pPr>
        <w:sectPr>
          <w:pgSz w:w="11900" w:h="16838" w:orient="portrait"/>
          <w:cols w:equalWidth="0" w:num="1">
            <w:col w:w="10239"/>
          </w:cols>
          <w:pgMar w:left="220" w:top="762" w:right="1440" w:bottom="1440" w:gutter="0" w:footer="0" w:header="0"/>
        </w:sectPr>
      </w:pPr>
    </w:p>
    <w:bookmarkStart w:id="78" w:name="page79"/>
    <w:bookmarkEnd w:id="7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share options – Assumptions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fair values of options granted during the year ended 31 December 2018 and the year ended 31 December 2017 were calculated using a binomial option-pricing-model, using the following assumptions: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shd w:val="clear" w:color="auto" w:fill="CCEEFF"/>
          </w:tcPr>
          <w:p>
            <w:pPr>
              <w:spacing w:after="0"/>
              <w:rPr>
                <w:sz w:val="15"/>
                <w:szCs w:val="15"/>
                <w:color w:val="auto"/>
              </w:rPr>
            </w:pPr>
          </w:p>
        </w:tc>
        <w:tc>
          <w:tcPr>
            <w:tcW w:w="20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Year ended</w:t>
            </w:r>
          </w:p>
        </w:tc>
        <w:tc>
          <w:tcPr>
            <w:tcW w:w="14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Year ended</w:t>
            </w:r>
          </w:p>
        </w:tc>
      </w:tr>
      <w:tr>
        <w:trPr>
          <w:trHeight w:val="169"/>
        </w:trPr>
        <w:tc>
          <w:tcPr>
            <w:tcW w:w="34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31 December</w:t>
            </w:r>
          </w:p>
        </w:tc>
        <w:tc>
          <w:tcPr>
            <w:tcW w:w="14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 December</w:t>
            </w:r>
          </w:p>
        </w:tc>
      </w:tr>
      <w:tr>
        <w:trPr>
          <w:trHeight w:val="185"/>
        </w:trPr>
        <w:tc>
          <w:tcPr>
            <w:tcW w:w="34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2017</w:t>
            </w:r>
          </w:p>
        </w:tc>
      </w:tr>
      <w:tr>
        <w:trPr>
          <w:trHeight w:val="233"/>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share price</w:t>
            </w: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$118.90</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$85.98</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Weighted average exercise price</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$118.90</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$85.98</w:t>
            </w:r>
          </w:p>
        </w:tc>
      </w:tr>
      <w:tr>
        <w:trPr>
          <w:trHeight w:val="21"/>
        </w:trPr>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volatility (1)</w:t>
            </w:r>
          </w:p>
        </w:tc>
        <w:tc>
          <w:tcPr>
            <w:tcW w:w="2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1"/>
        </w:trPr>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rate (2)</w:t>
            </w: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2.8%-3.0%</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2.0%-2.3%</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Rate of forced early exercise</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10% p.a.</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10% p.a.</w:t>
            </w:r>
          </w:p>
        </w:tc>
      </w:tr>
      <w:tr>
        <w:trPr>
          <w:trHeight w:val="21"/>
        </w:trPr>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Minimum gain for voluntary early exercise</w:t>
            </w: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25% of exercise price</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95"/>
              </w:rPr>
              <w:t>25% of exercise price</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Rate of voluntary early exercise at minimum gain</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75% per annum</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75% per annum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41388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13885" cy="13335"/>
                    </a:xfrm>
                    <a:prstGeom prst="rect">
                      <a:avLst/>
                    </a:prstGeom>
                    <a:noFill/>
                  </pic:spPr>
                </pic:pic>
              </a:graphicData>
            </a:graphic>
          </wp:anchor>
        </w:drawing>
      </w:r>
    </w:p>
    <w:p>
      <w:pPr>
        <w:spacing w:after="0" w:line="18" w:lineRule="exact"/>
        <w:rPr>
          <w:sz w:val="20"/>
          <w:szCs w:val="20"/>
          <w:color w:val="auto"/>
        </w:rPr>
      </w:pPr>
    </w:p>
    <w:p>
      <w:pPr>
        <w:ind w:left="160" w:hanging="155"/>
        <w:spacing w:after="0"/>
        <w:tabs>
          <w:tab w:leader="none" w:pos="1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volatility of the Company’s share price over a period which is commensurate with the expected term of the options granted.</w:t>
      </w:r>
    </w:p>
    <w:p>
      <w:pPr>
        <w:spacing w:after="0" w:line="18" w:lineRule="exact"/>
        <w:rPr>
          <w:rFonts w:ascii="Arial" w:cs="Arial" w:eastAsia="Arial" w:hAnsi="Arial"/>
          <w:sz w:val="11"/>
          <w:szCs w:val="11"/>
          <w:color w:val="auto"/>
        </w:rPr>
      </w:pPr>
    </w:p>
    <w:p>
      <w:pPr>
        <w:ind w:left="160" w:hanging="155"/>
        <w:spacing w:after="0"/>
        <w:tabs>
          <w:tab w:leader="none" w:pos="160" w:val="left"/>
        </w:tabs>
        <w:numPr>
          <w:ilvl w:val="0"/>
          <w:numId w:val="67"/>
        </w:numPr>
        <w:rPr>
          <w:rFonts w:ascii="Arial" w:cs="Arial" w:eastAsia="Arial" w:hAnsi="Arial"/>
          <w:sz w:val="11"/>
          <w:szCs w:val="11"/>
          <w:color w:val="auto"/>
        </w:rPr>
      </w:pPr>
      <w:r>
        <w:rPr>
          <w:rFonts w:ascii="Arial" w:cs="Arial" w:eastAsia="Arial" w:hAnsi="Arial"/>
          <w:sz w:val="11"/>
          <w:szCs w:val="11"/>
          <w:color w:val="auto"/>
        </w:rPr>
        <w:t>Risk-free rate is dependent on the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 units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RSU Outstanding</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Weighted</w:t>
            </w:r>
          </w:p>
        </w:tc>
        <w:tc>
          <w:tcPr>
            <w:tcW w:w="1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3"/>
              </w:rPr>
              <w:t>PSU Outstanding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9"/>
        </w:trPr>
        <w:tc>
          <w:tcPr>
            <w:tcW w:w="2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Number of</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Grant</w:t>
            </w:r>
          </w:p>
        </w:tc>
        <w:tc>
          <w:tcPr>
            <w:tcW w:w="1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Number of</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85"/>
        </w:trPr>
        <w:tc>
          <w:tcPr>
            <w:tcW w:w="2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Date Fair Value</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Date Fair Value</w:t>
            </w:r>
          </w:p>
        </w:tc>
      </w:tr>
      <w:tr>
        <w:trPr>
          <w:trHeight w:val="233"/>
        </w:trPr>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7"/>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31 December 2017</w:t>
            </w: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715,970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511,026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$72.07</w:t>
            </w:r>
          </w:p>
        </w:tc>
      </w:tr>
      <w:tr>
        <w:trPr>
          <w:trHeight w:val="223"/>
        </w:trPr>
        <w:tc>
          <w:tcPr>
            <w:tcW w:w="2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19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Awarded</w:t>
            </w: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160,113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$123.42</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71,906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$116.02</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Shares Vested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(276,495)</w:t>
            </w:r>
          </w:p>
        </w:tc>
        <w:tc>
          <w:tcPr>
            <w:tcW w:w="1100" w:type="dxa"/>
            <w:vAlign w:val="bottom"/>
          </w:tcPr>
          <w:p>
            <w:pPr>
              <w:jc w:val="right"/>
              <w:spacing w:after="0"/>
              <w:rPr>
                <w:sz w:val="20"/>
                <w:szCs w:val="20"/>
                <w:color w:val="auto"/>
              </w:rPr>
            </w:pPr>
            <w:r>
              <w:rPr>
                <w:rFonts w:ascii="Arial" w:cs="Arial" w:eastAsia="Arial" w:hAnsi="Arial"/>
                <w:sz w:val="14"/>
                <w:szCs w:val="14"/>
                <w:color w:val="auto"/>
              </w:rPr>
              <w:t>$67.99</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(215,826)</w:t>
            </w:r>
          </w:p>
        </w:tc>
        <w:tc>
          <w:tcPr>
            <w:tcW w:w="1060" w:type="dxa"/>
            <w:vAlign w:val="bottom"/>
          </w:tcPr>
          <w:p>
            <w:pPr>
              <w:jc w:val="right"/>
              <w:spacing w:after="0"/>
              <w:rPr>
                <w:sz w:val="20"/>
                <w:szCs w:val="20"/>
                <w:color w:val="auto"/>
              </w:rPr>
            </w:pPr>
            <w:r>
              <w:rPr>
                <w:rFonts w:ascii="Arial" w:cs="Arial" w:eastAsia="Arial" w:hAnsi="Arial"/>
                <w:sz w:val="14"/>
                <w:szCs w:val="14"/>
                <w:color w:val="auto"/>
              </w:rPr>
              <w:t>$68.28</w:t>
            </w:r>
          </w:p>
        </w:tc>
      </w:tr>
      <w:tr>
        <w:trPr>
          <w:trHeight w:val="21"/>
        </w:trPr>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7"/>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(64,911)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$78.92</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(116,053)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$70.89</w:t>
            </w:r>
          </w:p>
        </w:tc>
      </w:tr>
      <w:tr>
        <w:trPr>
          <w:trHeight w:val="223"/>
        </w:trPr>
        <w:tc>
          <w:tcPr>
            <w:tcW w:w="2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18"/>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Outstanding at 31 December 2018</w:t>
            </w: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534,677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$89.50</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251,053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$85.95</w:t>
            </w:r>
          </w:p>
        </w:tc>
      </w:tr>
      <w:tr>
        <w:trPr>
          <w:trHeight w:val="529"/>
        </w:trPr>
        <w:tc>
          <w:tcPr>
            <w:tcW w:w="2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75</w:t>
            </w: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PSUs vest based on service and specified EPS targets over the period 2015 – 2018, 2016 – 2019, 2017 - 2020 and 2018 - 2021. Further PSUs up to a total of 103,423 PSUs may also be awarded depending upon actual EPS outturn from 2015 to 2021.</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payment expense</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for the year ended 31 December 2018 is stated after charging $28.1 million in respect of share-based payment expense. Share-based payment expense has been allocated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shd w:val="clear" w:color="auto" w:fill="CCEEFF"/>
          </w:tcPr>
          <w:p>
            <w:pPr>
              <w:spacing w:after="0"/>
              <w:rPr>
                <w:sz w:val="15"/>
                <w:szCs w:val="15"/>
                <w:color w:val="auto"/>
              </w:rPr>
            </w:pPr>
          </w:p>
        </w:tc>
        <w:tc>
          <w:tcPr>
            <w:tcW w:w="2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340" w:type="dxa"/>
            <w:vAlign w:val="bottom"/>
            <w:shd w:val="clear" w:color="auto" w:fill="CCEEFF"/>
          </w:tcPr>
          <w:p>
            <w:pPr>
              <w:spacing w:after="0"/>
              <w:rPr>
                <w:sz w:val="14"/>
                <w:szCs w:val="14"/>
                <w:color w:val="auto"/>
              </w:rPr>
            </w:pPr>
          </w:p>
        </w:tc>
        <w:tc>
          <w:tcPr>
            <w:tcW w:w="2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34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340" w:type="dxa"/>
            <w:vAlign w:val="bottom"/>
          </w:tcPr>
          <w:p>
            <w:pPr>
              <w:spacing w:after="0"/>
              <w:rPr>
                <w:sz w:val="16"/>
                <w:szCs w:val="16"/>
                <w:color w:val="auto"/>
              </w:rPr>
            </w:pPr>
          </w:p>
        </w:tc>
        <w:tc>
          <w:tcPr>
            <w:tcW w:w="27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334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Direct costs</w:t>
            </w:r>
          </w:p>
        </w:tc>
        <w:tc>
          <w:tcPr>
            <w:tcW w:w="2760" w:type="dxa"/>
            <w:vAlign w:val="bottom"/>
          </w:tcPr>
          <w:p>
            <w:pPr>
              <w:jc w:val="right"/>
              <w:ind w:right="9"/>
              <w:spacing w:after="0"/>
              <w:rPr>
                <w:sz w:val="20"/>
                <w:szCs w:val="20"/>
                <w:color w:val="auto"/>
              </w:rPr>
            </w:pPr>
            <w:r>
              <w:rPr>
                <w:rFonts w:ascii="Arial" w:cs="Arial" w:eastAsia="Arial" w:hAnsi="Arial"/>
                <w:sz w:val="14"/>
                <w:szCs w:val="14"/>
                <w:b w:val="1"/>
                <w:bCs w:val="1"/>
                <w:color w:val="auto"/>
              </w:rPr>
              <w:t>15,460</w:t>
            </w:r>
          </w:p>
        </w:tc>
        <w:tc>
          <w:tcPr>
            <w:tcW w:w="880" w:type="dxa"/>
            <w:vAlign w:val="bottom"/>
          </w:tcPr>
          <w:p>
            <w:pPr>
              <w:jc w:val="right"/>
              <w:spacing w:after="0"/>
              <w:rPr>
                <w:sz w:val="20"/>
                <w:szCs w:val="20"/>
                <w:color w:val="auto"/>
              </w:rPr>
            </w:pPr>
            <w:r>
              <w:rPr>
                <w:rFonts w:ascii="Arial" w:cs="Arial" w:eastAsia="Arial" w:hAnsi="Arial"/>
                <w:sz w:val="14"/>
                <w:szCs w:val="14"/>
                <w:color w:val="auto"/>
              </w:rPr>
              <w:t>17,147</w:t>
            </w:r>
          </w:p>
        </w:tc>
      </w:tr>
      <w:tr>
        <w:trPr>
          <w:trHeight w:val="21"/>
        </w:trPr>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operating expenses</w:t>
            </w:r>
          </w:p>
        </w:tc>
        <w:tc>
          <w:tcPr>
            <w:tcW w:w="2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12,599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13,973</w:t>
            </w:r>
          </w:p>
        </w:tc>
      </w:tr>
      <w:tr>
        <w:trPr>
          <w:trHeight w:val="223"/>
        </w:trPr>
        <w:tc>
          <w:tcPr>
            <w:tcW w:w="33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1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28,059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31,120</w:t>
            </w:r>
          </w:p>
        </w:tc>
      </w:tr>
      <w:tr>
        <w:trPr>
          <w:trHeight w:val="359"/>
        </w:trPr>
        <w:tc>
          <w:tcPr>
            <w:tcW w:w="33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76</w:t>
            </w: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Property, Plant and Equipment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Office</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59"/>
        </w:trPr>
        <w:tc>
          <w:tcPr>
            <w:tcW w:w="2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Leasehold</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Computer</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furniture &amp;</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Laboratory</w:t>
            </w:r>
          </w:p>
        </w:tc>
        <w:tc>
          <w:tcPr>
            <w:tcW w:w="98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Motor</w:t>
            </w:r>
          </w:p>
        </w:tc>
        <w:tc>
          <w:tcPr>
            <w:tcW w:w="740" w:type="dxa"/>
            <w:vAlign w:val="bottom"/>
            <w:shd w:val="clear" w:color="auto" w:fill="CCEEFF"/>
          </w:tcPr>
          <w:p>
            <w:pPr>
              <w:spacing w:after="0"/>
              <w:rPr>
                <w:sz w:val="13"/>
                <w:szCs w:val="13"/>
                <w:color w:val="auto"/>
              </w:rPr>
            </w:pPr>
          </w:p>
        </w:tc>
      </w:tr>
      <w:tr>
        <w:trPr>
          <w:trHeight w:val="171"/>
        </w:trPr>
        <w:tc>
          <w:tcPr>
            <w:tcW w:w="20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Land</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Buildings</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94"/>
              </w:rPr>
              <w:t>improvements</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equipment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fixtures</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equipment</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vehicles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6"/>
        </w:trPr>
        <w:tc>
          <w:tcPr>
            <w:tcW w:w="2020" w:type="dxa"/>
            <w:vAlign w:val="bottom"/>
          </w:tcPr>
          <w:p>
            <w:pPr>
              <w:spacing w:after="0"/>
              <w:rPr>
                <w:sz w:val="16"/>
                <w:szCs w:val="16"/>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$’000</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5"/>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2"/>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At 1 January 2018</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4,402</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71,009</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34,805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113,498</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68,934</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23,742</w:t>
            </w:r>
          </w:p>
        </w:tc>
        <w:tc>
          <w:tcPr>
            <w:tcW w:w="980" w:type="dxa"/>
            <w:vAlign w:val="bottom"/>
          </w:tcPr>
          <w:p>
            <w:pPr>
              <w:jc w:val="right"/>
              <w:ind w:right="237"/>
              <w:spacing w:after="0"/>
              <w:rPr>
                <w:sz w:val="20"/>
                <w:szCs w:val="20"/>
                <w:color w:val="auto"/>
              </w:rPr>
            </w:pPr>
            <w:r>
              <w:rPr>
                <w:rFonts w:ascii="Arial" w:cs="Arial" w:eastAsia="Arial" w:hAnsi="Arial"/>
                <w:sz w:val="13"/>
                <w:szCs w:val="13"/>
                <w:color w:val="auto"/>
              </w:rPr>
              <w:t>16</w:t>
            </w:r>
          </w:p>
        </w:tc>
        <w:tc>
          <w:tcPr>
            <w:tcW w:w="740" w:type="dxa"/>
            <w:vAlign w:val="bottom"/>
          </w:tcPr>
          <w:p>
            <w:pPr>
              <w:jc w:val="right"/>
              <w:spacing w:after="0"/>
              <w:rPr>
                <w:sz w:val="20"/>
                <w:szCs w:val="20"/>
                <w:color w:val="auto"/>
              </w:rPr>
            </w:pPr>
            <w:r>
              <w:rPr>
                <w:rFonts w:ascii="Arial" w:cs="Arial" w:eastAsia="Arial" w:hAnsi="Arial"/>
                <w:sz w:val="13"/>
                <w:szCs w:val="13"/>
                <w:color w:val="auto"/>
              </w:rPr>
              <w:t>316,406</w:t>
            </w:r>
          </w:p>
        </w:tc>
      </w:tr>
      <w:tr>
        <w:trPr>
          <w:trHeight w:val="25"/>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451</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12,828</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5,780</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1,652</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20,760</w:t>
            </w:r>
          </w:p>
        </w:tc>
      </w:tr>
      <w:tr>
        <w:trPr>
          <w:trHeight w:val="197"/>
        </w:trPr>
        <w:tc>
          <w:tcPr>
            <w:tcW w:w="20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(38)</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(1,443)</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(202)</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(116)</w:t>
            </w:r>
          </w:p>
        </w:tc>
        <w:tc>
          <w:tcPr>
            <w:tcW w:w="9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(1,799)</w:t>
            </w:r>
          </w:p>
        </w:tc>
      </w:tr>
      <w:tr>
        <w:trPr>
          <w:trHeight w:val="185"/>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Prior period acquisition</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1,462</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1,462</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172</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(2,409)</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(1,743)</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(2,733)</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(1,863)</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(361)</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(8)</w:t>
            </w:r>
          </w:p>
        </w:tc>
        <w:tc>
          <w:tcPr>
            <w:tcW w:w="740" w:type="dxa"/>
            <w:vAlign w:val="bottom"/>
          </w:tcPr>
          <w:p>
            <w:pPr>
              <w:jc w:val="right"/>
              <w:spacing w:after="0"/>
              <w:rPr>
                <w:sz w:val="20"/>
                <w:szCs w:val="20"/>
                <w:color w:val="auto"/>
              </w:rPr>
            </w:pPr>
            <w:r>
              <w:rPr>
                <w:rFonts w:ascii="Arial" w:cs="Arial" w:eastAsia="Arial" w:hAnsi="Arial"/>
                <w:sz w:val="13"/>
                <w:szCs w:val="13"/>
                <w:color w:val="auto"/>
              </w:rPr>
              <w:t>(8,945)</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4,574</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70,111</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33,475</w:t>
            </w:r>
          </w:p>
        </w:tc>
        <w:tc>
          <w:tcPr>
            <w:tcW w:w="940" w:type="dxa"/>
            <w:vAlign w:val="bottom"/>
          </w:tcPr>
          <w:p>
            <w:pPr>
              <w:jc w:val="right"/>
              <w:ind w:right="137"/>
              <w:spacing w:after="0"/>
              <w:rPr>
                <w:sz w:val="20"/>
                <w:szCs w:val="20"/>
                <w:color w:val="auto"/>
              </w:rPr>
            </w:pPr>
            <w:r>
              <w:rPr>
                <w:rFonts w:ascii="Arial" w:cs="Arial" w:eastAsia="Arial" w:hAnsi="Arial"/>
                <w:sz w:val="13"/>
                <w:szCs w:val="13"/>
                <w:b w:val="1"/>
                <w:bCs w:val="1"/>
                <w:color w:val="auto"/>
              </w:rPr>
              <w:t>122,150</w:t>
            </w: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72,649</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24,917</w:t>
            </w:r>
          </w:p>
        </w:tc>
        <w:tc>
          <w:tcPr>
            <w:tcW w:w="980" w:type="dxa"/>
            <w:vAlign w:val="bottom"/>
          </w:tcPr>
          <w:p>
            <w:pPr>
              <w:jc w:val="right"/>
              <w:ind w:right="237"/>
              <w:spacing w:after="0"/>
              <w:rPr>
                <w:sz w:val="20"/>
                <w:szCs w:val="20"/>
                <w:color w:val="auto"/>
              </w:rPr>
            </w:pPr>
            <w:r>
              <w:rPr>
                <w:rFonts w:ascii="Arial" w:cs="Arial" w:eastAsia="Arial" w:hAnsi="Arial"/>
                <w:sz w:val="13"/>
                <w:szCs w:val="13"/>
                <w:b w:val="1"/>
                <w:bCs w:val="1"/>
                <w:color w:val="auto"/>
              </w:rPr>
              <w:t>8</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327,884</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1 January 2018</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18,486</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26,812</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96,947</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52,735</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16,324</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211,306</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1,484</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2,078</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10,409</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3,898</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2,127</w:t>
            </w:r>
          </w:p>
        </w:tc>
        <w:tc>
          <w:tcPr>
            <w:tcW w:w="9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19,996</w:t>
            </w:r>
          </w:p>
        </w:tc>
      </w:tr>
      <w:tr>
        <w:trPr>
          <w:trHeight w:val="25"/>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(26)</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(1,174)</w:t>
            </w: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(158)</w:t>
            </w:r>
          </w:p>
        </w:tc>
        <w:tc>
          <w:tcPr>
            <w:tcW w:w="10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(116)</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(1,474)</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(658)</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(1,133)</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(2,251)</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(1,259)</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(351)</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(2)</w:t>
            </w:r>
          </w:p>
        </w:tc>
        <w:tc>
          <w:tcPr>
            <w:tcW w:w="740" w:type="dxa"/>
            <w:vAlign w:val="bottom"/>
          </w:tcPr>
          <w:p>
            <w:pPr>
              <w:jc w:val="right"/>
              <w:spacing w:after="0"/>
              <w:rPr>
                <w:sz w:val="20"/>
                <w:szCs w:val="20"/>
                <w:color w:val="auto"/>
              </w:rPr>
            </w:pPr>
            <w:r>
              <w:rPr>
                <w:rFonts w:ascii="Arial" w:cs="Arial" w:eastAsia="Arial" w:hAnsi="Arial"/>
                <w:sz w:val="13"/>
                <w:szCs w:val="13"/>
                <w:color w:val="auto"/>
              </w:rPr>
              <w:t>(5,654)</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19,312</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27,731</w:t>
            </w:r>
          </w:p>
        </w:tc>
        <w:tc>
          <w:tcPr>
            <w:tcW w:w="940" w:type="dxa"/>
            <w:vAlign w:val="bottom"/>
          </w:tcPr>
          <w:p>
            <w:pPr>
              <w:jc w:val="right"/>
              <w:ind w:right="137"/>
              <w:spacing w:after="0"/>
              <w:rPr>
                <w:sz w:val="20"/>
                <w:szCs w:val="20"/>
                <w:color w:val="auto"/>
              </w:rPr>
            </w:pPr>
            <w:r>
              <w:rPr>
                <w:rFonts w:ascii="Arial" w:cs="Arial" w:eastAsia="Arial" w:hAnsi="Arial"/>
                <w:sz w:val="13"/>
                <w:szCs w:val="13"/>
                <w:b w:val="1"/>
                <w:bCs w:val="1"/>
                <w:color w:val="auto"/>
              </w:rPr>
              <w:t>103,931</w:t>
            </w: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55,216</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17,984</w:t>
            </w:r>
          </w:p>
        </w:tc>
        <w:tc>
          <w:tcPr>
            <w:tcW w:w="98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224,174</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4,574</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50,799</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5,744</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18,219</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17,433</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6,933</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103,710</w:t>
            </w:r>
          </w:p>
        </w:tc>
      </w:tr>
      <w:tr>
        <w:trPr>
          <w:trHeight w:val="212"/>
        </w:trPr>
        <w:tc>
          <w:tcPr>
            <w:tcW w:w="20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31 December 2017</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4,402</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52,523</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7,993</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16,551</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16,199</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7,418</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105,100</w:t>
            </w:r>
          </w:p>
        </w:tc>
      </w:tr>
      <w:tr>
        <w:trPr>
          <w:trHeight w:val="21"/>
        </w:trPr>
        <w:tc>
          <w:tcPr>
            <w:tcW w:w="20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of $20.0 million (31 December 2017: $19.9 million) has been charged to “other operating expenses” in the Consolidated Statement of Profit and Loss.</w:t>
      </w:r>
    </w:p>
    <w:p>
      <w:pPr>
        <w:spacing w:after="0" w:line="39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239"/>
          </w:cols>
          <w:pgMar w:left="220" w:top="699" w:right="1440"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Property, Plant and Equipment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Office</w:t>
            </w:r>
          </w:p>
        </w:tc>
        <w:tc>
          <w:tcPr>
            <w:tcW w:w="10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59"/>
        </w:trPr>
        <w:tc>
          <w:tcPr>
            <w:tcW w:w="2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Leasehold</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Computer</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furniture &amp;</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Laboratory</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Motor</w:t>
            </w:r>
          </w:p>
        </w:tc>
        <w:tc>
          <w:tcPr>
            <w:tcW w:w="760" w:type="dxa"/>
            <w:vAlign w:val="bottom"/>
            <w:shd w:val="clear" w:color="auto" w:fill="CCEEFF"/>
          </w:tcPr>
          <w:p>
            <w:pPr>
              <w:spacing w:after="0"/>
              <w:rPr>
                <w:sz w:val="13"/>
                <w:szCs w:val="13"/>
                <w:color w:val="auto"/>
              </w:rPr>
            </w:pPr>
          </w:p>
        </w:tc>
      </w:tr>
      <w:tr>
        <w:trPr>
          <w:trHeight w:val="171"/>
        </w:trPr>
        <w:tc>
          <w:tcPr>
            <w:tcW w:w="20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Land</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Buildings</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94"/>
              </w:rPr>
              <w:t>improvements</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equipment</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fixtures</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equipment</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vehicles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6"/>
        </w:trPr>
        <w:tc>
          <w:tcPr>
            <w:tcW w:w="2020" w:type="dxa"/>
            <w:vAlign w:val="bottom"/>
          </w:tcPr>
          <w:p>
            <w:pPr>
              <w:spacing w:after="0"/>
              <w:rPr>
                <w:sz w:val="16"/>
                <w:szCs w:val="16"/>
                <w:color w:val="auto"/>
              </w:rPr>
            </w:pP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5"/>
        </w:trPr>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2"/>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At 1 January 2017</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4,990</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60,888</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30,734</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101,046</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61,506</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20,310</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15</w:t>
            </w:r>
          </w:p>
        </w:tc>
        <w:tc>
          <w:tcPr>
            <w:tcW w:w="760" w:type="dxa"/>
            <w:vAlign w:val="bottom"/>
          </w:tcPr>
          <w:p>
            <w:pPr>
              <w:jc w:val="right"/>
              <w:spacing w:after="0"/>
              <w:rPr>
                <w:sz w:val="20"/>
                <w:szCs w:val="20"/>
                <w:color w:val="auto"/>
              </w:rPr>
            </w:pPr>
            <w:r>
              <w:rPr>
                <w:rFonts w:ascii="Arial" w:cs="Arial" w:eastAsia="Arial" w:hAnsi="Arial"/>
                <w:sz w:val="13"/>
                <w:szCs w:val="13"/>
                <w:color w:val="auto"/>
              </w:rPr>
              <w:t>279,489</w:t>
            </w:r>
          </w:p>
        </w:tc>
      </w:tr>
      <w:tr>
        <w:trPr>
          <w:trHeight w:val="25"/>
        </w:trPr>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1,699</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2,421</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10,102</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5,510</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65</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19,798</w:t>
            </w:r>
          </w:p>
        </w:tc>
      </w:tr>
      <w:tr>
        <w:trPr>
          <w:trHeight w:val="197"/>
        </w:trPr>
        <w:tc>
          <w:tcPr>
            <w:tcW w:w="20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(1,057)</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(1,250)</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(1,137)</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(502)</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(3,946)</w:t>
            </w:r>
          </w:p>
        </w:tc>
      </w:tr>
      <w:tr>
        <w:trPr>
          <w:trHeight w:val="205"/>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Arising on acquisition</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944</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882</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349</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133</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60" w:type="dxa"/>
            <w:vAlign w:val="bottom"/>
          </w:tcPr>
          <w:p>
            <w:pPr>
              <w:jc w:val="right"/>
              <w:ind w:right="137"/>
              <w:spacing w:after="0"/>
              <w:rPr>
                <w:sz w:val="20"/>
                <w:szCs w:val="20"/>
                <w:color w:val="auto"/>
              </w:rPr>
            </w:pPr>
            <w:r>
              <w:rPr>
                <w:rFonts w:ascii="Arial" w:cs="Arial" w:eastAsia="Arial" w:hAnsi="Arial"/>
                <w:sz w:val="13"/>
                <w:szCs w:val="13"/>
                <w:color w:val="auto"/>
              </w:rPr>
              <w:t>(588)</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7,478</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1,825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3,251</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2,922</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3,869</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18,757</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2017</w:t>
            </w: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rPr>
              <w:t>4,402</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71,009</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34,805</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113,498</w:t>
            </w: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68,934</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23,742</w:t>
            </w:r>
          </w:p>
        </w:tc>
        <w:tc>
          <w:tcPr>
            <w:tcW w:w="960" w:type="dxa"/>
            <w:vAlign w:val="bottom"/>
          </w:tcPr>
          <w:p>
            <w:pPr>
              <w:jc w:val="right"/>
              <w:ind w:right="197"/>
              <w:spacing w:after="0"/>
              <w:rPr>
                <w:sz w:val="20"/>
                <w:szCs w:val="20"/>
                <w:color w:val="auto"/>
              </w:rPr>
            </w:pPr>
            <w:r>
              <w:rPr>
                <w:rFonts w:ascii="Arial" w:cs="Arial" w:eastAsia="Arial" w:hAnsi="Arial"/>
                <w:sz w:val="13"/>
                <w:szCs w:val="13"/>
                <w:b w:val="1"/>
                <w:bCs w:val="1"/>
                <w:color w:val="auto"/>
              </w:rPr>
              <w:t>16</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316,406</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1 January 2017</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15,453</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23,912</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85,518</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47,277</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13,845</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186,007</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1,419</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2,370</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10,221</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3,713</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2,153</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19,876</w:t>
            </w:r>
          </w:p>
        </w:tc>
      </w:tr>
      <w:tr>
        <w:trPr>
          <w:trHeight w:val="25"/>
        </w:trPr>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(983)</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(1,634)</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(494)</w:t>
            </w:r>
          </w:p>
        </w:tc>
        <w:tc>
          <w:tcPr>
            <w:tcW w:w="10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(607)</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(3,718)</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1,614</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1,513</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2,842</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2,239</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933</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9,141</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2017</w:t>
            </w: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18,486</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26,812</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96,947</w:t>
            </w: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52,735</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16,324</w:t>
            </w:r>
          </w:p>
        </w:tc>
        <w:tc>
          <w:tcPr>
            <w:tcW w:w="960" w:type="dxa"/>
            <w:vAlign w:val="bottom"/>
          </w:tcPr>
          <w:p>
            <w:pPr>
              <w:jc w:val="right"/>
              <w:ind w:right="19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211,306</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2017</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4,402</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52,523</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7,993</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16,551</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16,199</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7,418</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14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105,100</w:t>
            </w:r>
          </w:p>
        </w:tc>
      </w:tr>
      <w:tr>
        <w:trPr>
          <w:trHeight w:val="212"/>
        </w:trPr>
        <w:tc>
          <w:tcPr>
            <w:tcW w:w="2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31 December 2016</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4,990</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45,435</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6,822</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15,528</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14,229</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6,465</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13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93,482</w:t>
            </w:r>
          </w:p>
        </w:tc>
      </w:tr>
      <w:tr>
        <w:trPr>
          <w:trHeight w:val="21"/>
        </w:trPr>
        <w:tc>
          <w:tcPr>
            <w:tcW w:w="20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of $19.9 million (31 December 2016: $19.6 million) has been charged to “other operating expenses” in the Consolidated Statement of Profit and Loss.</w:t>
      </w:r>
    </w:p>
    <w:p>
      <w:pPr>
        <w:spacing w:after="0" w:line="39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239"/>
          </w:cols>
          <w:pgMar w:left="220" w:top="762" w:right="1440" w:bottom="1440" w:gutter="0" w:footer="0" w:header="0"/>
        </w:sectPr>
      </w:pPr>
    </w:p>
    <w:bookmarkStart w:id="82" w:name="page83"/>
    <w:bookmarkEnd w:id="82"/>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13. Intangible assets – goodwill and other</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5"/>
        </w:trPr>
        <w:tc>
          <w:tcPr>
            <w:tcW w:w="1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76"/>
        </w:trPr>
        <w:tc>
          <w:tcPr>
            <w:tcW w:w="1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Trade</w:t>
            </w: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9"/>
        </w:trPr>
        <w:tc>
          <w:tcPr>
            <w:tcW w:w="19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Computer</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Customer</w:t>
            </w: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Order</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Technology</w:t>
            </w:r>
          </w:p>
        </w:tc>
        <w:tc>
          <w:tcPr>
            <w:tcW w:w="12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5"/>
              </w:rPr>
              <w:t>Name and Non-</w:t>
            </w: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5"/>
        </w:trPr>
        <w:tc>
          <w:tcPr>
            <w:tcW w:w="19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Software</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Relationships</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4"/>
              </w:rPr>
              <w:t>Volunteer List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Backlog</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Asset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Competes</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Goodwill</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196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0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217,722</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121,288</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1,325</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24,442</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9,404</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3,044</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783,066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1,160,291</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27,637</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27,637</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Disposal</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(466)</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Prior period acquisition</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(7,775)</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6,874</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1,048</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147</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(655)</w:t>
            </w:r>
          </w:p>
        </w:tc>
        <w:tc>
          <w:tcPr>
            <w:tcW w:w="1020" w:type="dxa"/>
            <w:vAlign w:val="bottom"/>
          </w:tcPr>
          <w:p>
            <w:pPr>
              <w:jc w:val="right"/>
              <w:spacing w:after="0"/>
              <w:rPr>
                <w:sz w:val="20"/>
                <w:szCs w:val="20"/>
                <w:color w:val="auto"/>
              </w:rPr>
            </w:pPr>
            <w:r>
              <w:rPr>
                <w:rFonts w:ascii="Arial" w:cs="Arial" w:eastAsia="Arial" w:hAnsi="Arial"/>
                <w:sz w:val="14"/>
                <w:szCs w:val="14"/>
                <w:color w:val="auto"/>
              </w:rPr>
              <w:t>(1,520)</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(707)</w:t>
            </w:r>
          </w:p>
        </w:tc>
        <w:tc>
          <w:tcPr>
            <w:tcW w:w="860" w:type="dxa"/>
            <w:vAlign w:val="bottom"/>
          </w:tcPr>
          <w:p>
            <w:pPr>
              <w:jc w:val="right"/>
              <w:spacing w:after="0"/>
              <w:rPr>
                <w:sz w:val="20"/>
                <w:szCs w:val="20"/>
                <w:color w:val="auto"/>
              </w:rPr>
            </w:pPr>
            <w:r>
              <w:rPr>
                <w:rFonts w:ascii="Arial" w:cs="Arial" w:eastAsia="Arial" w:hAnsi="Arial"/>
                <w:sz w:val="14"/>
                <w:szCs w:val="14"/>
                <w:color w:val="auto"/>
              </w:rPr>
              <w:t>(422)</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(56)</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(13,845)</w:t>
            </w:r>
          </w:p>
        </w:tc>
        <w:tc>
          <w:tcPr>
            <w:tcW w:w="820" w:type="dxa"/>
            <w:vAlign w:val="bottom"/>
          </w:tcPr>
          <w:p>
            <w:pPr>
              <w:jc w:val="right"/>
              <w:spacing w:after="0"/>
              <w:rPr>
                <w:sz w:val="20"/>
                <w:szCs w:val="20"/>
                <w:color w:val="auto"/>
              </w:rPr>
            </w:pPr>
            <w:r>
              <w:rPr>
                <w:rFonts w:ascii="Arial" w:cs="Arial" w:eastAsia="Arial" w:hAnsi="Arial"/>
                <w:sz w:val="14"/>
                <w:szCs w:val="14"/>
                <w:color w:val="auto"/>
              </w:rPr>
              <w:t>(17,205)</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244,238</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111,993</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1,325</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30,609</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8,982</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2,988</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770,269</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1,170,404</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Amortisation</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2018</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159,772</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56,935</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1,325</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19,467</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8,143</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2,003</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247,645</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Amortised in the year</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30,564</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11,738</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1,342</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1,243</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1,033</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45,920</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Disposal</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(466)</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(591)</w:t>
            </w:r>
          </w:p>
        </w:tc>
        <w:tc>
          <w:tcPr>
            <w:tcW w:w="1020" w:type="dxa"/>
            <w:vAlign w:val="bottom"/>
          </w:tcPr>
          <w:p>
            <w:pPr>
              <w:jc w:val="right"/>
              <w:spacing w:after="0"/>
              <w:rPr>
                <w:sz w:val="20"/>
                <w:szCs w:val="20"/>
                <w:color w:val="auto"/>
              </w:rPr>
            </w:pPr>
            <w:r>
              <w:rPr>
                <w:rFonts w:ascii="Arial" w:cs="Arial" w:eastAsia="Arial" w:hAnsi="Arial"/>
                <w:sz w:val="14"/>
                <w:szCs w:val="14"/>
                <w:color w:val="auto"/>
              </w:rPr>
              <w:t>(727)</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(200)</w:t>
            </w:r>
          </w:p>
        </w:tc>
        <w:tc>
          <w:tcPr>
            <w:tcW w:w="860" w:type="dxa"/>
            <w:vAlign w:val="bottom"/>
          </w:tcPr>
          <w:p>
            <w:pPr>
              <w:jc w:val="right"/>
              <w:spacing w:after="0"/>
              <w:rPr>
                <w:sz w:val="20"/>
                <w:szCs w:val="20"/>
                <w:color w:val="auto"/>
              </w:rPr>
            </w:pPr>
            <w:r>
              <w:rPr>
                <w:rFonts w:ascii="Arial" w:cs="Arial" w:eastAsia="Arial" w:hAnsi="Arial"/>
                <w:sz w:val="14"/>
                <w:szCs w:val="14"/>
                <w:color w:val="auto"/>
              </w:rPr>
              <w:t>(404)</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(56)</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(1,978)</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189,279</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67,946</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1,325</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20,609</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8,982</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2,980</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291,121</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Net book value</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4"/>
        </w:trPr>
        <w:tc>
          <w:tcPr>
            <w:tcW w:w="19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54,959</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44,047</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10,000</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8</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770,269</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879,283</w:t>
            </w:r>
          </w:p>
        </w:tc>
      </w:tr>
      <w:tr>
        <w:trPr>
          <w:trHeight w:val="23"/>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4"/>
        </w:trPr>
        <w:tc>
          <w:tcPr>
            <w:tcW w:w="19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At 31 December 2017</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57,950</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64,353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4,975</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1,261</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1,041</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783,066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912,646</w:t>
            </w:r>
          </w:p>
        </w:tc>
      </w:tr>
      <w:tr>
        <w:trPr>
          <w:trHeight w:val="23"/>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29"/>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99" w:right="1440"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Computer</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Customer</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Order</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Technology</w:t>
            </w:r>
          </w:p>
        </w:tc>
        <w:tc>
          <w:tcPr>
            <w:tcW w:w="13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Trade Name and</w:t>
            </w: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5"/>
        </w:trPr>
        <w:tc>
          <w:tcPr>
            <w:tcW w:w="19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Software</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3"/>
              </w:rPr>
              <w:t>Relationships</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4"/>
              </w:rPr>
              <w:t>Volunteer List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9"/>
              </w:rPr>
              <w:t>Backlog</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Asset</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Non-Competes</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Goodwill</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192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134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191,363</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95,916</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1,325</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17,531</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8,233</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1,487</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630,096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945,951</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24,919</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24,919</w:t>
            </w: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Disposal</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(421)</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(421)</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Arising on acquisition</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1,103</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25,844</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6,461</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129,222</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162,630</w:t>
            </w: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Prior period acquisition</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(2,903)</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(61)</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1,409</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1,393</w:t>
            </w:r>
          </w:p>
        </w:tc>
        <w:tc>
          <w:tcPr>
            <w:tcW w:w="82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758</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2,431</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511</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1,171</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148</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22,355</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27,374</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217,722</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121,288</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1,325</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24,442</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9,404</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3,044</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783,066</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1,160,291</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Amortisation</w:t>
            </w:r>
          </w:p>
        </w:tc>
        <w:tc>
          <w:tcPr>
            <w:tcW w:w="1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135,877</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44,118</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1,325</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14,930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6,031</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1,478</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203,759</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Amortised in the year</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23,560</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11,921</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4,385</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1,178</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377</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41,421</w:t>
            </w: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Disposal</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(368)</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703</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896</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152</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934</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148</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2,833</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159,772</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56,935</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1,325</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19,467</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8,143</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2,003</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247,645</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1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54"/>
        </w:trPr>
        <w:tc>
          <w:tcPr>
            <w:tcW w:w="1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8"/>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57,950</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64,353</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4,975</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1,261</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1,041</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783,066</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912,646</w:t>
            </w:r>
          </w:p>
        </w:tc>
      </w:tr>
      <w:tr>
        <w:trPr>
          <w:trHeight w:val="254"/>
        </w:trPr>
        <w:tc>
          <w:tcPr>
            <w:tcW w:w="19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2016</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55,486</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51,798</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2,601</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2,202</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630,096</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742,192</w:t>
            </w:r>
          </w:p>
        </w:tc>
      </w:tr>
      <w:tr>
        <w:trPr>
          <w:trHeight w:val="21"/>
        </w:trPr>
        <w:tc>
          <w:tcPr>
            <w:tcW w:w="19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ind w:left="260"/>
        <w:spacing w:after="0"/>
        <w:rPr>
          <w:sz w:val="20"/>
          <w:szCs w:val="20"/>
          <w:color w:val="auto"/>
        </w:rPr>
      </w:pPr>
      <w:r>
        <w:rPr>
          <w:rFonts w:ascii="Arial" w:cs="Arial" w:eastAsia="Arial" w:hAnsi="Arial"/>
          <w:sz w:val="12"/>
          <w:szCs w:val="12"/>
          <w:color w:val="auto"/>
        </w:rPr>
        <w:t>Amortisation expense of $45.9 million (31 December 2017: $41.4 million) has been charged to ‘other operating expenses’ in the Consolidated Statement of Profit and Loss.</w:t>
      </w:r>
    </w:p>
    <w:p>
      <w:pPr>
        <w:spacing w:after="0" w:line="33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239"/>
          </w:cols>
          <w:pgMar w:left="220" w:top="995" w:right="1440"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review of goodwill</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Goodwill acquired through business combinations has been allocated to the Group’s clinical research cash-generating unit (“CGU”). The CGU identified represents the lowest level within the Group at which goodwill is monitored and are not larger than the operating segment determined in accordance with IFRS 8 </w:t>
      </w:r>
      <w:r>
        <w:rPr>
          <w:rFonts w:ascii="Arial" w:cs="Arial" w:eastAsia="Arial" w:hAnsi="Arial"/>
          <w:sz w:val="14"/>
          <w:szCs w:val="14"/>
          <w:i w:val="1"/>
          <w:iCs w:val="1"/>
          <w:color w:val="auto"/>
        </w:rPr>
        <w:t>Operating Segments</w:t>
      </w:r>
      <w:r>
        <w:rPr>
          <w:rFonts w:ascii="Arial" w:cs="Arial" w:eastAsia="Arial" w:hAnsi="Arial"/>
          <w:sz w:val="14"/>
          <w:szCs w:val="14"/>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Group has identified one CGU in accordance with the provisions of IAS 36 </w:t>
      </w:r>
      <w:r>
        <w:rPr>
          <w:rFonts w:ascii="Arial" w:cs="Arial" w:eastAsia="Arial" w:hAnsi="Arial"/>
          <w:sz w:val="14"/>
          <w:szCs w:val="14"/>
          <w:i w:val="1"/>
          <w:iCs w:val="1"/>
          <w:color w:val="auto"/>
        </w:rPr>
        <w:t>Impairment of Assets</w:t>
      </w:r>
      <w:r>
        <w:rPr>
          <w:rFonts w:ascii="Arial" w:cs="Arial" w:eastAsia="Arial" w:hAnsi="Arial"/>
          <w:sz w:val="14"/>
          <w:szCs w:val="14"/>
          <w:color w:val="auto"/>
        </w:rPr>
        <w:t xml:space="preserv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30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31 December</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 December</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0" w:type="dxa"/>
            <w:vAlign w:val="bottom"/>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59"/>
        </w:trPr>
        <w:tc>
          <w:tcPr>
            <w:tcW w:w="298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Goodwill</w:t>
            </w:r>
          </w:p>
        </w:tc>
        <w:tc>
          <w:tcPr>
            <w:tcW w:w="3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7"/>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Clinical research</w:t>
            </w:r>
          </w:p>
        </w:tc>
        <w:tc>
          <w:tcPr>
            <w:tcW w:w="30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770,269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783,066</w:t>
            </w:r>
          </w:p>
        </w:tc>
      </w:tr>
      <w:tr>
        <w:trPr>
          <w:trHeight w:val="223"/>
        </w:trPr>
        <w:tc>
          <w:tcPr>
            <w:tcW w:w="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770,269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783,066</w:t>
            </w:r>
          </w:p>
        </w:tc>
      </w:tr>
      <w:tr>
        <w:trPr>
          <w:trHeight w:val="21"/>
        </w:trPr>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testing methodology and results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Goodwill is subject to impairment testing on an annual basis or more frequently if facts or circumstances warrant such a review.</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 growth model. In calculating the terminal value a long-term growth rate of 2% has been applied to the estimated maintainable cash flow in the terminal year.</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applied in determining the five year projected cash flows of the Clinical Research CGU at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24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31 December</w:t>
            </w:r>
          </w:p>
        </w:tc>
        <w:tc>
          <w:tcPr>
            <w:tcW w:w="13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31 December</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2017</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Expected revenue growth rate</w:t>
            </w:r>
          </w:p>
        </w:tc>
        <w:tc>
          <w:tcPr>
            <w:tcW w:w="2240" w:type="dxa"/>
            <w:vAlign w:val="bottom"/>
          </w:tcPr>
          <w:p>
            <w:pPr>
              <w:jc w:val="right"/>
              <w:ind w:right="169"/>
              <w:spacing w:after="0"/>
              <w:rPr>
                <w:sz w:val="20"/>
                <w:szCs w:val="20"/>
                <w:color w:val="auto"/>
              </w:rPr>
            </w:pPr>
            <w:r>
              <w:rPr>
                <w:rFonts w:ascii="Arial" w:cs="Arial" w:eastAsia="Arial" w:hAnsi="Arial"/>
                <w:sz w:val="14"/>
                <w:szCs w:val="14"/>
                <w:b w:val="1"/>
                <w:bCs w:val="1"/>
                <w:color w:val="auto"/>
              </w:rPr>
              <w:t>6%</w:t>
            </w:r>
          </w:p>
        </w:tc>
        <w:tc>
          <w:tcPr>
            <w:tcW w:w="1360" w:type="dxa"/>
            <w:vAlign w:val="bottom"/>
          </w:tcPr>
          <w:p>
            <w:pPr>
              <w:jc w:val="right"/>
              <w:ind w:right="149"/>
              <w:spacing w:after="0"/>
              <w:rPr>
                <w:sz w:val="20"/>
                <w:szCs w:val="20"/>
                <w:color w:val="auto"/>
              </w:rPr>
            </w:pPr>
            <w:r>
              <w:rPr>
                <w:rFonts w:ascii="Arial" w:cs="Arial" w:eastAsia="Arial" w:hAnsi="Arial"/>
                <w:sz w:val="14"/>
                <w:szCs w:val="14"/>
                <w:color w:val="auto"/>
              </w:rPr>
              <w:t>6%</w:t>
            </w:r>
          </w:p>
        </w:tc>
      </w:tr>
      <w:tr>
        <w:trPr>
          <w:trHeight w:val="21"/>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growth rate for operating costs</w:t>
            </w:r>
          </w:p>
        </w:tc>
        <w:tc>
          <w:tcPr>
            <w:tcW w:w="2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5.5%</w:t>
            </w:r>
          </w:p>
        </w:tc>
        <w:tc>
          <w:tcPr>
            <w:tcW w:w="13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5.5%</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Expected effective tax rate</w:t>
            </w:r>
          </w:p>
        </w:tc>
        <w:tc>
          <w:tcPr>
            <w:tcW w:w="2240" w:type="dxa"/>
            <w:vAlign w:val="bottom"/>
          </w:tcPr>
          <w:p>
            <w:pPr>
              <w:jc w:val="right"/>
              <w:ind w:right="169"/>
              <w:spacing w:after="0"/>
              <w:rPr>
                <w:sz w:val="20"/>
                <w:szCs w:val="20"/>
                <w:color w:val="auto"/>
              </w:rPr>
            </w:pPr>
            <w:r>
              <w:rPr>
                <w:rFonts w:ascii="Arial" w:cs="Arial" w:eastAsia="Arial" w:hAnsi="Arial"/>
                <w:sz w:val="14"/>
                <w:szCs w:val="14"/>
                <w:b w:val="1"/>
                <w:bCs w:val="1"/>
                <w:color w:val="auto"/>
              </w:rPr>
              <w:t>12%</w:t>
            </w:r>
          </w:p>
        </w:tc>
        <w:tc>
          <w:tcPr>
            <w:tcW w:w="1360" w:type="dxa"/>
            <w:vAlign w:val="bottom"/>
          </w:tcPr>
          <w:p>
            <w:pPr>
              <w:jc w:val="right"/>
              <w:ind w:right="149"/>
              <w:spacing w:after="0"/>
              <w:rPr>
                <w:sz w:val="20"/>
                <w:szCs w:val="20"/>
                <w:color w:val="auto"/>
              </w:rPr>
            </w:pPr>
            <w:r>
              <w:rPr>
                <w:rFonts w:ascii="Arial" w:cs="Arial" w:eastAsia="Arial" w:hAnsi="Arial"/>
                <w:sz w:val="14"/>
                <w:szCs w:val="14"/>
                <w:color w:val="auto"/>
              </w:rPr>
              <w:t>12%</w:t>
            </w:r>
          </w:p>
        </w:tc>
      </w:tr>
      <w:tr>
        <w:trPr>
          <w:trHeight w:val="21"/>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movement in creditors</w:t>
            </w:r>
          </w:p>
        </w:tc>
        <w:tc>
          <w:tcPr>
            <w:tcW w:w="2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5.5%</w:t>
            </w:r>
          </w:p>
        </w:tc>
        <w:tc>
          <w:tcPr>
            <w:tcW w:w="13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5.5%</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Expected days sales outstanding</w:t>
            </w:r>
          </w:p>
        </w:tc>
        <w:tc>
          <w:tcPr>
            <w:tcW w:w="2240" w:type="dxa"/>
            <w:vAlign w:val="bottom"/>
          </w:tcPr>
          <w:p>
            <w:pPr>
              <w:jc w:val="right"/>
              <w:ind w:right="309"/>
              <w:spacing w:after="0"/>
              <w:rPr>
                <w:sz w:val="20"/>
                <w:szCs w:val="20"/>
                <w:color w:val="auto"/>
              </w:rPr>
            </w:pPr>
            <w:r>
              <w:rPr>
                <w:rFonts w:ascii="Arial" w:cs="Arial" w:eastAsia="Arial" w:hAnsi="Arial"/>
                <w:sz w:val="14"/>
                <w:szCs w:val="14"/>
                <w:b w:val="1"/>
                <w:bCs w:val="1"/>
                <w:color w:val="auto"/>
              </w:rPr>
              <w:t>67 days</w:t>
            </w:r>
          </w:p>
        </w:tc>
        <w:tc>
          <w:tcPr>
            <w:tcW w:w="1360" w:type="dxa"/>
            <w:vAlign w:val="bottom"/>
          </w:tcPr>
          <w:p>
            <w:pPr>
              <w:jc w:val="right"/>
              <w:ind w:right="249"/>
              <w:spacing w:after="0"/>
              <w:rPr>
                <w:sz w:val="20"/>
                <w:szCs w:val="20"/>
                <w:color w:val="auto"/>
              </w:rPr>
            </w:pPr>
            <w:r>
              <w:rPr>
                <w:rFonts w:ascii="Arial" w:cs="Arial" w:eastAsia="Arial" w:hAnsi="Arial"/>
                <w:sz w:val="14"/>
                <w:szCs w:val="14"/>
                <w:color w:val="auto"/>
              </w:rPr>
              <w:t>49 days</w:t>
            </w:r>
          </w:p>
        </w:tc>
      </w:tr>
      <w:tr>
        <w:trPr>
          <w:trHeight w:val="21"/>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capital expenditure growth rate</w:t>
            </w:r>
          </w:p>
        </w:tc>
        <w:tc>
          <w:tcPr>
            <w:tcW w:w="2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2%</w:t>
            </w:r>
          </w:p>
        </w:tc>
        <w:tc>
          <w:tcPr>
            <w:tcW w:w="13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2%</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2240" w:type="dxa"/>
            <w:vAlign w:val="bottom"/>
          </w:tcPr>
          <w:p>
            <w:pPr>
              <w:jc w:val="right"/>
              <w:ind w:right="169"/>
              <w:spacing w:after="0"/>
              <w:rPr>
                <w:sz w:val="20"/>
                <w:szCs w:val="20"/>
                <w:color w:val="auto"/>
              </w:rPr>
            </w:pPr>
            <w:r>
              <w:rPr>
                <w:rFonts w:ascii="Arial" w:cs="Arial" w:eastAsia="Arial" w:hAnsi="Arial"/>
                <w:sz w:val="14"/>
                <w:szCs w:val="14"/>
                <w:b w:val="1"/>
                <w:bCs w:val="1"/>
                <w:color w:val="auto"/>
              </w:rPr>
              <w:t>10%</w:t>
            </w:r>
          </w:p>
        </w:tc>
        <w:tc>
          <w:tcPr>
            <w:tcW w:w="1360" w:type="dxa"/>
            <w:vAlign w:val="bottom"/>
          </w:tcPr>
          <w:p>
            <w:pPr>
              <w:jc w:val="right"/>
              <w:ind w:right="149"/>
              <w:spacing w:after="0"/>
              <w:rPr>
                <w:sz w:val="20"/>
                <w:szCs w:val="20"/>
                <w:color w:val="auto"/>
              </w:rPr>
            </w:pPr>
            <w:r>
              <w:rPr>
                <w:rFonts w:ascii="Arial" w:cs="Arial" w:eastAsia="Arial" w:hAnsi="Arial"/>
                <w:sz w:val="14"/>
                <w:szCs w:val="14"/>
                <w:color w:val="auto"/>
              </w:rPr>
              <w:t>10%</w:t>
            </w:r>
          </w:p>
        </w:tc>
      </w:tr>
      <w:tr>
        <w:trPr>
          <w:trHeight w:val="23"/>
        </w:trPr>
        <w:tc>
          <w:tcPr>
            <w:tcW w:w="3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line="295" w:lineRule="auto"/>
        <w:rPr>
          <w:sz w:val="20"/>
          <w:szCs w:val="20"/>
          <w:color w:val="auto"/>
        </w:rPr>
      </w:pPr>
      <w:r>
        <w:rPr>
          <w:rFonts w:ascii="Arial" w:cs="Arial" w:eastAsia="Arial" w:hAnsi="Arial"/>
          <w:sz w:val="11"/>
          <w:szCs w:val="11"/>
          <w:color w:val="auto"/>
        </w:rPr>
        <w:t>*Days sales outstanding (DSO) is a a measure of the number of days in the period that the company takes to collect revenue. DSO is calculated based on trade debtors less payments on account divided by gross revenue multiplied by number of days in the period.</w:t>
      </w:r>
    </w:p>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Expected revenue growth and the expected growth in operating costs are determined based upon the expected growth rates used in preparing the Group’s budgets and strategic plans. In estimating budget revenue, consideration is given to current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60"/>
          </w:cols>
          <w:pgMar w:left="220" w:top="995" w:right="21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12% has been applied in determining the projected after tax cash flows.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50 to 60 days. Creditors are expected to increase in line with operating costs. Capital expenditure is expected to increase in line with the Group’s projected capital expenditure investment targets.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 pre-tax discount rate of 10% (2017: 10%)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excess of the value-in-use of the CGU at 31 December 2018, based on the assumptions above, has been calculated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31 December</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 December</w:t>
            </w:r>
          </w:p>
        </w:tc>
      </w:tr>
      <w:tr>
        <w:trPr>
          <w:trHeight w:val="185"/>
        </w:trPr>
        <w:tc>
          <w:tcPr>
            <w:tcW w:w="38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820" w:type="dxa"/>
            <w:vAlign w:val="bottom"/>
          </w:tcPr>
          <w:p>
            <w:pPr>
              <w:spacing w:after="0"/>
              <w:rPr>
                <w:sz w:val="16"/>
                <w:szCs w:val="16"/>
                <w:color w:val="auto"/>
              </w:rPr>
            </w:pPr>
          </w:p>
        </w:tc>
        <w:tc>
          <w:tcPr>
            <w:tcW w:w="2100" w:type="dxa"/>
            <w:vAlign w:val="bottom"/>
          </w:tcPr>
          <w:p>
            <w:pPr>
              <w:jc w:val="right"/>
              <w:ind w:right="129"/>
              <w:spacing w:after="0"/>
              <w:rPr>
                <w:sz w:val="20"/>
                <w:szCs w:val="20"/>
                <w:color w:val="auto"/>
              </w:rPr>
            </w:pPr>
            <w:r>
              <w:rPr>
                <w:rFonts w:ascii="Arial" w:cs="Arial" w:eastAsia="Arial" w:hAnsi="Arial"/>
                <w:sz w:val="14"/>
                <w:szCs w:val="14"/>
                <w:b w:val="1"/>
                <w:bCs w:val="1"/>
                <w:color w:val="auto"/>
              </w:rPr>
              <w:t>$’m</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$’m</w:t>
            </w:r>
          </w:p>
        </w:tc>
      </w:tr>
      <w:tr>
        <w:trPr>
          <w:trHeight w:val="21"/>
        </w:trPr>
        <w:tc>
          <w:tcPr>
            <w:tcW w:w="3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3"/>
        </w:trPr>
        <w:tc>
          <w:tcPr>
            <w:tcW w:w="38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90"/>
        </w:trPr>
        <w:tc>
          <w:tcPr>
            <w:tcW w:w="3820" w:type="dxa"/>
            <w:vAlign w:val="bottom"/>
          </w:tcPr>
          <w:p>
            <w:pPr>
              <w:ind w:left="20"/>
              <w:spacing w:after="0"/>
              <w:rPr>
                <w:sz w:val="20"/>
                <w:szCs w:val="20"/>
                <w:color w:val="auto"/>
              </w:rPr>
            </w:pPr>
            <w:r>
              <w:rPr>
                <w:rFonts w:ascii="Arial" w:cs="Arial" w:eastAsia="Arial" w:hAnsi="Arial"/>
                <w:sz w:val="14"/>
                <w:szCs w:val="14"/>
                <w:color w:val="auto"/>
              </w:rPr>
              <w:t>Value-in use (present value of future cash flows)</w:t>
            </w:r>
          </w:p>
        </w:tc>
        <w:tc>
          <w:tcPr>
            <w:tcW w:w="2100" w:type="dxa"/>
            <w:vAlign w:val="bottom"/>
          </w:tcPr>
          <w:p>
            <w:pPr>
              <w:jc w:val="right"/>
              <w:ind w:right="129"/>
              <w:spacing w:after="0"/>
              <w:rPr>
                <w:sz w:val="20"/>
                <w:szCs w:val="20"/>
                <w:color w:val="auto"/>
              </w:rPr>
            </w:pPr>
            <w:r>
              <w:rPr>
                <w:rFonts w:ascii="Arial" w:cs="Arial" w:eastAsia="Arial" w:hAnsi="Arial"/>
                <w:sz w:val="14"/>
                <w:szCs w:val="14"/>
                <w:b w:val="1"/>
                <w:bCs w:val="1"/>
                <w:color w:val="auto"/>
              </w:rPr>
              <w:t>5,506</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5,150</w:t>
            </w:r>
          </w:p>
        </w:tc>
      </w:tr>
      <w:tr>
        <w:trPr>
          <w:trHeight w:val="21"/>
        </w:trPr>
        <w:tc>
          <w:tcPr>
            <w:tcW w:w="3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Carrying amount of the Clinical Research CGU</w:t>
            </w:r>
          </w:p>
        </w:tc>
        <w:tc>
          <w:tcPr>
            <w:tcW w:w="21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(1,736)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r>
      <w:tr>
        <w:trPr>
          <w:trHeight w:val="223"/>
        </w:trPr>
        <w:tc>
          <w:tcPr>
            <w:tcW w:w="382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Excess of value-in-use over carrying value</w:t>
            </w:r>
          </w:p>
        </w:tc>
        <w:tc>
          <w:tcPr>
            <w:tcW w:w="2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3,770</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3,920</w:t>
            </w:r>
          </w:p>
        </w:tc>
      </w:tr>
      <w:tr>
        <w:trPr>
          <w:trHeight w:val="21"/>
        </w:trPr>
        <w:tc>
          <w:tcPr>
            <w:tcW w:w="38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Analysis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 sensitivity analysis to determine if reasonable changes in key assumptions could lead to an impairment was conducted at 31 December 2018 using the following revised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shd w:val="clear" w:color="auto" w:fill="CCEEFF"/>
          </w:tcPr>
          <w:p>
            <w:pPr>
              <w:spacing w:after="0"/>
              <w:rPr>
                <w:sz w:val="15"/>
                <w:szCs w:val="15"/>
                <w:color w:val="auto"/>
              </w:rPr>
            </w:pPr>
          </w:p>
        </w:tc>
        <w:tc>
          <w:tcPr>
            <w:tcW w:w="2340" w:type="dxa"/>
            <w:vAlign w:val="bottom"/>
            <w:shd w:val="clear" w:color="auto" w:fill="CCEEFF"/>
          </w:tcPr>
          <w:p>
            <w:pPr>
              <w:jc w:val="right"/>
              <w:ind w:right="285"/>
              <w:spacing w:after="0"/>
              <w:rPr>
                <w:sz w:val="20"/>
                <w:szCs w:val="20"/>
                <w:color w:val="auto"/>
              </w:rPr>
            </w:pPr>
            <w:r>
              <w:rPr>
                <w:rFonts w:ascii="Arial" w:cs="Arial" w:eastAsia="Arial" w:hAnsi="Arial"/>
                <w:sz w:val="14"/>
                <w:szCs w:val="14"/>
                <w:b w:val="1"/>
                <w:bCs w:val="1"/>
                <w:color w:val="auto"/>
              </w:rPr>
              <w:t>31 December</w:t>
            </w:r>
          </w:p>
        </w:tc>
        <w:tc>
          <w:tcPr>
            <w:tcW w:w="110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31 December</w:t>
            </w: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4"/>
                <w:szCs w:val="14"/>
                <w:color w:val="auto"/>
              </w:rPr>
              <w:t>2017</w:t>
            </w:r>
          </w:p>
        </w:tc>
      </w:tr>
      <w:tr>
        <w:trPr>
          <w:trHeight w:val="213"/>
        </w:trPr>
        <w:tc>
          <w:tcPr>
            <w:tcW w:w="3520" w:type="dxa"/>
            <w:vAlign w:val="bottom"/>
          </w:tcPr>
          <w:p>
            <w:pPr>
              <w:ind w:left="20"/>
              <w:spacing w:after="0"/>
              <w:rPr>
                <w:sz w:val="20"/>
                <w:szCs w:val="20"/>
                <w:color w:val="auto"/>
              </w:rPr>
            </w:pPr>
            <w:r>
              <w:rPr>
                <w:rFonts w:ascii="Arial" w:cs="Arial" w:eastAsia="Arial" w:hAnsi="Arial"/>
                <w:sz w:val="14"/>
                <w:szCs w:val="14"/>
                <w:color w:val="auto"/>
              </w:rPr>
              <w:t>Expected revenue growth rate</w:t>
            </w:r>
          </w:p>
        </w:tc>
        <w:tc>
          <w:tcPr>
            <w:tcW w:w="2340" w:type="dxa"/>
            <w:vAlign w:val="bottom"/>
          </w:tcPr>
          <w:p>
            <w:pPr>
              <w:jc w:val="right"/>
              <w:ind w:right="85"/>
              <w:spacing w:after="0"/>
              <w:rPr>
                <w:sz w:val="20"/>
                <w:szCs w:val="20"/>
                <w:color w:val="auto"/>
              </w:rPr>
            </w:pPr>
            <w:r>
              <w:rPr>
                <w:rFonts w:ascii="Arial" w:cs="Arial" w:eastAsia="Arial" w:hAnsi="Arial"/>
                <w:sz w:val="16"/>
                <w:szCs w:val="16"/>
                <w:b w:val="1"/>
                <w:bCs w:val="1"/>
                <w:color w:val="auto"/>
              </w:rPr>
              <w:t>4%</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growth rate for operating costs</w:t>
            </w:r>
          </w:p>
        </w:tc>
        <w:tc>
          <w:tcPr>
            <w:tcW w:w="2340" w:type="dxa"/>
            <w:vAlign w:val="bottom"/>
            <w:shd w:val="clear" w:color="auto" w:fill="CCEEFF"/>
          </w:tcPr>
          <w:p>
            <w:pPr>
              <w:jc w:val="right"/>
              <w:ind w:right="85"/>
              <w:spacing w:after="0"/>
              <w:rPr>
                <w:sz w:val="20"/>
                <w:szCs w:val="20"/>
                <w:color w:val="auto"/>
              </w:rPr>
            </w:pPr>
            <w:r>
              <w:rPr>
                <w:rFonts w:ascii="Arial" w:cs="Arial" w:eastAsia="Arial" w:hAnsi="Arial"/>
                <w:sz w:val="16"/>
                <w:szCs w:val="16"/>
                <w:b w:val="1"/>
                <w:bCs w:val="1"/>
                <w:color w:val="auto"/>
              </w:rPr>
              <w:t>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3520" w:type="dxa"/>
            <w:vAlign w:val="bottom"/>
          </w:tcPr>
          <w:p>
            <w:pPr>
              <w:ind w:left="20"/>
              <w:spacing w:after="0"/>
              <w:rPr>
                <w:sz w:val="20"/>
                <w:szCs w:val="20"/>
                <w:color w:val="auto"/>
              </w:rPr>
            </w:pPr>
            <w:r>
              <w:rPr>
                <w:rFonts w:ascii="Arial" w:cs="Arial" w:eastAsia="Arial" w:hAnsi="Arial"/>
                <w:sz w:val="14"/>
                <w:szCs w:val="14"/>
                <w:color w:val="auto"/>
              </w:rPr>
              <w:t>Expected capital expenditure growth rate</w:t>
            </w:r>
          </w:p>
        </w:tc>
        <w:tc>
          <w:tcPr>
            <w:tcW w:w="2340" w:type="dxa"/>
            <w:vAlign w:val="bottom"/>
          </w:tcPr>
          <w:p>
            <w:pPr>
              <w:jc w:val="right"/>
              <w:ind w:right="85"/>
              <w:spacing w:after="0"/>
              <w:rPr>
                <w:sz w:val="20"/>
                <w:szCs w:val="20"/>
                <w:color w:val="auto"/>
              </w:rPr>
            </w:pPr>
            <w:r>
              <w:rPr>
                <w:rFonts w:ascii="Arial" w:cs="Arial" w:eastAsia="Arial" w:hAnsi="Arial"/>
                <w:sz w:val="16"/>
                <w:szCs w:val="16"/>
                <w:b w:val="1"/>
                <w:bCs w:val="1"/>
                <w:color w:val="auto"/>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2"/>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3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b w:val="1"/>
                <w:bCs w:val="1"/>
                <w:color w:val="auto"/>
              </w:rPr>
              <w:t>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rPr>
          <w:sz w:val="20"/>
          <w:szCs w:val="20"/>
          <w:color w:val="auto"/>
        </w:rPr>
      </w:pPr>
      <w:r>
        <w:rPr>
          <w:rFonts w:ascii="Arial" w:cs="Arial" w:eastAsia="Arial" w:hAnsi="Arial"/>
          <w:sz w:val="11"/>
          <w:szCs w:val="11"/>
          <w:color w:val="auto"/>
        </w:rPr>
        <w:t>*All other inputs remained constant.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revised excess of the value-in-use of the CGU at 31 December 2018, using the alternative assumptions above, has been calculated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60"/>
          </w:cols>
          <w:pgMar w:left="220" w:top="995" w:right="21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31 December</w:t>
            </w:r>
          </w:p>
        </w:tc>
        <w:tc>
          <w:tcPr>
            <w:tcW w:w="14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31 December</w:t>
            </w:r>
          </w:p>
        </w:tc>
      </w:tr>
      <w:tr>
        <w:trPr>
          <w:trHeight w:val="185"/>
        </w:trPr>
        <w:tc>
          <w:tcPr>
            <w:tcW w:w="38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2017</w:t>
            </w:r>
          </w:p>
        </w:tc>
      </w:tr>
      <w:tr>
        <w:trPr>
          <w:trHeight w:val="190"/>
        </w:trPr>
        <w:tc>
          <w:tcPr>
            <w:tcW w:w="3820" w:type="dxa"/>
            <w:vAlign w:val="bottom"/>
          </w:tcPr>
          <w:p>
            <w:pPr>
              <w:spacing w:after="0"/>
              <w:rPr>
                <w:sz w:val="16"/>
                <w:szCs w:val="16"/>
                <w:color w:val="auto"/>
              </w:rPr>
            </w:pPr>
          </w:p>
        </w:tc>
        <w:tc>
          <w:tcPr>
            <w:tcW w:w="1720" w:type="dxa"/>
            <w:vAlign w:val="bottom"/>
          </w:tcPr>
          <w:p>
            <w:pPr>
              <w:jc w:val="right"/>
              <w:ind w:right="249"/>
              <w:spacing w:after="0"/>
              <w:rPr>
                <w:sz w:val="20"/>
                <w:szCs w:val="20"/>
                <w:color w:val="auto"/>
              </w:rPr>
            </w:pPr>
            <w:r>
              <w:rPr>
                <w:rFonts w:ascii="Arial" w:cs="Arial" w:eastAsia="Arial" w:hAnsi="Arial"/>
                <w:sz w:val="14"/>
                <w:szCs w:val="14"/>
                <w:b w:val="1"/>
                <w:bCs w:val="1"/>
                <w:color w:val="auto"/>
              </w:rPr>
              <w:t>$’m</w:t>
            </w:r>
          </w:p>
        </w:tc>
        <w:tc>
          <w:tcPr>
            <w:tcW w:w="1420" w:type="dxa"/>
            <w:vAlign w:val="bottom"/>
          </w:tcPr>
          <w:p>
            <w:pPr>
              <w:jc w:val="right"/>
              <w:ind w:right="269"/>
              <w:spacing w:after="0"/>
              <w:rPr>
                <w:sz w:val="20"/>
                <w:szCs w:val="20"/>
                <w:color w:val="auto"/>
              </w:rPr>
            </w:pPr>
            <w:r>
              <w:rPr>
                <w:rFonts w:ascii="Arial" w:cs="Arial" w:eastAsia="Arial" w:hAnsi="Arial"/>
                <w:sz w:val="14"/>
                <w:szCs w:val="14"/>
                <w:color w:val="auto"/>
              </w:rPr>
              <w:t>$’m</w:t>
            </w:r>
          </w:p>
        </w:tc>
      </w:tr>
      <w:tr>
        <w:trPr>
          <w:trHeight w:val="21"/>
        </w:trPr>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3"/>
        </w:trPr>
        <w:tc>
          <w:tcPr>
            <w:tcW w:w="38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0"/>
        </w:trPr>
        <w:tc>
          <w:tcPr>
            <w:tcW w:w="3820" w:type="dxa"/>
            <w:vAlign w:val="bottom"/>
          </w:tcPr>
          <w:p>
            <w:pPr>
              <w:ind w:left="20"/>
              <w:spacing w:after="0"/>
              <w:rPr>
                <w:sz w:val="20"/>
                <w:szCs w:val="20"/>
                <w:color w:val="auto"/>
              </w:rPr>
            </w:pPr>
            <w:r>
              <w:rPr>
                <w:rFonts w:ascii="Arial" w:cs="Arial" w:eastAsia="Arial" w:hAnsi="Arial"/>
                <w:sz w:val="14"/>
                <w:szCs w:val="14"/>
                <w:color w:val="auto"/>
              </w:rPr>
              <w:t>Revised value-in use (present value of future cash flows)</w:t>
            </w:r>
          </w:p>
        </w:tc>
        <w:tc>
          <w:tcPr>
            <w:tcW w:w="1720" w:type="dxa"/>
            <w:vAlign w:val="bottom"/>
          </w:tcPr>
          <w:p>
            <w:pPr>
              <w:jc w:val="right"/>
              <w:ind w:right="249"/>
              <w:spacing w:after="0"/>
              <w:rPr>
                <w:sz w:val="20"/>
                <w:szCs w:val="20"/>
                <w:color w:val="auto"/>
              </w:rPr>
            </w:pPr>
            <w:r>
              <w:rPr>
                <w:rFonts w:ascii="Arial" w:cs="Arial" w:eastAsia="Arial" w:hAnsi="Arial"/>
                <w:sz w:val="14"/>
                <w:szCs w:val="14"/>
                <w:b w:val="1"/>
                <w:bCs w:val="1"/>
                <w:color w:val="auto"/>
              </w:rPr>
              <w:t>3,866</w:t>
            </w:r>
          </w:p>
        </w:tc>
        <w:tc>
          <w:tcPr>
            <w:tcW w:w="1420" w:type="dxa"/>
            <w:vAlign w:val="bottom"/>
          </w:tcPr>
          <w:p>
            <w:pPr>
              <w:jc w:val="right"/>
              <w:ind w:right="269"/>
              <w:spacing w:after="0"/>
              <w:rPr>
                <w:sz w:val="20"/>
                <w:szCs w:val="20"/>
                <w:color w:val="auto"/>
              </w:rPr>
            </w:pPr>
            <w:r>
              <w:rPr>
                <w:rFonts w:ascii="Arial" w:cs="Arial" w:eastAsia="Arial" w:hAnsi="Arial"/>
                <w:sz w:val="14"/>
                <w:szCs w:val="14"/>
                <w:color w:val="auto"/>
              </w:rPr>
              <w:t>3,696</w:t>
            </w:r>
          </w:p>
        </w:tc>
      </w:tr>
      <w:tr>
        <w:trPr>
          <w:trHeight w:val="21"/>
        </w:trPr>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Carrying amount of the Clinical Research CGU</w:t>
            </w:r>
          </w:p>
        </w:tc>
        <w:tc>
          <w:tcPr>
            <w:tcW w:w="17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(1,736)</w:t>
            </w:r>
          </w:p>
        </w:tc>
        <w:tc>
          <w:tcPr>
            <w:tcW w:w="14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(1,230)</w:t>
            </w:r>
          </w:p>
        </w:tc>
      </w:tr>
      <w:tr>
        <w:trPr>
          <w:trHeight w:val="223"/>
        </w:trPr>
        <w:tc>
          <w:tcPr>
            <w:tcW w:w="3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Revised excess of value-in-use over carrying value</w:t>
            </w:r>
          </w:p>
        </w:tc>
        <w:tc>
          <w:tcPr>
            <w:tcW w:w="17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2,130</w:t>
            </w:r>
          </w:p>
        </w:tc>
        <w:tc>
          <w:tcPr>
            <w:tcW w:w="14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2,466</w:t>
            </w:r>
          </w:p>
        </w:tc>
      </w:tr>
      <w:tr>
        <w:trPr>
          <w:trHeight w:val="21"/>
        </w:trPr>
        <w:tc>
          <w:tcPr>
            <w:tcW w:w="38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As the excess of the recoverable amount over the carrying value of the cash generating unit was maintained despite changes in key assumptons, management have concluded that no reasonable change in key assumptions would result in an impairment of the CGU.</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acquisitions below have been accounted for as business combinations in accordance with the revised IFRS 3 </w:t>
      </w:r>
      <w:r>
        <w:rPr>
          <w:rFonts w:ascii="Arial" w:cs="Arial" w:eastAsia="Arial" w:hAnsi="Arial"/>
          <w:sz w:val="14"/>
          <w:szCs w:val="14"/>
          <w:i w:val="1"/>
          <w:iCs w:val="1"/>
          <w:color w:val="auto"/>
        </w:rPr>
        <w:t>Business Combinations</w:t>
      </w:r>
      <w:r>
        <w:rPr>
          <w:rFonts w:ascii="Arial" w:cs="Arial" w:eastAsia="Arial" w:hAnsi="Arial"/>
          <w:sz w:val="14"/>
          <w:szCs w:val="14"/>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Acquisition of Mapi Group</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On 27 July 2017, a subsidiary of the Company, ICON Clinical Research Limited, acquired Mapi Group. Mapi Group is a leading patient-centred health outcomes research and commercialisation company. Cash outflows on acquisition were $145.8 million.</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The acquisition of Mapi has been accounted for as a business combination in accordance with IFRS 3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 following table summarises the provisional estimates of the fair values of the assets acquired and liabilities assumed: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995" w:right="21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shd w:val="clear" w:color="auto" w:fill="CCEEFF"/>
          </w:tcPr>
          <w:p>
            <w:pPr>
              <w:spacing w:after="0"/>
              <w:rPr>
                <w:sz w:val="15"/>
                <w:szCs w:val="15"/>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 July</w:t>
            </w:r>
          </w:p>
        </w:tc>
      </w:tr>
      <w:tr>
        <w:trPr>
          <w:trHeight w:val="185"/>
        </w:trPr>
        <w:tc>
          <w:tcPr>
            <w:tcW w:w="428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r>
      <w:tr>
        <w:trPr>
          <w:trHeight w:val="176"/>
        </w:trPr>
        <w:tc>
          <w:tcPr>
            <w:tcW w:w="428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4280" w:type="dxa"/>
            <w:vAlign w:val="bottom"/>
          </w:tcPr>
          <w:p>
            <w:pPr>
              <w:spacing w:after="0"/>
              <w:rPr>
                <w:sz w:val="3"/>
                <w:szCs w:val="3"/>
                <w:color w:val="auto"/>
              </w:rPr>
            </w:pPr>
          </w:p>
        </w:tc>
        <w:tc>
          <w:tcPr>
            <w:tcW w:w="2680" w:type="dxa"/>
            <w:vAlign w:val="bottom"/>
          </w:tcPr>
          <w:p>
            <w:pPr>
              <w:spacing w:after="0"/>
              <w:rPr>
                <w:sz w:val="3"/>
                <w:szCs w:val="3"/>
                <w:color w:val="auto"/>
              </w:rPr>
            </w:pPr>
          </w:p>
        </w:tc>
      </w:tr>
      <w:tr>
        <w:trPr>
          <w:trHeight w:val="254"/>
        </w:trPr>
        <w:tc>
          <w:tcPr>
            <w:tcW w:w="428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Cash</w:t>
            </w:r>
          </w:p>
        </w:tc>
        <w:tc>
          <w:tcPr>
            <w:tcW w:w="2680" w:type="dxa"/>
            <w:vAlign w:val="bottom"/>
          </w:tcPr>
          <w:p>
            <w:pPr>
              <w:jc w:val="right"/>
              <w:spacing w:after="0"/>
              <w:rPr>
                <w:sz w:val="20"/>
                <w:szCs w:val="20"/>
                <w:color w:val="auto"/>
              </w:rPr>
            </w:pPr>
            <w:r>
              <w:rPr>
                <w:rFonts w:ascii="Arial" w:cs="Arial" w:eastAsia="Arial" w:hAnsi="Arial"/>
                <w:sz w:val="14"/>
                <w:szCs w:val="14"/>
                <w:color w:val="auto"/>
              </w:rPr>
              <w:t>19,649</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4,872</w:t>
            </w: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80" w:type="dxa"/>
            <w:vAlign w:val="bottom"/>
          </w:tcPr>
          <w:p>
            <w:pPr>
              <w:jc w:val="right"/>
              <w:spacing w:after="0"/>
              <w:rPr>
                <w:sz w:val="20"/>
                <w:szCs w:val="20"/>
                <w:color w:val="auto"/>
              </w:rPr>
            </w:pPr>
            <w:r>
              <w:rPr>
                <w:rFonts w:ascii="Arial" w:cs="Arial" w:eastAsia="Arial" w:hAnsi="Arial"/>
                <w:sz w:val="14"/>
                <w:szCs w:val="14"/>
                <w:color w:val="auto"/>
              </w:rPr>
              <w:t>130,270</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Order Book</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13,012</w:t>
            </w: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Customer Lists</w:t>
            </w:r>
          </w:p>
        </w:tc>
        <w:tc>
          <w:tcPr>
            <w:tcW w:w="2680" w:type="dxa"/>
            <w:vAlign w:val="bottom"/>
          </w:tcPr>
          <w:p>
            <w:pPr>
              <w:jc w:val="right"/>
              <w:spacing w:after="0"/>
              <w:rPr>
                <w:sz w:val="20"/>
                <w:szCs w:val="20"/>
                <w:color w:val="auto"/>
              </w:rPr>
            </w:pPr>
            <w:r>
              <w:rPr>
                <w:rFonts w:ascii="Arial" w:cs="Arial" w:eastAsia="Arial" w:hAnsi="Arial"/>
                <w:sz w:val="14"/>
                <w:szCs w:val="14"/>
                <w:color w:val="auto"/>
              </w:rPr>
              <w:t>18,392</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15,874</w:t>
            </w: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Unbilled revenue</w:t>
            </w:r>
          </w:p>
        </w:tc>
        <w:tc>
          <w:tcPr>
            <w:tcW w:w="2680" w:type="dxa"/>
            <w:vAlign w:val="bottom"/>
          </w:tcPr>
          <w:p>
            <w:pPr>
              <w:jc w:val="right"/>
              <w:spacing w:after="0"/>
              <w:rPr>
                <w:sz w:val="20"/>
                <w:szCs w:val="20"/>
                <w:color w:val="auto"/>
              </w:rPr>
            </w:pPr>
            <w:r>
              <w:rPr>
                <w:rFonts w:ascii="Arial" w:cs="Arial" w:eastAsia="Arial" w:hAnsi="Arial"/>
                <w:sz w:val="14"/>
                <w:szCs w:val="14"/>
                <w:color w:val="auto"/>
              </w:rPr>
              <w:t>6,984</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Prepayments and other current assets</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2,587</w:t>
            </w: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2680" w:type="dxa"/>
            <w:vAlign w:val="bottom"/>
          </w:tcPr>
          <w:p>
            <w:pPr>
              <w:jc w:val="right"/>
              <w:spacing w:after="0"/>
              <w:rPr>
                <w:sz w:val="20"/>
                <w:szCs w:val="20"/>
                <w:color w:val="auto"/>
              </w:rPr>
            </w:pPr>
            <w:r>
              <w:rPr>
                <w:rFonts w:ascii="Arial" w:cs="Arial" w:eastAsia="Arial" w:hAnsi="Arial"/>
                <w:sz w:val="14"/>
                <w:szCs w:val="14"/>
                <w:color w:val="auto"/>
              </w:rPr>
              <w:t>1,430</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4,262</w:t>
            </w: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680" w:type="dxa"/>
            <w:vAlign w:val="bottom"/>
          </w:tcPr>
          <w:p>
            <w:pPr>
              <w:jc w:val="right"/>
              <w:spacing w:after="0"/>
              <w:rPr>
                <w:sz w:val="20"/>
                <w:szCs w:val="20"/>
                <w:color w:val="auto"/>
              </w:rPr>
            </w:pPr>
            <w:r>
              <w:rPr>
                <w:rFonts w:ascii="Arial" w:cs="Arial" w:eastAsia="Arial" w:hAnsi="Arial"/>
                <w:sz w:val="14"/>
                <w:szCs w:val="14"/>
                <w:color w:val="auto"/>
              </w:rPr>
              <w:t>(2,994)</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on account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(31,445)</w:t>
            </w: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680" w:type="dxa"/>
            <w:vAlign w:val="bottom"/>
          </w:tcPr>
          <w:p>
            <w:pPr>
              <w:jc w:val="right"/>
              <w:spacing w:after="0"/>
              <w:rPr>
                <w:sz w:val="20"/>
                <w:szCs w:val="20"/>
                <w:color w:val="auto"/>
              </w:rPr>
            </w:pPr>
            <w:r>
              <w:rPr>
                <w:rFonts w:ascii="Arial" w:cs="Arial" w:eastAsia="Arial" w:hAnsi="Arial"/>
                <w:sz w:val="14"/>
                <w:szCs w:val="14"/>
                <w:color w:val="auto"/>
              </w:rPr>
              <w:t>(24,952)</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Non-current deferred tax liability</w:t>
            </w:r>
          </w:p>
        </w:tc>
        <w:tc>
          <w:tcPr>
            <w:tcW w:w="2680" w:type="dxa"/>
            <w:vAlign w:val="bottom"/>
          </w:tcPr>
          <w:p>
            <w:pPr>
              <w:jc w:val="right"/>
              <w:spacing w:after="0"/>
              <w:rPr>
                <w:sz w:val="20"/>
                <w:szCs w:val="20"/>
                <w:color w:val="auto"/>
              </w:rPr>
            </w:pPr>
            <w:r>
              <w:rPr>
                <w:rFonts w:ascii="Arial" w:cs="Arial" w:eastAsia="Arial" w:hAnsi="Arial"/>
                <w:sz w:val="14"/>
                <w:szCs w:val="14"/>
                <w:color w:val="auto"/>
              </w:rPr>
              <w:t>(11,104)</w:t>
            </w:r>
          </w:p>
        </w:tc>
      </w:tr>
      <w:tr>
        <w:trPr>
          <w:trHeight w:val="23"/>
        </w:trPr>
        <w:tc>
          <w:tcPr>
            <w:tcW w:w="4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54"/>
        </w:trPr>
        <w:tc>
          <w:tcPr>
            <w:tcW w:w="428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Net assets acquired</w:t>
            </w:r>
          </w:p>
        </w:tc>
        <w:tc>
          <w:tcPr>
            <w:tcW w:w="2680" w:type="dxa"/>
            <w:vAlign w:val="bottom"/>
          </w:tcPr>
          <w:p>
            <w:pPr>
              <w:jc w:val="right"/>
              <w:spacing w:after="0"/>
              <w:rPr>
                <w:sz w:val="20"/>
                <w:szCs w:val="20"/>
                <w:color w:val="auto"/>
              </w:rPr>
            </w:pPr>
            <w:r>
              <w:rPr>
                <w:rFonts w:ascii="Arial" w:cs="Arial" w:eastAsia="Arial" w:hAnsi="Arial"/>
                <w:sz w:val="14"/>
                <w:szCs w:val="14"/>
                <w:color w:val="auto"/>
              </w:rPr>
              <w:t>145,776</w:t>
            </w:r>
          </w:p>
        </w:tc>
      </w:tr>
      <w:tr>
        <w:trPr>
          <w:trHeight w:val="23"/>
        </w:trPr>
        <w:tc>
          <w:tcPr>
            <w:tcW w:w="4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254"/>
        </w:trPr>
        <w:tc>
          <w:tcPr>
            <w:tcW w:w="428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190"/>
        </w:trPr>
        <w:tc>
          <w:tcPr>
            <w:tcW w:w="4280" w:type="dxa"/>
            <w:vAlign w:val="bottom"/>
          </w:tcPr>
          <w:p>
            <w:pPr>
              <w:ind w:left="20"/>
              <w:spacing w:after="0"/>
              <w:rPr>
                <w:sz w:val="20"/>
                <w:szCs w:val="20"/>
                <w:color w:val="auto"/>
              </w:rPr>
            </w:pPr>
            <w:r>
              <w:rPr>
                <w:rFonts w:ascii="Arial" w:cs="Arial" w:eastAsia="Arial" w:hAnsi="Arial"/>
                <w:sz w:val="14"/>
                <w:szCs w:val="14"/>
                <w:color w:val="auto"/>
              </w:rPr>
              <w:t>Cash consideration</w:t>
            </w:r>
          </w:p>
        </w:tc>
        <w:tc>
          <w:tcPr>
            <w:tcW w:w="2680" w:type="dxa"/>
            <w:vAlign w:val="bottom"/>
          </w:tcPr>
          <w:p>
            <w:pPr>
              <w:jc w:val="right"/>
              <w:spacing w:after="0"/>
              <w:rPr>
                <w:sz w:val="20"/>
                <w:szCs w:val="20"/>
                <w:color w:val="auto"/>
              </w:rPr>
            </w:pPr>
            <w:r>
              <w:rPr>
                <w:rFonts w:ascii="Arial" w:cs="Arial" w:eastAsia="Arial" w:hAnsi="Arial"/>
                <w:sz w:val="14"/>
                <w:szCs w:val="14"/>
                <w:color w:val="auto"/>
              </w:rPr>
              <w:t>144,131</w:t>
            </w:r>
          </w:p>
        </w:tc>
      </w:tr>
      <w:tr>
        <w:trPr>
          <w:trHeight w:val="21"/>
        </w:trPr>
        <w:tc>
          <w:tcPr>
            <w:tcW w:w="4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1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Working capital adjustment</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1,645</w:t>
            </w:r>
          </w:p>
        </w:tc>
      </w:tr>
      <w:tr>
        <w:trPr>
          <w:trHeight w:val="190"/>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consideration</w:t>
            </w:r>
          </w:p>
        </w:tc>
        <w:tc>
          <w:tcPr>
            <w:tcW w:w="2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145,776</w:t>
            </w:r>
          </w:p>
        </w:tc>
      </w:tr>
      <w:tr>
        <w:trPr>
          <w:trHeight w:val="23"/>
        </w:trPr>
        <w:tc>
          <w:tcPr>
            <w:tcW w:w="4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*Goodwill represents the acquisition of an established workforce with experience in late phase commercialisation, analytics, real world evidence generation and strategic regulatory services in clinical trial services for biologics, drugs and devices. Goodwill related to the business acquired is not tax deductible. In finalising the goodwill on acquisition of Mapi in the twelve month period from acquisition, fair value adjustments were made which resulted in increases in other liabilities ($3.9 million), plant and equipment ($1.7 million), accounts receivable ($1.7 million) and income taxes receivable ($1.5 million) and decreases in unbilled revenue ($4.8 million), prepayments and other current assets ($1.9 million), other receivables ($1.0 million), payments on account ($2.6 million) and non-current deferred tax liability ($9.1 million). Customer list and order backlog assets were also finalised.</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proforma effect of the Mapi acquisition if completed on 1 January 2016 would have resulted in net revenue and net income for the fiscal years ending 31 December 2017 and 31 December 2016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60"/>
          </w:cols>
          <w:pgMar w:left="220" w:top="762" w:right="21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shd w:val="clear" w:color="auto" w:fill="CCEEFF"/>
          </w:tcPr>
          <w:p>
            <w:pPr>
              <w:spacing w:after="0"/>
              <w:rPr>
                <w:sz w:val="15"/>
                <w:szCs w:val="15"/>
                <w:color w:val="auto"/>
              </w:rPr>
            </w:pPr>
          </w:p>
        </w:tc>
        <w:tc>
          <w:tcPr>
            <w:tcW w:w="2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100" w:type="dxa"/>
            <w:vAlign w:val="bottom"/>
            <w:shd w:val="clear" w:color="auto" w:fill="CCEEFF"/>
          </w:tcPr>
          <w:p>
            <w:pPr>
              <w:spacing w:after="0"/>
              <w:rPr>
                <w:sz w:val="14"/>
                <w:szCs w:val="14"/>
                <w:color w:val="auto"/>
              </w:rPr>
            </w:pPr>
          </w:p>
        </w:tc>
        <w:tc>
          <w:tcPr>
            <w:tcW w:w="2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December</w:t>
            </w:r>
          </w:p>
        </w:tc>
      </w:tr>
      <w:tr>
        <w:trPr>
          <w:trHeight w:val="185"/>
        </w:trPr>
        <w:tc>
          <w:tcPr>
            <w:tcW w:w="310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2016</w:t>
            </w:r>
          </w:p>
        </w:tc>
      </w:tr>
      <w:tr>
        <w:trPr>
          <w:trHeight w:val="190"/>
        </w:trPr>
        <w:tc>
          <w:tcPr>
            <w:tcW w:w="3100" w:type="dxa"/>
            <w:vAlign w:val="bottom"/>
          </w:tcPr>
          <w:p>
            <w:pPr>
              <w:spacing w:after="0"/>
              <w:rPr>
                <w:sz w:val="16"/>
                <w:szCs w:val="16"/>
                <w:color w:val="auto"/>
              </w:rPr>
            </w:pP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0"/>
        </w:trPr>
        <w:tc>
          <w:tcPr>
            <w:tcW w:w="31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1,811,018</w:t>
            </w:r>
          </w:p>
        </w:tc>
        <w:tc>
          <w:tcPr>
            <w:tcW w:w="920" w:type="dxa"/>
            <w:vAlign w:val="bottom"/>
          </w:tcPr>
          <w:p>
            <w:pPr>
              <w:jc w:val="right"/>
              <w:spacing w:after="0"/>
              <w:rPr>
                <w:sz w:val="20"/>
                <w:szCs w:val="20"/>
                <w:color w:val="auto"/>
              </w:rPr>
            </w:pPr>
            <w:r>
              <w:rPr>
                <w:rFonts w:ascii="Arial" w:cs="Arial" w:eastAsia="Arial" w:hAnsi="Arial"/>
                <w:sz w:val="14"/>
                <w:szCs w:val="14"/>
                <w:color w:val="auto"/>
              </w:rPr>
              <w:t>1,750,643</w:t>
            </w:r>
          </w:p>
        </w:tc>
      </w:tr>
      <w:tr>
        <w:trPr>
          <w:trHeight w:val="23"/>
        </w:trPr>
        <w:tc>
          <w:tcPr>
            <w:tcW w:w="31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276,359</w:t>
            </w:r>
          </w:p>
        </w:tc>
        <w:tc>
          <w:tcPr>
            <w:tcW w:w="920" w:type="dxa"/>
            <w:vAlign w:val="bottom"/>
          </w:tcPr>
          <w:p>
            <w:pPr>
              <w:jc w:val="right"/>
              <w:spacing w:after="0"/>
              <w:rPr>
                <w:sz w:val="20"/>
                <w:szCs w:val="20"/>
                <w:color w:val="auto"/>
              </w:rPr>
            </w:pPr>
            <w:r>
              <w:rPr>
                <w:rFonts w:ascii="Arial" w:cs="Arial" w:eastAsia="Arial" w:hAnsi="Arial"/>
                <w:sz w:val="14"/>
                <w:szCs w:val="14"/>
                <w:color w:val="auto"/>
              </w:rPr>
              <w:t>268,882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42087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0870"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The impact of the acquisition of Mapi on 27 July 2017 was to increase revenue by $42.5 million and loss before tax by $0.6 million in the period since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Acquisition of ClincalRM</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15 September 2016, a subsidiary of the Company, ICON US Holdings Inc. acquired ICON Government &amp; Public Health Solutions, Inc. (''GPHS'') (formerly Clinical Research Management, Inc. ("ClinicalRM")) which resulted in initial net cash outflows of $52.4 million (including certain payments made on behalf of GPHS totalling $9.2 million). GPHS is a full-service CRO specialising in preclinical through Phase IV support of clinical research and clinical trial services for biologics, drugs and devices. The organisation helps customers progress their products to market faster with a wide array of research, regulatory and sponsor services within the U.S. and around the globe. GPHS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was payable if certain performance milestones are achieved in respect of periods up to 31 December 2017. The fair value of the contingent consideration on acquisition and at 31 March 2017, was estimated at $6.0 million. The evaluation of the performance and forecast performance of GPHS against performance milestones was updated as required at 30 June 2017. Arising from that evaluation, the fair value of the contingent consideration liability was determined as $Nil, resulting in a net credit of $6.0 million being recorded within selling, general &amp; administrative expenses in the Consolidated Statement of Profit and Loss.</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The acquisition of GPHS has been accounted for as a business combination in accordance with IFRS 3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 following table summarises the provisional estimates of the fair values of the assets acquired and the liabilities assumed: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60"/>
          </w:cols>
          <w:pgMar w:left="220" w:top="762" w:right="21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shd w:val="clear" w:color="auto" w:fill="CCEEFF"/>
          </w:tcPr>
          <w:p>
            <w:pPr>
              <w:spacing w:after="0"/>
              <w:rPr>
                <w:sz w:val="15"/>
                <w:szCs w:val="15"/>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 September</w:t>
            </w:r>
          </w:p>
        </w:tc>
      </w:tr>
      <w:tr>
        <w:trPr>
          <w:trHeight w:val="185"/>
        </w:trPr>
        <w:tc>
          <w:tcPr>
            <w:tcW w:w="4100" w:type="dxa"/>
            <w:vAlign w:val="bottom"/>
            <w:tcBorders>
              <w:bottom w:val="single" w:sz="8" w:color="CCEEFF"/>
            </w:tcBorders>
            <w:shd w:val="clear" w:color="auto" w:fill="CCEEFF"/>
          </w:tcPr>
          <w:p>
            <w:pPr>
              <w:spacing w:after="0"/>
              <w:rPr>
                <w:sz w:val="16"/>
                <w:szCs w:val="16"/>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r>
      <w:tr>
        <w:trPr>
          <w:trHeight w:val="176"/>
        </w:trPr>
        <w:tc>
          <w:tcPr>
            <w:tcW w:w="4100" w:type="dxa"/>
            <w:vAlign w:val="bottom"/>
          </w:tcPr>
          <w:p>
            <w:pPr>
              <w:spacing w:after="0"/>
              <w:rPr>
                <w:sz w:val="15"/>
                <w:szCs w:val="15"/>
                <w:color w:val="auto"/>
              </w:rPr>
            </w:pPr>
          </w:p>
        </w:tc>
        <w:tc>
          <w:tcPr>
            <w:tcW w:w="28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4100" w:type="dxa"/>
            <w:vAlign w:val="bottom"/>
          </w:tcPr>
          <w:p>
            <w:pPr>
              <w:spacing w:after="0"/>
              <w:rPr>
                <w:sz w:val="3"/>
                <w:szCs w:val="3"/>
                <w:color w:val="auto"/>
              </w:rPr>
            </w:pPr>
          </w:p>
        </w:tc>
        <w:tc>
          <w:tcPr>
            <w:tcW w:w="2860" w:type="dxa"/>
            <w:vAlign w:val="bottom"/>
          </w:tcPr>
          <w:p>
            <w:pPr>
              <w:spacing w:after="0"/>
              <w:rPr>
                <w:sz w:val="3"/>
                <w:szCs w:val="3"/>
                <w:color w:val="auto"/>
              </w:rPr>
            </w:pPr>
          </w:p>
        </w:tc>
      </w:tr>
      <w:tr>
        <w:trPr>
          <w:trHeight w:val="254"/>
        </w:trPr>
        <w:tc>
          <w:tcPr>
            <w:tcW w:w="410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Cash</w:t>
            </w:r>
          </w:p>
        </w:tc>
        <w:tc>
          <w:tcPr>
            <w:tcW w:w="2860" w:type="dxa"/>
            <w:vAlign w:val="bottom"/>
          </w:tcPr>
          <w:p>
            <w:pPr>
              <w:jc w:val="right"/>
              <w:spacing w:after="0"/>
              <w:rPr>
                <w:sz w:val="20"/>
                <w:szCs w:val="20"/>
                <w:color w:val="auto"/>
              </w:rPr>
            </w:pPr>
            <w:r>
              <w:rPr>
                <w:rFonts w:ascii="Arial" w:cs="Arial" w:eastAsia="Arial" w:hAnsi="Arial"/>
                <w:sz w:val="14"/>
                <w:szCs w:val="14"/>
                <w:color w:val="auto"/>
              </w:rPr>
              <w:t>3,168</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60" w:type="dxa"/>
            <w:vAlign w:val="bottom"/>
          </w:tcPr>
          <w:p>
            <w:pPr>
              <w:jc w:val="right"/>
              <w:spacing w:after="0"/>
              <w:rPr>
                <w:sz w:val="20"/>
                <w:szCs w:val="20"/>
                <w:color w:val="auto"/>
              </w:rPr>
            </w:pPr>
            <w:r>
              <w:rPr>
                <w:rFonts w:ascii="Arial" w:cs="Arial" w:eastAsia="Arial" w:hAnsi="Arial"/>
                <w:sz w:val="14"/>
                <w:szCs w:val="14"/>
                <w:color w:val="auto"/>
              </w:rPr>
              <w:t>35,969</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list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4,012</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Order backlog</w:t>
            </w:r>
          </w:p>
        </w:tc>
        <w:tc>
          <w:tcPr>
            <w:tcW w:w="2860" w:type="dxa"/>
            <w:vAlign w:val="bottom"/>
          </w:tcPr>
          <w:p>
            <w:pPr>
              <w:jc w:val="right"/>
              <w:spacing w:after="0"/>
              <w:rPr>
                <w:sz w:val="20"/>
                <w:szCs w:val="20"/>
                <w:color w:val="auto"/>
              </w:rPr>
            </w:pPr>
            <w:r>
              <w:rPr>
                <w:rFonts w:ascii="Arial" w:cs="Arial" w:eastAsia="Arial" w:hAnsi="Arial"/>
                <w:sz w:val="14"/>
                <w:szCs w:val="14"/>
                <w:color w:val="auto"/>
              </w:rPr>
              <w:t>1,668</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Brand</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860" w:type="dxa"/>
            <w:vAlign w:val="bottom"/>
          </w:tcPr>
          <w:p>
            <w:pPr>
              <w:jc w:val="right"/>
              <w:spacing w:after="0"/>
              <w:rPr>
                <w:sz w:val="20"/>
                <w:szCs w:val="20"/>
                <w:color w:val="auto"/>
              </w:rPr>
            </w:pPr>
            <w:r>
              <w:rPr>
                <w:rFonts w:ascii="Arial" w:cs="Arial" w:eastAsia="Arial" w:hAnsi="Arial"/>
                <w:sz w:val="14"/>
                <w:szCs w:val="14"/>
                <w:color w:val="auto"/>
              </w:rPr>
              <w:t>11,431</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Unbilled revenue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3,868</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Prepayments and other current assets</w:t>
            </w:r>
          </w:p>
        </w:tc>
        <w:tc>
          <w:tcPr>
            <w:tcW w:w="2860" w:type="dxa"/>
            <w:vAlign w:val="bottom"/>
          </w:tcPr>
          <w:p>
            <w:pPr>
              <w:jc w:val="right"/>
              <w:spacing w:after="0"/>
              <w:rPr>
                <w:sz w:val="20"/>
                <w:szCs w:val="20"/>
                <w:color w:val="auto"/>
              </w:rPr>
            </w:pPr>
            <w:r>
              <w:rPr>
                <w:rFonts w:ascii="Arial" w:cs="Arial" w:eastAsia="Arial" w:hAnsi="Arial"/>
                <w:sz w:val="14"/>
                <w:szCs w:val="14"/>
                <w:color w:val="auto"/>
              </w:rPr>
              <w:t>1,673</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860" w:type="dxa"/>
            <w:vAlign w:val="bottom"/>
          </w:tcPr>
          <w:p>
            <w:pPr>
              <w:jc w:val="right"/>
              <w:spacing w:after="0"/>
              <w:rPr>
                <w:sz w:val="20"/>
                <w:szCs w:val="20"/>
                <w:color w:val="auto"/>
              </w:rPr>
            </w:pPr>
            <w:r>
              <w:rPr>
                <w:rFonts w:ascii="Arial" w:cs="Arial" w:eastAsia="Arial" w:hAnsi="Arial"/>
                <w:sz w:val="14"/>
                <w:szCs w:val="14"/>
                <w:color w:val="auto"/>
              </w:rPr>
              <w:t>(5,569)</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1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54"/>
        </w:trPr>
        <w:tc>
          <w:tcPr>
            <w:tcW w:w="410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r>
      <w:tr>
        <w:trPr>
          <w:trHeight w:val="21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assets acquired</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58,396</w:t>
            </w:r>
          </w:p>
        </w:tc>
      </w:tr>
      <w:tr>
        <w:trPr>
          <w:trHeight w:val="254"/>
        </w:trPr>
        <w:tc>
          <w:tcPr>
            <w:tcW w:w="410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consideration</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52,396</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Contingent consideration</w:t>
            </w:r>
          </w:p>
        </w:tc>
        <w:tc>
          <w:tcPr>
            <w:tcW w:w="286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r>
        <w:trPr>
          <w:trHeight w:val="18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consideration</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58,396</w:t>
            </w:r>
          </w:p>
        </w:tc>
      </w:tr>
      <w:tr>
        <w:trPr>
          <w:trHeight w:val="21"/>
        </w:trPr>
        <w:tc>
          <w:tcPr>
            <w:tcW w:w="410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5"/>
        <w:spacing w:after="0" w:line="261" w:lineRule="auto"/>
        <w:tabs>
          <w:tab w:leader="none" w:pos="111" w:val="left"/>
        </w:tabs>
        <w:numPr>
          <w:ilvl w:val="0"/>
          <w:numId w:val="68"/>
        </w:numPr>
        <w:rPr>
          <w:rFonts w:ascii="Arial" w:cs="Arial" w:eastAsia="Arial" w:hAnsi="Arial"/>
          <w:sz w:val="14"/>
          <w:szCs w:val="14"/>
          <w:color w:val="auto"/>
        </w:rPr>
      </w:pPr>
      <w:r>
        <w:rPr>
          <w:rFonts w:ascii="Arial" w:cs="Arial" w:eastAsia="Arial" w:hAnsi="Arial"/>
          <w:sz w:val="14"/>
          <w:szCs w:val="14"/>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 In finalising the goodwill on acquisition of GPHS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finalised.</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pro forma effect of the GPHS acquisition if completed on 1 January 2015 would have resulted in net revenue and profit for the financial years ended 31 December 2016 and 31 December 2015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shd w:val="clear" w:color="auto" w:fill="CCEEFF"/>
          </w:tcPr>
          <w:p>
            <w:pPr>
              <w:spacing w:after="0"/>
              <w:rPr>
                <w:sz w:val="15"/>
                <w:szCs w:val="15"/>
                <w:color w:val="auto"/>
              </w:rPr>
            </w:pPr>
          </w:p>
        </w:tc>
        <w:tc>
          <w:tcPr>
            <w:tcW w:w="2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100" w:type="dxa"/>
            <w:vAlign w:val="bottom"/>
            <w:shd w:val="clear" w:color="auto" w:fill="CCEEFF"/>
          </w:tcPr>
          <w:p>
            <w:pPr>
              <w:spacing w:after="0"/>
              <w:rPr>
                <w:sz w:val="14"/>
                <w:szCs w:val="14"/>
                <w:color w:val="auto"/>
              </w:rPr>
            </w:pPr>
          </w:p>
        </w:tc>
        <w:tc>
          <w:tcPr>
            <w:tcW w:w="2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December</w:t>
            </w:r>
          </w:p>
        </w:tc>
      </w:tr>
      <w:tr>
        <w:trPr>
          <w:trHeight w:val="185"/>
        </w:trPr>
        <w:tc>
          <w:tcPr>
            <w:tcW w:w="310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2015</w:t>
            </w:r>
          </w:p>
        </w:tc>
      </w:tr>
      <w:tr>
        <w:trPr>
          <w:trHeight w:val="190"/>
        </w:trPr>
        <w:tc>
          <w:tcPr>
            <w:tcW w:w="3100" w:type="dxa"/>
            <w:vAlign w:val="bottom"/>
          </w:tcPr>
          <w:p>
            <w:pPr>
              <w:spacing w:after="0"/>
              <w:rPr>
                <w:sz w:val="16"/>
                <w:szCs w:val="16"/>
                <w:color w:val="auto"/>
              </w:rPr>
            </w:pP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0"/>
        </w:trPr>
        <w:tc>
          <w:tcPr>
            <w:tcW w:w="31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1,713,245</w:t>
            </w:r>
          </w:p>
        </w:tc>
        <w:tc>
          <w:tcPr>
            <w:tcW w:w="920" w:type="dxa"/>
            <w:vAlign w:val="bottom"/>
          </w:tcPr>
          <w:p>
            <w:pPr>
              <w:jc w:val="right"/>
              <w:spacing w:after="0"/>
              <w:rPr>
                <w:sz w:val="20"/>
                <w:szCs w:val="20"/>
                <w:color w:val="auto"/>
              </w:rPr>
            </w:pPr>
            <w:r>
              <w:rPr>
                <w:rFonts w:ascii="Arial" w:cs="Arial" w:eastAsia="Arial" w:hAnsi="Arial"/>
                <w:sz w:val="14"/>
                <w:szCs w:val="14"/>
                <w:color w:val="auto"/>
              </w:rPr>
              <w:t>1,639,085</w:t>
            </w:r>
          </w:p>
        </w:tc>
      </w:tr>
      <w:tr>
        <w:trPr>
          <w:trHeight w:val="23"/>
        </w:trPr>
        <w:tc>
          <w:tcPr>
            <w:tcW w:w="31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271,929</w:t>
            </w:r>
          </w:p>
        </w:tc>
        <w:tc>
          <w:tcPr>
            <w:tcW w:w="920" w:type="dxa"/>
            <w:vAlign w:val="bottom"/>
          </w:tcPr>
          <w:p>
            <w:pPr>
              <w:jc w:val="right"/>
              <w:spacing w:after="0"/>
              <w:rPr>
                <w:sz w:val="20"/>
                <w:szCs w:val="20"/>
                <w:color w:val="auto"/>
              </w:rPr>
            </w:pPr>
            <w:r>
              <w:rPr>
                <w:rFonts w:ascii="Arial" w:cs="Arial" w:eastAsia="Arial" w:hAnsi="Arial"/>
                <w:sz w:val="14"/>
                <w:szCs w:val="14"/>
                <w:color w:val="auto"/>
              </w:rPr>
              <w:t>244,652</w:t>
            </w:r>
          </w:p>
        </w:tc>
      </w:tr>
      <w:tr>
        <w:trPr>
          <w:trHeight w:val="23"/>
        </w:trPr>
        <w:tc>
          <w:tcPr>
            <w:tcW w:w="31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impact of the acquisition of GPHS on 15 September 2016 was to increase revenue by $16.2 million and profit before tax by $0.4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60"/>
          </w:cols>
          <w:pgMar w:left="220" w:top="762" w:right="21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20"/>
                <w:szCs w:val="20"/>
                <w:color w:val="auto"/>
              </w:rPr>
            </w:pPr>
            <w:r>
              <w:rPr>
                <w:rFonts w:ascii="Arial" w:cs="Arial" w:eastAsia="Arial" w:hAnsi="Arial"/>
                <w:sz w:val="14"/>
                <w:szCs w:val="14"/>
                <w:b w:val="1"/>
                <w:bCs w:val="1"/>
                <w:color w:val="auto"/>
              </w:rPr>
              <w:t>15. Inventories</w:t>
            </w:r>
          </w:p>
        </w:tc>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5"/>
        </w:trPr>
        <w:tc>
          <w:tcPr>
            <w:tcW w:w="32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3240" w:type="dxa"/>
            <w:vAlign w:val="bottom"/>
            <w:shd w:val="clear" w:color="auto" w:fill="CCEEFF"/>
          </w:tcPr>
          <w:p>
            <w:pPr>
              <w:spacing w:after="0"/>
              <w:rPr>
                <w:sz w:val="15"/>
                <w:szCs w:val="15"/>
                <w:color w:val="auto"/>
              </w:rPr>
            </w:pPr>
          </w:p>
        </w:tc>
        <w:tc>
          <w:tcPr>
            <w:tcW w:w="2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24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2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Laboratory inventories</w:t>
            </w: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2,274</w:t>
            </w:r>
          </w:p>
        </w:tc>
        <w:tc>
          <w:tcPr>
            <w:tcW w:w="900" w:type="dxa"/>
            <w:vAlign w:val="bottom"/>
          </w:tcPr>
          <w:p>
            <w:pPr>
              <w:jc w:val="right"/>
              <w:spacing w:after="0"/>
              <w:rPr>
                <w:sz w:val="20"/>
                <w:szCs w:val="20"/>
                <w:color w:val="auto"/>
              </w:rPr>
            </w:pPr>
            <w:r>
              <w:rPr>
                <w:rFonts w:ascii="Arial" w:cs="Arial" w:eastAsia="Arial" w:hAnsi="Arial"/>
                <w:sz w:val="14"/>
                <w:szCs w:val="14"/>
                <w:color w:val="auto"/>
              </w:rPr>
              <w:t>2,236</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cost of inventories is recognised as an expense and included in direct costs in the Consolidated Statement of Profit and Loss. $33.8 million (2017: $29.6 million) was charged to the Consolidated Statement of Profit and Loss for the year ended 31 December 2018.</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unbilled services (contract assets) and payments on account (contract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60" w:type="dxa"/>
            <w:vAlign w:val="bottom"/>
            <w:shd w:val="clear" w:color="auto" w:fill="CCEEFF"/>
          </w:tcPr>
          <w:p>
            <w:pPr>
              <w:spacing w:after="0"/>
              <w:rPr>
                <w:sz w:val="15"/>
                <w:szCs w:val="15"/>
                <w:color w:val="auto"/>
              </w:rPr>
            </w:pPr>
          </w:p>
        </w:tc>
        <w:tc>
          <w:tcPr>
            <w:tcW w:w="23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 December</w:t>
            </w:r>
          </w:p>
        </w:tc>
      </w:tr>
      <w:tr>
        <w:trPr>
          <w:trHeight w:val="185"/>
        </w:trPr>
        <w:tc>
          <w:tcPr>
            <w:tcW w:w="376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760" w:type="dxa"/>
            <w:vAlign w:val="bottom"/>
          </w:tcPr>
          <w:p>
            <w:pPr>
              <w:spacing w:after="0"/>
              <w:rPr>
                <w:sz w:val="16"/>
                <w:szCs w:val="16"/>
                <w:color w:val="auto"/>
              </w:rPr>
            </w:pP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7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auto"/>
              </w:rPr>
              <w:t>423,680</w:t>
            </w:r>
          </w:p>
        </w:tc>
        <w:tc>
          <w:tcPr>
            <w:tcW w:w="900" w:type="dxa"/>
            <w:vAlign w:val="bottom"/>
          </w:tcPr>
          <w:p>
            <w:pPr>
              <w:jc w:val="right"/>
              <w:spacing w:after="0"/>
              <w:rPr>
                <w:sz w:val="20"/>
                <w:szCs w:val="20"/>
                <w:color w:val="auto"/>
              </w:rPr>
            </w:pPr>
            <w:r>
              <w:rPr>
                <w:rFonts w:ascii="Arial" w:cs="Arial" w:eastAsia="Arial" w:hAnsi="Arial"/>
                <w:sz w:val="14"/>
                <w:szCs w:val="14"/>
                <w:color w:val="auto"/>
              </w:rPr>
              <w:t>388,431</w:t>
            </w:r>
          </w:p>
        </w:tc>
      </w:tr>
      <w:tr>
        <w:trPr>
          <w:trHeight w:val="21"/>
        </w:trPr>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amounts provided for doubtful debts</w:t>
            </w:r>
          </w:p>
        </w:tc>
        <w:tc>
          <w:tcPr>
            <w:tcW w:w="2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(8,889)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r>
      <w:tr>
        <w:trPr>
          <w:trHeight w:val="223"/>
        </w:trPr>
        <w:tc>
          <w:tcPr>
            <w:tcW w:w="37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414,791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379,501</w:t>
            </w:r>
          </w:p>
        </w:tc>
      </w:tr>
      <w:tr>
        <w:trPr>
          <w:trHeight w:val="21"/>
        </w:trPr>
        <w:tc>
          <w:tcPr>
            <w:tcW w:w="376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Due to the short-term nature of the current receivables, their carrying amount is considered to be the same as their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financial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closing loss allowance for trade receivables and contract assets as at 31 December 2018 reconcile to the opening loss allowances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1"/>
              </w:rPr>
              <w:t>31 December</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31 December</w:t>
            </w:r>
          </w:p>
        </w:tc>
      </w:tr>
      <w:tr>
        <w:trPr>
          <w:trHeight w:val="185"/>
        </w:trPr>
        <w:tc>
          <w:tcPr>
            <w:tcW w:w="2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Balance at start of year - calculated under IAS 39</w:t>
            </w:r>
          </w:p>
        </w:tc>
        <w:tc>
          <w:tcPr>
            <w:tcW w:w="980" w:type="dxa"/>
            <w:vAlign w:val="bottom"/>
          </w:tcPr>
          <w:p>
            <w:pPr>
              <w:jc w:val="right"/>
              <w:ind w:right="69"/>
              <w:spacing w:after="0"/>
              <w:rPr>
                <w:sz w:val="20"/>
                <w:szCs w:val="20"/>
                <w:color w:val="auto"/>
              </w:rPr>
            </w:pPr>
            <w:r>
              <w:rPr>
                <w:rFonts w:ascii="Arial" w:cs="Arial" w:eastAsia="Arial" w:hAnsi="Arial"/>
                <w:sz w:val="14"/>
                <w:szCs w:val="14"/>
                <w:b w:val="1"/>
                <w:bCs w:val="1"/>
                <w:color w:val="auto"/>
              </w:rPr>
              <w:t>8,930</w:t>
            </w:r>
          </w:p>
        </w:tc>
        <w:tc>
          <w:tcPr>
            <w:tcW w:w="940" w:type="dxa"/>
            <w:vAlign w:val="bottom"/>
          </w:tcPr>
          <w:p>
            <w:pPr>
              <w:jc w:val="right"/>
              <w:spacing w:after="0"/>
              <w:rPr>
                <w:sz w:val="20"/>
                <w:szCs w:val="20"/>
                <w:color w:val="auto"/>
              </w:rPr>
            </w:pPr>
            <w:r>
              <w:rPr>
                <w:rFonts w:ascii="Arial" w:cs="Arial" w:eastAsia="Arial" w:hAnsi="Arial"/>
                <w:sz w:val="14"/>
                <w:szCs w:val="14"/>
                <w:color w:val="auto"/>
              </w:rPr>
              <w:t>9,450</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 to loss allowance as at 1 January 2018 - calculated under IFRS 9*</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Receivables written off during the year as uncollectible</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(995)</w:t>
            </w:r>
          </w:p>
        </w:tc>
        <w:tc>
          <w:tcPr>
            <w:tcW w:w="940" w:type="dxa"/>
            <w:vAlign w:val="bottom"/>
          </w:tcPr>
          <w:p>
            <w:pPr>
              <w:jc w:val="right"/>
              <w:spacing w:after="0"/>
              <w:rPr>
                <w:sz w:val="20"/>
                <w:szCs w:val="20"/>
                <w:color w:val="auto"/>
              </w:rPr>
            </w:pPr>
            <w:r>
              <w:rPr>
                <w:rFonts w:ascii="Arial" w:cs="Arial" w:eastAsia="Arial" w:hAnsi="Arial"/>
                <w:sz w:val="14"/>
                <w:szCs w:val="14"/>
                <w:color w:val="auto"/>
              </w:rPr>
              <w:t>(2,733)</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loss allowance recognised in profit or loss during the year</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3,083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5,116</w:t>
            </w: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Unused amount reversed</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(2,355)</w:t>
            </w:r>
          </w:p>
        </w:tc>
        <w:tc>
          <w:tcPr>
            <w:tcW w:w="940" w:type="dxa"/>
            <w:vAlign w:val="bottom"/>
          </w:tcPr>
          <w:p>
            <w:pPr>
              <w:jc w:val="right"/>
              <w:spacing w:after="0"/>
              <w:rPr>
                <w:sz w:val="20"/>
                <w:szCs w:val="20"/>
                <w:color w:val="auto"/>
              </w:rPr>
            </w:pPr>
            <w:r>
              <w:rPr>
                <w:rFonts w:ascii="Arial" w:cs="Arial" w:eastAsia="Arial" w:hAnsi="Arial"/>
                <w:sz w:val="14"/>
                <w:szCs w:val="14"/>
                <w:color w:val="auto"/>
              </w:rPr>
              <w:t>(3,106)</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226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end of year</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8,889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r>
      <w:tr>
        <w:trPr>
          <w:trHeight w:val="144"/>
        </w:trPr>
        <w:tc>
          <w:tcPr>
            <w:tcW w:w="20" w:type="dxa"/>
            <w:vAlign w:val="bottom"/>
          </w:tcPr>
          <w:p>
            <w:pPr>
              <w:spacing w:after="0"/>
              <w:rPr>
                <w:sz w:val="12"/>
                <w:szCs w:val="12"/>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1"/>
                <w:szCs w:val="11"/>
                <w:i w:val="1"/>
                <w:iCs w:val="1"/>
                <w:color w:val="auto"/>
                <w:w w:val="93"/>
              </w:rPr>
              <w:t>*The restatement on transition to IFRS 9 as a result of applying the expected credit risk model was immaterial.</w:t>
            </w:r>
          </w:p>
        </w:tc>
        <w:tc>
          <w:tcPr>
            <w:tcW w:w="9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35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87</w:t>
            </w:r>
          </w:p>
        </w:tc>
        <w:tc>
          <w:tcPr>
            <w:tcW w:w="940" w:type="dxa"/>
            <w:vAlign w:val="bottom"/>
          </w:tcPr>
          <w:p>
            <w:pPr>
              <w:spacing w:after="0"/>
              <w:rPr>
                <w:sz w:val="24"/>
                <w:szCs w:val="24"/>
                <w:color w:val="auto"/>
              </w:rPr>
            </w:pPr>
          </w:p>
        </w:tc>
      </w:tr>
    </w:tbl>
    <w:p>
      <w:pPr>
        <w:sectPr>
          <w:pgSz w:w="11900" w:h="16838" w:orient="portrait"/>
          <w:cols w:equalWidth="0" w:num="1">
            <w:col w:w="11460"/>
          </w:cols>
          <w:pgMar w:left="220" w:top="1164" w:right="219" w:bottom="1440" w:gutter="0" w:footer="0" w:header="0"/>
        </w:sectPr>
      </w:pPr>
    </w:p>
    <w:bookmarkStart w:id="91" w:name="page92"/>
    <w:bookmarkEnd w:id="9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and contract balances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Previous accounting policy for impairment of trade receivables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the prior year, a provision for impairment was assessed based on the incurred loss model. A provision for a receivable was recognised where there is objective evidence that the Group will not be able to collect all amounts due according to the original terms of the receivable.</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The Group considered that there was evidence of impairment if any of the following indicators were present:</w:t>
      </w:r>
    </w:p>
    <w:p>
      <w:pPr>
        <w:spacing w:after="0" w:line="178" w:lineRule="exact"/>
        <w:rPr>
          <w:sz w:val="20"/>
          <w:szCs w:val="20"/>
          <w:color w:val="auto"/>
        </w:rPr>
      </w:pPr>
    </w:p>
    <w:p>
      <w:pPr>
        <w:ind w:left="520" w:hanging="261"/>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significant financial difficulties of the debtor</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probability that the debtor will enter a financial restructuring process,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default or late payment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Receivables for which an impairment provision was recognised were written off against the provision when there was no expectation of recovering additional cash.</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At 31 December 2018, the Group maintained an impairment provision of $8.9 million (2017: $8.9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All receivables are due within twelve months of the year ended 31 December 2018.</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Further analysis of Group’s accounts receivable balances at 31 December 2018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8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Gross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Gross</w:t>
            </w:r>
          </w:p>
        </w:tc>
      </w:tr>
      <w:tr>
        <w:trPr>
          <w:trHeight w:val="169"/>
        </w:trPr>
        <w:tc>
          <w:tcPr>
            <w:tcW w:w="3360" w:type="dxa"/>
            <w:vAlign w:val="bottom"/>
            <w:shd w:val="clear" w:color="auto" w:fill="CCEEFF"/>
          </w:tcPr>
          <w:p>
            <w:pPr>
              <w:spacing w:after="0"/>
              <w:rPr>
                <w:sz w:val="14"/>
                <w:szCs w:val="14"/>
                <w:color w:val="auto"/>
              </w:rPr>
            </w:pPr>
          </w:p>
        </w:tc>
        <w:tc>
          <w:tcPr>
            <w:tcW w:w="28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accounts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accounts</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receivable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receivable</w:t>
            </w:r>
          </w:p>
        </w:tc>
      </w:tr>
      <w:tr>
        <w:trPr>
          <w:trHeight w:val="190"/>
        </w:trPr>
        <w:tc>
          <w:tcPr>
            <w:tcW w:w="3360" w:type="dxa"/>
            <w:vAlign w:val="bottom"/>
          </w:tcPr>
          <w:p>
            <w:pPr>
              <w:spacing w:after="0"/>
              <w:rPr>
                <w:sz w:val="16"/>
                <w:szCs w:val="16"/>
                <w:color w:val="auto"/>
              </w:rPr>
            </w:pP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3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54"/>
        </w:trPr>
        <w:tc>
          <w:tcPr>
            <w:tcW w:w="33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 past due</w:t>
            </w: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319,190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317,554</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Past due 0 to 30 days</w:t>
            </w: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54,656</w:t>
            </w:r>
          </w:p>
        </w:tc>
        <w:tc>
          <w:tcPr>
            <w:tcW w:w="760" w:type="dxa"/>
            <w:vAlign w:val="bottom"/>
          </w:tcPr>
          <w:p>
            <w:pPr>
              <w:jc w:val="right"/>
              <w:spacing w:after="0"/>
              <w:rPr>
                <w:sz w:val="20"/>
                <w:szCs w:val="20"/>
                <w:color w:val="auto"/>
              </w:rPr>
            </w:pPr>
            <w:r>
              <w:rPr>
                <w:rFonts w:ascii="Arial" w:cs="Arial" w:eastAsia="Arial" w:hAnsi="Arial"/>
                <w:sz w:val="14"/>
                <w:szCs w:val="14"/>
                <w:color w:val="auto"/>
              </w:rPr>
              <w:t>34,703</w:t>
            </w:r>
          </w:p>
        </w:tc>
      </w:tr>
      <w:tr>
        <w:trPr>
          <w:trHeight w:val="21"/>
        </w:trPr>
        <w:tc>
          <w:tcPr>
            <w:tcW w:w="3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due 31 to 60 days</w:t>
            </w: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15,422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18,424</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Past due 61+ days</w:t>
            </w: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34,412</w:t>
            </w:r>
          </w:p>
        </w:tc>
        <w:tc>
          <w:tcPr>
            <w:tcW w:w="760" w:type="dxa"/>
            <w:vAlign w:val="bottom"/>
          </w:tcPr>
          <w:p>
            <w:pPr>
              <w:jc w:val="right"/>
              <w:spacing w:after="0"/>
              <w:rPr>
                <w:sz w:val="20"/>
                <w:szCs w:val="20"/>
                <w:color w:val="auto"/>
              </w:rPr>
            </w:pPr>
            <w:r>
              <w:rPr>
                <w:rFonts w:ascii="Arial" w:cs="Arial" w:eastAsia="Arial" w:hAnsi="Arial"/>
                <w:sz w:val="14"/>
                <w:szCs w:val="14"/>
                <w:color w:val="auto"/>
              </w:rPr>
              <w:t>17,750</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5"/>
        </w:trPr>
        <w:tc>
          <w:tcPr>
            <w:tcW w:w="33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423,680</w:t>
            </w:r>
          </w:p>
        </w:tc>
        <w:tc>
          <w:tcPr>
            <w:tcW w:w="760" w:type="dxa"/>
            <w:vAlign w:val="bottom"/>
          </w:tcPr>
          <w:p>
            <w:pPr>
              <w:jc w:val="right"/>
              <w:spacing w:after="0"/>
              <w:rPr>
                <w:sz w:val="20"/>
                <w:szCs w:val="20"/>
                <w:color w:val="auto"/>
              </w:rPr>
            </w:pPr>
            <w:r>
              <w:rPr>
                <w:rFonts w:ascii="Arial" w:cs="Arial" w:eastAsia="Arial" w:hAnsi="Arial"/>
                <w:sz w:val="14"/>
                <w:szCs w:val="14"/>
                <w:color w:val="auto"/>
              </w:rPr>
              <w:t>388,431</w:t>
            </w:r>
          </w:p>
        </w:tc>
      </w:tr>
      <w:tr>
        <w:trPr>
          <w:trHeight w:val="23"/>
        </w:trPr>
        <w:tc>
          <w:tcPr>
            <w:tcW w:w="3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carrying amounts of the Group’s accounts receivables are denominated in the following currencies: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shd w:val="clear" w:color="auto" w:fill="CCEEFF"/>
          </w:tcPr>
          <w:p>
            <w:pPr>
              <w:spacing w:after="0"/>
              <w:rPr>
                <w:sz w:val="15"/>
                <w:szCs w:val="15"/>
                <w:color w:val="auto"/>
              </w:rPr>
            </w:pPr>
          </w:p>
        </w:tc>
        <w:tc>
          <w:tcPr>
            <w:tcW w:w="3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08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080" w:type="dxa"/>
            <w:vAlign w:val="bottom"/>
          </w:tcPr>
          <w:p>
            <w:pPr>
              <w:spacing w:after="0"/>
              <w:rPr>
                <w:sz w:val="16"/>
                <w:szCs w:val="16"/>
                <w:color w:val="auto"/>
              </w:rPr>
            </w:pP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Currency</w:t>
            </w:r>
          </w:p>
        </w:tc>
        <w:tc>
          <w:tcPr>
            <w:tcW w:w="30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US Dollar</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306,819</w:t>
            </w:r>
          </w:p>
        </w:tc>
        <w:tc>
          <w:tcPr>
            <w:tcW w:w="900" w:type="dxa"/>
            <w:vAlign w:val="bottom"/>
          </w:tcPr>
          <w:p>
            <w:pPr>
              <w:jc w:val="right"/>
              <w:spacing w:after="0"/>
              <w:rPr>
                <w:sz w:val="20"/>
                <w:szCs w:val="20"/>
                <w:color w:val="auto"/>
              </w:rPr>
            </w:pPr>
            <w:r>
              <w:rPr>
                <w:rFonts w:ascii="Arial" w:cs="Arial" w:eastAsia="Arial" w:hAnsi="Arial"/>
                <w:sz w:val="14"/>
                <w:szCs w:val="14"/>
                <w:color w:val="auto"/>
              </w:rPr>
              <w:t>302,056</w:t>
            </w:r>
          </w:p>
        </w:tc>
      </w:tr>
      <w:tr>
        <w:trPr>
          <w:trHeight w:val="21"/>
        </w:trPr>
        <w:tc>
          <w:tcPr>
            <w:tcW w:w="3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48,493</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Sterling</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9,584</w:t>
            </w:r>
          </w:p>
        </w:tc>
        <w:tc>
          <w:tcPr>
            <w:tcW w:w="900" w:type="dxa"/>
            <w:vAlign w:val="bottom"/>
          </w:tcPr>
          <w:p>
            <w:pPr>
              <w:jc w:val="right"/>
              <w:spacing w:after="0"/>
              <w:rPr>
                <w:sz w:val="20"/>
                <w:szCs w:val="20"/>
                <w:color w:val="auto"/>
              </w:rPr>
            </w:pPr>
            <w:r>
              <w:rPr>
                <w:rFonts w:ascii="Arial" w:cs="Arial" w:eastAsia="Arial" w:hAnsi="Arial"/>
                <w:sz w:val="14"/>
                <w:szCs w:val="14"/>
                <w:color w:val="auto"/>
              </w:rPr>
              <w:t>12,537</w:t>
            </w:r>
          </w:p>
        </w:tc>
      </w:tr>
      <w:tr>
        <w:trPr>
          <w:trHeight w:val="21"/>
        </w:trPr>
        <w:tc>
          <w:tcPr>
            <w:tcW w:w="3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currencies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16,068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16,415</w:t>
            </w:r>
          </w:p>
        </w:tc>
      </w:tr>
      <w:tr>
        <w:trPr>
          <w:trHeight w:val="223"/>
        </w:trPr>
        <w:tc>
          <w:tcPr>
            <w:tcW w:w="308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3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414,791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379,501</w:t>
            </w:r>
          </w:p>
        </w:tc>
      </w:tr>
      <w:tr>
        <w:trPr>
          <w:trHeight w:val="698"/>
        </w:trPr>
        <w:tc>
          <w:tcPr>
            <w:tcW w:w="308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88</w:t>
            </w: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and contract balances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tcPr>
          <w:p>
            <w:pPr>
              <w:spacing w:after="0"/>
              <w:rPr>
                <w:sz w:val="20"/>
                <w:szCs w:val="20"/>
                <w:color w:val="auto"/>
              </w:rPr>
            </w:pPr>
            <w:r>
              <w:rPr>
                <w:rFonts w:ascii="Arial" w:cs="Arial" w:eastAsia="Arial" w:hAnsi="Arial"/>
                <w:sz w:val="14"/>
                <w:szCs w:val="14"/>
                <w:color w:val="auto"/>
              </w:rPr>
              <w:t>Accounts receivables and unbilled revenue are as follows:</w:t>
            </w: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06"/>
        </w:trPr>
        <w:tc>
          <w:tcPr>
            <w:tcW w:w="4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76"/>
        </w:trPr>
        <w:tc>
          <w:tcPr>
            <w:tcW w:w="434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69"/>
        </w:trPr>
        <w:tc>
          <w:tcPr>
            <w:tcW w:w="434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December</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December</w:t>
            </w:r>
          </w:p>
        </w:tc>
      </w:tr>
      <w:tr>
        <w:trPr>
          <w:trHeight w:val="185"/>
        </w:trPr>
        <w:tc>
          <w:tcPr>
            <w:tcW w:w="43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340" w:type="dxa"/>
            <w:vAlign w:val="bottom"/>
          </w:tcPr>
          <w:p>
            <w:pPr>
              <w:spacing w:after="0"/>
              <w:rPr>
                <w:sz w:val="16"/>
                <w:szCs w:val="16"/>
                <w:color w:val="auto"/>
              </w:rPr>
            </w:pPr>
          </w:p>
        </w:tc>
        <w:tc>
          <w:tcPr>
            <w:tcW w:w="182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4"/>
        </w:trPr>
        <w:tc>
          <w:tcPr>
            <w:tcW w:w="43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190"/>
        </w:trPr>
        <w:tc>
          <w:tcPr>
            <w:tcW w:w="4340" w:type="dxa"/>
            <w:vAlign w:val="bottom"/>
          </w:tcPr>
          <w:p>
            <w:pPr>
              <w:ind w:left="140"/>
              <w:spacing w:after="0"/>
              <w:rPr>
                <w:sz w:val="20"/>
                <w:szCs w:val="20"/>
                <w:color w:val="auto"/>
              </w:rPr>
            </w:pPr>
            <w:r>
              <w:rPr>
                <w:rFonts w:ascii="Arial" w:cs="Arial" w:eastAsia="Arial" w:hAnsi="Arial"/>
                <w:sz w:val="14"/>
                <w:szCs w:val="14"/>
                <w:color w:val="auto"/>
              </w:rPr>
              <w:t>Billed services (accounts receivable)</w:t>
            </w:r>
          </w:p>
        </w:tc>
        <w:tc>
          <w:tcPr>
            <w:tcW w:w="1820" w:type="dxa"/>
            <w:vAlign w:val="bottom"/>
          </w:tcPr>
          <w:p>
            <w:pPr>
              <w:jc w:val="right"/>
              <w:ind w:right="69"/>
              <w:spacing w:after="0"/>
              <w:rPr>
                <w:sz w:val="20"/>
                <w:szCs w:val="20"/>
                <w:color w:val="auto"/>
              </w:rPr>
            </w:pPr>
            <w:r>
              <w:rPr>
                <w:rFonts w:ascii="Arial" w:cs="Arial" w:eastAsia="Arial" w:hAnsi="Arial"/>
                <w:sz w:val="14"/>
                <w:szCs w:val="14"/>
                <w:b w:val="1"/>
                <w:bCs w:val="1"/>
                <w:color w:val="auto"/>
              </w:rPr>
              <w:t>423,680</w:t>
            </w:r>
          </w:p>
        </w:tc>
        <w:tc>
          <w:tcPr>
            <w:tcW w:w="800" w:type="dxa"/>
            <w:vAlign w:val="bottom"/>
          </w:tcPr>
          <w:p>
            <w:pPr>
              <w:jc w:val="right"/>
              <w:spacing w:after="0"/>
              <w:rPr>
                <w:sz w:val="20"/>
                <w:szCs w:val="20"/>
                <w:color w:val="auto"/>
              </w:rPr>
            </w:pPr>
            <w:r>
              <w:rPr>
                <w:rFonts w:ascii="Arial" w:cs="Arial" w:eastAsia="Arial" w:hAnsi="Arial"/>
                <w:sz w:val="14"/>
                <w:szCs w:val="14"/>
                <w:color w:val="auto"/>
              </w:rPr>
              <w:t>388,431</w:t>
            </w:r>
          </w:p>
        </w:tc>
      </w:tr>
      <w:tr>
        <w:trPr>
          <w:trHeight w:val="21"/>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7"/>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Unbilled services (unbilled revenue)</w:t>
            </w: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362,926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268,509</w:t>
            </w:r>
          </w:p>
        </w:tc>
      </w:tr>
      <w:tr>
        <w:trPr>
          <w:trHeight w:val="181"/>
        </w:trPr>
        <w:tc>
          <w:tcPr>
            <w:tcW w:w="4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Trade accounts receivable and unbilled revenue</w:t>
            </w:r>
          </w:p>
        </w:tc>
        <w:tc>
          <w:tcPr>
            <w:tcW w:w="18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786,606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656,940</w:t>
            </w:r>
          </w:p>
        </w:tc>
      </w:tr>
      <w:tr>
        <w:trPr>
          <w:trHeight w:val="21"/>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7"/>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Allowance for doubtful accounts</w:t>
            </w: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(8,889)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r>
      <w:tr>
        <w:trPr>
          <w:trHeight w:val="245"/>
        </w:trPr>
        <w:tc>
          <w:tcPr>
            <w:tcW w:w="43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17"/>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accounts receivable and unbilled revenue, net</w:t>
            </w: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777,717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648,010</w:t>
            </w:r>
          </w:p>
        </w:tc>
      </w:tr>
      <w:tr>
        <w:trPr>
          <w:trHeight w:val="20"/>
        </w:trPr>
        <w:tc>
          <w:tcPr>
            <w:tcW w:w="4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Unbilled services and payments on account (contract assets and liabilities)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w:t>
            </w:r>
          </w:p>
        </w:tc>
        <w:tc>
          <w:tcPr>
            <w:tcW w:w="10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31</w:t>
            </w: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9"/>
        </w:trPr>
        <w:tc>
          <w:tcPr>
            <w:tcW w:w="29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December</w:t>
            </w:r>
          </w:p>
        </w:tc>
        <w:tc>
          <w:tcPr>
            <w:tcW w:w="10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December</w:t>
            </w: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5"/>
        </w:trPr>
        <w:tc>
          <w:tcPr>
            <w:tcW w:w="29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9"/>
              <w:spacing w:after="0" w:line="152" w:lineRule="exact"/>
              <w:rPr>
                <w:sz w:val="20"/>
                <w:szCs w:val="20"/>
                <w:color w:val="auto"/>
              </w:rPr>
            </w:pPr>
            <w:r>
              <w:rPr>
                <w:rFonts w:ascii="Arial" w:cs="Arial" w:eastAsia="Arial" w:hAnsi="Arial"/>
                <w:sz w:val="14"/>
                <w:szCs w:val="14"/>
                <w:b w:val="1"/>
                <w:bCs w:val="1"/>
                <w:color w:val="auto"/>
              </w:rPr>
              <w:t>2018</w:t>
            </w:r>
          </w:p>
        </w:tc>
        <w:tc>
          <w:tcPr>
            <w:tcW w:w="1000" w:type="dxa"/>
            <w:vAlign w:val="bottom"/>
            <w:shd w:val="clear" w:color="auto" w:fill="CCEEFF"/>
          </w:tcPr>
          <w:p>
            <w:pPr>
              <w:jc w:val="right"/>
              <w:ind w:right="229"/>
              <w:spacing w:after="0" w:line="152" w:lineRule="exact"/>
              <w:rPr>
                <w:sz w:val="20"/>
                <w:szCs w:val="20"/>
                <w:color w:val="auto"/>
              </w:rPr>
            </w:pPr>
            <w:r>
              <w:rPr>
                <w:rFonts w:ascii="Arial" w:cs="Arial" w:eastAsia="Arial" w:hAnsi="Arial"/>
                <w:sz w:val="14"/>
                <w:szCs w:val="14"/>
                <w:color w:val="auto"/>
              </w:rPr>
              <w:t>2017</w:t>
            </w:r>
          </w:p>
        </w:tc>
        <w:tc>
          <w:tcPr>
            <w:tcW w:w="78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4"/>
                <w:szCs w:val="14"/>
                <w:b w:val="1"/>
                <w:bCs w:val="1"/>
                <w:color w:val="auto"/>
                <w:w w:val="85"/>
              </w:rPr>
              <w:t>$ Change</w:t>
            </w:r>
          </w:p>
        </w:tc>
        <w:tc>
          <w:tcPr>
            <w:tcW w:w="860" w:type="dxa"/>
            <w:vAlign w:val="bottom"/>
            <w:gridSpan w:val="3"/>
            <w:shd w:val="clear" w:color="auto" w:fill="CCEEFF"/>
          </w:tcPr>
          <w:p>
            <w:pPr>
              <w:jc w:val="right"/>
              <w:ind w:right="100"/>
              <w:spacing w:after="0" w:line="152" w:lineRule="exact"/>
              <w:rPr>
                <w:sz w:val="20"/>
                <w:szCs w:val="20"/>
                <w:color w:val="auto"/>
              </w:rPr>
            </w:pPr>
            <w:r>
              <w:rPr>
                <w:rFonts w:ascii="Arial" w:cs="Arial" w:eastAsia="Arial" w:hAnsi="Arial"/>
                <w:sz w:val="14"/>
                <w:szCs w:val="14"/>
                <w:b w:val="1"/>
                <w:bCs w:val="1"/>
                <w:color w:val="auto"/>
              </w:rPr>
              <w:t>% Change</w:t>
            </w:r>
          </w:p>
        </w:tc>
      </w:tr>
      <w:tr>
        <w:trPr>
          <w:trHeight w:val="190"/>
        </w:trPr>
        <w:tc>
          <w:tcPr>
            <w:tcW w:w="294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000" w:type="dxa"/>
            <w:vAlign w:val="bottom"/>
            <w:tcBorders>
              <w:top w:val="single" w:sz="8" w:color="CCEEFF"/>
            </w:tcBorders>
          </w:tcPr>
          <w:p>
            <w:pPr>
              <w:jc w:val="right"/>
              <w:ind w:right="229"/>
              <w:spacing w:after="0"/>
              <w:rPr>
                <w:sz w:val="20"/>
                <w:szCs w:val="20"/>
                <w:color w:val="auto"/>
              </w:rPr>
            </w:pPr>
            <w:r>
              <w:rPr>
                <w:rFonts w:ascii="Arial" w:cs="Arial" w:eastAsia="Arial" w:hAnsi="Arial"/>
                <w:sz w:val="14"/>
                <w:szCs w:val="14"/>
                <w:color w:val="auto"/>
              </w:rPr>
              <w:t>$’000</w:t>
            </w: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
        </w:trPr>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Unbilled services (unbilled revenue)</w:t>
            </w: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362,926</w:t>
            </w:r>
          </w:p>
        </w:tc>
        <w:tc>
          <w:tcPr>
            <w:tcW w:w="10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268,509</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94,417</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35.2 %</w:t>
            </w:r>
          </w:p>
        </w:tc>
      </w:tr>
      <w:tr>
        <w:trPr>
          <w:trHeight w:val="190"/>
        </w:trPr>
        <w:tc>
          <w:tcPr>
            <w:tcW w:w="2940" w:type="dxa"/>
            <w:vAlign w:val="bottom"/>
          </w:tcPr>
          <w:p>
            <w:pPr>
              <w:ind w:left="20"/>
              <w:spacing w:after="0"/>
              <w:rPr>
                <w:sz w:val="20"/>
                <w:szCs w:val="20"/>
                <w:color w:val="auto"/>
              </w:rPr>
            </w:pPr>
            <w:r>
              <w:rPr>
                <w:rFonts w:ascii="Arial" w:cs="Arial" w:eastAsia="Arial" w:hAnsi="Arial"/>
                <w:sz w:val="14"/>
                <w:szCs w:val="14"/>
                <w:color w:val="auto"/>
              </w:rPr>
              <w:t>Unearned revenue (payments on account)</w:t>
            </w:r>
          </w:p>
        </w:tc>
        <w:tc>
          <w:tcPr>
            <w:tcW w:w="1360" w:type="dxa"/>
            <w:vAlign w:val="bottom"/>
          </w:tcPr>
          <w:p>
            <w:pPr>
              <w:jc w:val="right"/>
              <w:ind w:right="29"/>
              <w:spacing w:after="0"/>
              <w:rPr>
                <w:sz w:val="20"/>
                <w:szCs w:val="20"/>
                <w:color w:val="auto"/>
              </w:rPr>
            </w:pPr>
            <w:r>
              <w:rPr>
                <w:rFonts w:ascii="Arial" w:cs="Arial" w:eastAsia="Arial" w:hAnsi="Arial"/>
                <w:sz w:val="14"/>
                <w:szCs w:val="14"/>
                <w:b w:val="1"/>
                <w:bCs w:val="1"/>
                <w:color w:val="auto"/>
              </w:rPr>
              <w:t>(274,468)</w:t>
            </w:r>
          </w:p>
        </w:tc>
        <w:tc>
          <w:tcPr>
            <w:tcW w:w="1000" w:type="dxa"/>
            <w:vAlign w:val="bottom"/>
          </w:tcPr>
          <w:p>
            <w:pPr>
              <w:jc w:val="right"/>
              <w:ind w:right="169"/>
              <w:spacing w:after="0"/>
              <w:rPr>
                <w:sz w:val="20"/>
                <w:szCs w:val="20"/>
                <w:color w:val="auto"/>
              </w:rPr>
            </w:pPr>
            <w:r>
              <w:rPr>
                <w:rFonts w:ascii="Arial" w:cs="Arial" w:eastAsia="Arial" w:hAnsi="Arial"/>
                <w:sz w:val="14"/>
                <w:szCs w:val="14"/>
                <w:color w:val="auto"/>
              </w:rPr>
              <w:t>(298,992)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24,524</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(8.2)%</w:t>
            </w:r>
          </w:p>
        </w:tc>
      </w:tr>
      <w:tr>
        <w:trPr>
          <w:trHeight w:val="21"/>
        </w:trPr>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45"/>
        </w:trPr>
        <w:tc>
          <w:tcPr>
            <w:tcW w:w="29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0"/>
        </w:trPr>
        <w:tc>
          <w:tcPr>
            <w:tcW w:w="294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b w:val="1"/>
                <w:bCs w:val="1"/>
                <w:color w:val="auto"/>
              </w:rPr>
              <w:t>88,458</w:t>
            </w:r>
          </w:p>
        </w:tc>
        <w:tc>
          <w:tcPr>
            <w:tcW w:w="1000" w:type="dxa"/>
            <w:vAlign w:val="bottom"/>
          </w:tcPr>
          <w:p>
            <w:pPr>
              <w:jc w:val="right"/>
              <w:ind w:right="169"/>
              <w:spacing w:after="0"/>
              <w:rPr>
                <w:sz w:val="20"/>
                <w:szCs w:val="20"/>
                <w:color w:val="auto"/>
              </w:rPr>
            </w:pPr>
            <w:r>
              <w:rPr>
                <w:rFonts w:ascii="Arial" w:cs="Arial" w:eastAsia="Arial" w:hAnsi="Arial"/>
                <w:sz w:val="14"/>
                <w:szCs w:val="14"/>
                <w:color w:val="auto"/>
              </w:rPr>
              <w:t>(30,483)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118,941</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390.2 %</w:t>
            </w:r>
          </w:p>
        </w:tc>
      </w:tr>
      <w:tr>
        <w:trPr>
          <w:trHeight w:val="21"/>
        </w:trPr>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receivables and therefore contract assets rather than accounts receivables when receipt of the consideration is conditional on something other than the passage of time. Liabilities are recorded for amounts that are collected in advance of the satisfaction of performance obligations.</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Unbilled services/ 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The most significant impact of application of IFRS 15 is the measurement of a clinical trial service as a single performance obligation recognised over time. We concluded that ICON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on adoption of IFRS 15 and are recorded based on activity undertaken by the third party. Amounts owed to investigators and others in respect of reimbursable expenses at 31 December 2018 were $85.6 million (see </w:t>
      </w:r>
      <w:r>
        <w:rPr>
          <w:rFonts w:ascii="Arial" w:cs="Arial" w:eastAsia="Arial" w:hAnsi="Arial"/>
          <w:sz w:val="13"/>
          <w:szCs w:val="13"/>
          <w:i w:val="1"/>
          <w:iCs w:val="1"/>
          <w:color w:val="auto"/>
        </w:rPr>
        <w:t>note 20 Accrued and Other liabilities</w:t>
      </w:r>
      <w:r>
        <w:rPr>
          <w:rFonts w:ascii="Arial" w:cs="Arial" w:eastAsia="Arial" w:hAnsi="Arial"/>
          <w:sz w:val="13"/>
          <w:szCs w:val="13"/>
          <w:color w:val="auto"/>
        </w:rPr>
        <w: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Payments on account decreased by $24.5 million resulting in an increased of $118.9 million in the net balance of unbilled services and payments on account between 31 December 2017 and 31 December 2018.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recognised exceeds the amount billed to the customer.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60"/>
          </w:cols>
          <w:pgMar w:left="220" w:top="762" w:right="21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and contract balances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The credit loss expense recognised on the Group's receivables and unbilled services was $0.7 million for the twelve months ended 31 December 2018.</w:t>
      </w:r>
    </w:p>
    <w:p>
      <w:pPr>
        <w:spacing w:after="0" w:line="178"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As of 31 December 2018 approximately $5.3 billion of revenue is expected to be recognised in the future in respect of unsatisfied performance obligations. The Company expects to recognise revenue on approximately 40% of the unrealised performance obligation over the next 12 months, with the remainder recognised thereafter over the duration of the customer contracts.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Other assets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shd w:val="clear" w:color="auto" w:fill="CCEEFF"/>
          </w:tcPr>
          <w:p>
            <w:pPr>
              <w:spacing w:after="0"/>
              <w:rPr>
                <w:sz w:val="15"/>
                <w:szCs w:val="15"/>
                <w:color w:val="auto"/>
              </w:rPr>
            </w:pPr>
          </w:p>
        </w:tc>
        <w:tc>
          <w:tcPr>
            <w:tcW w:w="22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80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80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other assets</w:t>
            </w:r>
          </w:p>
        </w:tc>
        <w:tc>
          <w:tcPr>
            <w:tcW w:w="2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Lease deposits</w:t>
            </w: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7,706</w:t>
            </w:r>
          </w:p>
        </w:tc>
        <w:tc>
          <w:tcPr>
            <w:tcW w:w="900" w:type="dxa"/>
            <w:vAlign w:val="bottom"/>
          </w:tcPr>
          <w:p>
            <w:pPr>
              <w:jc w:val="right"/>
              <w:spacing w:after="0"/>
              <w:rPr>
                <w:sz w:val="20"/>
                <w:szCs w:val="20"/>
                <w:color w:val="auto"/>
              </w:rPr>
            </w:pPr>
            <w:r>
              <w:rPr>
                <w:rFonts w:ascii="Arial" w:cs="Arial" w:eastAsia="Arial" w:hAnsi="Arial"/>
                <w:sz w:val="14"/>
                <w:szCs w:val="14"/>
                <w:color w:val="auto"/>
              </w:rPr>
              <w:t>8,190</w:t>
            </w:r>
          </w:p>
        </w:tc>
      </w:tr>
      <w:tr>
        <w:trPr>
          <w:trHeight w:val="21"/>
        </w:trPr>
        <w:tc>
          <w:tcPr>
            <w:tcW w:w="3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employee savings scheme assets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13,072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14,174</w:t>
            </w:r>
          </w:p>
        </w:tc>
      </w:tr>
      <w:tr>
        <w:trPr>
          <w:trHeight w:val="223"/>
        </w:trPr>
        <w:tc>
          <w:tcPr>
            <w:tcW w:w="380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20,778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22,364</w:t>
            </w:r>
          </w:p>
        </w:tc>
      </w:tr>
      <w:tr>
        <w:trPr>
          <w:trHeight w:val="21"/>
        </w:trPr>
        <w:tc>
          <w:tcPr>
            <w:tcW w:w="38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4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9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Personnel related prepayments</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431</w:t>
            </w:r>
          </w:p>
        </w:tc>
        <w:tc>
          <w:tcPr>
            <w:tcW w:w="90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1"/>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Facility and information system related prepayments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20,632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18,841</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General overhead prepayments</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8,863</w:t>
            </w:r>
          </w:p>
        </w:tc>
        <w:tc>
          <w:tcPr>
            <w:tcW w:w="900" w:type="dxa"/>
            <w:vAlign w:val="bottom"/>
          </w:tcPr>
          <w:p>
            <w:pPr>
              <w:jc w:val="right"/>
              <w:spacing w:after="0"/>
              <w:rPr>
                <w:sz w:val="20"/>
                <w:szCs w:val="20"/>
                <w:color w:val="auto"/>
              </w:rPr>
            </w:pPr>
            <w:r>
              <w:rPr>
                <w:rFonts w:ascii="Arial" w:cs="Arial" w:eastAsia="Arial" w:hAnsi="Arial"/>
                <w:sz w:val="14"/>
                <w:szCs w:val="14"/>
                <w:color w:val="auto"/>
              </w:rPr>
              <w:t>9,486</w:t>
            </w:r>
          </w:p>
        </w:tc>
      </w:tr>
      <w:tr>
        <w:trPr>
          <w:trHeight w:val="21"/>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tax recoverable</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19,567</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22,519</w:t>
            </w:r>
          </w:p>
        </w:tc>
        <w:tc>
          <w:tcPr>
            <w:tcW w:w="900" w:type="dxa"/>
            <w:vAlign w:val="bottom"/>
          </w:tcPr>
          <w:p>
            <w:pPr>
              <w:jc w:val="right"/>
              <w:spacing w:after="0"/>
              <w:rPr>
                <w:sz w:val="20"/>
                <w:szCs w:val="20"/>
                <w:color w:val="auto"/>
              </w:rPr>
            </w:pPr>
            <w:r>
              <w:rPr>
                <w:rFonts w:ascii="Arial" w:cs="Arial" w:eastAsia="Arial" w:hAnsi="Arial"/>
                <w:sz w:val="14"/>
                <w:szCs w:val="14"/>
                <w:color w:val="auto"/>
              </w:rPr>
              <w:t>10,598</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4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68,734</w:t>
            </w:r>
          </w:p>
        </w:tc>
        <w:tc>
          <w:tcPr>
            <w:tcW w:w="900" w:type="dxa"/>
            <w:vAlign w:val="bottom"/>
          </w:tcPr>
          <w:p>
            <w:pPr>
              <w:jc w:val="right"/>
              <w:spacing w:after="0"/>
              <w:rPr>
                <w:sz w:val="20"/>
                <w:szCs w:val="20"/>
                <w:color w:val="auto"/>
              </w:rPr>
            </w:pPr>
            <w:r>
              <w:rPr>
                <w:rFonts w:ascii="Arial" w:cs="Arial" w:eastAsia="Arial" w:hAnsi="Arial"/>
                <w:sz w:val="14"/>
                <w:szCs w:val="14"/>
                <w:color w:val="auto"/>
              </w:rPr>
              <w:t>58,957</w:t>
            </w:r>
          </w:p>
        </w:tc>
      </w:tr>
      <w:tr>
        <w:trPr>
          <w:trHeight w:val="23"/>
        </w:trPr>
        <w:tc>
          <w:tcPr>
            <w:tcW w:w="4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60"/>
          </w:cols>
          <w:pgMar w:left="220" w:top="762" w:right="21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Financial asset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Current asset investments - fair value through OCI</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shd w:val="clear" w:color="auto" w:fill="CCEEFF"/>
          </w:tcPr>
          <w:p>
            <w:pPr>
              <w:spacing w:after="0"/>
              <w:rPr>
                <w:sz w:val="15"/>
                <w:szCs w:val="15"/>
                <w:color w:val="auto"/>
              </w:rPr>
            </w:pPr>
          </w:p>
        </w:tc>
        <w:tc>
          <w:tcPr>
            <w:tcW w:w="25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1"/>
              </w:rPr>
              <w:t>31 December</w:t>
            </w:r>
          </w:p>
        </w:tc>
      </w:tr>
      <w:tr>
        <w:trPr>
          <w:trHeight w:val="185"/>
        </w:trPr>
        <w:tc>
          <w:tcPr>
            <w:tcW w:w="356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2017</w:t>
            </w:r>
          </w:p>
        </w:tc>
      </w:tr>
      <w:tr>
        <w:trPr>
          <w:trHeight w:val="190"/>
        </w:trPr>
        <w:tc>
          <w:tcPr>
            <w:tcW w:w="3560" w:type="dxa"/>
            <w:vAlign w:val="bottom"/>
          </w:tcPr>
          <w:p>
            <w:pPr>
              <w:spacing w:after="0"/>
              <w:rPr>
                <w:sz w:val="16"/>
                <w:szCs w:val="16"/>
                <w:color w:val="auto"/>
              </w:rPr>
            </w:pPr>
          </w:p>
        </w:tc>
        <w:tc>
          <w:tcPr>
            <w:tcW w:w="25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5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At start of year</w:t>
            </w:r>
          </w:p>
        </w:tc>
        <w:tc>
          <w:tcPr>
            <w:tcW w:w="2500" w:type="dxa"/>
            <w:vAlign w:val="bottom"/>
          </w:tcPr>
          <w:p>
            <w:pPr>
              <w:jc w:val="right"/>
              <w:ind w:right="9"/>
              <w:spacing w:after="0"/>
              <w:rPr>
                <w:sz w:val="20"/>
                <w:szCs w:val="20"/>
                <w:color w:val="auto"/>
              </w:rPr>
            </w:pPr>
            <w:r>
              <w:rPr>
                <w:rFonts w:ascii="Arial" w:cs="Arial" w:eastAsia="Arial" w:hAnsi="Arial"/>
                <w:sz w:val="14"/>
                <w:szCs w:val="14"/>
                <w:b w:val="1"/>
                <w:bCs w:val="1"/>
                <w:color w:val="auto"/>
              </w:rPr>
              <w:t>77,589</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68,046</w:t>
            </w:r>
          </w:p>
        </w:tc>
      </w:tr>
      <w:tr>
        <w:trPr>
          <w:trHeight w:val="21"/>
        </w:trPr>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25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80,956</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41,701</w:t>
            </w: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Disposals/maturities</w:t>
            </w: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(99,865)</w:t>
            </w:r>
          </w:p>
        </w:tc>
        <w:tc>
          <w:tcPr>
            <w:tcW w:w="900" w:type="dxa"/>
            <w:vAlign w:val="bottom"/>
          </w:tcPr>
          <w:p>
            <w:pPr>
              <w:jc w:val="right"/>
              <w:spacing w:after="0"/>
              <w:rPr>
                <w:sz w:val="20"/>
                <w:szCs w:val="20"/>
                <w:color w:val="auto"/>
              </w:rPr>
            </w:pPr>
            <w:r>
              <w:rPr>
                <w:rFonts w:ascii="Arial" w:cs="Arial" w:eastAsia="Arial" w:hAnsi="Arial"/>
                <w:sz w:val="14"/>
                <w:szCs w:val="14"/>
                <w:color w:val="auto"/>
              </w:rPr>
              <w:t>(33,086)</w:t>
            </w:r>
          </w:p>
        </w:tc>
      </w:tr>
      <w:tr>
        <w:trPr>
          <w:trHeight w:val="21"/>
        </w:trPr>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on short term investments</w:t>
            </w:r>
          </w:p>
        </w:tc>
        <w:tc>
          <w:tcPr>
            <w:tcW w:w="25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1,329</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1,088</w:t>
            </w: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Loss on investments</w:t>
            </w: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1"/>
        </w:trPr>
        <w:tc>
          <w:tcPr>
            <w:tcW w:w="35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5"/>
        </w:trPr>
        <w:tc>
          <w:tcPr>
            <w:tcW w:w="35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At end of year</w:t>
            </w:r>
          </w:p>
        </w:tc>
        <w:tc>
          <w:tcPr>
            <w:tcW w:w="2500" w:type="dxa"/>
            <w:vAlign w:val="bottom"/>
          </w:tcPr>
          <w:p>
            <w:pPr>
              <w:jc w:val="right"/>
              <w:ind w:right="9"/>
              <w:spacing w:after="0"/>
              <w:rPr>
                <w:sz w:val="20"/>
                <w:szCs w:val="20"/>
                <w:color w:val="auto"/>
              </w:rPr>
            </w:pPr>
            <w:r>
              <w:rPr>
                <w:rFonts w:ascii="Arial" w:cs="Arial" w:eastAsia="Arial" w:hAnsi="Arial"/>
                <w:sz w:val="14"/>
                <w:szCs w:val="14"/>
                <w:b w:val="1"/>
                <w:bCs w:val="1"/>
                <w:color w:val="auto"/>
              </w:rPr>
              <w:t>59,910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77,589</w:t>
            </w:r>
          </w:p>
        </w:tc>
      </w:tr>
      <w:tr>
        <w:trPr>
          <w:trHeight w:val="23"/>
        </w:trPr>
        <w:tc>
          <w:tcPr>
            <w:tcW w:w="35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Current asset investments are reported at fair value, with gains or losses recorded in other comprehensive income. During the year ended 31 December 2018 an unrealised loss of $0.2 million (2017: unrealised loss of $0.3 million) was recorded. Current asset investments comprise highly liquid investments with maturities of greater than three months and minimum “A-” rated fixed and floating rate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Non-current financial assets - fair value through profit or loss</w:t>
      </w:r>
    </w:p>
    <w:p>
      <w:pPr>
        <w:spacing w:after="0" w:line="182"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Company entered into subscription agreements with a number of funds. Capital totalling $6.2 million had been advanced under the terms of the subscription agreements at 31 December 2018. The Company determined that the interests in the funds meet the definition of equity securities without readily determinable fair values. An increase in fair value of $0.8 million was recognised in net income during the period bringing the carrying value of the subscriptions to $7.0 million at 31 December 2018. The Company had committed to future investments of $21.3 million in respect of these funds.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Cash and cash equivalents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7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360" w:type="dxa"/>
            <w:vAlign w:val="bottom"/>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3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Cash at bank and in hand</w:t>
            </w: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160,378</w:t>
            </w:r>
          </w:p>
        </w:tc>
        <w:tc>
          <w:tcPr>
            <w:tcW w:w="900" w:type="dxa"/>
            <w:vAlign w:val="bottom"/>
          </w:tcPr>
          <w:p>
            <w:pPr>
              <w:jc w:val="right"/>
              <w:spacing w:after="0"/>
              <w:rPr>
                <w:sz w:val="20"/>
                <w:szCs w:val="20"/>
                <w:color w:val="auto"/>
              </w:rPr>
            </w:pPr>
            <w:r>
              <w:rPr>
                <w:rFonts w:ascii="Arial" w:cs="Arial" w:eastAsia="Arial" w:hAnsi="Arial"/>
                <w:sz w:val="14"/>
                <w:szCs w:val="14"/>
                <w:color w:val="auto"/>
              </w:rPr>
              <w:t>142,233</w:t>
            </w:r>
          </w:p>
        </w:tc>
      </w:tr>
      <w:tr>
        <w:trPr>
          <w:trHeight w:val="21"/>
        </w:trPr>
        <w:tc>
          <w:tcPr>
            <w:tcW w:w="3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 term deposits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235,473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140,626</w:t>
            </w:r>
          </w:p>
        </w:tc>
      </w:tr>
      <w:tr>
        <w:trPr>
          <w:trHeight w:val="223"/>
        </w:trPr>
        <w:tc>
          <w:tcPr>
            <w:tcW w:w="336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395,851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282,859</w:t>
            </w:r>
          </w:p>
        </w:tc>
      </w:tr>
      <w:tr>
        <w:trPr>
          <w:trHeight w:val="529"/>
        </w:trPr>
        <w:tc>
          <w:tcPr>
            <w:tcW w:w="336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91</w:t>
            </w: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699" w:right="21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20"/>
                <w:szCs w:val="20"/>
                <w:color w:val="auto"/>
              </w:rPr>
            </w:pPr>
            <w:r>
              <w:rPr>
                <w:rFonts w:ascii="Arial" w:cs="Arial" w:eastAsia="Arial" w:hAnsi="Arial"/>
                <w:sz w:val="14"/>
                <w:szCs w:val="14"/>
                <w:b w:val="1"/>
                <w:bCs w:val="1"/>
                <w:color w:val="auto"/>
              </w:rPr>
              <w:t>20. Accrued and other liabilities</w:t>
            </w:r>
          </w:p>
        </w:tc>
        <w:tc>
          <w:tcPr>
            <w:tcW w:w="2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5"/>
        </w:trPr>
        <w:tc>
          <w:tcPr>
            <w:tcW w:w="3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3960" w:type="dxa"/>
            <w:vAlign w:val="bottom"/>
            <w:shd w:val="clear" w:color="auto" w:fill="CCEEFF"/>
          </w:tcPr>
          <w:p>
            <w:pPr>
              <w:spacing w:after="0"/>
              <w:rPr>
                <w:sz w:val="15"/>
                <w:szCs w:val="15"/>
                <w:color w:val="auto"/>
              </w:rPr>
            </w:pPr>
          </w:p>
        </w:tc>
        <w:tc>
          <w:tcPr>
            <w:tcW w:w="21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9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9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4"/>
        </w:trPr>
        <w:tc>
          <w:tcPr>
            <w:tcW w:w="396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Non-current other liabilities</w:t>
            </w:r>
          </w:p>
        </w:tc>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Personnel related liabilities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Deferred government grants (note 22)</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90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Retirement benefit plan net obligation (note 10)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6,061</w:t>
            </w: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Deferred employee savings scheme liabilities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8,061</w:t>
            </w:r>
          </w:p>
        </w:tc>
        <w:tc>
          <w:tcPr>
            <w:tcW w:w="900" w:type="dxa"/>
            <w:vAlign w:val="bottom"/>
          </w:tcPr>
          <w:p>
            <w:pPr>
              <w:jc w:val="right"/>
              <w:spacing w:after="0"/>
              <w:rPr>
                <w:sz w:val="20"/>
                <w:szCs w:val="20"/>
                <w:color w:val="auto"/>
              </w:rPr>
            </w:pPr>
            <w:r>
              <w:rPr>
                <w:rFonts w:ascii="Arial" w:cs="Arial" w:eastAsia="Arial" w:hAnsi="Arial"/>
                <w:sz w:val="14"/>
                <w:szCs w:val="14"/>
                <w:color w:val="auto"/>
              </w:rPr>
              <w:t>9,510</w:t>
            </w: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w:t>
            </w:r>
          </w:p>
        </w:tc>
      </w:tr>
      <w:tr>
        <w:trPr>
          <w:trHeight w:val="223"/>
        </w:trPr>
        <w:tc>
          <w:tcPr>
            <w:tcW w:w="396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17,645</w:t>
            </w:r>
          </w:p>
        </w:tc>
      </w:tr>
      <w:tr>
        <w:trPr>
          <w:trHeight w:val="21"/>
        </w:trPr>
        <w:tc>
          <w:tcPr>
            <w:tcW w:w="39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Deferred employee savings scheme liabilities are payable more than 5 years from the reporting date (see </w:t>
      </w:r>
      <w:r>
        <w:rPr>
          <w:rFonts w:ascii="Arial" w:cs="Arial" w:eastAsia="Arial" w:hAnsi="Arial"/>
          <w:sz w:val="14"/>
          <w:szCs w:val="14"/>
          <w:i w:val="1"/>
          <w:iCs w:val="1"/>
          <w:color w:val="auto"/>
        </w:rPr>
        <w:t>note 26</w:t>
      </w:r>
      <w:r>
        <w:rPr>
          <w:rFonts w:ascii="Arial" w:cs="Arial" w:eastAsia="Arial" w:hAnsi="Arial"/>
          <w:sz w:val="14"/>
          <w:szCs w:val="14"/>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shd w:val="clear" w:color="auto" w:fill="CCEEFF"/>
          </w:tcPr>
          <w:p>
            <w:pPr>
              <w:spacing w:after="0"/>
              <w:rPr>
                <w:sz w:val="15"/>
                <w:szCs w:val="15"/>
                <w:color w:val="auto"/>
              </w:rPr>
            </w:pPr>
          </w:p>
        </w:tc>
        <w:tc>
          <w:tcPr>
            <w:tcW w:w="2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Current accrued and other liabilities</w:t>
            </w:r>
          </w:p>
        </w:tc>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Personnel related liabilities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171,866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168,964</w:t>
            </w: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Facility and information system related liabilities</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14,012</w:t>
            </w:r>
          </w:p>
        </w:tc>
        <w:tc>
          <w:tcPr>
            <w:tcW w:w="900" w:type="dxa"/>
            <w:vAlign w:val="bottom"/>
          </w:tcPr>
          <w:p>
            <w:pPr>
              <w:jc w:val="right"/>
              <w:spacing w:after="0"/>
              <w:rPr>
                <w:sz w:val="20"/>
                <w:szCs w:val="20"/>
                <w:color w:val="auto"/>
              </w:rPr>
            </w:pPr>
            <w:r>
              <w:rPr>
                <w:rFonts w:ascii="Arial" w:cs="Arial" w:eastAsia="Arial" w:hAnsi="Arial"/>
                <w:sz w:val="14"/>
                <w:szCs w:val="14"/>
                <w:color w:val="auto"/>
              </w:rPr>
              <w:t>13,061</w:t>
            </w: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overhead liabilities*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118,844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41,791</w:t>
            </w: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5,179</w:t>
            </w:r>
          </w:p>
        </w:tc>
        <w:tc>
          <w:tcPr>
            <w:tcW w:w="900" w:type="dxa"/>
            <w:vAlign w:val="bottom"/>
          </w:tcPr>
          <w:p>
            <w:pPr>
              <w:jc w:val="right"/>
              <w:spacing w:after="0"/>
              <w:rPr>
                <w:sz w:val="20"/>
                <w:szCs w:val="20"/>
                <w:color w:val="auto"/>
              </w:rPr>
            </w:pPr>
            <w:r>
              <w:rPr>
                <w:rFonts w:ascii="Arial" w:cs="Arial" w:eastAsia="Arial" w:hAnsi="Arial"/>
                <w:sz w:val="14"/>
                <w:szCs w:val="14"/>
                <w:color w:val="auto"/>
              </w:rPr>
              <w:t>6,470</w:t>
            </w: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 term government grants (note 22)</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23"/>
        </w:trPr>
        <w:tc>
          <w:tcPr>
            <w:tcW w:w="40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309,943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230,321</w:t>
            </w:r>
          </w:p>
        </w:tc>
      </w:tr>
      <w:tr>
        <w:trPr>
          <w:trHeight w:val="21"/>
        </w:trPr>
        <w:tc>
          <w:tcPr>
            <w:tcW w:w="40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*includes amounts due to third parties in respect of reimbursable expenses of $85.6 million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60"/>
          </w:cols>
          <w:pgMar w:left="220" w:top="699" w:right="21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20"/>
                <w:szCs w:val="20"/>
                <w:color w:val="auto"/>
              </w:rPr>
            </w:pPr>
            <w:r>
              <w:rPr>
                <w:rFonts w:ascii="Arial" w:cs="Arial" w:eastAsia="Arial" w:hAnsi="Arial"/>
                <w:sz w:val="14"/>
                <w:szCs w:val="14"/>
                <w:b w:val="1"/>
                <w:bCs w:val="1"/>
                <w:color w:val="auto"/>
              </w:rPr>
              <w:t>21.</w:t>
            </w:r>
          </w:p>
        </w:tc>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Provisions</w:t>
            </w:r>
          </w:p>
        </w:tc>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97"/>
        </w:trPr>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2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4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5"/>
              </w:rPr>
              <w:t>31 December</w:t>
            </w:r>
          </w:p>
        </w:tc>
      </w:tr>
      <w:tr>
        <w:trPr>
          <w:trHeight w:val="185"/>
        </w:trPr>
        <w:tc>
          <w:tcPr>
            <w:tcW w:w="220" w:type="dxa"/>
            <w:vAlign w:val="bottom"/>
            <w:tcBorders>
              <w:bottom w:val="single" w:sz="8" w:color="CCEEFF"/>
            </w:tcBorders>
            <w:shd w:val="clear" w:color="auto" w:fill="CCEEFF"/>
          </w:tcPr>
          <w:p>
            <w:pPr>
              <w:spacing w:after="0"/>
              <w:rPr>
                <w:sz w:val="16"/>
                <w:szCs w:val="16"/>
                <w:color w:val="auto"/>
              </w:rPr>
            </w:pPr>
          </w:p>
        </w:tc>
        <w:tc>
          <w:tcPr>
            <w:tcW w:w="338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600" w:type="dxa"/>
            <w:vAlign w:val="bottom"/>
            <w:gridSpan w:val="2"/>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6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Non-current other liabilities</w:t>
            </w:r>
          </w:p>
        </w:tc>
        <w:tc>
          <w:tcPr>
            <w:tcW w:w="2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Restructuring provision (note 8)</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223"/>
        </w:trPr>
        <w:tc>
          <w:tcPr>
            <w:tcW w:w="22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106"/>
        </w:trPr>
        <w:tc>
          <w:tcPr>
            <w:tcW w:w="220" w:type="dxa"/>
            <w:vAlign w:val="bottom"/>
            <w:tcBorders>
              <w:top w:val="single" w:sz="8" w:color="auto"/>
            </w:tcBorders>
          </w:tcPr>
          <w:p>
            <w:pPr>
              <w:spacing w:after="0"/>
              <w:rPr>
                <w:sz w:val="9"/>
                <w:szCs w:val="9"/>
                <w:color w:val="auto"/>
              </w:rPr>
            </w:pPr>
          </w:p>
        </w:tc>
        <w:tc>
          <w:tcPr>
            <w:tcW w:w="3380" w:type="dxa"/>
            <w:vAlign w:val="bottom"/>
            <w:tcBorders>
              <w:top w:val="single" w:sz="8" w:color="auto"/>
            </w:tcBorders>
          </w:tcPr>
          <w:p>
            <w:pPr>
              <w:spacing w:after="0"/>
              <w:rPr>
                <w:sz w:val="9"/>
                <w:szCs w:val="9"/>
                <w:color w:val="auto"/>
              </w:rPr>
            </w:pPr>
          </w:p>
        </w:tc>
        <w:tc>
          <w:tcPr>
            <w:tcW w:w="24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r>
      <w:tr>
        <w:trPr>
          <w:trHeight w:val="176"/>
        </w:trPr>
        <w:tc>
          <w:tcPr>
            <w:tcW w:w="2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4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5"/>
              </w:rPr>
              <w:t>31 December</w:t>
            </w:r>
          </w:p>
        </w:tc>
      </w:tr>
      <w:tr>
        <w:trPr>
          <w:trHeight w:val="185"/>
        </w:trPr>
        <w:tc>
          <w:tcPr>
            <w:tcW w:w="220" w:type="dxa"/>
            <w:vAlign w:val="bottom"/>
            <w:tcBorders>
              <w:bottom w:val="single" w:sz="8" w:color="CCEEFF"/>
            </w:tcBorders>
            <w:shd w:val="clear" w:color="auto" w:fill="CCEEFF"/>
          </w:tcPr>
          <w:p>
            <w:pPr>
              <w:spacing w:after="0"/>
              <w:rPr>
                <w:sz w:val="16"/>
                <w:szCs w:val="16"/>
                <w:color w:val="auto"/>
              </w:rPr>
            </w:pPr>
          </w:p>
        </w:tc>
        <w:tc>
          <w:tcPr>
            <w:tcW w:w="338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3600" w:type="dxa"/>
            <w:vAlign w:val="bottom"/>
            <w:gridSpan w:val="2"/>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36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Restructuring provision (note 8)</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3,182</w:t>
            </w:r>
          </w:p>
        </w:tc>
      </w:tr>
      <w:tr>
        <w:trPr>
          <w:trHeight w:val="223"/>
        </w:trPr>
        <w:tc>
          <w:tcPr>
            <w:tcW w:w="22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3,182</w:t>
            </w:r>
          </w:p>
        </w:tc>
      </w:tr>
      <w:tr>
        <w:trPr>
          <w:trHeight w:val="338"/>
        </w:trPr>
        <w:tc>
          <w:tcPr>
            <w:tcW w:w="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22.</w:t>
            </w:r>
          </w:p>
        </w:tc>
        <w:tc>
          <w:tcPr>
            <w:tcW w:w="33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Deferred government grants</w:t>
            </w:r>
          </w:p>
        </w:tc>
        <w:tc>
          <w:tcPr>
            <w:tcW w:w="2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5"/>
        </w:trPr>
        <w:tc>
          <w:tcPr>
            <w:tcW w:w="2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76"/>
        </w:trPr>
        <w:tc>
          <w:tcPr>
            <w:tcW w:w="2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220" w:type="dxa"/>
            <w:vAlign w:val="bottom"/>
            <w:tcBorders>
              <w:bottom w:val="single" w:sz="8" w:color="CCEEFF"/>
            </w:tcBorders>
            <w:shd w:val="clear" w:color="auto" w:fill="CCEEFF"/>
          </w:tcPr>
          <w:p>
            <w:pPr>
              <w:spacing w:after="0"/>
              <w:rPr>
                <w:sz w:val="16"/>
                <w:szCs w:val="16"/>
                <w:color w:val="auto"/>
              </w:rPr>
            </w:pPr>
          </w:p>
        </w:tc>
        <w:tc>
          <w:tcPr>
            <w:tcW w:w="338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600" w:type="dxa"/>
            <w:vAlign w:val="bottom"/>
            <w:gridSpan w:val="2"/>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At beginning of year</w:t>
            </w:r>
          </w:p>
        </w:tc>
        <w:tc>
          <w:tcPr>
            <w:tcW w:w="2460" w:type="dxa"/>
            <w:vAlign w:val="bottom"/>
          </w:tcPr>
          <w:p>
            <w:pPr>
              <w:jc w:val="right"/>
              <w:ind w:right="9"/>
              <w:spacing w:after="0"/>
              <w:rPr>
                <w:sz w:val="20"/>
                <w:szCs w:val="20"/>
                <w:color w:val="auto"/>
              </w:rPr>
            </w:pPr>
            <w:r>
              <w:rPr>
                <w:rFonts w:ascii="Arial" w:cs="Arial" w:eastAsia="Arial" w:hAnsi="Arial"/>
                <w:sz w:val="14"/>
                <w:szCs w:val="14"/>
                <w:b w:val="1"/>
                <w:bCs w:val="1"/>
                <w:color w:val="auto"/>
              </w:rPr>
              <w:t>1,001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941</w:t>
            </w:r>
          </w:p>
        </w:tc>
      </w:tr>
      <w:tr>
        <w:trPr>
          <w:trHeight w:val="21"/>
        </w:trPr>
        <w:tc>
          <w:tcPr>
            <w:tcW w:w="3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Repayment</w:t>
            </w:r>
          </w:p>
        </w:tc>
        <w:tc>
          <w:tcPr>
            <w:tcW w:w="2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Amortised during the year</w:t>
            </w: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1"/>
        </w:trPr>
        <w:tc>
          <w:tcPr>
            <w:tcW w:w="36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104</w:t>
            </w:r>
          </w:p>
        </w:tc>
      </w:tr>
      <w:tr>
        <w:trPr>
          <w:trHeight w:val="223"/>
        </w:trPr>
        <w:tc>
          <w:tcPr>
            <w:tcW w:w="220" w:type="dxa"/>
            <w:vAlign w:val="bottom"/>
            <w:tcBorders>
              <w:top w:val="single" w:sz="8" w:color="auto"/>
            </w:tcBorders>
          </w:tcPr>
          <w:p>
            <w:pPr>
              <w:spacing w:after="0"/>
              <w:rPr>
                <w:sz w:val="19"/>
                <w:szCs w:val="19"/>
                <w:color w:val="auto"/>
              </w:rPr>
            </w:pPr>
          </w:p>
        </w:tc>
        <w:tc>
          <w:tcPr>
            <w:tcW w:w="338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At end of year</w:t>
            </w:r>
          </w:p>
        </w:tc>
        <w:tc>
          <w:tcPr>
            <w:tcW w:w="2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919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1,001</w:t>
            </w:r>
          </w:p>
        </w:tc>
      </w:tr>
      <w:tr>
        <w:trPr>
          <w:trHeight w:val="233"/>
        </w:trPr>
        <w:tc>
          <w:tcPr>
            <w:tcW w:w="22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p>
        </w:tc>
        <w:tc>
          <w:tcPr>
            <w:tcW w:w="2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192"/>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(note 20)</w:t>
            </w:r>
          </w:p>
        </w:tc>
        <w:tc>
          <w:tcPr>
            <w:tcW w:w="2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r>
      <w:tr>
        <w:trPr>
          <w:trHeight w:val="19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Non-current (note 20)</w:t>
            </w:r>
          </w:p>
        </w:tc>
        <w:tc>
          <w:tcPr>
            <w:tcW w:w="2460" w:type="dxa"/>
            <w:vAlign w:val="bottom"/>
          </w:tcPr>
          <w:p>
            <w:pPr>
              <w:jc w:val="right"/>
              <w:ind w:right="9"/>
              <w:spacing w:after="0"/>
              <w:rPr>
                <w:sz w:val="20"/>
                <w:szCs w:val="20"/>
                <w:color w:val="auto"/>
              </w:rPr>
            </w:pPr>
            <w:r>
              <w:rPr>
                <w:rFonts w:ascii="Arial" w:cs="Arial" w:eastAsia="Arial" w:hAnsi="Arial"/>
                <w:sz w:val="14"/>
                <w:szCs w:val="14"/>
                <w:b w:val="1"/>
                <w:bCs w:val="1"/>
                <w:color w:val="auto"/>
              </w:rPr>
              <w:t>877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966</w:t>
            </w:r>
          </w:p>
        </w:tc>
      </w:tr>
      <w:tr>
        <w:trPr>
          <w:trHeight w:val="21"/>
        </w:trPr>
        <w:tc>
          <w:tcPr>
            <w:tcW w:w="3600" w:type="dxa"/>
            <w:vAlign w:val="bottom"/>
            <w:tcBorders>
              <w:bottom w:val="single" w:sz="8" w:color="auto"/>
            </w:tcBorders>
            <w:gridSpan w:val="2"/>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2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460" w:type="dxa"/>
            <w:vAlign w:val="bottom"/>
          </w:tcPr>
          <w:p>
            <w:pPr>
              <w:jc w:val="right"/>
              <w:ind w:right="9"/>
              <w:spacing w:after="0"/>
              <w:rPr>
                <w:sz w:val="20"/>
                <w:szCs w:val="20"/>
                <w:color w:val="auto"/>
              </w:rPr>
            </w:pPr>
            <w:r>
              <w:rPr>
                <w:rFonts w:ascii="Arial" w:cs="Arial" w:eastAsia="Arial" w:hAnsi="Arial"/>
                <w:sz w:val="14"/>
                <w:szCs w:val="14"/>
                <w:b w:val="1"/>
                <w:bCs w:val="1"/>
                <w:color w:val="auto"/>
              </w:rPr>
              <w:t>919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1,001</w:t>
            </w:r>
          </w:p>
        </w:tc>
      </w:tr>
      <w:tr>
        <w:trPr>
          <w:trHeight w:val="23"/>
        </w:trPr>
        <w:tc>
          <w:tcPr>
            <w:tcW w:w="2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60"/>
          </w:cols>
          <w:pgMar w:left="220" w:top="995" w:right="21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Bank credit lines and loan facilities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opening to closing net debt: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Balance 1</w:t>
            </w:r>
          </w:p>
        </w:tc>
        <w:tc>
          <w:tcPr>
            <w:tcW w:w="10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3"/>
                <w:szCs w:val="13"/>
                <w:b w:val="1"/>
                <w:bCs w:val="1"/>
                <w:color w:val="auto"/>
              </w:rPr>
              <w:t>Drawn down</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Repaid</w:t>
            </w:r>
          </w:p>
        </w:tc>
        <w:tc>
          <w:tcPr>
            <w:tcW w:w="10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3"/>
                <w:szCs w:val="13"/>
                <w:b w:val="1"/>
                <w:bCs w:val="1"/>
                <w:color w:val="auto"/>
                <w:w w:val="90"/>
              </w:rPr>
              <w:t>Net cash inflow</w:t>
            </w:r>
          </w:p>
        </w:tc>
        <w:tc>
          <w:tcPr>
            <w:tcW w:w="8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3"/>
                <w:szCs w:val="13"/>
                <w:b w:val="1"/>
                <w:bCs w:val="1"/>
                <w:color w:val="auto"/>
              </w:rPr>
              <w:t>Other non-</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16"/>
        </w:trPr>
        <w:tc>
          <w:tcPr>
            <w:tcW w:w="192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32"/>
              <w:spacing w:after="0" w:line="116" w:lineRule="exact"/>
              <w:rPr>
                <w:sz w:val="20"/>
                <w:szCs w:val="20"/>
                <w:color w:val="auto"/>
              </w:rPr>
            </w:pPr>
            <w:r>
              <w:rPr>
                <w:rFonts w:ascii="Arial" w:cs="Arial" w:eastAsia="Arial" w:hAnsi="Arial"/>
                <w:sz w:val="13"/>
                <w:szCs w:val="13"/>
                <w:b w:val="1"/>
                <w:bCs w:val="1"/>
                <w:color w:val="auto"/>
              </w:rPr>
              <w:t>cash</w:t>
            </w: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b w:val="1"/>
                <w:bCs w:val="1"/>
                <w:color w:val="auto"/>
              </w:rPr>
              <w:t>31 Dec</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Jan 2018</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3"/>
                <w:szCs w:val="13"/>
                <w:b w:val="1"/>
                <w:bCs w:val="1"/>
                <w:color w:val="auto"/>
                <w:w w:val="96"/>
              </w:rPr>
              <w:t>adjustments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0"/>
        </w:trPr>
        <w:tc>
          <w:tcPr>
            <w:tcW w:w="1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and cash</w:t>
            </w:r>
          </w:p>
        </w:tc>
        <w:tc>
          <w:tcPr>
            <w:tcW w:w="9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Arial" w:cs="Arial" w:eastAsia="Arial" w:hAnsi="Arial"/>
                <w:sz w:val="14"/>
                <w:szCs w:val="14"/>
                <w:color w:val="auto"/>
              </w:rPr>
              <w:t>equivalents</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282,859</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118,320</w:t>
            </w:r>
          </w:p>
        </w:tc>
        <w:tc>
          <w:tcPr>
            <w:tcW w:w="860" w:type="dxa"/>
            <w:vAlign w:val="bottom"/>
          </w:tcPr>
          <w:p>
            <w:pPr>
              <w:jc w:val="right"/>
              <w:spacing w:after="0"/>
              <w:rPr>
                <w:sz w:val="20"/>
                <w:szCs w:val="20"/>
                <w:color w:val="auto"/>
              </w:rPr>
            </w:pPr>
            <w:r>
              <w:rPr>
                <w:rFonts w:ascii="Arial" w:cs="Arial" w:eastAsia="Arial" w:hAnsi="Arial"/>
                <w:sz w:val="14"/>
                <w:szCs w:val="14"/>
                <w:color w:val="auto"/>
              </w:rPr>
              <w:t>(5,328)</w:t>
            </w:r>
          </w:p>
        </w:tc>
        <w:tc>
          <w:tcPr>
            <w:tcW w:w="620" w:type="dxa"/>
            <w:vAlign w:val="bottom"/>
          </w:tcPr>
          <w:p>
            <w:pPr>
              <w:jc w:val="right"/>
              <w:spacing w:after="0"/>
              <w:rPr>
                <w:sz w:val="20"/>
                <w:szCs w:val="20"/>
                <w:color w:val="auto"/>
              </w:rPr>
            </w:pPr>
            <w:r>
              <w:rPr>
                <w:rFonts w:ascii="Arial" w:cs="Arial" w:eastAsia="Arial" w:hAnsi="Arial"/>
                <w:sz w:val="14"/>
                <w:szCs w:val="14"/>
                <w:color w:val="auto"/>
              </w:rPr>
              <w:t>395,851</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 at fair value</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 other comprehensive</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77,589</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(18,909)</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59,910</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Private placement notes</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(348,888)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(376)</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(349,264)</w:t>
            </w:r>
          </w:p>
        </w:tc>
        <w:tc>
          <w:tcPr>
            <w:tcW w:w="0" w:type="dxa"/>
            <w:vAlign w:val="bottom"/>
          </w:tcPr>
          <w:p>
            <w:pPr>
              <w:spacing w:after="0"/>
              <w:rPr>
                <w:sz w:val="1"/>
                <w:szCs w:val="1"/>
                <w:color w:val="auto"/>
              </w:rPr>
            </w:pPr>
          </w:p>
        </w:tc>
      </w:tr>
      <w:tr>
        <w:trPr>
          <w:trHeight w:val="21"/>
        </w:trPr>
        <w:tc>
          <w:tcPr>
            <w:tcW w:w="1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11,560</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b w:val="1"/>
                <w:bCs w:val="1"/>
                <w:color w:val="auto"/>
              </w:rPr>
              <w:t>99,411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106,497</w:t>
            </w: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15 December 2015 the Company issued, through its subsidiary ICON Investment Five Unlimited Company (the "Issuer"), Senior Notes for aggregate gross proceeds of $350 million. The Senior Notes will mature on 15 December 2020. Interest payable is fixed at 3.64% and is payable semi-annually on the Senior Notes on each 15 June and 15 December commencing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Issuer used the proceeds from the sale of the Senior Notes to repay the existing $350 million bridge facility. The Senior Notes are presented net of related financing costs on the Consolidated Statement of Financial Position ($349.3 million at 31 December 2018).</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12 March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No amounts were drawn at 31 December 2018, or at 31 December 2017, in respect of the Revolving Credit Facility. Amounts available to the Group under the facility at 31 December 2018 were $150.0 million and at 31 December 2017 were $100.0 million.</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Note Purchase and Guarantee Agreement includes certain financial covenants that require compliance with a consolidated leverage ratio, a minimum EBIT to consolidated net interest charge ratio and a maximum amount of priority debt. The financial covenants are defined in the Note Purchase and Guarantee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and the Revolving Credit Facility credit agreements also include certain customary covenants that restrict the Group’s ability to enter into certain transactions or events including:</w:t>
      </w:r>
    </w:p>
    <w:p>
      <w:pPr>
        <w:spacing w:after="0" w:line="189" w:lineRule="exact"/>
        <w:rPr>
          <w:sz w:val="20"/>
          <w:szCs w:val="20"/>
          <w:color w:val="auto"/>
        </w:rPr>
      </w:pPr>
    </w:p>
    <w:p>
      <w:pPr>
        <w:ind w:left="520" w:hanging="261"/>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incur or assume liens or additional debt;</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dispose of assets;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engage in mergers or reorganisations; or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enter into certain types of transactions with affiliates.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60"/>
          </w:cols>
          <w:pgMar w:left="220" w:top="699" w:right="21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Arial" w:cs="Arial" w:eastAsia="Arial" w:hAnsi="Arial"/>
                <w:sz w:val="14"/>
                <w:szCs w:val="14"/>
                <w:b w:val="1"/>
                <w:bCs w:val="1"/>
                <w:color w:val="auto"/>
              </w:rPr>
              <w:t>24. Share capital</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9"/>
        </w:trPr>
        <w:tc>
          <w:tcPr>
            <w:tcW w:w="4720" w:type="dxa"/>
            <w:vAlign w:val="bottom"/>
          </w:tcPr>
          <w:p>
            <w:pPr>
              <w:spacing w:after="0"/>
              <w:rPr>
                <w:sz w:val="20"/>
                <w:szCs w:val="20"/>
                <w:color w:val="auto"/>
              </w:rPr>
            </w:pPr>
            <w:r>
              <w:rPr>
                <w:rFonts w:ascii="Arial" w:cs="Arial" w:eastAsia="Arial" w:hAnsi="Arial"/>
                <w:sz w:val="14"/>
                <w:szCs w:val="14"/>
                <w:b w:val="1"/>
                <w:bCs w:val="1"/>
                <w:i w:val="1"/>
                <w:iCs w:val="1"/>
                <w:color w:val="auto"/>
              </w:rPr>
              <w:t>Group and Company</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4720" w:type="dxa"/>
            <w:vAlign w:val="bottom"/>
          </w:tcPr>
          <w:p>
            <w:pPr>
              <w:spacing w:after="0"/>
              <w:rPr>
                <w:sz w:val="9"/>
                <w:szCs w:val="9"/>
                <w:color w:val="auto"/>
              </w:rPr>
            </w:pPr>
          </w:p>
        </w:tc>
        <w:tc>
          <w:tcPr>
            <w:tcW w:w="2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Authorised share capital:</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No. of Ordinary Shares</w:t>
            </w:r>
          </w:p>
        </w:tc>
        <w:tc>
          <w:tcPr>
            <w:tcW w:w="20" w:type="dxa"/>
            <w:vAlign w:val="bottom"/>
          </w:tcPr>
          <w:p>
            <w:pPr>
              <w:spacing w:after="0"/>
              <w:rPr>
                <w:sz w:val="16"/>
                <w:szCs w:val="16"/>
                <w:color w:val="auto"/>
              </w:rPr>
            </w:pPr>
          </w:p>
        </w:tc>
      </w:tr>
      <w:tr>
        <w:trPr>
          <w:trHeight w:val="233"/>
        </w:trPr>
        <w:tc>
          <w:tcPr>
            <w:tcW w:w="4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of par value €0.06</w:t>
            </w:r>
          </w:p>
        </w:tc>
        <w:tc>
          <w:tcPr>
            <w:tcW w:w="1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20" w:type="dxa"/>
            <w:vAlign w:val="bottom"/>
          </w:tcPr>
          <w:p>
            <w:pPr>
              <w:spacing w:after="0"/>
              <w:rPr>
                <w:sz w:val="18"/>
                <w:szCs w:val="18"/>
                <w:color w:val="auto"/>
              </w:rPr>
            </w:pPr>
          </w:p>
        </w:tc>
      </w:tr>
      <w:tr>
        <w:trPr>
          <w:trHeight w:val="287"/>
        </w:trPr>
        <w:tc>
          <w:tcPr>
            <w:tcW w:w="47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7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c>
          <w:tcPr>
            <w:tcW w:w="20" w:type="dxa"/>
            <w:vAlign w:val="bottom"/>
            <w:shd w:val="clear" w:color="auto" w:fill="CCEEFF"/>
          </w:tcPr>
          <w:p>
            <w:pPr>
              <w:spacing w:after="0"/>
              <w:rPr>
                <w:sz w:val="15"/>
                <w:szCs w:val="15"/>
                <w:color w:val="auto"/>
              </w:rPr>
            </w:pPr>
          </w:p>
        </w:tc>
      </w:tr>
      <w:tr>
        <w:trPr>
          <w:trHeight w:val="185"/>
        </w:trPr>
        <w:tc>
          <w:tcPr>
            <w:tcW w:w="47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0"/>
        </w:trPr>
        <w:tc>
          <w:tcPr>
            <w:tcW w:w="472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47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Allotted, called up and fully paid</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53,971,706 (31 December 2017: 54,081,601) ordinary shares of €0.06 each</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3"/>
        </w:trPr>
        <w:tc>
          <w:tcPr>
            <w:tcW w:w="47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Issued, fully paid share capital</w:t>
            </w:r>
          </w:p>
        </w:tc>
        <w:tc>
          <w:tcPr>
            <w:tcW w:w="1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At beginning of year</w:t>
            </w: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4,664</w:t>
            </w:r>
          </w:p>
        </w:tc>
        <w:tc>
          <w:tcPr>
            <w:tcW w:w="900" w:type="dxa"/>
            <w:vAlign w:val="bottom"/>
          </w:tcPr>
          <w:p>
            <w:pPr>
              <w:jc w:val="right"/>
              <w:spacing w:after="0"/>
              <w:rPr>
                <w:sz w:val="20"/>
                <w:szCs w:val="20"/>
                <w:color w:val="auto"/>
              </w:rPr>
            </w:pPr>
            <w:r>
              <w:rPr>
                <w:rFonts w:ascii="Arial" w:cs="Arial" w:eastAsia="Arial" w:hAnsi="Arial"/>
                <w:sz w:val="14"/>
                <w:szCs w:val="14"/>
                <w:color w:val="auto"/>
              </w:rPr>
              <w:t>4,692</w:t>
            </w: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share options exercised</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Restricted share units/ performance share units</w:t>
            </w: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36</w:t>
            </w: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ordinary shares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3"/>
        </w:trPr>
        <w:tc>
          <w:tcPr>
            <w:tcW w:w="47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end of year</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1"/>
        </w:trPr>
        <w:tc>
          <w:tcPr>
            <w:tcW w:w="47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31"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During the year ended 31 December 2018, 408,699 options were exercised by employees at an average exercise price of $41.12 per share for total proceeds of $16.8 million. During the year ended 31 December 2018, 273,742 ordinary shares were issued in respect of certain RSUs and 215,826 ordinary shares were issued in respect of PSUs previously awarded by the Company.</w:t>
      </w:r>
    </w:p>
    <w:p>
      <w:pPr>
        <w:spacing w:after="0" w:line="109"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During the year ended 31 December 2017, 458,243 options were exercised by employees at an average exercise price of $30.35 per share for total proceeds of $13.9 million. During the year ended 31 December 2017, 361,102 ordinary shares were issued in respect of certain RSUs and 320,640 ordinary shares were issued in respect of PSUs previously awarded by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programme</w:t>
      </w:r>
    </w:p>
    <w:p>
      <w:pPr>
        <w:spacing w:after="0" w:line="178"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At 31 December 2018 a total of 4,026,576 ordinary shares were redeemed by the Company under this buyback programme for a total consideration of $372.1 million. 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Under the repurchase programme, a broker purchased the Company’s shares from time to time on the open market or in privately negotiated transactions in accordance with agreed terms and limitations. The programme was designed to allow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60"/>
          </w:cols>
          <w:pgMar w:left="220" w:top="699" w:right="21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 Share capital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Capital and reserves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shd w:val="clear" w:color="auto" w:fill="CCEEFF"/>
          </w:tcPr>
          <w:p>
            <w:pPr>
              <w:spacing w:after="0"/>
              <w:rPr>
                <w:sz w:val="15"/>
                <w:szCs w:val="15"/>
                <w:color w:val="auto"/>
              </w:rPr>
            </w:pPr>
          </w:p>
        </w:tc>
        <w:tc>
          <w:tcPr>
            <w:tcW w:w="2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384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840" w:type="dxa"/>
            <w:vAlign w:val="bottom"/>
          </w:tcPr>
          <w:p>
            <w:pPr>
              <w:spacing w:after="0"/>
              <w:rPr>
                <w:sz w:val="16"/>
                <w:szCs w:val="16"/>
                <w:color w:val="auto"/>
              </w:rPr>
            </w:pP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8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Share-based payment reserve</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173,326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187,840</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undenominated capital</w:t>
            </w: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983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912</w:t>
            </w: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11,868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11,029</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reserve</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(35,077)</w:t>
            </w: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Current asset investment – fair value reserve</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(450)</w:t>
            </w: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979,834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794,331</w:t>
            </w:r>
          </w:p>
        </w:tc>
      </w:tr>
      <w:tr>
        <w:trPr>
          <w:trHeight w:val="223"/>
        </w:trPr>
        <w:tc>
          <w:tcPr>
            <w:tcW w:w="384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1,098,092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958,740</w:t>
            </w:r>
          </w:p>
        </w:tc>
      </w:tr>
      <w:tr>
        <w:trPr>
          <w:trHeight w:val="21"/>
        </w:trPr>
        <w:tc>
          <w:tcPr>
            <w:tcW w:w="384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payment reserve</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share-based payment reserve is used to account for share-based payments. The fair value of share-based payments is expensed to the Consolidated Statement of Profit and Loss over the period the related services are received, with a corresponding increase in equity. At 31 December 2018 the Group has recognised a cumulative charge for share-based payments of $238.5 million net of deferred tax (2017: $218.6 million). The Group has also recognised a cumulative charge of $40.6 million (2017: $36.0 million) in reserves for the current and deferred tax effects of the tax benefits relating to the exercise of employee share options in excess of related cumulative compensation expense. The Group has reclassified a cumulative credit of $105.8 million (2017: $66.8 million) to retained earnings in respect of exercised and expired share-based awards.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undenominated capital</w:t>
      </w:r>
    </w:p>
    <w:p>
      <w:pPr>
        <w:spacing w:after="0" w:line="1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Group and transferred from share capital to other undenominated capital as required under Irish Company Law. During the year ended 31 December 2018, 1,008,162 (31 December 2017: 1,589,227) ordinary shares were repurchased and cancelled by the Group.</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reserves</w:t>
      </w:r>
    </w:p>
    <w:p>
      <w:pPr>
        <w:spacing w:after="0" w:line="1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has recognised a non-distributable reserve of $3.2 million in accordance with agreements made between the Group and Enterprise Ireland, an Irish government agency. The requirement for these non-distributable reserves will expire between the period 2022 and 2023.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5 October 2015, the Company entered into an interest rate hedge in respect of the planned issuance of the Senior Notes in December 2015. The interest rate hedge matured on 17 November 2015 when the interest rate on the Senior Notes was fixed. The cash proceeds ($4.6 million), representing the realised gain on the interest rate hedge was received on maturity in November 2015 and is recorded in Other Reserves. The realised gain will be amortised to the Consolidated Statement of Profit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60"/>
          </w:cols>
          <w:pgMar w:left="220" w:top="762" w:right="21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Capital and reserves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and Loss, net against interest payable, over the period of the Senior Notes. As of 31 December 2018, $2.8 million was amortised to the Consolidated Statement of Profit and Loss (2017: $1.8 million).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31 December 2017, the company also recognised a credit for the tax benefit on defined pension contributions of $0.7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Currency reserve</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currency reserve comprises all foreign exchange differences arising from the translation of the financial statements of foreign currency denominated operations of the Group since 1 June 2004, the date of transition to IFRS. As at 31 December 2018, this amounted to a cumulative loss of $62.4 million (2017: loss of $35.8 million). In addition the Group has recognised a cumulative loss for the currency impact of long term funding amounting to $1.7 million at 31 December 2018 (2017: gain of $3.0 million) and a cumulative charge of $3.4 million (2017: charge $3.3 million) for the related tax on the currency impact on long term funding.</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the year ended 31 December 2017, we entered into forward foreign currency contracts in respect of identified exposure arising from euro payments. At 31 December 2018, $Nil was recognised in reserves in respect of the value of the contracts.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 asset investments – fair value reserve</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current asset investment – fair value reserve comprises unrealised fair value gains and losses on current asset investments held as available-for-sale. The Group has recognised a cumulative loss during the year ended 31 December 2018 of $0.5 million (2017: loss of $0.3 million). Unrealised gains and losses are reclassified to the Consolidated Statement of Profit and Loss on disposal or impairment of the related asset.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premium</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Share premium is the difference between the norminal value of shares and the value of consideration for shares issued.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Retained earnings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In addition to the profit for the financial year the Group has also recognised the re-measurement of the defined benefit pension scheme in this reserve. In 2018, the Group recognised a re-measurement on the defined benefit pension scheme of $2.6 million (31 December 2017: a re-measurement of $(0.1) million). In 2018, the Group recognised share issue costs of $(0.1) million in this reserve. The Group has recognised a credit of $39.0 million (2017: credit of $5.0 million) in respect of exercised and expired share-based awards that have been transferred from the share based payment reserve. During the year, the Group also participated in a share buyback programme. During the year ended 31 December 2018, the Group redeemed a total of 1,008,162 ordinary shares for total consideration of $129.0 million (2017: 1,589,227 ordinary shares were redeemed by the Group for a total consideration of $133.1 million), see </w:t>
      </w:r>
      <w:r>
        <w:rPr>
          <w:rFonts w:ascii="Arial" w:cs="Arial" w:eastAsia="Arial" w:hAnsi="Arial"/>
          <w:sz w:val="13"/>
          <w:szCs w:val="13"/>
          <w:i w:val="1"/>
          <w:iCs w:val="1"/>
          <w:color w:val="auto"/>
        </w:rPr>
        <w:t>note 24 Share Capital</w:t>
      </w:r>
      <w:r>
        <w:rPr>
          <w:rFonts w:ascii="Arial" w:cs="Arial" w:eastAsia="Arial" w:hAnsi="Arial"/>
          <w:sz w:val="13"/>
          <w:szCs w:val="13"/>
          <w:color w:val="auto"/>
        </w:rPr>
        <w:t xml:space="preserve"> for further detail.</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Financial instruments</w:t>
      </w:r>
    </w:p>
    <w:p>
      <w:pPr>
        <w:spacing w:after="0" w:line="203"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60"/>
          </w:cols>
          <w:pgMar w:left="220" w:top="762" w:right="21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risk</w:t>
      </w:r>
    </w:p>
    <w:p>
      <w:pPr>
        <w:spacing w:after="0" w:line="178"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and unbilled receivables.</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Credit risk is managed on a group basis. For banks and financial institutions, only independently rated parties with a minimum rating of BB+ for overnight maturities and a minimum of A- for any bank deposits greater than overnight and up to three months.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Current asset investments (recorded at fair value through other comprehensive income) comprise investments with maturities of greater than three months. The minimum ratings required for investment are as follows: bank deposits (A-), money market funds (AAA), liquidity funds (AAA) and fixed rate corporate bonds or floating rate notes (A- non-financial, AA- financial).</w:t>
      </w:r>
    </w:p>
    <w:p>
      <w:pPr>
        <w:jc w:val="both"/>
        <w:spacing w:after="0" w:line="258" w:lineRule="auto"/>
        <w:rPr>
          <w:sz w:val="20"/>
          <w:szCs w:val="20"/>
          <w:color w:val="auto"/>
        </w:rPr>
      </w:pPr>
      <w:r>
        <w:rPr>
          <w:rFonts w:ascii="Arial" w:cs="Arial" w:eastAsia="Arial" w:hAnsi="Arial"/>
          <w:sz w:val="14"/>
          <w:szCs w:val="14"/>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its financial position, past experience and other factors. The compliance with credit terms is regularly monitored by line management.</w:t>
      </w:r>
    </w:p>
    <w:p>
      <w:pPr>
        <w:spacing w:after="0" w:line="14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Contract terms may range from several weeks to several years depending on the nature of the work to be performed. Contracts are generally fixed price or unit based. In most cases, a portion of the contract fee is paid at the time the study or trial is started. The balance of the contract fee is generally billable in instalments over the study or trial duration and may be based on the delivery of certain performance targets or "milestones" or, based on units delivered, or on a fixed monthly payment schedule such as patient enrolment or database delivery.</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Where customers request changes in the scope of a trial or in the services to be provided, a change order or amendment is issued which may result either in an increase or decrease in the contract value.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 Group also contracts on a "fee-for-service" or "time and materials" basis.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During the course of a study, the Group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enrollment or investigator recruitment.</w:t>
      </w:r>
    </w:p>
    <w:p>
      <w:pPr>
        <w:spacing w:after="0" w:line="146"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The Group’s top five customers accounted for approximately 40% and 42% of revenue during the years ended 31 December 2018 and 31 December 2017. During the year ended 31 December 2018 14% of the Group’s revenues were derived from its top customer (2017: 21%). With the exception of this customer, no customer contributed more than 10% of net revenues during the current or prior year.</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maximum exposure of credit risk pertaining to customers is the carrying value of accounts receivable and unbilled revenue balances. The carrying value of accounts receivable and unbilled revenue balances, by geographic region, at 31 December 2018 was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60"/>
          </w:cols>
          <w:pgMar w:left="220" w:top="762" w:right="21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Accounts Receivable</w:t>
            </w:r>
          </w:p>
        </w:tc>
        <w:tc>
          <w:tcPr>
            <w:tcW w:w="182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Unbilled Revenue</w:t>
            </w:r>
          </w:p>
        </w:tc>
      </w:tr>
      <w:tr>
        <w:trPr>
          <w:trHeight w:val="176"/>
        </w:trPr>
        <w:tc>
          <w:tcPr>
            <w:tcW w:w="2080" w:type="dxa"/>
            <w:vAlign w:val="bottom"/>
          </w:tcPr>
          <w:p>
            <w:pPr>
              <w:spacing w:after="0"/>
              <w:rPr>
                <w:sz w:val="15"/>
                <w:szCs w:val="15"/>
                <w:color w:val="auto"/>
              </w:rPr>
            </w:pPr>
          </w:p>
        </w:tc>
        <w:tc>
          <w:tcPr>
            <w:tcW w:w="2140" w:type="dxa"/>
            <w:vAlign w:val="bottom"/>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4"/>
        </w:trPr>
        <w:tc>
          <w:tcPr>
            <w:tcW w:w="208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208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54"/>
        </w:trPr>
        <w:tc>
          <w:tcPr>
            <w:tcW w:w="20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9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336,141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289,282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283,595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179,766</w:t>
            </w:r>
          </w:p>
        </w:tc>
      </w:tr>
      <w:tr>
        <w:trPr>
          <w:trHeight w:val="190"/>
        </w:trPr>
        <w:tc>
          <w:tcPr>
            <w:tcW w:w="208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71,321</w:t>
            </w:r>
          </w:p>
        </w:tc>
        <w:tc>
          <w:tcPr>
            <w:tcW w:w="900" w:type="dxa"/>
            <w:vAlign w:val="bottom"/>
          </w:tcPr>
          <w:p>
            <w:pPr>
              <w:jc w:val="right"/>
              <w:spacing w:after="0"/>
              <w:rPr>
                <w:sz w:val="20"/>
                <w:szCs w:val="20"/>
                <w:color w:val="auto"/>
              </w:rPr>
            </w:pPr>
            <w:r>
              <w:rPr>
                <w:rFonts w:ascii="Arial" w:cs="Arial" w:eastAsia="Arial" w:hAnsi="Arial"/>
                <w:sz w:val="14"/>
                <w:szCs w:val="14"/>
                <w:color w:val="auto"/>
              </w:rPr>
              <w:t>80,174</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71,537</w:t>
            </w:r>
          </w:p>
        </w:tc>
        <w:tc>
          <w:tcPr>
            <w:tcW w:w="900" w:type="dxa"/>
            <w:vAlign w:val="bottom"/>
          </w:tcPr>
          <w:p>
            <w:pPr>
              <w:jc w:val="right"/>
              <w:spacing w:after="0"/>
              <w:rPr>
                <w:sz w:val="20"/>
                <w:szCs w:val="20"/>
                <w:color w:val="auto"/>
              </w:rPr>
            </w:pPr>
            <w:r>
              <w:rPr>
                <w:rFonts w:ascii="Arial" w:cs="Arial" w:eastAsia="Arial" w:hAnsi="Arial"/>
                <w:sz w:val="14"/>
                <w:szCs w:val="14"/>
                <w:color w:val="auto"/>
              </w:rPr>
              <w:t>77,182</w:t>
            </w:r>
          </w:p>
        </w:tc>
      </w:tr>
      <w:tr>
        <w:trPr>
          <w:trHeight w:val="21"/>
        </w:trPr>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World</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7,329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7,794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11,561</w:t>
            </w:r>
          </w:p>
        </w:tc>
      </w:tr>
      <w:tr>
        <w:trPr>
          <w:trHeight w:val="245"/>
        </w:trPr>
        <w:tc>
          <w:tcPr>
            <w:tcW w:w="20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19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414,791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362,926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268,509</w:t>
            </w:r>
          </w:p>
        </w:tc>
      </w:tr>
      <w:tr>
        <w:trPr>
          <w:trHeight w:val="21"/>
        </w:trPr>
        <w:tc>
          <w:tcPr>
            <w:tcW w:w="20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Group has four types of financial assets that are subject to the expected credit loss model:</w:t>
      </w:r>
    </w:p>
    <w:p>
      <w:pPr>
        <w:spacing w:after="0" w:line="19" w:lineRule="exact"/>
        <w:rPr>
          <w:sz w:val="20"/>
          <w:szCs w:val="20"/>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trade receivables (billed amounts) for services provided to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unbilled receivables (contract assets) for services provided to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debt instruments carried at FVOCI</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cash and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 receivables and contract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Group applies the IFRS 9 simplified approach to measuring expected credit losses which uses a lifetime expected loss allowance for all trade receivables and contract assets.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The expected loss rates are based on the payment profiles of revenue over a period of 36 months before 31 December 2018 or 1 January 2018 respectively and the corresponding historical credit losses experienced within this period. The historical loss rates are adjusted to reflect current and forward looking information on macroeconomic factors affecting the ability of the customers to settle receivables. See </w:t>
      </w:r>
      <w:r>
        <w:rPr>
          <w:rFonts w:ascii="Arial" w:cs="Arial" w:eastAsia="Arial" w:hAnsi="Arial"/>
          <w:sz w:val="14"/>
          <w:szCs w:val="14"/>
          <w:i w:val="1"/>
          <w:iCs w:val="1"/>
          <w:color w:val="auto"/>
        </w:rPr>
        <w:t>note 16 - Accounts receivable and contract balances</w:t>
      </w:r>
      <w:r>
        <w:rPr>
          <w:rFonts w:ascii="Arial" w:cs="Arial" w:eastAsia="Arial" w:hAnsi="Arial"/>
          <w:sz w:val="14"/>
          <w:szCs w:val="14"/>
          <w:color w:val="auto"/>
        </w:rPr>
        <w:t xml:space="preserve"> for assessment of the loss allowance as at 1 January 2018 and 31 December 2018 (on adoption of IFRS 9) for both trade receivables and contract assets.</w:t>
      </w:r>
    </w:p>
    <w:p>
      <w:pPr>
        <w:spacing w:after="0" w:line="146"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Trade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and contract assets are presented as net impairment losses within operating profit. Subsequent recoveries of amounts previously written off are credited against the same line item.</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Previous accounting policy for impairment of trade receivables</w:t>
      </w:r>
    </w:p>
    <w:p>
      <w:pPr>
        <w:spacing w:after="0" w:line="178" w:lineRule="exact"/>
        <w:rPr>
          <w:sz w:val="20"/>
          <w:szCs w:val="20"/>
          <w:color w:val="auto"/>
        </w:rPr>
      </w:pPr>
    </w:p>
    <w:p>
      <w:pPr>
        <w:ind w:right="180"/>
        <w:spacing w:after="0" w:line="295" w:lineRule="auto"/>
        <w:rPr>
          <w:sz w:val="20"/>
          <w:szCs w:val="20"/>
          <w:color w:val="auto"/>
        </w:rPr>
      </w:pPr>
      <w:r>
        <w:rPr>
          <w:rFonts w:ascii="Arial" w:cs="Arial" w:eastAsia="Arial" w:hAnsi="Arial"/>
          <w:sz w:val="13"/>
          <w:szCs w:val="13"/>
          <w:color w:val="auto"/>
        </w:rPr>
        <w:t>In the prior year, impairment of trade receivables was assessed based on the incurred loss model. Individual receivables which were known to be uncollectible were written off by reducing the carrying amount directly. The other receivables were assessed collectively to determine whether there was objective evidence that an impairment had been incurred but not yet identified. The estimated impairment losses were recognised as a provision for impairment. Receivables were written off against the provision when there was no expectation of recovering cash.</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Group’s liquid and capital resources at 31 December 2018 were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60"/>
          </w:cols>
          <w:pgMar w:left="220" w:top="762" w:right="21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shd w:val="clear" w:color="auto" w:fill="CCEEFF"/>
          </w:tcPr>
          <w:p>
            <w:pPr>
              <w:spacing w:after="0"/>
              <w:rPr>
                <w:sz w:val="15"/>
                <w:szCs w:val="15"/>
                <w:color w:val="auto"/>
              </w:rPr>
            </w:pPr>
          </w:p>
        </w:tc>
        <w:tc>
          <w:tcPr>
            <w:tcW w:w="2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6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620" w:type="dxa"/>
            <w:vAlign w:val="bottom"/>
          </w:tcPr>
          <w:p>
            <w:pPr>
              <w:spacing w:after="0"/>
              <w:rPr>
                <w:sz w:val="16"/>
                <w:szCs w:val="16"/>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4"/>
        </w:trPr>
        <w:tc>
          <w:tcPr>
            <w:tcW w:w="36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0"/>
        </w:trPr>
        <w:tc>
          <w:tcPr>
            <w:tcW w:w="3620" w:type="dxa"/>
            <w:vAlign w:val="bottom"/>
          </w:tcPr>
          <w:p>
            <w:pPr>
              <w:ind w:left="20"/>
              <w:spacing w:after="0"/>
              <w:rPr>
                <w:sz w:val="20"/>
                <w:szCs w:val="20"/>
                <w:color w:val="auto"/>
              </w:rPr>
            </w:pPr>
            <w:r>
              <w:rPr>
                <w:rFonts w:ascii="Arial" w:cs="Arial" w:eastAsia="Arial" w:hAnsi="Arial"/>
                <w:sz w:val="14"/>
                <w:szCs w:val="14"/>
                <w:color w:val="auto"/>
              </w:rPr>
              <w:t>Current asset investments (note 18)</w:t>
            </w: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59,910</w:t>
            </w:r>
          </w:p>
        </w:tc>
        <w:tc>
          <w:tcPr>
            <w:tcW w:w="900" w:type="dxa"/>
            <w:vAlign w:val="bottom"/>
          </w:tcPr>
          <w:p>
            <w:pPr>
              <w:jc w:val="right"/>
              <w:spacing w:after="0"/>
              <w:rPr>
                <w:sz w:val="20"/>
                <w:szCs w:val="20"/>
                <w:color w:val="auto"/>
              </w:rPr>
            </w:pPr>
            <w:r>
              <w:rPr>
                <w:rFonts w:ascii="Arial" w:cs="Arial" w:eastAsia="Arial" w:hAnsi="Arial"/>
                <w:sz w:val="14"/>
                <w:szCs w:val="14"/>
                <w:color w:val="auto"/>
              </w:rPr>
              <w:t>77,589</w:t>
            </w:r>
          </w:p>
        </w:tc>
      </w:tr>
      <w:tr>
        <w:trPr>
          <w:trHeight w:val="21"/>
        </w:trPr>
        <w:tc>
          <w:tcPr>
            <w:tcW w:w="3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(note 19)</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395,851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282,859</w:t>
            </w:r>
          </w:p>
        </w:tc>
      </w:tr>
      <w:tr>
        <w:trPr>
          <w:trHeight w:val="213"/>
        </w:trPr>
        <w:tc>
          <w:tcPr>
            <w:tcW w:w="36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liquid resources</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455,761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360,448</w:t>
            </w:r>
          </w:p>
        </w:tc>
      </w:tr>
      <w:tr>
        <w:trPr>
          <w:trHeight w:val="222"/>
        </w:trPr>
        <w:tc>
          <w:tcPr>
            <w:tcW w:w="36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1,386,379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1,230,256</w:t>
            </w:r>
          </w:p>
        </w:tc>
      </w:tr>
      <w:tr>
        <w:trPr>
          <w:trHeight w:val="21"/>
        </w:trPr>
        <w:tc>
          <w:tcPr>
            <w:tcW w:w="362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Group’s primary objectives in managing its liquid and capital resources are as follows:</w:t>
      </w:r>
    </w:p>
    <w:p>
      <w:pPr>
        <w:spacing w:after="0" w:line="199" w:lineRule="exact"/>
        <w:rPr>
          <w:sz w:val="20"/>
          <w:szCs w:val="20"/>
          <w:color w:val="auto"/>
        </w:rPr>
      </w:pPr>
    </w:p>
    <w:p>
      <w:pPr>
        <w:ind w:left="560" w:hanging="365"/>
        <w:spacing w:after="0"/>
        <w:tabs>
          <w:tab w:leader="none" w:pos="5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to maintain adequate resources to fund its continued operations,</w:t>
      </w:r>
    </w:p>
    <w:p>
      <w:pPr>
        <w:spacing w:after="0" w:line="40" w:lineRule="exact"/>
        <w:rPr>
          <w:rFonts w:ascii="Arial" w:cs="Arial" w:eastAsia="Arial" w:hAnsi="Arial"/>
          <w:sz w:val="14"/>
          <w:szCs w:val="14"/>
          <w:color w:val="auto"/>
        </w:rPr>
      </w:pPr>
    </w:p>
    <w:p>
      <w:pPr>
        <w:ind w:left="560" w:hanging="365"/>
        <w:spacing w:after="0"/>
        <w:tabs>
          <w:tab w:leader="none" w:pos="5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to ensure availability of sufficient resources to sustain future development and growth of the business,</w:t>
      </w:r>
    </w:p>
    <w:p>
      <w:pPr>
        <w:spacing w:after="0" w:line="40" w:lineRule="exact"/>
        <w:rPr>
          <w:rFonts w:ascii="Arial" w:cs="Arial" w:eastAsia="Arial" w:hAnsi="Arial"/>
          <w:sz w:val="14"/>
          <w:szCs w:val="14"/>
          <w:color w:val="auto"/>
        </w:rPr>
      </w:pPr>
    </w:p>
    <w:p>
      <w:pPr>
        <w:ind w:left="560" w:hanging="365"/>
        <w:spacing w:after="0"/>
        <w:tabs>
          <w:tab w:leader="none" w:pos="5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to maintain sufficient resources to mitigate risks and unforeseen events which may arise.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4"/>
          <w:szCs w:val="14"/>
          <w:i w:val="1"/>
          <w:iCs w:val="1"/>
          <w:color w:val="auto"/>
        </w:rPr>
        <w:t>note 23 Bank Credit Lines and Loan Facilities.</w:t>
      </w:r>
      <w:r>
        <w:rPr>
          <w:rFonts w:ascii="Arial" w:cs="Arial" w:eastAsia="Arial" w:hAnsi="Arial"/>
          <w:sz w:val="14"/>
          <w:szCs w:val="14"/>
          <w:color w:val="auto"/>
        </w:rPr>
        <w:t xml:space="preserve"> There were no funds drawn under the Revolving Credit Facility at 31 December 2018. The Group may raise additional finance through the issuance of ordinary shares or debt as required.</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Revolving Credit Facility bears interest at LIBOR plus a margin. There were no amounts drawn on the Revolving Credit Facility at 31 December 2018. The Company is therefore subject to interest rate volatility in respect of any future draw down on the Revolving Credit Facility or in respect of any future issuances of debt. The interest rate in respect of the $350 million Senior Notes is fixed at 3.64% for the five year term of the agreement.</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Carrying</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Contractual</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6 months</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6-12</w:t>
            </w: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More than</w:t>
            </w:r>
          </w:p>
        </w:tc>
      </w:tr>
      <w:tr>
        <w:trPr>
          <w:trHeight w:val="171"/>
        </w:trPr>
        <w:tc>
          <w:tcPr>
            <w:tcW w:w="18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cash flows</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or less</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9"/>
              </w:rPr>
              <w:t>months</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1-2 years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2-5 years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76"/>
        </w:trPr>
        <w:tc>
          <w:tcPr>
            <w:tcW w:w="184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72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1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2"/>
        </w:trPr>
        <w:tc>
          <w:tcPr>
            <w:tcW w:w="1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(349,264)</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(350,000)</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(350,000)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(566)</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(25,480)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(6,370)</w:t>
            </w: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(6,370)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(12,740)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(8,818)</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(8,818)</w:t>
            </w:r>
          </w:p>
        </w:tc>
        <w:tc>
          <w:tcPr>
            <w:tcW w:w="680" w:type="dxa"/>
            <w:vAlign w:val="bottom"/>
          </w:tcPr>
          <w:p>
            <w:pPr>
              <w:jc w:val="right"/>
              <w:spacing w:after="0"/>
              <w:rPr>
                <w:sz w:val="20"/>
                <w:szCs w:val="20"/>
                <w:color w:val="auto"/>
              </w:rPr>
            </w:pPr>
            <w:r>
              <w:rPr>
                <w:rFonts w:ascii="Arial" w:cs="Arial" w:eastAsia="Arial" w:hAnsi="Arial"/>
                <w:sz w:val="13"/>
                <w:szCs w:val="13"/>
                <w:color w:val="auto"/>
              </w:rPr>
              <w:t>(414)</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(8,395)</w:t>
            </w:r>
          </w:p>
        </w:tc>
      </w:tr>
      <w:tr>
        <w:trPr>
          <w:trHeight w:val="25"/>
        </w:trPr>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(13,288)</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(13,288)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(13,288)</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(309,901)</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(309,901)</w:t>
            </w:r>
          </w:p>
        </w:tc>
        <w:tc>
          <w:tcPr>
            <w:tcW w:w="680" w:type="dxa"/>
            <w:vAlign w:val="bottom"/>
          </w:tcPr>
          <w:p>
            <w:pPr>
              <w:jc w:val="right"/>
              <w:spacing w:after="0"/>
              <w:rPr>
                <w:sz w:val="20"/>
                <w:szCs w:val="20"/>
                <w:color w:val="auto"/>
              </w:rPr>
            </w:pPr>
            <w:r>
              <w:rPr>
                <w:rFonts w:ascii="Arial" w:cs="Arial" w:eastAsia="Arial" w:hAnsi="Arial"/>
                <w:sz w:val="13"/>
                <w:szCs w:val="13"/>
                <w:color w:val="auto"/>
              </w:rPr>
              <w:t>(309,901)</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5"/>
        </w:trPr>
        <w:tc>
          <w:tcPr>
            <w:tcW w:w="1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76"/>
        </w:trPr>
        <w:tc>
          <w:tcPr>
            <w:tcW w:w="184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(681,837)</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(707,487)</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(329,973)</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(6,370)</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(362,749)</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(8,395)</w:t>
            </w:r>
          </w:p>
        </w:tc>
      </w:tr>
      <w:tr>
        <w:trPr>
          <w:trHeight w:val="37"/>
        </w:trPr>
        <w:tc>
          <w:tcPr>
            <w:tcW w:w="1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60"/>
          </w:cols>
          <w:pgMar w:left="220" w:top="762" w:right="21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31 December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Carrying</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Contractual</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6 months</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6-12</w:t>
            </w:r>
          </w:p>
        </w:tc>
        <w:tc>
          <w:tcPr>
            <w:tcW w:w="7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More than</w:t>
            </w:r>
          </w:p>
        </w:tc>
      </w:tr>
      <w:tr>
        <w:trPr>
          <w:trHeight w:val="171"/>
        </w:trPr>
        <w:tc>
          <w:tcPr>
            <w:tcW w:w="18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cash flows</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or less</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9"/>
              </w:rPr>
              <w:t>months</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1-2 years</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9"/>
              </w:rPr>
              <w:t>2-5 years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76"/>
        </w:trPr>
        <w:tc>
          <w:tcPr>
            <w:tcW w:w="18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72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1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22"/>
        </w:trPr>
        <w:tc>
          <w:tcPr>
            <w:tcW w:w="1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(348,888)</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(350,000)</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(350,000)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(566)</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(38,220)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(6,370)</w:t>
            </w: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(6,370)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(12,740)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(12,740)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(10,619)</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(10,619)</w:t>
            </w:r>
          </w:p>
        </w:tc>
        <w:tc>
          <w:tcPr>
            <w:tcW w:w="680" w:type="dxa"/>
            <w:vAlign w:val="bottom"/>
          </w:tcPr>
          <w:p>
            <w:pPr>
              <w:jc w:val="right"/>
              <w:spacing w:after="0"/>
              <w:rPr>
                <w:sz w:val="20"/>
                <w:szCs w:val="20"/>
                <w:color w:val="auto"/>
              </w:rPr>
            </w:pPr>
            <w:r>
              <w:rPr>
                <w:rFonts w:ascii="Arial" w:cs="Arial" w:eastAsia="Arial" w:hAnsi="Arial"/>
                <w:sz w:val="13"/>
                <w:szCs w:val="13"/>
                <w:color w:val="auto"/>
              </w:rPr>
              <w:t>(333)</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(291)</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(9,887)</w:t>
            </w:r>
          </w:p>
        </w:tc>
      </w:tr>
      <w:tr>
        <w:trPr>
          <w:trHeight w:val="25"/>
        </w:trPr>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(18,590)</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(18,590)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(18,590)</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(230,286)</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(230,286)</w:t>
            </w:r>
          </w:p>
        </w:tc>
        <w:tc>
          <w:tcPr>
            <w:tcW w:w="680" w:type="dxa"/>
            <w:vAlign w:val="bottom"/>
          </w:tcPr>
          <w:p>
            <w:pPr>
              <w:jc w:val="right"/>
              <w:spacing w:after="0"/>
              <w:rPr>
                <w:sz w:val="20"/>
                <w:szCs w:val="20"/>
                <w:color w:val="auto"/>
              </w:rPr>
            </w:pPr>
            <w:r>
              <w:rPr>
                <w:rFonts w:ascii="Arial" w:cs="Arial" w:eastAsia="Arial" w:hAnsi="Arial"/>
                <w:sz w:val="13"/>
                <w:szCs w:val="13"/>
                <w:color w:val="auto"/>
              </w:rPr>
              <w:t>(230,286)</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5"/>
        </w:trPr>
        <w:tc>
          <w:tcPr>
            <w:tcW w:w="18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176"/>
        </w:trPr>
        <w:tc>
          <w:tcPr>
            <w:tcW w:w="184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b w:val="1"/>
                <w:bCs w:val="1"/>
                <w:color w:val="auto"/>
              </w:rPr>
              <w:t>(608,949)</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(647,715)</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(255,579)</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(6,478)</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(13,031)</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(362,740)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(9,887)</w:t>
            </w:r>
          </w:p>
        </w:tc>
      </w:tr>
      <w:tr>
        <w:trPr>
          <w:trHeight w:val="37"/>
        </w:trPr>
        <w:tc>
          <w:tcPr>
            <w:tcW w:w="1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Non-current other liabilities above excludes retirement plan net benefit obligation (2018: $3.3 million and 2017: $6.1 million) and deferred government grants (2018: $0.9 million and 2017: $1.0 million). Accrued and other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liabilities exclude deferred government grants (2018: $42,000 and 2017: $35,000).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3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60"/>
          </w:cols>
          <w:pgMar w:left="220" w:top="762" w:right="21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out the Group’s transaction risk in relation to financial assets and liabilities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U.S. Dollar</w:t>
            </w:r>
          </w:p>
        </w:tc>
        <w:tc>
          <w:tcPr>
            <w:tcW w:w="94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Sterling</w:t>
            </w:r>
          </w:p>
        </w:tc>
        <w:tc>
          <w:tcPr>
            <w:tcW w:w="9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Euro</w:t>
            </w:r>
          </w:p>
        </w:tc>
        <w:tc>
          <w:tcPr>
            <w:tcW w:w="9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Other</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2018</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54"/>
        </w:trPr>
        <w:tc>
          <w:tcPr>
            <w:tcW w:w="2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6,087</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31,357</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8,318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45,802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w w:val="95"/>
              </w:rPr>
              <w:t>Unbilled revenue/payments on account</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391</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7,033</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41,971</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(3,746)</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45,649</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1,463</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3,240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183</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20,908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25,794</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(714)</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1,840</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5,859</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(284)</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6,701</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62</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4</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81</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(374)</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(2,350)</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(357)</w:t>
            </w:r>
          </w:p>
        </w:tc>
        <w:tc>
          <w:tcPr>
            <w:tcW w:w="74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(366)</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2,153</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(2,473)</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(14,716)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(15,402)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Current tax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(1,241)</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(1,241)</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Intergroup transactions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(5,118)</w:t>
            </w:r>
          </w:p>
        </w:tc>
        <w:tc>
          <w:tcPr>
            <w:tcW w:w="9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(6,037)</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(51,762)</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(14,998)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(77,915)</w:t>
            </w:r>
          </w:p>
        </w:tc>
      </w:tr>
      <w:tr>
        <w:trPr>
          <w:trHeight w:val="245"/>
        </w:trPr>
        <w:tc>
          <w:tcPr>
            <w:tcW w:w="2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transaction risk</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(4,161)</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13,942</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21,544</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(4,871)</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26,454</w:t>
            </w:r>
          </w:p>
        </w:tc>
      </w:tr>
      <w:tr>
        <w:trPr>
          <w:trHeight w:val="21"/>
        </w:trPr>
        <w:tc>
          <w:tcPr>
            <w:tcW w:w="2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45" w:lineRule="auto"/>
        <w:rPr>
          <w:sz w:val="20"/>
          <w:szCs w:val="20"/>
          <w:color w:val="auto"/>
        </w:rPr>
      </w:pPr>
      <w:r>
        <w:rPr>
          <w:rFonts w:ascii="Arial" w:cs="Arial" w:eastAsia="Arial" w:hAnsi="Arial"/>
          <w:sz w:val="13"/>
          <w:szCs w:val="13"/>
          <w:i w:val="1"/>
          <w:iCs w:val="1"/>
          <w:color w:val="auto"/>
        </w:rPr>
        <w:t>Foreign exchange gains and losses recognised on the above balances are recorded in “other operating expenses”. The total foreign exchange loss incurred during the year ending 31 December 2018 amounted to a credit of $(3.9) million (2017: $7.8 million charge).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out the Group’s transaction risk in relation to financial assets and liabilities at 31 December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U.S. Dollar</w:t>
            </w:r>
          </w:p>
        </w:tc>
        <w:tc>
          <w:tcPr>
            <w:tcW w:w="94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Sterling</w:t>
            </w:r>
          </w:p>
        </w:tc>
        <w:tc>
          <w:tcPr>
            <w:tcW w:w="9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Euro</w:t>
            </w:r>
          </w:p>
        </w:tc>
        <w:tc>
          <w:tcPr>
            <w:tcW w:w="90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Other</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jc w:val="right"/>
              <w:ind w:right="169"/>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2017</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54"/>
        </w:trPr>
        <w:tc>
          <w:tcPr>
            <w:tcW w:w="2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19,840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12,532</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29,963</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7,933</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70,268</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w w:val="95"/>
              </w:rPr>
              <w:t>Unbilled revenue/payments on account</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6,913</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4,721</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3,597</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2,837</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18,068</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14,710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1,082</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29,042</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10,242</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55,076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472</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1,704</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14,255</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(408)</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16,023</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62</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177</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(583)</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(4,197)</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(213)</w:t>
            </w:r>
          </w:p>
        </w:tc>
        <w:tc>
          <w:tcPr>
            <w:tcW w:w="760" w:type="dxa"/>
            <w:vAlign w:val="bottom"/>
          </w:tcPr>
          <w:p>
            <w:pPr>
              <w:jc w:val="right"/>
              <w:spacing w:after="0"/>
              <w:rPr>
                <w:sz w:val="20"/>
                <w:szCs w:val="20"/>
                <w:color w:val="auto"/>
              </w:rPr>
            </w:pPr>
            <w:r>
              <w:rPr>
                <w:rFonts w:ascii="Arial" w:cs="Arial" w:eastAsia="Arial" w:hAnsi="Arial"/>
                <w:sz w:val="14"/>
                <w:szCs w:val="14"/>
                <w:color w:val="auto"/>
              </w:rPr>
              <w:t>(4,816)</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(8,598)</w:t>
            </w:r>
          </w:p>
        </w:tc>
        <w:tc>
          <w:tcPr>
            <w:tcW w:w="9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(1,697)</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(5,346)</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(15,839)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(31,480)</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Current tax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(2,133)</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(2,133)</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Intergroup transactions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(37,849)</w:t>
            </w:r>
          </w:p>
        </w:tc>
        <w:tc>
          <w:tcPr>
            <w:tcW w:w="9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(3,345)</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(85,132)</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(26,147)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(152,473)</w:t>
            </w:r>
          </w:p>
        </w:tc>
      </w:tr>
      <w:tr>
        <w:trPr>
          <w:trHeight w:val="245"/>
        </w:trPr>
        <w:tc>
          <w:tcPr>
            <w:tcW w:w="2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transaction risk</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(4,273)</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14,414</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(19,951)</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(21,591)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(31,401)</w:t>
            </w:r>
          </w:p>
        </w:tc>
      </w:tr>
      <w:tr>
        <w:trPr>
          <w:trHeight w:val="21"/>
        </w:trPr>
        <w:tc>
          <w:tcPr>
            <w:tcW w:w="2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3"/>
          <w:szCs w:val="13"/>
          <w:i w:val="1"/>
          <w:iCs w:val="1"/>
          <w:color w:val="auto"/>
        </w:rPr>
        <w:t>Foreign exchange gains and losses recognised on the above balances are recorded in “other operating expenses”. The total foreign exchange gain incurred during the year ending 31 December 2017 amounted to $7.8 million (2016: $2.1 million gain).</w:t>
      </w:r>
    </w:p>
    <w:p>
      <w:pPr>
        <w:spacing w:after="0"/>
        <w:rPr>
          <w:sz w:val="20"/>
          <w:szCs w:val="20"/>
          <w:color w:val="auto"/>
        </w:rPr>
      </w:pPr>
      <w:r>
        <w:rPr>
          <w:rFonts w:ascii="Arial" w:cs="Arial" w:eastAsia="Arial" w:hAnsi="Arial"/>
          <w:sz w:val="14"/>
          <w:szCs w:val="14"/>
          <w:color w:val="auto"/>
        </w:rPr>
        <w:t>The following significant exchange rates applied during the year:</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Rate</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Closing Rate</w:t>
            </w:r>
          </w:p>
        </w:tc>
        <w:tc>
          <w:tcPr>
            <w:tcW w:w="460" w:type="dxa"/>
            <w:vAlign w:val="bottom"/>
            <w:shd w:val="clear" w:color="auto" w:fill="CCEEFF"/>
          </w:tcPr>
          <w:p>
            <w:pPr>
              <w:spacing w:after="0"/>
              <w:rPr>
                <w:sz w:val="18"/>
                <w:szCs w:val="18"/>
                <w:color w:val="auto"/>
              </w:rPr>
            </w:pPr>
          </w:p>
        </w:tc>
      </w:tr>
      <w:tr>
        <w:trPr>
          <w:trHeight w:val="190"/>
        </w:trPr>
        <w:tc>
          <w:tcPr>
            <w:tcW w:w="2460" w:type="dxa"/>
            <w:vAlign w:val="bottom"/>
          </w:tcPr>
          <w:p>
            <w:pPr>
              <w:spacing w:after="0"/>
              <w:rPr>
                <w:sz w:val="16"/>
                <w:szCs w:val="16"/>
                <w:color w:val="auto"/>
              </w:rPr>
            </w:pPr>
          </w:p>
        </w:tc>
        <w:tc>
          <w:tcPr>
            <w:tcW w:w="2220" w:type="dxa"/>
            <w:vAlign w:val="bottom"/>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rPr>
              <w:t>2017</w:t>
            </w:r>
          </w:p>
        </w:tc>
        <w:tc>
          <w:tcPr>
            <w:tcW w:w="1140" w:type="dxa"/>
            <w:vAlign w:val="bottom"/>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3"/>
        </w:trPr>
        <w:tc>
          <w:tcPr>
            <w:tcW w:w="2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4"/>
                <w:szCs w:val="14"/>
                <w:color w:val="auto"/>
              </w:rPr>
              <w:t>Euro 1:$</w:t>
            </w:r>
          </w:p>
        </w:tc>
        <w:tc>
          <w:tcPr>
            <w:tcW w:w="2220" w:type="dxa"/>
            <w:vAlign w:val="bottom"/>
          </w:tcPr>
          <w:p>
            <w:pPr>
              <w:jc w:val="right"/>
              <w:ind w:right="409"/>
              <w:spacing w:after="0"/>
              <w:rPr>
                <w:sz w:val="20"/>
                <w:szCs w:val="20"/>
                <w:color w:val="auto"/>
              </w:rPr>
            </w:pPr>
            <w:r>
              <w:rPr>
                <w:rFonts w:ascii="Arial" w:cs="Arial" w:eastAsia="Arial" w:hAnsi="Arial"/>
                <w:sz w:val="14"/>
                <w:szCs w:val="14"/>
                <w:b w:val="1"/>
                <w:bCs w:val="1"/>
                <w:color w:val="auto"/>
              </w:rPr>
              <w:t>1.1846</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w w:val="97"/>
              </w:rPr>
              <w:t>1.1229</w:t>
            </w:r>
          </w:p>
        </w:tc>
        <w:tc>
          <w:tcPr>
            <w:tcW w:w="1140" w:type="dxa"/>
            <w:vAlign w:val="bottom"/>
          </w:tcPr>
          <w:p>
            <w:pPr>
              <w:jc w:val="right"/>
              <w:ind w:right="409"/>
              <w:spacing w:after="0"/>
              <w:rPr>
                <w:sz w:val="20"/>
                <w:szCs w:val="20"/>
                <w:color w:val="auto"/>
              </w:rPr>
            </w:pPr>
            <w:r>
              <w:rPr>
                <w:rFonts w:ascii="Arial" w:cs="Arial" w:eastAsia="Arial" w:hAnsi="Arial"/>
                <w:sz w:val="14"/>
                <w:szCs w:val="14"/>
                <w:b w:val="1"/>
                <w:bCs w:val="1"/>
                <w:color w:val="auto"/>
              </w:rPr>
              <w:t>1.1467</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1.2005</w:t>
            </w: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4"/>
                <w:szCs w:val="14"/>
                <w:color w:val="auto"/>
              </w:rPr>
              <w:t>Pound Sterling 1:$</w:t>
            </w:r>
          </w:p>
        </w:tc>
        <w:tc>
          <w:tcPr>
            <w:tcW w:w="2220" w:type="dxa"/>
            <w:vAlign w:val="bottom"/>
          </w:tcPr>
          <w:p>
            <w:pPr>
              <w:jc w:val="right"/>
              <w:ind w:right="409"/>
              <w:spacing w:after="0"/>
              <w:rPr>
                <w:sz w:val="20"/>
                <w:szCs w:val="20"/>
                <w:color w:val="auto"/>
              </w:rPr>
            </w:pPr>
            <w:r>
              <w:rPr>
                <w:rFonts w:ascii="Arial" w:cs="Arial" w:eastAsia="Arial" w:hAnsi="Arial"/>
                <w:sz w:val="14"/>
                <w:szCs w:val="14"/>
                <w:b w:val="1"/>
                <w:bCs w:val="1"/>
                <w:color w:val="auto"/>
              </w:rPr>
              <w:t>1.3401</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w w:val="97"/>
              </w:rPr>
              <w:t>1.2883</w:t>
            </w:r>
          </w:p>
        </w:tc>
        <w:tc>
          <w:tcPr>
            <w:tcW w:w="1140" w:type="dxa"/>
            <w:vAlign w:val="bottom"/>
          </w:tcPr>
          <w:p>
            <w:pPr>
              <w:jc w:val="right"/>
              <w:ind w:right="409"/>
              <w:spacing w:after="0"/>
              <w:rPr>
                <w:sz w:val="20"/>
                <w:szCs w:val="20"/>
                <w:color w:val="auto"/>
              </w:rPr>
            </w:pPr>
            <w:r>
              <w:rPr>
                <w:rFonts w:ascii="Arial" w:cs="Arial" w:eastAsia="Arial" w:hAnsi="Arial"/>
                <w:sz w:val="14"/>
                <w:szCs w:val="14"/>
                <w:b w:val="1"/>
                <w:bCs w:val="1"/>
                <w:color w:val="auto"/>
              </w:rPr>
              <w:t>1.2754</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1.3513</w:t>
            </w:r>
          </w:p>
        </w:tc>
      </w:tr>
      <w:tr>
        <w:trPr>
          <w:trHeight w:val="23"/>
        </w:trPr>
        <w:tc>
          <w:tcPr>
            <w:tcW w:w="2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59"/>
        </w:trPr>
        <w:tc>
          <w:tcPr>
            <w:tcW w:w="2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jc w:val="right"/>
              <w:ind w:right="609"/>
              <w:spacing w:after="0"/>
              <w:rPr>
                <w:sz w:val="20"/>
                <w:szCs w:val="20"/>
                <w:color w:val="auto"/>
              </w:rPr>
            </w:pPr>
            <w:r>
              <w:rPr>
                <w:rFonts w:ascii="Arial" w:cs="Arial" w:eastAsia="Arial" w:hAnsi="Arial"/>
                <w:sz w:val="14"/>
                <w:szCs w:val="14"/>
                <w:color w:val="auto"/>
              </w:rPr>
              <w:t>102</w:t>
            </w:r>
          </w:p>
        </w:tc>
        <w:tc>
          <w:tcPr>
            <w:tcW w:w="460" w:type="dxa"/>
            <w:vAlign w:val="bottom"/>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72"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and equity by $0.9 million, $1.9 million and $0.2 million respectively (31 December 2017: $0.4 million, $1.8 million and $1.3 million respectively) as a consequence of the retranslation of foreign currency denominated financial assets and liabilities at those dates. This change in profit and equity is excluding the effect of foreign currency denominated long term loans.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Group is exposed to interest rate risk in respect of its cash and cash equivalents, current asset investments and amounts drawn under negotiated facilities which are subject to variable rates of interest. Funds drawn under the private placement bond are subject to fixed rates until 2020. As the Group does not account for these fixed rate liabilities at fair value through profit or loss, any change in market interest rates has no effect on the profit or loss.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are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xml:space="preserve"> at 31 December 2018.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 There are no amounts drawn under the Group’s revolving credit facility at 31 December 2018.</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In December 2015 the Group issued $350m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IAS 39 </w:t>
      </w:r>
      <w:r>
        <w:rPr>
          <w:rFonts w:ascii="Arial" w:cs="Arial" w:eastAsia="Arial" w:hAnsi="Arial"/>
          <w:sz w:val="13"/>
          <w:szCs w:val="13"/>
          <w:i w:val="1"/>
          <w:iCs w:val="1"/>
          <w:color w:val="auto"/>
        </w:rPr>
        <w:t>Financial Instruments: Recognition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 </w:t>
      </w:r>
      <w:r>
        <w:rPr>
          <w:rFonts w:ascii="Arial" w:cs="Arial" w:eastAsia="Arial" w:hAnsi="Arial"/>
          <w:sz w:val="13"/>
          <w:szCs w:val="13"/>
          <w:color w:val="auto"/>
        </w:rPr>
        <w:t>(it is also considered to be effective in accordance with IFRS 9 at 1 January 2018). The realised gain related to this derivative is recorded within comprehensive income and is amortised</w:t>
      </w:r>
      <w:r>
        <w:rPr>
          <w:rFonts w:ascii="Arial" w:cs="Arial" w:eastAsia="Arial" w:hAnsi="Arial"/>
          <w:sz w:val="13"/>
          <w:szCs w:val="13"/>
          <w:i w:val="1"/>
          <w:iCs w:val="1"/>
          <w:color w:val="auto"/>
        </w:rPr>
        <w:t xml:space="preserve"> </w:t>
      </w:r>
      <w:r>
        <w:rPr>
          <w:rFonts w:ascii="Arial" w:cs="Arial" w:eastAsia="Arial" w:hAnsi="Arial"/>
          <w:sz w:val="13"/>
          <w:szCs w:val="13"/>
          <w:color w:val="auto"/>
        </w:rPr>
        <w:t>over the life of the Senior Notes. The effective rate, reflecting the benefit of the gain on the cash flow hedge, on our 5 year Senior Notes is fixed at 3.37%.</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sensitivity analysis below represents the revised amount following the hypothetical change in our interest income and interest expense based on an immediate 1% movement in market interest rates.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Interest Income</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Interest Expense</w:t>
            </w:r>
          </w:p>
        </w:tc>
      </w:tr>
      <w:tr>
        <w:trPr>
          <w:trHeight w:val="190"/>
        </w:trPr>
        <w:tc>
          <w:tcPr>
            <w:tcW w:w="2240" w:type="dxa"/>
            <w:vAlign w:val="bottom"/>
          </w:tcPr>
          <w:p>
            <w:pPr>
              <w:spacing w:after="0"/>
              <w:rPr>
                <w:sz w:val="16"/>
                <w:szCs w:val="16"/>
                <w:color w:val="auto"/>
              </w:rPr>
            </w:pPr>
          </w:p>
        </w:tc>
        <w:tc>
          <w:tcPr>
            <w:tcW w:w="2460" w:type="dxa"/>
            <w:vAlign w:val="bottom"/>
          </w:tcPr>
          <w:p>
            <w:pPr>
              <w:jc w:val="right"/>
              <w:ind w:right="489"/>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2017</w:t>
            </w:r>
          </w:p>
        </w:tc>
        <w:tc>
          <w:tcPr>
            <w:tcW w:w="960" w:type="dxa"/>
            <w:vAlign w:val="bottom"/>
          </w:tcPr>
          <w:p>
            <w:pPr>
              <w:jc w:val="right"/>
              <w:ind w:right="22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$’000</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9"/>
              </w:rPr>
              <w:t>$’000</w:t>
            </w:r>
          </w:p>
        </w:tc>
        <w:tc>
          <w:tcPr>
            <w:tcW w:w="9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54"/>
        </w:trPr>
        <w:tc>
          <w:tcPr>
            <w:tcW w:w="22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w:t>
            </w: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4,759</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6"/>
              </w:rPr>
              <w:t>2,346</w:t>
            </w:r>
          </w:p>
        </w:tc>
        <w:tc>
          <w:tcPr>
            <w:tcW w:w="9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13,502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54"/>
        </w:trPr>
        <w:tc>
          <w:tcPr>
            <w:tcW w:w="22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1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 Increase</w:t>
            </w: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8,155</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6"/>
              </w:rPr>
              <w:t>5,441</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13,502*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54"/>
        </w:trPr>
        <w:tc>
          <w:tcPr>
            <w:tcW w:w="22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 Decrease</w:t>
            </w: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1,372</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13,502*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1"/>
        </w:trPr>
        <w:tc>
          <w:tcPr>
            <w:tcW w:w="22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ind w:left="520"/>
        <w:spacing w:after="0"/>
        <w:rPr>
          <w:sz w:val="20"/>
          <w:szCs w:val="20"/>
          <w:color w:val="auto"/>
        </w:rPr>
      </w:pPr>
      <w:r>
        <w:rPr>
          <w:rFonts w:ascii="Arial" w:cs="Arial" w:eastAsia="Arial" w:hAnsi="Arial"/>
          <w:sz w:val="14"/>
          <w:szCs w:val="14"/>
          <w:color w:val="auto"/>
        </w:rPr>
        <w:t>*No variable debt drawn down during the year ended 31 December 2018 or 31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60"/>
          </w:cols>
          <w:pgMar w:left="220" w:top="762" w:right="21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4420870"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0870" cy="134620"/>
                    </a:xfrm>
                    <a:prstGeom prst="rect">
                      <a:avLst/>
                    </a:prstGeom>
                    <a:noFill/>
                  </pic:spPr>
                </pic:pic>
              </a:graphicData>
            </a:graphic>
          </wp:anchor>
        </w:drawing>
      </w:r>
    </w:p>
    <w:p>
      <w:pPr>
        <w:spacing w:after="0" w:line="24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4420870" cy="456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0870" cy="456565"/>
                    </a:xfrm>
                    <a:prstGeom prst="rect">
                      <a:avLst/>
                    </a:prstGeom>
                    <a:noFill/>
                  </pic:spPr>
                </pic:pic>
              </a:graphicData>
            </a:graphic>
          </wp:anchor>
        </w:drawing>
      </w:r>
    </w:p>
    <w:p>
      <w:pPr>
        <w:spacing w:after="0" w:line="285" w:lineRule="exact"/>
        <w:rPr>
          <w:sz w:val="20"/>
          <w:szCs w:val="20"/>
          <w:color w:val="auto"/>
        </w:rPr>
      </w:pPr>
    </w:p>
    <w:p>
      <w:pPr>
        <w:jc w:val="both"/>
        <w:ind w:left="760" w:right="4520" w:hanging="729"/>
        <w:spacing w:after="0" w:line="261" w:lineRule="auto"/>
        <w:tabs>
          <w:tab w:leader="none" w:pos="7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4420870" cy="241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0870" cy="241935"/>
                    </a:xfrm>
                    <a:prstGeom prst="rect">
                      <a:avLst/>
                    </a:prstGeom>
                    <a:noFill/>
                  </pic:spPr>
                </pic:pic>
              </a:graphicData>
            </a:graphic>
          </wp:anchor>
        </w:drawing>
      </w:r>
    </w:p>
    <w:p>
      <w:pPr>
        <w:spacing w:after="0" w:line="253" w:lineRule="exact"/>
        <w:rPr>
          <w:sz w:val="20"/>
          <w:szCs w:val="20"/>
          <w:color w:val="auto"/>
        </w:rPr>
      </w:pPr>
    </w:p>
    <w:p>
      <w:pPr>
        <w:jc w:val="both"/>
        <w:ind w:left="760" w:right="4520" w:hanging="729"/>
        <w:spacing w:after="0" w:line="280" w:lineRule="auto"/>
        <w:tabs>
          <w:tab w:leader="none" w:pos="7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are generally unobservable and typically reflect management’s estimates of assumptions that market participants would use in pricing the asset or liability.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assets together with the carrying amounts shown in the Statement of Financial Position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shd w:val="clear" w:color="auto" w:fill="CCEEFF"/>
          </w:tcPr>
          <w:p>
            <w:pPr>
              <w:spacing w:after="0"/>
              <w:rPr>
                <w:sz w:val="15"/>
                <w:szCs w:val="15"/>
                <w:color w:val="auto"/>
              </w:rPr>
            </w:pPr>
          </w:p>
        </w:tc>
        <w:tc>
          <w:tcPr>
            <w:tcW w:w="5120" w:type="dxa"/>
            <w:vAlign w:val="bottom"/>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xml:space="preserve">31 December 31 December 31 December </w:t>
            </w:r>
            <w:r>
              <w:rPr>
                <w:rFonts w:ascii="Arial" w:cs="Arial" w:eastAsia="Arial" w:hAnsi="Arial"/>
                <w:sz w:val="14"/>
                <w:szCs w:val="14"/>
                <w:color w:val="auto"/>
                <w:w w:val="94"/>
              </w:rPr>
              <w:t>31 December 31 December 31 December</w:t>
            </w:r>
          </w:p>
        </w:tc>
      </w:tr>
      <w:tr>
        <w:trPr>
          <w:trHeight w:val="185"/>
        </w:trPr>
        <w:tc>
          <w:tcPr>
            <w:tcW w:w="18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76"/>
        </w:trPr>
        <w:tc>
          <w:tcPr>
            <w:tcW w:w="1840" w:type="dxa"/>
            <w:vAlign w:val="bottom"/>
          </w:tcPr>
          <w:p>
            <w:pPr>
              <w:spacing w:after="0"/>
              <w:rPr>
                <w:sz w:val="15"/>
                <w:szCs w:val="15"/>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Carrying</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Carrying</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Fair</w:t>
            </w:r>
          </w:p>
        </w:tc>
        <w:tc>
          <w:tcPr>
            <w:tcW w:w="680" w:type="dxa"/>
            <w:vAlign w:val="bottom"/>
          </w:tcPr>
          <w:p>
            <w:pPr>
              <w:jc w:val="right"/>
              <w:spacing w:after="0"/>
              <w:rPr>
                <w:sz w:val="20"/>
                <w:szCs w:val="20"/>
                <w:color w:val="auto"/>
              </w:rPr>
            </w:pPr>
            <w:r>
              <w:rPr>
                <w:rFonts w:ascii="Arial" w:cs="Arial" w:eastAsia="Arial" w:hAnsi="Arial"/>
                <w:sz w:val="14"/>
                <w:szCs w:val="14"/>
                <w:color w:val="auto"/>
              </w:rPr>
              <w:t>Fair</w:t>
            </w:r>
          </w:p>
        </w:tc>
      </w:tr>
      <w:tr>
        <w:trPr>
          <w:trHeight w:val="169"/>
        </w:trPr>
        <w:tc>
          <w:tcPr>
            <w:tcW w:w="184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Value</w:t>
            </w: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Level 3</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Amount</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Value</w:t>
            </w:r>
          </w:p>
        </w:tc>
        <w:tc>
          <w:tcPr>
            <w:tcW w:w="680" w:type="dxa"/>
            <w:vAlign w:val="bottom"/>
          </w:tcPr>
          <w:p>
            <w:pPr>
              <w:jc w:val="right"/>
              <w:spacing w:after="0"/>
              <w:rPr>
                <w:sz w:val="20"/>
                <w:szCs w:val="20"/>
                <w:color w:val="auto"/>
              </w:rPr>
            </w:pPr>
            <w:r>
              <w:rPr>
                <w:rFonts w:ascii="Arial" w:cs="Arial" w:eastAsia="Arial" w:hAnsi="Arial"/>
                <w:sz w:val="14"/>
                <w:szCs w:val="14"/>
                <w:color w:val="auto"/>
              </w:rPr>
              <w:t>Value</w:t>
            </w:r>
          </w:p>
        </w:tc>
      </w:tr>
      <w:tr>
        <w:trPr>
          <w:trHeight w:val="184"/>
        </w:trPr>
        <w:tc>
          <w:tcPr>
            <w:tcW w:w="1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Level 1</w:t>
            </w:r>
          </w:p>
        </w:tc>
        <w:tc>
          <w:tcPr>
            <w:tcW w:w="680" w:type="dxa"/>
            <w:vAlign w:val="bottom"/>
          </w:tcPr>
          <w:p>
            <w:pPr>
              <w:jc w:val="right"/>
              <w:spacing w:after="0"/>
              <w:rPr>
                <w:sz w:val="20"/>
                <w:szCs w:val="20"/>
                <w:color w:val="auto"/>
              </w:rPr>
            </w:pPr>
            <w:r>
              <w:rPr>
                <w:rFonts w:ascii="Arial" w:cs="Arial" w:eastAsia="Arial" w:hAnsi="Arial"/>
                <w:sz w:val="14"/>
                <w:szCs w:val="14"/>
                <w:color w:val="auto"/>
              </w:rPr>
              <w:t>Level 2</w:t>
            </w:r>
          </w:p>
        </w:tc>
      </w:tr>
      <w:tr>
        <w:trPr>
          <w:trHeight w:val="21"/>
        </w:trPr>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$'000</w:t>
            </w:r>
          </w:p>
        </w:tc>
        <w:tc>
          <w:tcPr>
            <w:tcW w:w="8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$’000</w:t>
            </w:r>
          </w:p>
        </w:tc>
        <w:tc>
          <w:tcPr>
            <w:tcW w:w="8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$’000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76"/>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w w:val="92"/>
              </w:rPr>
              <w:t>Financial assets measured at</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
        </w:trPr>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 at fair value</w:t>
            </w:r>
          </w:p>
        </w:tc>
        <w:tc>
          <w:tcPr>
            <w:tcW w:w="11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59,910</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59,910</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77,589</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77,589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6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through other comprehensive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r>
      <w:tr>
        <w:trPr>
          <w:trHeight w:val="180"/>
        </w:trPr>
        <w:tc>
          <w:tcPr>
            <w:tcW w:w="1840" w:type="dxa"/>
            <w:vAlign w:val="bottom"/>
          </w:tcPr>
          <w:p>
            <w:pPr>
              <w:ind w:left="20"/>
              <w:spacing w:after="0"/>
              <w:rPr>
                <w:sz w:val="20"/>
                <w:szCs w:val="20"/>
                <w:color w:val="auto"/>
              </w:rPr>
            </w:pPr>
            <w:r>
              <w:rPr>
                <w:rFonts w:ascii="Arial" w:cs="Arial" w:eastAsia="Arial" w:hAnsi="Arial"/>
                <w:sz w:val="14"/>
                <w:szCs w:val="14"/>
                <w:color w:val="auto"/>
              </w:rPr>
              <w:t>Financial assets at fair value</w:t>
            </w: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6,963</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6,963</w:t>
            </w:r>
          </w:p>
        </w:tc>
        <w:tc>
          <w:tcPr>
            <w:tcW w:w="86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0"/>
        </w:trPr>
        <w:tc>
          <w:tcPr>
            <w:tcW w:w="1840" w:type="dxa"/>
            <w:vAlign w:val="bottom"/>
          </w:tcPr>
          <w:p>
            <w:pPr>
              <w:ind w:left="20"/>
              <w:spacing w:after="0"/>
              <w:rPr>
                <w:sz w:val="20"/>
                <w:szCs w:val="20"/>
                <w:color w:val="auto"/>
              </w:rPr>
            </w:pPr>
            <w:r>
              <w:rPr>
                <w:rFonts w:ascii="Arial" w:cs="Arial" w:eastAsia="Arial" w:hAnsi="Arial"/>
                <w:sz w:val="14"/>
                <w:szCs w:val="14"/>
                <w:color w:val="auto"/>
              </w:rPr>
              <w:t>through profit and loss</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
        </w:trPr>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w:t>
            </w:r>
          </w:p>
        </w:tc>
        <w:tc>
          <w:tcPr>
            <w:tcW w:w="11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1,184</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r>
      <w:tr>
        <w:trPr>
          <w:trHeight w:val="206"/>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contracts</w:t>
            </w:r>
          </w:p>
        </w:tc>
        <w:tc>
          <w:tcPr>
            <w:tcW w:w="1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r>
      <w:tr>
        <w:trPr>
          <w:trHeight w:val="181"/>
        </w:trPr>
        <w:tc>
          <w:tcPr>
            <w:tcW w:w="18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66,873</w:t>
            </w:r>
          </w:p>
        </w:tc>
        <w:tc>
          <w:tcPr>
            <w:tcW w:w="7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59,910</w:t>
            </w:r>
          </w:p>
        </w:tc>
        <w:tc>
          <w:tcPr>
            <w:tcW w:w="9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6,963</w:t>
            </w:r>
          </w:p>
        </w:tc>
        <w:tc>
          <w:tcPr>
            <w:tcW w:w="8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78,773</w:t>
            </w:r>
          </w:p>
        </w:tc>
        <w:tc>
          <w:tcPr>
            <w:tcW w:w="8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77,589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1,184</w:t>
            </w:r>
          </w:p>
        </w:tc>
      </w:tr>
      <w:tr>
        <w:trPr>
          <w:trHeight w:val="23"/>
        </w:trPr>
        <w:tc>
          <w:tcPr>
            <w:tcW w:w="1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 term nature of these balances. As such their fair values have not been disclosed.</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Long-term financial assets carried at fair value result in gains or losses being recognised in the Consolidated Statement of Comprehensive Income. The fair value of long-term financial assets meet the definition of equity securities without readily determinable fair values.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Foreign currency forward contracts are stated at fair value, with changes in the fair value recognised in the Consolidated Statement of Comprehensive Income. The associated cumulative gain or loss is removed from equity and recognised in the Consolidated Statement of Profit and Loss in the same period or periods during which the hedged item affects profit or loss. The forward contracts are measured on the basis of Level 2 inputs. As the Group's forward contracts are not traded in active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60"/>
          </w:cols>
          <w:pgMar w:left="220" w:top="762" w:right="21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markets, the instruments have been fair valued using observable forward exchange rates and interest rates corresponding to the maturities of the contract.</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Group’s Senior Notes (private placement debt) is carried at $350.0 million (prior to related financing costs). The carrying value at 31 December 2018, closely approximates fair value.</w:t>
      </w:r>
    </w:p>
    <w:p>
      <w:pPr>
        <w:spacing w:after="0" w:line="16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reconciliation from the opening balances to the closing balances for Level 3 fair values: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Long-term</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Contingent</w:t>
            </w:r>
          </w:p>
        </w:tc>
      </w:tr>
      <w:tr>
        <w:trPr>
          <w:trHeight w:val="169"/>
        </w:trPr>
        <w:tc>
          <w:tcPr>
            <w:tcW w:w="38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financial</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4"/>
              </w:rPr>
              <w:t>Consideration</w:t>
            </w:r>
          </w:p>
        </w:tc>
      </w:tr>
      <w:tr>
        <w:trPr>
          <w:trHeight w:val="185"/>
        </w:trPr>
        <w:tc>
          <w:tcPr>
            <w:tcW w:w="388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assets</w:t>
            </w: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388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2017</w:t>
            </w:r>
          </w:p>
        </w:tc>
      </w:tr>
      <w:tr>
        <w:trPr>
          <w:trHeight w:val="21"/>
        </w:trPr>
        <w:tc>
          <w:tcPr>
            <w:tcW w:w="3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r>
      <w:tr>
        <w:trPr>
          <w:trHeight w:val="233"/>
        </w:trPr>
        <w:tc>
          <w:tcPr>
            <w:tcW w:w="3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Opening balance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6,000</w:t>
            </w:r>
          </w:p>
        </w:tc>
      </w:t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Additions/payments made during the year</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6,163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Credit/release to the profit and loss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223"/>
        </w:trPr>
        <w:tc>
          <w:tcPr>
            <w:tcW w:w="388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Closing balance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6,963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1"/>
        </w:trPr>
        <w:tc>
          <w:tcPr>
            <w:tcW w:w="38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valuation techniques used in measuring Level 3 fair values, as well as significant unobservable inputs used:</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Type</w:t>
            </w:r>
          </w:p>
        </w:tc>
        <w:tc>
          <w:tcPr>
            <w:tcW w:w="2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Valuation Technique</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Significant</w:t>
            </w:r>
          </w:p>
        </w:tc>
        <w:tc>
          <w:tcPr>
            <w:tcW w:w="1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Inter-relationship between</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w w:val="92"/>
              </w:rPr>
              <w:t>Unobservable Inputs</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unobservable</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inputs and fair value</w:t>
            </w:r>
          </w:p>
        </w:tc>
      </w:tr>
      <w:tr>
        <w:trPr>
          <w:trHeight w:val="184"/>
        </w:trPr>
        <w:tc>
          <w:tcPr>
            <w:tcW w:w="17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w:t>
            </w:r>
          </w:p>
        </w:tc>
      </w:tr>
      <w:tr>
        <w:trPr>
          <w:trHeight w:val="21"/>
        </w:trPr>
        <w:tc>
          <w:tcPr>
            <w:tcW w:w="1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Contingent Consideration</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The valuation model considers the</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Forecast future cash</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The estimated fair value would</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estimated future cash flows of the</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flows</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increase (decrease) if the</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entity.</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Forecast annual</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forecasted future cash flows</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growth rate</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were higher (lower) or if the</w:t>
            </w:r>
          </w:p>
        </w:tc>
      </w:tr>
      <w:tr>
        <w:trPr>
          <w:trHeight w:val="180"/>
        </w:trPr>
        <w:tc>
          <w:tcPr>
            <w:tcW w:w="17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entity missed agreed targets.</w:t>
            </w:r>
          </w:p>
        </w:tc>
      </w:tr>
      <w:tr>
        <w:trPr>
          <w:trHeight w:val="21"/>
        </w:trPr>
        <w:tc>
          <w:tcPr>
            <w:tcW w:w="1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Long-term financial assets</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valuation model is based on</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interest on the</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The valuation is based on the</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2"/>
              </w:rPr>
              <w:t>the NAV of the fund as prepared by</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2"/>
              </w:rPr>
              <w:t>fund are not traded on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1"/>
              </w:rPr>
              <w:t>NAV of the fund as prepared by</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 independent appraiser to</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an exchange, or data</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 independent appraiser.</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prepare a fair value assessment of</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is not published in</w:t>
            </w:r>
          </w:p>
        </w:tc>
        <w:tc>
          <w:tcPr>
            <w:tcW w:w="1860" w:type="dxa"/>
            <w:vAlign w:val="bottom"/>
            <w:tcBorders>
              <w:right w:val="single" w:sz="8" w:color="auto"/>
            </w:tcBorders>
          </w:tcPr>
          <w:p>
            <w:pPr>
              <w:spacing w:after="0"/>
              <w:rPr>
                <w:sz w:val="14"/>
                <w:szCs w:val="14"/>
                <w:color w:val="auto"/>
              </w:rPr>
            </w:pPr>
          </w:p>
        </w:tc>
      </w:tr>
      <w:tr>
        <w:trPr>
          <w:trHeight w:val="180"/>
        </w:trPr>
        <w:tc>
          <w:tcPr>
            <w:tcW w:w="17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investment assets each year.</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respect of the funds.</w:t>
            </w:r>
          </w:p>
        </w:tc>
        <w:tc>
          <w:tcPr>
            <w:tcW w:w="1860" w:type="dxa"/>
            <w:vAlign w:val="bottom"/>
            <w:tcBorders>
              <w:right w:val="single" w:sz="8" w:color="auto"/>
            </w:tcBorders>
          </w:tcPr>
          <w:p>
            <w:pPr>
              <w:spacing w:after="0"/>
              <w:rPr>
                <w:sz w:val="15"/>
                <w:szCs w:val="15"/>
                <w:color w:val="auto"/>
              </w:rPr>
            </w:pPr>
          </w:p>
        </w:tc>
      </w:tr>
      <w:tr>
        <w:trPr>
          <w:trHeight w:val="21"/>
        </w:trPr>
        <w:tc>
          <w:tcPr>
            <w:tcW w:w="1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329"/>
        </w:trPr>
        <w:tc>
          <w:tcPr>
            <w:tcW w:w="1720" w:type="dxa"/>
            <w:vAlign w:val="bottom"/>
          </w:tcPr>
          <w:p>
            <w:pPr>
              <w:spacing w:after="0"/>
              <w:rPr>
                <w:sz w:val="20"/>
                <w:szCs w:val="20"/>
                <w:color w:val="auto"/>
              </w:rPr>
            </w:pPr>
            <w:r>
              <w:rPr>
                <w:rFonts w:ascii="Arial" w:cs="Arial" w:eastAsia="Arial" w:hAnsi="Arial"/>
                <w:sz w:val="14"/>
                <w:szCs w:val="14"/>
                <w:b w:val="1"/>
                <w:bCs w:val="1"/>
                <w:color w:val="auto"/>
              </w:rPr>
              <w:t>27. Lease commitments</w:t>
            </w: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Group has several non-cancellable operating leases, primarily for facilities, that expire over the next 10 years. These leases generally contain renewal options and require the Group to pay all executory costs such as maintenance and insurance. Future minimum rental commitments for operating leases with non-cancellable terms are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60"/>
          </w:cols>
          <w:pgMar w:left="220" w:top="762" w:right="21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70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70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7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Less than one year</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32,634</w:t>
            </w:r>
          </w:p>
        </w:tc>
        <w:tc>
          <w:tcPr>
            <w:tcW w:w="900" w:type="dxa"/>
            <w:vAlign w:val="bottom"/>
          </w:tcPr>
          <w:p>
            <w:pPr>
              <w:jc w:val="right"/>
              <w:spacing w:after="0"/>
              <w:rPr>
                <w:sz w:val="20"/>
                <w:szCs w:val="20"/>
                <w:color w:val="auto"/>
              </w:rPr>
            </w:pPr>
            <w:r>
              <w:rPr>
                <w:rFonts w:ascii="Arial" w:cs="Arial" w:eastAsia="Arial" w:hAnsi="Arial"/>
                <w:sz w:val="14"/>
                <w:szCs w:val="14"/>
                <w:color w:val="auto"/>
              </w:rPr>
              <w:t>38,111</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Between one and two years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26,839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32,575</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Between two and three years</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21,306</w:t>
            </w:r>
          </w:p>
        </w:tc>
        <w:tc>
          <w:tcPr>
            <w:tcW w:w="900" w:type="dxa"/>
            <w:vAlign w:val="bottom"/>
          </w:tcPr>
          <w:p>
            <w:pPr>
              <w:jc w:val="right"/>
              <w:spacing w:after="0"/>
              <w:rPr>
                <w:sz w:val="20"/>
                <w:szCs w:val="20"/>
                <w:color w:val="auto"/>
              </w:rPr>
            </w:pPr>
            <w:r>
              <w:rPr>
                <w:rFonts w:ascii="Arial" w:cs="Arial" w:eastAsia="Arial" w:hAnsi="Arial"/>
                <w:sz w:val="14"/>
                <w:szCs w:val="14"/>
                <w:color w:val="auto"/>
              </w:rPr>
              <w:t>26,336</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Between three and four years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15,781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19,079</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Between four and five years</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10,829</w:t>
            </w:r>
          </w:p>
        </w:tc>
        <w:tc>
          <w:tcPr>
            <w:tcW w:w="900" w:type="dxa"/>
            <w:vAlign w:val="bottom"/>
          </w:tcPr>
          <w:p>
            <w:pPr>
              <w:jc w:val="right"/>
              <w:spacing w:after="0"/>
              <w:rPr>
                <w:sz w:val="20"/>
                <w:szCs w:val="20"/>
                <w:color w:val="auto"/>
              </w:rPr>
            </w:pPr>
            <w:r>
              <w:rPr>
                <w:rFonts w:ascii="Arial" w:cs="Arial" w:eastAsia="Arial" w:hAnsi="Arial"/>
                <w:sz w:val="14"/>
                <w:szCs w:val="14"/>
                <w:color w:val="auto"/>
              </w:rPr>
              <w:t>13,389</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More than five years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19,194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36,692</w:t>
            </w:r>
          </w:p>
        </w:tc>
      </w:tr>
      <w:tr>
        <w:trPr>
          <w:trHeight w:val="223"/>
        </w:trPr>
        <w:tc>
          <w:tcPr>
            <w:tcW w:w="370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126,583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166,182</w:t>
            </w:r>
          </w:p>
        </w:tc>
      </w:tr>
      <w:tr>
        <w:trPr>
          <w:trHeight w:val="338"/>
        </w:trPr>
        <w:tc>
          <w:tcPr>
            <w:tcW w:w="3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28. Commitments and contingencies</w:t>
            </w:r>
          </w:p>
        </w:tc>
        <w:tc>
          <w:tcPr>
            <w:tcW w:w="23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(a)</w:t>
        <w:tab/>
        <w:t>Capital commitments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capital commitments for the purchase of property, plant and equipment were authorised by the Group at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shd w:val="clear" w:color="auto" w:fill="CCEEFF"/>
          </w:tcPr>
          <w:p>
            <w:pPr>
              <w:spacing w:after="0"/>
              <w:rPr>
                <w:sz w:val="15"/>
                <w:szCs w:val="15"/>
                <w:color w:val="auto"/>
              </w:rPr>
            </w:pPr>
          </w:p>
        </w:tc>
        <w:tc>
          <w:tcPr>
            <w:tcW w:w="30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 December</w:t>
            </w:r>
          </w:p>
        </w:tc>
      </w:tr>
      <w:tr>
        <w:trPr>
          <w:trHeight w:val="185"/>
        </w:trPr>
        <w:tc>
          <w:tcPr>
            <w:tcW w:w="300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000" w:type="dxa"/>
            <w:vAlign w:val="bottom"/>
          </w:tcPr>
          <w:p>
            <w:pPr>
              <w:spacing w:after="0"/>
              <w:rPr>
                <w:sz w:val="16"/>
                <w:szCs w:val="16"/>
                <w:color w:val="auto"/>
              </w:rPr>
            </w:pPr>
          </w:p>
        </w:tc>
        <w:tc>
          <w:tcPr>
            <w:tcW w:w="306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00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000" w:type="dxa"/>
            <w:vAlign w:val="bottom"/>
          </w:tcPr>
          <w:p>
            <w:pPr>
              <w:ind w:left="20"/>
              <w:spacing w:after="0"/>
              <w:rPr>
                <w:sz w:val="20"/>
                <w:szCs w:val="20"/>
                <w:color w:val="auto"/>
              </w:rPr>
            </w:pPr>
            <w:r>
              <w:rPr>
                <w:rFonts w:ascii="Arial" w:cs="Arial" w:eastAsia="Arial" w:hAnsi="Arial"/>
                <w:sz w:val="14"/>
                <w:szCs w:val="14"/>
                <w:color w:val="auto"/>
              </w:rPr>
              <w:t>Contracted for</w:t>
            </w:r>
          </w:p>
        </w:tc>
        <w:tc>
          <w:tcPr>
            <w:tcW w:w="3060" w:type="dxa"/>
            <w:vAlign w:val="bottom"/>
          </w:tcPr>
          <w:p>
            <w:pPr>
              <w:jc w:val="right"/>
              <w:ind w:right="29"/>
              <w:spacing w:after="0"/>
              <w:rPr>
                <w:sz w:val="20"/>
                <w:szCs w:val="20"/>
                <w:color w:val="auto"/>
              </w:rPr>
            </w:pPr>
            <w:r>
              <w:rPr>
                <w:rFonts w:ascii="Arial" w:cs="Arial" w:eastAsia="Arial" w:hAnsi="Arial"/>
                <w:sz w:val="14"/>
                <w:szCs w:val="14"/>
                <w:b w:val="1"/>
                <w:bCs w:val="1"/>
                <w:color w:val="auto"/>
              </w:rPr>
              <w:t>11,057</w:t>
            </w:r>
          </w:p>
        </w:tc>
        <w:tc>
          <w:tcPr>
            <w:tcW w:w="900" w:type="dxa"/>
            <w:vAlign w:val="bottom"/>
          </w:tcPr>
          <w:p>
            <w:pPr>
              <w:jc w:val="right"/>
              <w:spacing w:after="0"/>
              <w:rPr>
                <w:sz w:val="20"/>
                <w:szCs w:val="20"/>
                <w:color w:val="auto"/>
              </w:rPr>
            </w:pPr>
            <w:r>
              <w:rPr>
                <w:rFonts w:ascii="Arial" w:cs="Arial" w:eastAsia="Arial" w:hAnsi="Arial"/>
                <w:sz w:val="14"/>
                <w:szCs w:val="14"/>
                <w:color w:val="auto"/>
              </w:rPr>
              <w:t>12,312</w:t>
            </w: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0"/>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3060" w:type="dxa"/>
            <w:vAlign w:val="bottom"/>
          </w:tcPr>
          <w:p>
            <w:pPr>
              <w:jc w:val="right"/>
              <w:ind w:right="29"/>
              <w:spacing w:after="0"/>
              <w:rPr>
                <w:sz w:val="20"/>
                <w:szCs w:val="20"/>
                <w:color w:val="auto"/>
              </w:rPr>
            </w:pPr>
            <w:r>
              <w:rPr>
                <w:rFonts w:ascii="Arial" w:cs="Arial" w:eastAsia="Arial" w:hAnsi="Arial"/>
                <w:sz w:val="14"/>
                <w:szCs w:val="14"/>
                <w:b w:val="1"/>
                <w:bCs w:val="1"/>
                <w:color w:val="auto"/>
              </w:rPr>
              <w:t>11,057</w:t>
            </w:r>
          </w:p>
        </w:tc>
        <w:tc>
          <w:tcPr>
            <w:tcW w:w="900" w:type="dxa"/>
            <w:vAlign w:val="bottom"/>
          </w:tcPr>
          <w:p>
            <w:pPr>
              <w:jc w:val="right"/>
              <w:spacing w:after="0"/>
              <w:rPr>
                <w:sz w:val="20"/>
                <w:szCs w:val="20"/>
                <w:color w:val="auto"/>
              </w:rPr>
            </w:pPr>
            <w:r>
              <w:rPr>
                <w:rFonts w:ascii="Arial" w:cs="Arial" w:eastAsia="Arial" w:hAnsi="Arial"/>
                <w:sz w:val="14"/>
                <w:szCs w:val="14"/>
                <w:color w:val="auto"/>
              </w:rPr>
              <w:t>12,312</w:t>
            </w:r>
          </w:p>
        </w:tc>
      </w:tr>
      <w:tr>
        <w:trPr>
          <w:trHeight w:val="23"/>
        </w:trPr>
        <w:tc>
          <w:tcPr>
            <w:tcW w:w="30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(b)</w:t>
        <w:tab/>
        <w:t>Guarantees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w:t>
      </w:r>
      <w:r>
        <w:rPr>
          <w:rFonts w:ascii="Arial" w:cs="Arial" w:eastAsia="Arial" w:hAnsi="Arial"/>
          <w:sz w:val="14"/>
          <w:szCs w:val="14"/>
          <w:i w:val="1"/>
          <w:iCs w:val="1"/>
          <w:color w:val="auto"/>
        </w:rPr>
        <w:t>note 23 Bank credit lines and loan facilities</w:t>
      </w:r>
      <w:r>
        <w:rPr>
          <w:rFonts w:ascii="Arial" w:cs="Arial" w:eastAsia="Arial" w:hAnsi="Arial"/>
          <w:sz w:val="14"/>
          <w:szCs w:val="14"/>
          <w:color w:val="auto"/>
        </w:rPr>
        <w:t>, the Senior Notes are guaranteed by ICON plc.</w:t>
      </w:r>
    </w:p>
    <w:p>
      <w:pPr>
        <w:spacing w:after="0" w:line="14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2014 in respect of the whole of the financial year ending 31 December 2018 for the subsidiary companies listed below. These subsidiaries are availing of the exemption under Section 357 of the Companies Act 2014 not to file statutory financial statements.</w:t>
      </w:r>
    </w:p>
    <w:p>
      <w:pPr>
        <w:spacing w:after="0" w:line="109" w:lineRule="exact"/>
        <w:rPr>
          <w:sz w:val="20"/>
          <w:szCs w:val="20"/>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Clinical Research Limited</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DOCS Resourcing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Holdings Unlimited Company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Timpani Unlimited Company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Clinical Research Property Holdings (Ireland)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Clinical Research Property Development (Ireland)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Holdings Clinical Research International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Clinical International Unlimited Company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Investments One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Investments Two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ICON Investments Three Limited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60"/>
          </w:cols>
          <w:pgMar w:left="220" w:top="699" w:right="21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rFonts w:ascii="Arial" w:cs="Arial" w:eastAsia="Arial" w:hAnsi="Arial"/>
          <w:sz w:val="14"/>
          <w:szCs w:val="14"/>
          <w:b w:val="1"/>
          <w:bCs w:val="1"/>
          <w:color w:val="auto"/>
        </w:rPr>
      </w:pPr>
    </w:p>
    <w:p>
      <w:pPr>
        <w:ind w:left="520" w:hanging="261"/>
        <w:spacing w:after="0"/>
        <w:tabs>
          <w:tab w:leader="none" w:pos="520" w:val="left"/>
        </w:tabs>
        <w:numPr>
          <w:ilvl w:val="1"/>
          <w:numId w:val="74"/>
        </w:numPr>
        <w:rPr>
          <w:rFonts w:ascii="Arial" w:cs="Arial" w:eastAsia="Arial" w:hAnsi="Arial"/>
          <w:sz w:val="14"/>
          <w:szCs w:val="14"/>
          <w:color w:val="auto"/>
        </w:rPr>
      </w:pPr>
      <w:r>
        <w:rPr>
          <w:rFonts w:ascii="Arial" w:cs="Arial" w:eastAsia="Arial" w:hAnsi="Arial"/>
          <w:sz w:val="14"/>
          <w:szCs w:val="14"/>
          <w:color w:val="auto"/>
        </w:rPr>
        <w:t>ICON Investments Four Unlimited Company</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1"/>
          <w:numId w:val="74"/>
        </w:numPr>
        <w:rPr>
          <w:rFonts w:ascii="Arial" w:cs="Arial" w:eastAsia="Arial" w:hAnsi="Arial"/>
          <w:sz w:val="14"/>
          <w:szCs w:val="14"/>
          <w:color w:val="auto"/>
        </w:rPr>
      </w:pPr>
      <w:r>
        <w:rPr>
          <w:rFonts w:ascii="Arial" w:cs="Arial" w:eastAsia="Arial" w:hAnsi="Arial"/>
          <w:sz w:val="14"/>
          <w:szCs w:val="14"/>
          <w:color w:val="auto"/>
        </w:rPr>
        <w:t>ICON Investments Five Unlimited Company</w:t>
      </w:r>
    </w:p>
    <w:p>
      <w:pPr>
        <w:spacing w:after="0" w:line="1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2"/>
          <w:szCs w:val="12"/>
          <w:color w:val="auto"/>
        </w:rPr>
        <w:t>Contractual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represents Group contractual obligations and commercial commitments as at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529"/>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shd w:val="clear" w:color="auto" w:fill="CCEEFF"/>
          </w:tcPr>
          <w:p>
            <w:pPr>
              <w:spacing w:after="0"/>
              <w:rPr>
                <w:sz w:val="18"/>
                <w:szCs w:val="18"/>
                <w:color w:val="auto"/>
              </w:rPr>
            </w:pPr>
          </w:p>
        </w:tc>
      </w:tr>
      <w:tr>
        <w:trPr>
          <w:trHeight w:val="176"/>
        </w:trPr>
        <w:tc>
          <w:tcPr>
            <w:tcW w:w="2440" w:type="dxa"/>
            <w:vAlign w:val="bottom"/>
          </w:tcPr>
          <w:p>
            <w:pPr>
              <w:spacing w:after="0"/>
              <w:rPr>
                <w:sz w:val="15"/>
                <w:szCs w:val="15"/>
                <w:color w:val="auto"/>
              </w:rPr>
            </w:pPr>
          </w:p>
        </w:tc>
        <w:tc>
          <w:tcPr>
            <w:tcW w:w="130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ind w:right="309"/>
              <w:spacing w:after="0"/>
              <w:rPr>
                <w:sz w:val="20"/>
                <w:szCs w:val="20"/>
                <w:color w:val="auto"/>
              </w:rPr>
            </w:pPr>
            <w:r>
              <w:rPr>
                <w:rFonts w:ascii="Arial" w:cs="Arial" w:eastAsia="Arial" w:hAnsi="Arial"/>
                <w:sz w:val="14"/>
                <w:szCs w:val="14"/>
                <w:b w:val="1"/>
                <w:bCs w:val="1"/>
                <w:color w:val="auto"/>
              </w:rPr>
              <w:t>Less than</w:t>
            </w: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1 to 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More than</w:t>
            </w:r>
          </w:p>
        </w:tc>
      </w:tr>
      <w:tr>
        <w:trPr>
          <w:trHeight w:val="184"/>
        </w:trPr>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jc w:val="right"/>
              <w:ind w:right="309"/>
              <w:spacing w:after="0"/>
              <w:rPr>
                <w:sz w:val="20"/>
                <w:szCs w:val="20"/>
                <w:color w:val="auto"/>
              </w:rPr>
            </w:pPr>
            <w:r>
              <w:rPr>
                <w:rFonts w:ascii="Arial" w:cs="Arial" w:eastAsia="Arial" w:hAnsi="Arial"/>
                <w:sz w:val="14"/>
                <w:szCs w:val="14"/>
                <w:b w:val="1"/>
                <w:bCs w:val="1"/>
                <w:color w:val="auto"/>
              </w:rPr>
              <w:t>1 year</w:t>
            </w: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years</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5 years</w:t>
            </w:r>
          </w:p>
        </w:tc>
      </w:tr>
      <w:tr>
        <w:trPr>
          <w:trHeight w:val="21"/>
        </w:trPr>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$’000</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$’000</w:t>
            </w:r>
          </w:p>
        </w:tc>
        <w:tc>
          <w:tcPr>
            <w:tcW w:w="10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$’000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22"/>
        </w:trPr>
        <w:tc>
          <w:tcPr>
            <w:tcW w:w="2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commitments</w:t>
            </w: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126,583</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32,634</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74,755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19,194</w:t>
            </w: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Capital commitments</w:t>
            </w:r>
          </w:p>
        </w:tc>
        <w:tc>
          <w:tcPr>
            <w:tcW w:w="1300" w:type="dxa"/>
            <w:vAlign w:val="bottom"/>
          </w:tcPr>
          <w:p>
            <w:pPr>
              <w:jc w:val="right"/>
              <w:ind w:right="209"/>
              <w:spacing w:after="0"/>
              <w:rPr>
                <w:sz w:val="20"/>
                <w:szCs w:val="20"/>
                <w:color w:val="auto"/>
              </w:rPr>
            </w:pPr>
            <w:r>
              <w:rPr>
                <w:rFonts w:ascii="Arial" w:cs="Arial" w:eastAsia="Arial" w:hAnsi="Arial"/>
                <w:sz w:val="14"/>
                <w:szCs w:val="14"/>
                <w:color w:val="auto"/>
              </w:rPr>
              <w:t>11,057</w:t>
            </w:r>
          </w:p>
        </w:tc>
        <w:tc>
          <w:tcPr>
            <w:tcW w:w="1240" w:type="dxa"/>
            <w:vAlign w:val="bottom"/>
          </w:tcPr>
          <w:p>
            <w:pPr>
              <w:jc w:val="right"/>
              <w:ind w:right="309"/>
              <w:spacing w:after="0"/>
              <w:rPr>
                <w:sz w:val="20"/>
                <w:szCs w:val="20"/>
                <w:color w:val="auto"/>
              </w:rPr>
            </w:pPr>
            <w:r>
              <w:rPr>
                <w:rFonts w:ascii="Arial" w:cs="Arial" w:eastAsia="Arial" w:hAnsi="Arial"/>
                <w:sz w:val="14"/>
                <w:szCs w:val="14"/>
                <w:color w:val="auto"/>
              </w:rPr>
              <w:t>11,057</w:t>
            </w:r>
          </w:p>
        </w:tc>
        <w:tc>
          <w:tcPr>
            <w:tcW w:w="10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350,000</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350,000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1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on Senior Notes</w:t>
            </w:r>
          </w:p>
        </w:tc>
        <w:tc>
          <w:tcPr>
            <w:tcW w:w="13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25,480</w:t>
            </w:r>
          </w:p>
        </w:tc>
        <w:tc>
          <w:tcPr>
            <w:tcW w:w="12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12,740</w:t>
            </w:r>
          </w:p>
        </w:tc>
        <w:tc>
          <w:tcPr>
            <w:tcW w:w="10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12,740</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w:t>
            </w:r>
          </w:p>
        </w:tc>
      </w:tr>
      <w:tr>
        <w:trPr>
          <w:trHeight w:val="191"/>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513,120</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56,431</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437,495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19,194</w:t>
            </w:r>
          </w:p>
        </w:tc>
      </w:tr>
      <w:tr>
        <w:trPr>
          <w:trHeight w:val="233"/>
        </w:trPr>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7"/>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Contracted sub-lease agreements</w:t>
            </w:r>
          </w:p>
        </w:tc>
        <w:tc>
          <w:tcPr>
            <w:tcW w:w="1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(5,867)</w:t>
            </w:r>
          </w:p>
        </w:tc>
        <w:tc>
          <w:tcPr>
            <w:tcW w:w="12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(1,728)</w:t>
            </w:r>
          </w:p>
        </w:tc>
        <w:tc>
          <w:tcPr>
            <w:tcW w:w="10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(3,845)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81"/>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Net contractual obligations</w:t>
            </w:r>
          </w:p>
        </w:tc>
        <w:tc>
          <w:tcPr>
            <w:tcW w:w="13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507,253</w:t>
            </w:r>
          </w:p>
        </w:tc>
        <w:tc>
          <w:tcPr>
            <w:tcW w:w="12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54,703</w:t>
            </w:r>
          </w:p>
        </w:tc>
        <w:tc>
          <w:tcPr>
            <w:tcW w:w="10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433,650</w:t>
            </w: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18,900</w:t>
            </w:r>
          </w:p>
        </w:tc>
      </w:tr>
      <w:tr>
        <w:trPr>
          <w:trHeight w:val="23"/>
        </w:trPr>
        <w:tc>
          <w:tcPr>
            <w:tcW w:w="2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expects to spend approximately $55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The Company entered into subscription agreements with a number of funds (see </w:t>
      </w:r>
      <w:r>
        <w:rPr>
          <w:rFonts w:ascii="Arial" w:cs="Arial" w:eastAsia="Arial" w:hAnsi="Arial"/>
          <w:sz w:val="14"/>
          <w:szCs w:val="14"/>
          <w:i w:val="1"/>
          <w:iCs w:val="1"/>
          <w:color w:val="auto"/>
        </w:rPr>
        <w:t>note 18 Financial asset investments</w:t>
      </w:r>
      <w:r>
        <w:rPr>
          <w:rFonts w:ascii="Arial" w:cs="Arial" w:eastAsia="Arial" w:hAnsi="Arial"/>
          <w:sz w:val="14"/>
          <w:szCs w:val="14"/>
          <w:color w:val="auto"/>
        </w:rPr>
        <w:t>). Capital totalling $6.2 million had been advanced under the terms of the subscription agreements at 31 December 2018. The Company had committed to future investments of $21.3 million in respect of these funds. The timing of the commitment is not specified in the subscription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29. Litigation</w:t>
      </w:r>
    </w:p>
    <w:p>
      <w:pPr>
        <w:spacing w:after="0" w:line="203" w:lineRule="exact"/>
        <w:rPr>
          <w:sz w:val="20"/>
          <w:szCs w:val="20"/>
          <w:color w:val="auto"/>
        </w:rPr>
      </w:pPr>
    </w:p>
    <w:p>
      <w:pPr>
        <w:ind w:right="240"/>
        <w:spacing w:after="0" w:line="280" w:lineRule="auto"/>
        <w:rPr>
          <w:sz w:val="20"/>
          <w:szCs w:val="20"/>
          <w:color w:val="auto"/>
        </w:rPr>
      </w:pPr>
      <w:r>
        <w:rPr>
          <w:rFonts w:ascii="Arial" w:cs="Arial" w:eastAsia="Arial" w:hAnsi="Arial"/>
          <w:sz w:val="14"/>
          <w:szCs w:val="14"/>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 Related parties</w:t>
      </w:r>
    </w:p>
    <w:p>
      <w:pPr>
        <w:spacing w:after="0" w:line="182" w:lineRule="exact"/>
        <w:rPr>
          <w:sz w:val="20"/>
          <w:szCs w:val="20"/>
          <w:color w:val="auto"/>
        </w:rPr>
      </w:pPr>
    </w:p>
    <w:p>
      <w:pPr>
        <w:ind w:left="280" w:hanging="275"/>
        <w:spacing w:after="0"/>
        <w:tabs>
          <w:tab w:leader="none" w:pos="280"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Transactions with Directors and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total compensation of the Directors and Executive Officers (key management remuneration) for the years ended 31 December 2018 and 2017 was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60"/>
          </w:cols>
          <w:pgMar w:left="220" w:top="762" w:right="21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 Related parties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240" w:type="dxa"/>
            <w:vAlign w:val="bottom"/>
            <w:shd w:val="clear" w:color="auto" w:fill="CCEEFF"/>
          </w:tcPr>
          <w:p>
            <w:pPr>
              <w:spacing w:after="0"/>
              <w:rPr>
                <w:sz w:val="14"/>
                <w:szCs w:val="14"/>
                <w:color w:val="auto"/>
              </w:rPr>
            </w:pPr>
          </w:p>
        </w:tc>
        <w:tc>
          <w:tcPr>
            <w:tcW w:w="2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240" w:type="dxa"/>
            <w:vAlign w:val="bottom"/>
          </w:tcPr>
          <w:p>
            <w:pPr>
              <w:spacing w:after="0"/>
              <w:rPr>
                <w:sz w:val="16"/>
                <w:szCs w:val="16"/>
                <w:color w:val="auto"/>
              </w:rPr>
            </w:pP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2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Salary and fees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2,876</w:t>
            </w:r>
          </w:p>
        </w:tc>
        <w:tc>
          <w:tcPr>
            <w:tcW w:w="900" w:type="dxa"/>
            <w:vAlign w:val="bottom"/>
          </w:tcPr>
          <w:p>
            <w:pPr>
              <w:jc w:val="right"/>
              <w:spacing w:after="0"/>
              <w:rPr>
                <w:sz w:val="20"/>
                <w:szCs w:val="20"/>
                <w:color w:val="auto"/>
              </w:rPr>
            </w:pPr>
            <w:r>
              <w:rPr>
                <w:rFonts w:ascii="Arial" w:cs="Arial" w:eastAsia="Arial" w:hAnsi="Arial"/>
                <w:sz w:val="14"/>
                <w:szCs w:val="14"/>
                <w:color w:val="auto"/>
              </w:rPr>
              <w:t>3,472</w:t>
            </w:r>
          </w:p>
        </w:tc>
      </w:tr>
      <w:tr>
        <w:trPr>
          <w:trHeight w:val="21"/>
        </w:trPr>
        <w:tc>
          <w:tcPr>
            <w:tcW w:w="3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Bonus</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1,942</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Other benefits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228</w:t>
            </w: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1"/>
        </w:trPr>
        <w:tc>
          <w:tcPr>
            <w:tcW w:w="3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contributions</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6,849</w:t>
            </w:r>
          </w:p>
        </w:tc>
        <w:tc>
          <w:tcPr>
            <w:tcW w:w="900" w:type="dxa"/>
            <w:vAlign w:val="bottom"/>
          </w:tcPr>
          <w:p>
            <w:pPr>
              <w:jc w:val="right"/>
              <w:spacing w:after="0"/>
              <w:rPr>
                <w:sz w:val="20"/>
                <w:szCs w:val="20"/>
                <w:color w:val="auto"/>
              </w:rPr>
            </w:pPr>
            <w:r>
              <w:rPr>
                <w:rFonts w:ascii="Arial" w:cs="Arial" w:eastAsia="Arial" w:hAnsi="Arial"/>
                <w:sz w:val="14"/>
                <w:szCs w:val="14"/>
                <w:color w:val="auto"/>
              </w:rPr>
              <w:t>13,929</w:t>
            </w: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11,649</w:t>
            </w:r>
          </w:p>
        </w:tc>
        <w:tc>
          <w:tcPr>
            <w:tcW w:w="900" w:type="dxa"/>
            <w:vAlign w:val="bottom"/>
          </w:tcPr>
          <w:p>
            <w:pPr>
              <w:jc w:val="right"/>
              <w:spacing w:after="0"/>
              <w:rPr>
                <w:sz w:val="20"/>
                <w:szCs w:val="20"/>
                <w:color w:val="auto"/>
              </w:rPr>
            </w:pPr>
            <w:r>
              <w:rPr>
                <w:rFonts w:ascii="Arial" w:cs="Arial" w:eastAsia="Arial" w:hAnsi="Arial"/>
                <w:sz w:val="14"/>
                <w:szCs w:val="14"/>
                <w:color w:val="auto"/>
              </w:rPr>
              <w:t>19,955</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2018 are set out in </w:t>
      </w:r>
      <w:r>
        <w:rPr>
          <w:rFonts w:ascii="Arial" w:cs="Arial" w:eastAsia="Arial" w:hAnsi="Arial"/>
          <w:sz w:val="14"/>
          <w:szCs w:val="14"/>
          <w:i w:val="1"/>
          <w:iCs w:val="1"/>
          <w:color w:val="auto"/>
        </w:rPr>
        <w:t>note 9</w:t>
      </w:r>
      <w:r>
        <w:rPr>
          <w:rFonts w:ascii="Arial" w:cs="Arial" w:eastAsia="Arial" w:hAnsi="Arial"/>
          <w:sz w:val="14"/>
          <w:szCs w:val="14"/>
          <w:color w:val="auto"/>
        </w:rPr>
        <w:t>.</w:t>
      </w:r>
    </w:p>
    <w:p>
      <w:pPr>
        <w:spacing w:after="0" w:line="132" w:lineRule="exact"/>
        <w:rPr>
          <w:sz w:val="20"/>
          <w:szCs w:val="20"/>
          <w:color w:val="auto"/>
        </w:rPr>
      </w:pPr>
    </w:p>
    <w:p>
      <w:pPr>
        <w:ind w:left="320" w:hanging="315"/>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Other related party transactions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Subsidiaries of the Company earned revenue of $633,000 (2017: $743,000) from DS Biopharma Limited (formerly Dignity Sciences Limited) during the year. Dr. John Climax is Chief Executive Officer and both Dr. John Climax and Dr. Ronan Lambe are Directors and shareholders of DS Biopharma Limited. $338,000 was recorded as due from DS Biopharma Limited at 31 December 2018. The contract terms were agreed on an arm’s length basis.</w:t>
      </w:r>
    </w:p>
    <w:p>
      <w:pPr>
        <w:spacing w:after="0" w:line="14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During the year ended 31 December 2017, personal expenses totaling $178,000 were settled by the Company on behalf of Mr Ciaran Murray. Payment was received in advance from Mr Murray in respect of these expenses. The Company transferred ownership of an asset at fair value ($77,000) to Mr Ciaran Murray effective 1 November 2017. Payment was received in full in January 2018.</w:t>
      </w:r>
    </w:p>
    <w:p>
      <w:pPr>
        <w:spacing w:after="0" w:line="109"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On 22 July 2016, Mr. Thomas Lynch retired as a Director of the Company, having previously resigned as Chairman of the Company in March 2016. A charge of €231,750 was recorded during the year in respect of consultancy services provided by a company controlled by Mr. Lynch. $64,000 was recorded as due to Mr. Lynch under the terms of the agreement at 31 December 2018.</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 Subsequent events</w:t>
      </w:r>
    </w:p>
    <w:p>
      <w:pPr>
        <w:spacing w:after="0" w:line="55" w:lineRule="exact"/>
        <w:rPr>
          <w:sz w:val="20"/>
          <w:szCs w:val="20"/>
          <w:color w:val="auto"/>
        </w:rPr>
      </w:pPr>
    </w:p>
    <w:p>
      <w:pPr>
        <w:ind w:right="480"/>
        <w:spacing w:after="0" w:line="280" w:lineRule="auto"/>
        <w:rPr>
          <w:sz w:val="20"/>
          <w:szCs w:val="20"/>
          <w:color w:val="auto"/>
        </w:rPr>
      </w:pPr>
      <w:r>
        <w:rPr>
          <w:rFonts w:ascii="Arial" w:cs="Arial" w:eastAsia="Arial" w:hAnsi="Arial"/>
          <w:sz w:val="14"/>
          <w:szCs w:val="14"/>
          <w:color w:val="auto"/>
        </w:rPr>
        <w:t>The Group has evaluated subsequent events from the balance sheet date through 30 April 2019, the date at which the Consolidated Financial Statements were approved. The following items were identified;</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8 January 2019 the Company announced a share buyback program of up to 1 million shares to be executed opportunistically during 2019 depending on cash commitments. All ordinary shares that are redeemed under the buyback program will be cancelled in accordance with the constitutional documents of the Company and the nominal value of these shares transferred to an undenominated capital fund as required under Irish Company law.</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On 25 January 2019 a subsidiary of the Company, ICON Laboratory Services Inc. acquired 100% of the equity share capital of MolecularMD Corp. The initial consideration on acquisition is $42 million.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determined that there are no other items to disclose.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 Subsidiary undertakings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As at 31 December 2018 the Group had the following principal subsidiary undertakings: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60"/>
          </w:cols>
          <w:pgMar w:left="220" w:top="762" w:right="21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Registered Office</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Nature of</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4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business</w:t>
            </w:r>
          </w:p>
        </w:tc>
        <w:tc>
          <w:tcPr>
            <w:tcW w:w="1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Group</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Clinical Research, S.A.</w:t>
            </w:r>
          </w:p>
        </w:tc>
        <w:tc>
          <w:tcPr>
            <w:tcW w:w="2020" w:type="dxa"/>
            <w:vAlign w:val="bottom"/>
          </w:tcPr>
          <w:p>
            <w:pPr>
              <w:ind w:left="140"/>
              <w:spacing w:after="0"/>
              <w:rPr>
                <w:sz w:val="20"/>
                <w:szCs w:val="20"/>
                <w:color w:val="auto"/>
              </w:rPr>
            </w:pPr>
            <w:r>
              <w:rPr>
                <w:rFonts w:ascii="Arial" w:cs="Arial" w:eastAsia="Arial" w:hAnsi="Arial"/>
                <w:sz w:val="14"/>
                <w:szCs w:val="14"/>
                <w:color w:val="auto"/>
              </w:rPr>
              <w:t>Cecilia Grierson 255, Floor 6</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City of Buenos Aires</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C1107CPE</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Argentina</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PTY Limited</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Suite 201,</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Level 2, 2-4 Lyon Park Road,</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North Ryde,</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NSW 2113</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Australia</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8"/>
              </w:rPr>
              <w:t>ICON Clinical Research Austria GmbH</w:t>
            </w:r>
          </w:p>
        </w:tc>
        <w:tc>
          <w:tcPr>
            <w:tcW w:w="2020" w:type="dxa"/>
            <w:vAlign w:val="bottom"/>
          </w:tcPr>
          <w:p>
            <w:pPr>
              <w:ind w:left="140"/>
              <w:spacing w:after="0"/>
              <w:rPr>
                <w:sz w:val="20"/>
                <w:szCs w:val="20"/>
                <w:color w:val="auto"/>
              </w:rPr>
            </w:pPr>
            <w:r>
              <w:rPr>
                <w:rFonts w:ascii="Arial" w:cs="Arial" w:eastAsia="Arial" w:hAnsi="Arial"/>
                <w:sz w:val="14"/>
                <w:szCs w:val="14"/>
                <w:color w:val="auto"/>
              </w:rPr>
              <w:t>Pyrkergasse 10/6,</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1190 Vienna,</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Austria</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Belgium N.V.</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Interleuvenlaan 62,</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3001 Heverlee,</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Belgium</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Pesquisas Clínicas LTDA.</w:t>
            </w:r>
          </w:p>
        </w:tc>
        <w:tc>
          <w:tcPr>
            <w:tcW w:w="2020" w:type="dxa"/>
            <w:vAlign w:val="bottom"/>
          </w:tcPr>
          <w:p>
            <w:pPr>
              <w:ind w:left="140"/>
              <w:spacing w:after="0"/>
              <w:rPr>
                <w:sz w:val="20"/>
                <w:szCs w:val="20"/>
                <w:color w:val="auto"/>
              </w:rPr>
            </w:pPr>
            <w:r>
              <w:rPr>
                <w:rFonts w:ascii="Arial" w:cs="Arial" w:eastAsia="Arial" w:hAnsi="Arial"/>
                <w:sz w:val="14"/>
                <w:szCs w:val="14"/>
                <w:color w:val="auto"/>
              </w:rPr>
              <w:t>Av. Ibirapuera 2332,</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Torre II 4º Andar,</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São Paulo, SP,</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Brazil</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CEP 04028-003</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EOOD</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2A, Saborna Str.,</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4th floor, Sofia – 1000,</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Republic of Bulgaria</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9"/>
              </w:rPr>
              <w:t>ICON Clinical Research (Canada) Inc.</w:t>
            </w:r>
          </w:p>
        </w:tc>
        <w:tc>
          <w:tcPr>
            <w:tcW w:w="2020" w:type="dxa"/>
            <w:vAlign w:val="bottom"/>
          </w:tcPr>
          <w:p>
            <w:pPr>
              <w:ind w:left="140"/>
              <w:spacing w:after="0"/>
              <w:rPr>
                <w:sz w:val="20"/>
                <w:szCs w:val="20"/>
                <w:color w:val="auto"/>
              </w:rPr>
            </w:pPr>
            <w:r>
              <w:rPr>
                <w:rFonts w:ascii="Arial" w:cs="Arial" w:eastAsia="Arial" w:hAnsi="Arial"/>
                <w:sz w:val="14"/>
                <w:szCs w:val="14"/>
                <w:color w:val="auto"/>
                <w:w w:val="99"/>
              </w:rPr>
              <w:t>7405 Trans-Canada Highway,</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Suite 300 Saint-Laurent,</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Quebec, H4T 1Z2</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Canada</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Oxford Outcomes LTD.</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19th Floor,</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885 West Georgia Street,</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Vancouver BC, V6C 3H4</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Canada</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Mapi Life Sciences Canada Inc.</w:t>
            </w:r>
          </w:p>
        </w:tc>
        <w:tc>
          <w:tcPr>
            <w:tcW w:w="2020" w:type="dxa"/>
            <w:vAlign w:val="bottom"/>
          </w:tcPr>
          <w:p>
            <w:pPr>
              <w:ind w:left="140"/>
              <w:spacing w:after="0"/>
              <w:rPr>
                <w:sz w:val="20"/>
                <w:szCs w:val="20"/>
                <w:color w:val="auto"/>
              </w:rPr>
            </w:pPr>
            <w:r>
              <w:rPr>
                <w:rFonts w:ascii="Arial" w:cs="Arial" w:eastAsia="Arial" w:hAnsi="Arial"/>
                <w:sz w:val="14"/>
                <w:szCs w:val="14"/>
                <w:color w:val="auto"/>
              </w:rPr>
              <w:t>4 Innovation Drive, Dundas,</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Ontario L9H 7P3, Canada</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Chile Limitada</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Huerfanos 770,</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Piso 4,</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Oficina 402,</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Santiago,</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Chile</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359"/>
        </w:trPr>
        <w:tc>
          <w:tcPr>
            <w:tcW w:w="2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ind w:left="240"/>
              <w:spacing w:after="0"/>
              <w:rPr>
                <w:sz w:val="20"/>
                <w:szCs w:val="20"/>
                <w:color w:val="auto"/>
              </w:rPr>
            </w:pPr>
            <w:r>
              <w:rPr>
                <w:rFonts w:ascii="Arial" w:cs="Arial" w:eastAsia="Arial" w:hAnsi="Arial"/>
                <w:sz w:val="14"/>
                <w:szCs w:val="14"/>
                <w:color w:val="auto"/>
              </w:rPr>
              <w:t>109</w:t>
            </w:r>
          </w:p>
        </w:tc>
      </w:tr>
    </w:tbl>
    <w:p>
      <w:pPr>
        <w:sectPr>
          <w:pgSz w:w="11900" w:h="16838" w:orient="portrait"/>
          <w:cols w:equalWidth="0" w:num="1">
            <w:col w:w="10239"/>
          </w:cols>
          <w:pgMar w:left="220" w:top="1164" w:right="1440"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Registered Office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2"/>
              </w:rPr>
              <w:t>Nature of business</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30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Group</w:t>
            </w: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w w:val="95"/>
              </w:rPr>
              <w:t>ICON Clinical Research (Beijing No.2)</w:t>
            </w:r>
          </w:p>
        </w:tc>
        <w:tc>
          <w:tcPr>
            <w:tcW w:w="2000" w:type="dxa"/>
            <w:vAlign w:val="bottom"/>
          </w:tcPr>
          <w:p>
            <w:pPr>
              <w:ind w:left="60"/>
              <w:spacing w:after="0"/>
              <w:rPr>
                <w:sz w:val="20"/>
                <w:szCs w:val="20"/>
                <w:color w:val="auto"/>
              </w:rPr>
            </w:pPr>
            <w:r>
              <w:rPr>
                <w:rFonts w:ascii="Arial" w:cs="Arial" w:eastAsia="Arial" w:hAnsi="Arial"/>
                <w:sz w:val="14"/>
                <w:szCs w:val="14"/>
                <w:color w:val="auto"/>
              </w:rPr>
              <w:t>Room 335,</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Co., Ltd</w:t>
            </w:r>
          </w:p>
        </w:tc>
        <w:tc>
          <w:tcPr>
            <w:tcW w:w="2000" w:type="dxa"/>
            <w:vAlign w:val="bottom"/>
          </w:tcPr>
          <w:p>
            <w:pPr>
              <w:ind w:left="60"/>
              <w:spacing w:after="0"/>
              <w:rPr>
                <w:sz w:val="20"/>
                <w:szCs w:val="20"/>
                <w:color w:val="auto"/>
              </w:rPr>
            </w:pPr>
            <w:r>
              <w:rPr>
                <w:rFonts w:ascii="Arial" w:cs="Arial" w:eastAsia="Arial" w:hAnsi="Arial"/>
                <w:sz w:val="14"/>
                <w:szCs w:val="14"/>
                <w:color w:val="auto"/>
              </w:rPr>
              <w:t>No.8, An Ning Zhuang East</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Road,</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Haidian District,</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Beijing,</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China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ICON Clinical Research (Beijing) Co.,</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Room B1101,</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Ltd</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Tower No. 1,</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1"/>
              </w:rPr>
              <w:t>No. 36 North 3rd Ring Road East,</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Dong Cheng District,</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Beijing, 100013</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China</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4300" w:type="dxa"/>
            <w:vAlign w:val="bottom"/>
            <w:gridSpan w:val="2"/>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Ispitivanja ICON d.o.o (ICON Research Zagreb,</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Ltd.)</w:t>
            </w:r>
          </w:p>
        </w:tc>
        <w:tc>
          <w:tcPr>
            <w:tcW w:w="2000" w:type="dxa"/>
            <w:vAlign w:val="bottom"/>
          </w:tcPr>
          <w:p>
            <w:pPr>
              <w:ind w:left="60"/>
              <w:spacing w:after="0"/>
              <w:rPr>
                <w:sz w:val="20"/>
                <w:szCs w:val="20"/>
                <w:color w:val="auto"/>
              </w:rPr>
            </w:pPr>
            <w:r>
              <w:rPr>
                <w:rFonts w:ascii="Arial" w:cs="Arial" w:eastAsia="Arial" w:hAnsi="Arial"/>
                <w:sz w:val="14"/>
                <w:szCs w:val="14"/>
                <w:color w:val="auto"/>
              </w:rPr>
              <w:t>Radnicka cesta 80,</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Croatia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s.r.o.</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V parku 2335/20,</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Praha 4 - Chodov,</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PSČ 148 00</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Czech Republic</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w w:val="98"/>
              </w:rPr>
              <w:t>DOCS International Nordic Countries</w:t>
            </w:r>
          </w:p>
        </w:tc>
        <w:tc>
          <w:tcPr>
            <w:tcW w:w="2000" w:type="dxa"/>
            <w:vAlign w:val="bottom"/>
          </w:tcPr>
          <w:p>
            <w:pPr>
              <w:ind w:left="60"/>
              <w:spacing w:after="0"/>
              <w:rPr>
                <w:sz w:val="20"/>
                <w:szCs w:val="20"/>
                <w:color w:val="auto"/>
              </w:rPr>
            </w:pPr>
            <w:r>
              <w:rPr>
                <w:rFonts w:ascii="Arial" w:cs="Arial" w:eastAsia="Arial" w:hAnsi="Arial"/>
                <w:sz w:val="14"/>
                <w:szCs w:val="14"/>
                <w:color w:val="auto"/>
              </w:rPr>
              <w:t>Havnegade 29,</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A/S</w:t>
            </w:r>
          </w:p>
        </w:tc>
        <w:tc>
          <w:tcPr>
            <w:tcW w:w="2000" w:type="dxa"/>
            <w:vAlign w:val="bottom"/>
          </w:tcPr>
          <w:p>
            <w:pPr>
              <w:ind w:left="60"/>
              <w:spacing w:after="0"/>
              <w:rPr>
                <w:sz w:val="20"/>
                <w:szCs w:val="20"/>
                <w:color w:val="auto"/>
              </w:rPr>
            </w:pPr>
            <w:r>
              <w:rPr>
                <w:rFonts w:ascii="Arial" w:cs="Arial" w:eastAsia="Arial" w:hAnsi="Arial"/>
                <w:sz w:val="14"/>
                <w:szCs w:val="14"/>
                <w:color w:val="auto"/>
              </w:rPr>
              <w:t>1058 København K,</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Denmark</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Finland Oy</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Mannerheimintie 12B,</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00100 Helsinki,</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Finland</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DOCS International France S.A.S.</w:t>
            </w:r>
          </w:p>
        </w:tc>
        <w:tc>
          <w:tcPr>
            <w:tcW w:w="2000" w:type="dxa"/>
            <w:vAlign w:val="bottom"/>
          </w:tcPr>
          <w:p>
            <w:pPr>
              <w:ind w:left="60"/>
              <w:spacing w:after="0"/>
              <w:rPr>
                <w:sz w:val="20"/>
                <w:szCs w:val="20"/>
                <w:color w:val="auto"/>
              </w:rPr>
            </w:pPr>
            <w:r>
              <w:rPr>
                <w:rFonts w:ascii="Arial" w:cs="Arial" w:eastAsia="Arial" w:hAnsi="Arial"/>
                <w:sz w:val="14"/>
                <w:szCs w:val="14"/>
                <w:color w:val="auto"/>
                <w:w w:val="91"/>
              </w:rPr>
              <w:t>55 Avenue des Champs Pierreux,</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Immeuble le Capitole,</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92000 Nanterre,</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S.A.R.L.</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1"/>
              </w:rPr>
              <w:t>55 Avenue des Champs Pierreux,</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Immeuble le Capitole,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92000 Nanterre,</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Mapi Développement SAS</w:t>
            </w:r>
          </w:p>
        </w:tc>
        <w:tc>
          <w:tcPr>
            <w:tcW w:w="2000" w:type="dxa"/>
            <w:vAlign w:val="bottom"/>
          </w:tcPr>
          <w:p>
            <w:pPr>
              <w:ind w:left="60"/>
              <w:spacing w:after="0"/>
              <w:rPr>
                <w:sz w:val="20"/>
                <w:szCs w:val="20"/>
                <w:color w:val="auto"/>
              </w:rPr>
            </w:pPr>
            <w:r>
              <w:rPr>
                <w:rFonts w:ascii="Arial" w:cs="Arial" w:eastAsia="Arial" w:hAnsi="Arial"/>
                <w:sz w:val="14"/>
                <w:szCs w:val="14"/>
                <w:color w:val="auto"/>
                <w:w w:val="93"/>
              </w:rPr>
              <w:t>27 rue de la Villette, 69003 Lyon,</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5"/>
                <w:szCs w:val="15"/>
                <w:color w:val="auto"/>
              </w:rPr>
            </w:pPr>
          </w:p>
        </w:tc>
      </w:tr>
      <w:tr>
        <w:trPr>
          <w:trHeight w:val="21"/>
        </w:trPr>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Mapi Research Trust</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3"/>
              </w:rPr>
              <w:t>27 rue de la Villette, 69003 Lyon,</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81"/>
        </w:trPr>
        <w:tc>
          <w:tcPr>
            <w:tcW w:w="23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Borders>
              <w:bottom w:val="single" w:sz="8" w:color="CCEEFF"/>
            </w:tcBorders>
            <w:shd w:val="clear" w:color="auto" w:fill="CCEEFF"/>
          </w:tcPr>
          <w:p>
            <w:pPr>
              <w:spacing w:after="0"/>
              <w:rPr>
                <w:sz w:val="15"/>
                <w:szCs w:val="15"/>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Mapi SAS</w:t>
            </w:r>
          </w:p>
        </w:tc>
        <w:tc>
          <w:tcPr>
            <w:tcW w:w="2000" w:type="dxa"/>
            <w:vAlign w:val="bottom"/>
          </w:tcPr>
          <w:p>
            <w:pPr>
              <w:ind w:left="60"/>
              <w:spacing w:after="0"/>
              <w:rPr>
                <w:sz w:val="20"/>
                <w:szCs w:val="20"/>
                <w:color w:val="auto"/>
              </w:rPr>
            </w:pPr>
            <w:r>
              <w:rPr>
                <w:rFonts w:ascii="Arial" w:cs="Arial" w:eastAsia="Arial" w:hAnsi="Arial"/>
                <w:sz w:val="14"/>
                <w:szCs w:val="14"/>
                <w:color w:val="auto"/>
                <w:w w:val="93"/>
              </w:rPr>
              <w:t>27 rue de la Villette, 69003 Lyon,</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5"/>
                <w:szCs w:val="15"/>
                <w:color w:val="auto"/>
              </w:rPr>
            </w:pPr>
          </w:p>
        </w:tc>
      </w:tr>
      <w:tr>
        <w:trPr>
          <w:trHeight w:val="381"/>
        </w:trPr>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110</w:t>
            </w:r>
          </w:p>
        </w:tc>
      </w:tr>
    </w:tbl>
    <w:p>
      <w:pPr>
        <w:sectPr>
          <w:pgSz w:w="11900" w:h="16838" w:orient="portrait"/>
          <w:cols w:equalWidth="0" w:num="1">
            <w:col w:w="10239"/>
          </w:cols>
          <w:pgMar w:left="220" w:top="1164" w:right="1440"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9"/>
              </w:rPr>
              <w:t>Nature of business Proportion held by</w:t>
            </w:r>
          </w:p>
        </w:tc>
      </w:tr>
      <w:tr>
        <w:trPr>
          <w:trHeight w:val="184"/>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Group</w:t>
            </w:r>
          </w:p>
        </w:tc>
      </w:tr>
      <w:tr>
        <w:trPr>
          <w:trHeight w:val="20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Germany GmbH</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Konrad-Zuse-Platz 11</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81829 München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Germany</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Research GmbH</w:t>
            </w:r>
          </w:p>
        </w:tc>
        <w:tc>
          <w:tcPr>
            <w:tcW w:w="2000" w:type="dxa"/>
            <w:vAlign w:val="bottom"/>
          </w:tcPr>
          <w:p>
            <w:pPr>
              <w:ind w:left="20"/>
              <w:spacing w:after="0"/>
              <w:rPr>
                <w:sz w:val="20"/>
                <w:szCs w:val="20"/>
                <w:color w:val="auto"/>
              </w:rPr>
            </w:pPr>
            <w:r>
              <w:rPr>
                <w:rFonts w:ascii="Arial" w:cs="Arial" w:eastAsia="Arial" w:hAnsi="Arial"/>
                <w:sz w:val="14"/>
                <w:szCs w:val="14"/>
                <w:color w:val="auto"/>
              </w:rPr>
              <w:t>Heinrich-Hertz-Straße 26,</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63225,</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Langen,</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Hessen,</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Germany</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Hong Kong</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43,</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 Tower,</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183 Electric Road,</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Point,</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Klinikai Kutató Korlátolt</w:t>
            </w:r>
          </w:p>
        </w:tc>
        <w:tc>
          <w:tcPr>
            <w:tcW w:w="2000" w:type="dxa"/>
            <w:vAlign w:val="bottom"/>
          </w:tcPr>
          <w:p>
            <w:pPr>
              <w:ind w:left="20"/>
              <w:spacing w:after="0"/>
              <w:rPr>
                <w:sz w:val="20"/>
                <w:szCs w:val="20"/>
                <w:color w:val="auto"/>
              </w:rPr>
            </w:pPr>
            <w:r>
              <w:rPr>
                <w:rFonts w:ascii="Arial" w:cs="Arial" w:eastAsia="Arial" w:hAnsi="Arial"/>
                <w:sz w:val="14"/>
                <w:szCs w:val="14"/>
                <w:color w:val="auto"/>
              </w:rPr>
              <w:t>1037 Budapest,</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Felelősségű Társaság</w:t>
            </w:r>
          </w:p>
        </w:tc>
        <w:tc>
          <w:tcPr>
            <w:tcW w:w="2000" w:type="dxa"/>
            <w:vAlign w:val="bottom"/>
          </w:tcPr>
          <w:p>
            <w:pPr>
              <w:ind w:left="20"/>
              <w:spacing w:after="0"/>
              <w:rPr>
                <w:sz w:val="20"/>
                <w:szCs w:val="20"/>
                <w:color w:val="auto"/>
              </w:rPr>
            </w:pPr>
            <w:r>
              <w:rPr>
                <w:rFonts w:ascii="Arial" w:cs="Arial" w:eastAsia="Arial" w:hAnsi="Arial"/>
                <w:sz w:val="14"/>
                <w:szCs w:val="14"/>
                <w:color w:val="auto"/>
              </w:rPr>
              <w:t>Szépvölgyi út 39.,</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Research 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Hungary</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Liability Company)</w:t>
            </w:r>
          </w:p>
        </w:tc>
        <w:tc>
          <w:tcPr>
            <w:tcW w:w="2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India Private</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CHENNAI ONE IT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ITE/ITES SEZ North Block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Block B, 4th Floor, Thoraipakkam</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Chennai</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Tamil Nadu-TN</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600097</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1"/>
        </w:trPr>
        <w:tc>
          <w:tcPr>
            <w:tcW w:w="238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India</w:t>
            </w:r>
          </w:p>
        </w:tc>
        <w:tc>
          <w:tcPr>
            <w:tcW w:w="1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DOCS Resourcing 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(LR) 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International Unlimited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Company</w:t>
            </w:r>
          </w:p>
        </w:tc>
        <w:tc>
          <w:tcPr>
            <w:tcW w:w="2000" w:type="dxa"/>
            <w:vAlign w:val="bottom"/>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Research Property</w:t>
            </w:r>
          </w:p>
        </w:tc>
        <w:tc>
          <w:tcPr>
            <w:tcW w:w="2000" w:type="dxa"/>
            <w:vAlign w:val="bottom"/>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Property</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Development (Ireland) 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tcPr>
          <w:p>
            <w:pPr>
              <w:ind w:left="40"/>
              <w:spacing w:after="0"/>
              <w:rPr>
                <w:sz w:val="20"/>
                <w:szCs w:val="20"/>
                <w:color w:val="auto"/>
              </w:rPr>
            </w:pPr>
            <w:r>
              <w:rPr>
                <w:rFonts w:ascii="Arial" w:cs="Arial" w:eastAsia="Arial" w:hAnsi="Arial"/>
                <w:sz w:val="14"/>
                <w:szCs w:val="14"/>
                <w:color w:val="auto"/>
              </w:rPr>
              <w:t>management</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tcPr>
          <w:p>
            <w:pPr>
              <w:ind w:left="40"/>
              <w:spacing w:after="0"/>
              <w:rPr>
                <w:sz w:val="20"/>
                <w:szCs w:val="20"/>
                <w:color w:val="auto"/>
              </w:rPr>
            </w:pPr>
            <w:r>
              <w:rPr>
                <w:rFonts w:ascii="Arial" w:cs="Arial" w:eastAsia="Arial" w:hAnsi="Arial"/>
                <w:sz w:val="14"/>
                <w:szCs w:val="14"/>
                <w:color w:val="auto"/>
              </w:rPr>
              <w:t>company</w:t>
            </w: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Holdings Unlimited Company</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Investment holding</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company</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359"/>
        </w:trPr>
        <w:tc>
          <w:tcPr>
            <w:tcW w:w="2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111</w:t>
            </w:r>
          </w:p>
        </w:tc>
      </w:tr>
    </w:tbl>
    <w:p>
      <w:pPr>
        <w:sectPr>
          <w:pgSz w:w="11900" w:h="16838" w:orient="portrait"/>
          <w:cols w:equalWidth="0" w:num="1">
            <w:col w:w="10239"/>
          </w:cols>
          <w:pgMar w:left="220" w:top="1164" w:right="1440"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Registered Office</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Nature of business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1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Group</w:t>
            </w: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Holdings Clinical Research</w:t>
            </w:r>
          </w:p>
        </w:tc>
        <w:tc>
          <w:tcPr>
            <w:tcW w:w="1700" w:type="dxa"/>
            <w:vAlign w:val="bottom"/>
          </w:tcPr>
          <w:p>
            <w:pPr>
              <w:ind w:left="60"/>
              <w:spacing w:after="0"/>
              <w:rPr>
                <w:sz w:val="20"/>
                <w:szCs w:val="20"/>
                <w:color w:val="auto"/>
              </w:rPr>
            </w:pPr>
            <w:r>
              <w:rPr>
                <w:rFonts w:ascii="Arial" w:cs="Arial" w:eastAsia="Arial" w:hAnsi="Arial"/>
                <w:sz w:val="14"/>
                <w:szCs w:val="14"/>
                <w:color w:val="auto"/>
              </w:rPr>
              <w:t>South County Business</w:t>
            </w:r>
          </w:p>
        </w:tc>
        <w:tc>
          <w:tcPr>
            <w:tcW w:w="3120" w:type="dxa"/>
            <w:vAlign w:val="bottom"/>
            <w:gridSpan w:val="2"/>
          </w:tcPr>
          <w:p>
            <w:pPr>
              <w:ind w:left="40"/>
              <w:spacing w:after="0"/>
              <w:rPr>
                <w:sz w:val="20"/>
                <w:szCs w:val="20"/>
                <w:color w:val="auto"/>
              </w:rPr>
            </w:pPr>
            <w:r>
              <w:rPr>
                <w:rFonts w:ascii="Arial" w:cs="Arial" w:eastAsia="Arial" w:hAnsi="Arial"/>
                <w:sz w:val="14"/>
                <w:szCs w:val="14"/>
                <w:color w:val="auto"/>
              </w:rPr>
              <w:t>Investment holding company 100%</w:t>
            </w:r>
          </w:p>
        </w:tc>
      </w:tr>
      <w:tr>
        <w:trPr>
          <w:trHeight w:val="169"/>
        </w:trPr>
        <w:tc>
          <w:tcPr>
            <w:tcW w:w="2140" w:type="dxa"/>
            <w:vAlign w:val="bottom"/>
          </w:tcPr>
          <w:p>
            <w:pPr>
              <w:ind w:left="20"/>
              <w:spacing w:after="0"/>
              <w:rPr>
                <w:sz w:val="20"/>
                <w:szCs w:val="20"/>
                <w:color w:val="auto"/>
              </w:rPr>
            </w:pPr>
            <w:r>
              <w:rPr>
                <w:rFonts w:ascii="Arial" w:cs="Arial" w:eastAsia="Arial" w:hAnsi="Arial"/>
                <w:sz w:val="14"/>
                <w:szCs w:val="14"/>
                <w:color w:val="auto"/>
              </w:rPr>
              <w:t>International Limited</w:t>
            </w:r>
          </w:p>
        </w:tc>
        <w:tc>
          <w:tcPr>
            <w:tcW w:w="1700" w:type="dxa"/>
            <w:vAlign w:val="bottom"/>
          </w:tcPr>
          <w:p>
            <w:pPr>
              <w:ind w:left="60"/>
              <w:spacing w:after="0"/>
              <w:rPr>
                <w:sz w:val="20"/>
                <w:szCs w:val="20"/>
                <w:color w:val="auto"/>
              </w:rPr>
            </w:pPr>
            <w:r>
              <w:rPr>
                <w:rFonts w:ascii="Arial" w:cs="Arial" w:eastAsia="Arial" w:hAnsi="Arial"/>
                <w:sz w:val="14"/>
                <w:szCs w:val="14"/>
                <w:color w:val="auto"/>
              </w:rPr>
              <w:t>Park,</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Leopardstown,</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Dublin 18,</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Republic of Ireland</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Investments Five Unlimited</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South County Business</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holding and</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Park,</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company</w:t>
            </w: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Leopardstown,</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Dublin 18,</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Republic of Ireland</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Investments Four Unlimited</w:t>
            </w:r>
          </w:p>
        </w:tc>
        <w:tc>
          <w:tcPr>
            <w:tcW w:w="1700" w:type="dxa"/>
            <w:vAlign w:val="bottom"/>
          </w:tcPr>
          <w:p>
            <w:pPr>
              <w:ind w:left="60"/>
              <w:spacing w:after="0"/>
              <w:rPr>
                <w:sz w:val="20"/>
                <w:szCs w:val="20"/>
                <w:color w:val="auto"/>
              </w:rPr>
            </w:pPr>
            <w:r>
              <w:rPr>
                <w:rFonts w:ascii="Arial" w:cs="Arial" w:eastAsia="Arial" w:hAnsi="Arial"/>
                <w:sz w:val="14"/>
                <w:szCs w:val="14"/>
                <w:color w:val="auto"/>
              </w:rPr>
              <w:t>South County Business</w:t>
            </w:r>
          </w:p>
        </w:tc>
        <w:tc>
          <w:tcPr>
            <w:tcW w:w="1620" w:type="dxa"/>
            <w:vAlign w:val="bottom"/>
          </w:tcPr>
          <w:p>
            <w:pPr>
              <w:ind w:left="40"/>
              <w:spacing w:after="0"/>
              <w:rPr>
                <w:sz w:val="20"/>
                <w:szCs w:val="20"/>
                <w:color w:val="auto"/>
              </w:rPr>
            </w:pPr>
            <w:r>
              <w:rPr>
                <w:rFonts w:ascii="Arial" w:cs="Arial" w:eastAsia="Arial" w:hAnsi="Arial"/>
                <w:sz w:val="14"/>
                <w:szCs w:val="14"/>
                <w:color w:val="auto"/>
              </w:rPr>
              <w:t>Investment holding and</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ind w:left="20"/>
              <w:spacing w:after="0"/>
              <w:rPr>
                <w:sz w:val="20"/>
                <w:szCs w:val="20"/>
                <w:color w:val="auto"/>
              </w:rPr>
            </w:pPr>
            <w:r>
              <w:rPr>
                <w:rFonts w:ascii="Arial" w:cs="Arial" w:eastAsia="Arial" w:hAnsi="Arial"/>
                <w:sz w:val="14"/>
                <w:szCs w:val="14"/>
                <w:color w:val="auto"/>
              </w:rPr>
              <w:t>Company</w:t>
            </w:r>
          </w:p>
        </w:tc>
        <w:tc>
          <w:tcPr>
            <w:tcW w:w="1700" w:type="dxa"/>
            <w:vAlign w:val="bottom"/>
          </w:tcPr>
          <w:p>
            <w:pPr>
              <w:ind w:left="60"/>
              <w:spacing w:after="0"/>
              <w:rPr>
                <w:sz w:val="20"/>
                <w:szCs w:val="20"/>
                <w:color w:val="auto"/>
              </w:rPr>
            </w:pPr>
            <w:r>
              <w:rPr>
                <w:rFonts w:ascii="Arial" w:cs="Arial" w:eastAsia="Arial" w:hAnsi="Arial"/>
                <w:sz w:val="14"/>
                <w:szCs w:val="14"/>
                <w:color w:val="auto"/>
              </w:rPr>
              <w:t>Park,</w:t>
            </w:r>
          </w:p>
        </w:tc>
        <w:tc>
          <w:tcPr>
            <w:tcW w:w="1620" w:type="dxa"/>
            <w:vAlign w:val="bottom"/>
          </w:tcPr>
          <w:p>
            <w:pPr>
              <w:ind w:left="40"/>
              <w:spacing w:after="0"/>
              <w:rPr>
                <w:sz w:val="20"/>
                <w:szCs w:val="20"/>
                <w:color w:val="auto"/>
              </w:rPr>
            </w:pPr>
            <w:r>
              <w:rPr>
                <w:rFonts w:ascii="Arial" w:cs="Arial" w:eastAsia="Arial" w:hAnsi="Arial"/>
                <w:sz w:val="14"/>
                <w:szCs w:val="14"/>
                <w:color w:val="auto"/>
              </w:rPr>
              <w:t>financing company</w:t>
            </w: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Leopardstown,</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Dublin 18,</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Republic of Ireland</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ICON Clinical Research Israel LTD.</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6 Haba'al Shem Tov st.,</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North Industrial Area,</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Lod,</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Israel, 7128906</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DOCS Italia S.R.L.</w:t>
            </w:r>
          </w:p>
        </w:tc>
        <w:tc>
          <w:tcPr>
            <w:tcW w:w="1700" w:type="dxa"/>
            <w:vAlign w:val="bottom"/>
          </w:tcPr>
          <w:p>
            <w:pPr>
              <w:ind w:left="60"/>
              <w:spacing w:after="0"/>
              <w:rPr>
                <w:sz w:val="20"/>
                <w:szCs w:val="20"/>
                <w:color w:val="auto"/>
              </w:rPr>
            </w:pPr>
            <w:r>
              <w:rPr>
                <w:rFonts w:ascii="Arial" w:cs="Arial" w:eastAsia="Arial" w:hAnsi="Arial"/>
                <w:sz w:val="14"/>
                <w:szCs w:val="14"/>
                <w:color w:val="auto"/>
              </w:rPr>
              <w:t>Via Benigno Crespi, 23,</w:t>
            </w:r>
          </w:p>
        </w:tc>
        <w:tc>
          <w:tcPr>
            <w:tcW w:w="1620" w:type="dxa"/>
            <w:vAlign w:val="bottom"/>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20159 Milano,</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Italy</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
        </w:trPr>
        <w:tc>
          <w:tcPr>
            <w:tcW w:w="2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Japan K.K.</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6F-7F MD Kanda Building,</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9-1 Kanda-Mitoshirocho,</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Chiyoda-Ku,</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Tokyo, 101-0053</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Japan</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120" w:type="dxa"/>
            <w:vAlign w:val="bottom"/>
            <w:gridSpan w:val="2"/>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Investments Limited</w:t>
            </w:r>
          </w:p>
        </w:tc>
        <w:tc>
          <w:tcPr>
            <w:tcW w:w="1700" w:type="dxa"/>
            <w:vAlign w:val="bottom"/>
          </w:tcPr>
          <w:p>
            <w:pPr>
              <w:ind w:left="60"/>
              <w:spacing w:after="0"/>
              <w:rPr>
                <w:sz w:val="20"/>
                <w:szCs w:val="20"/>
                <w:color w:val="auto"/>
              </w:rPr>
            </w:pPr>
            <w:r>
              <w:rPr>
                <w:rFonts w:ascii="Arial" w:cs="Arial" w:eastAsia="Arial" w:hAnsi="Arial"/>
                <w:sz w:val="14"/>
                <w:szCs w:val="14"/>
                <w:color w:val="auto"/>
              </w:rPr>
              <w:t>SG Hambros House</w:t>
            </w:r>
          </w:p>
        </w:tc>
        <w:tc>
          <w:tcPr>
            <w:tcW w:w="3120" w:type="dxa"/>
            <w:vAlign w:val="bottom"/>
            <w:gridSpan w:val="2"/>
          </w:tcPr>
          <w:p>
            <w:pPr>
              <w:ind w:left="40"/>
              <w:spacing w:after="0"/>
              <w:rPr>
                <w:sz w:val="20"/>
                <w:szCs w:val="20"/>
                <w:color w:val="auto"/>
              </w:rPr>
            </w:pPr>
            <w:r>
              <w:rPr>
                <w:rFonts w:ascii="Arial" w:cs="Arial" w:eastAsia="Arial" w:hAnsi="Arial"/>
                <w:sz w:val="14"/>
                <w:szCs w:val="14"/>
                <w:color w:val="auto"/>
              </w:rPr>
              <w:t>Investment holding company 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18 Esplanade</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St Helier</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JE4 8RT</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Jersey</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Korea</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142 Taeheran-ro</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Yuhan Hoesa</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Gangnam-gu,</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18th Floor (Yeoksam-dong,</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Capital Tower)</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Seoul</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Republic of Korea</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CRO Malaysia SDN. BHD.</w:t>
            </w:r>
          </w:p>
        </w:tc>
        <w:tc>
          <w:tcPr>
            <w:tcW w:w="1700" w:type="dxa"/>
            <w:vAlign w:val="bottom"/>
          </w:tcPr>
          <w:p>
            <w:pPr>
              <w:ind w:left="60"/>
              <w:spacing w:after="0"/>
              <w:rPr>
                <w:sz w:val="20"/>
                <w:szCs w:val="20"/>
                <w:color w:val="auto"/>
              </w:rPr>
            </w:pPr>
            <w:r>
              <w:rPr>
                <w:rFonts w:ascii="Arial" w:cs="Arial" w:eastAsia="Arial" w:hAnsi="Arial"/>
                <w:sz w:val="14"/>
                <w:szCs w:val="14"/>
                <w:color w:val="auto"/>
              </w:rPr>
              <w:t>Level 11,</w:t>
            </w:r>
          </w:p>
        </w:tc>
        <w:tc>
          <w:tcPr>
            <w:tcW w:w="1620" w:type="dxa"/>
            <w:vAlign w:val="bottom"/>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1 Sentral,</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Jalan Travers,</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Kuala Lumpur Sentral,</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50470 Kuala Lumpur,</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Malaysia</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332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México,</w:t>
            </w:r>
          </w:p>
        </w:tc>
        <w:tc>
          <w:tcPr>
            <w:tcW w:w="3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95"/>
              </w:rPr>
              <w:t>Av. Barranca del Muerto 329 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 de C.V.</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3rd Floor,</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Col. San Jose Insugentes,</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03900 Mexico D.F.</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DOCS Insourcing B.V.</w:t>
            </w:r>
          </w:p>
        </w:tc>
        <w:tc>
          <w:tcPr>
            <w:tcW w:w="1700" w:type="dxa"/>
            <w:vAlign w:val="bottom"/>
          </w:tcPr>
          <w:p>
            <w:pPr>
              <w:ind w:left="60"/>
              <w:spacing w:after="0"/>
              <w:rPr>
                <w:sz w:val="20"/>
                <w:szCs w:val="20"/>
                <w:color w:val="auto"/>
              </w:rPr>
            </w:pPr>
            <w:r>
              <w:rPr>
                <w:rFonts w:ascii="Arial" w:cs="Arial" w:eastAsia="Arial" w:hAnsi="Arial"/>
                <w:sz w:val="14"/>
                <w:szCs w:val="14"/>
                <w:color w:val="auto"/>
              </w:rPr>
              <w:t>Boeing Avenue 62-68,</w:t>
            </w:r>
          </w:p>
        </w:tc>
        <w:tc>
          <w:tcPr>
            <w:tcW w:w="1620" w:type="dxa"/>
            <w:vAlign w:val="bottom"/>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1119PE Schiphol-Rijk,</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39"/>
          </w:cols>
          <w:pgMar w:left="220" w:top="1164" w:right="1440" w:bottom="1440" w:gutter="0" w:footer="0" w:header="0"/>
        </w:sectPr>
      </w:pP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1"/>
          <w:szCs w:val="11"/>
          <w:color w:val="auto"/>
        </w:rPr>
        <w:t>112</w:t>
      </w:r>
    </w:p>
    <w:p>
      <w:pPr>
        <w:sectPr>
          <w:pgSz w:w="11900" w:h="16838" w:orient="portrait"/>
          <w:cols w:equalWidth="0" w:num="1">
            <w:col w:w="10239"/>
          </w:cols>
          <w:pgMar w:left="220" w:top="1164" w:right="1440"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2"/>
              </w:rPr>
              <w:t>Nature of business</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Group</w:t>
            </w:r>
          </w:p>
        </w:tc>
      </w:tr>
      <w:tr>
        <w:trPr>
          <w:trHeight w:val="201"/>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B.V.</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Boeing Avenue 62-68,</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1119PE Schiphol-Rijk,</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Netherlands</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Contracting Solutions Holdings</w:t>
            </w:r>
          </w:p>
        </w:tc>
        <w:tc>
          <w:tcPr>
            <w:tcW w:w="1900" w:type="dxa"/>
            <w:vAlign w:val="bottom"/>
          </w:tcPr>
          <w:p>
            <w:pPr>
              <w:ind w:left="20"/>
              <w:spacing w:after="0"/>
              <w:rPr>
                <w:sz w:val="20"/>
                <w:szCs w:val="20"/>
                <w:color w:val="auto"/>
              </w:rPr>
            </w:pPr>
            <w:r>
              <w:rPr>
                <w:rFonts w:ascii="Arial" w:cs="Arial" w:eastAsia="Arial" w:hAnsi="Arial"/>
                <w:sz w:val="14"/>
                <w:szCs w:val="14"/>
                <w:color w:val="auto"/>
              </w:rPr>
              <w:t>Boeing Avenue 62-68</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ind w:left="20"/>
              <w:spacing w:after="0"/>
              <w:rPr>
                <w:sz w:val="20"/>
                <w:szCs w:val="20"/>
                <w:color w:val="auto"/>
              </w:rPr>
            </w:pPr>
            <w:r>
              <w:rPr>
                <w:rFonts w:ascii="Arial" w:cs="Arial" w:eastAsia="Arial" w:hAnsi="Arial"/>
                <w:sz w:val="14"/>
                <w:szCs w:val="14"/>
                <w:color w:val="auto"/>
              </w:rPr>
              <w:t>B.V.</w:t>
            </w:r>
          </w:p>
        </w:tc>
        <w:tc>
          <w:tcPr>
            <w:tcW w:w="1900" w:type="dxa"/>
            <w:vAlign w:val="bottom"/>
          </w:tcPr>
          <w:p>
            <w:pPr>
              <w:ind w:left="20"/>
              <w:spacing w:after="0"/>
              <w:rPr>
                <w:sz w:val="20"/>
                <w:szCs w:val="20"/>
                <w:color w:val="auto"/>
              </w:rPr>
            </w:pPr>
            <w:r>
              <w:rPr>
                <w:rFonts w:ascii="Arial" w:cs="Arial" w:eastAsia="Arial" w:hAnsi="Arial"/>
                <w:sz w:val="14"/>
                <w:szCs w:val="14"/>
                <w:color w:val="auto"/>
              </w:rPr>
              <w:t>1119PE Schiphol-Rijk</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The Netherlands</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ICON Clinical Research (New Zealand)</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Plaza Level,</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 Shortland Street,</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Auckland,</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Zealand 1010</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Clinical Research Peru S.A.</w:t>
            </w:r>
          </w:p>
        </w:tc>
        <w:tc>
          <w:tcPr>
            <w:tcW w:w="1900" w:type="dxa"/>
            <w:vAlign w:val="bottom"/>
          </w:tcPr>
          <w:p>
            <w:pPr>
              <w:ind w:left="20"/>
              <w:spacing w:after="0"/>
              <w:rPr>
                <w:sz w:val="20"/>
                <w:szCs w:val="20"/>
                <w:color w:val="auto"/>
              </w:rPr>
            </w:pPr>
            <w:r>
              <w:rPr>
                <w:rFonts w:ascii="Arial" w:cs="Arial" w:eastAsia="Arial" w:hAnsi="Arial"/>
                <w:sz w:val="14"/>
                <w:szCs w:val="14"/>
                <w:color w:val="auto"/>
                <w:w w:val="91"/>
              </w:rPr>
              <w:t>Av. Paseo de la Republica 5895,</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Oficina 606,</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Miraflores,</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Lima 18,</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Peru</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Services</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24th Floor Salcedo Towers,</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Philippines, Inc.</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169 H.V. Dela Costa Street,</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Salcedo Village,</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Makati City,</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Philippines 1227</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DOCS International Poland Sp. z o.o.</w:t>
            </w:r>
          </w:p>
        </w:tc>
        <w:tc>
          <w:tcPr>
            <w:tcW w:w="1900" w:type="dxa"/>
            <w:vAlign w:val="bottom"/>
          </w:tcPr>
          <w:p>
            <w:pPr>
              <w:ind w:left="20"/>
              <w:spacing w:after="0"/>
              <w:rPr>
                <w:sz w:val="20"/>
                <w:szCs w:val="20"/>
                <w:color w:val="auto"/>
              </w:rPr>
            </w:pPr>
            <w:r>
              <w:rPr>
                <w:rFonts w:ascii="Arial" w:cs="Arial" w:eastAsia="Arial" w:hAnsi="Arial"/>
                <w:sz w:val="14"/>
                <w:szCs w:val="14"/>
                <w:color w:val="auto"/>
              </w:rPr>
              <w:t>Ul. Grojecka 5,</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02-019 Warsaw,</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Poland</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Sp. z o.o.</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 Jerozolimskie 56C,</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00-803,</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Warsaw,</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Poland</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Clinical Research S.R.L.</w:t>
            </w:r>
          </w:p>
        </w:tc>
        <w:tc>
          <w:tcPr>
            <w:tcW w:w="1900" w:type="dxa"/>
            <w:vAlign w:val="bottom"/>
          </w:tcPr>
          <w:p>
            <w:pPr>
              <w:ind w:left="20"/>
              <w:spacing w:after="0"/>
              <w:rPr>
                <w:sz w:val="20"/>
                <w:szCs w:val="20"/>
                <w:color w:val="auto"/>
              </w:rPr>
            </w:pPr>
            <w:r>
              <w:rPr>
                <w:rFonts w:ascii="Arial" w:cs="Arial" w:eastAsia="Arial" w:hAnsi="Arial"/>
                <w:sz w:val="14"/>
                <w:szCs w:val="14"/>
                <w:color w:val="auto"/>
              </w:rPr>
              <w:t>Calea Floreasca,</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Nr 133-137, Et. 3,</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Bucuruesti,</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Sector 1,</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Romania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(Rus) LLC</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24D Smolnaya Street,</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Moscow, 125445,</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Russian Federation</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6"/>
              </w:rPr>
              <w:t>ICON Clinical Research d.o.o. Beograd</w:t>
            </w:r>
          </w:p>
        </w:tc>
        <w:tc>
          <w:tcPr>
            <w:tcW w:w="1900" w:type="dxa"/>
            <w:vAlign w:val="bottom"/>
          </w:tcPr>
          <w:p>
            <w:pPr>
              <w:ind w:left="20"/>
              <w:spacing w:after="0"/>
              <w:rPr>
                <w:sz w:val="20"/>
                <w:szCs w:val="20"/>
                <w:color w:val="auto"/>
              </w:rPr>
            </w:pPr>
            <w:r>
              <w:rPr>
                <w:rFonts w:ascii="Arial" w:cs="Arial" w:eastAsia="Arial" w:hAnsi="Arial"/>
                <w:sz w:val="14"/>
                <w:szCs w:val="14"/>
                <w:color w:val="auto"/>
              </w:rPr>
              <w:t>4th Floor,</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Bulevar Zorana Djindjica 64a,</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11070 Belgrade,</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Serbia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(Pte) Limited</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 Raffles Place #24-03,</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Clifford Centre,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1"/>
        </w:trPr>
        <w:tc>
          <w:tcPr>
            <w:tcW w:w="24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Singapore 048621</w:t>
            </w:r>
          </w:p>
        </w:tc>
        <w:tc>
          <w:tcPr>
            <w:tcW w:w="1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6"/>
              </w:rPr>
              <w:t>ICON Clinical Research Slovakia, s.r.o.</w:t>
            </w:r>
          </w:p>
        </w:tc>
        <w:tc>
          <w:tcPr>
            <w:tcW w:w="1900" w:type="dxa"/>
            <w:vAlign w:val="bottom"/>
          </w:tcPr>
          <w:p>
            <w:pPr>
              <w:ind w:left="20"/>
              <w:spacing w:after="0" w:line="161" w:lineRule="exact"/>
              <w:rPr>
                <w:sz w:val="20"/>
                <w:szCs w:val="20"/>
                <w:color w:val="auto"/>
              </w:rPr>
            </w:pPr>
            <w:r>
              <w:rPr>
                <w:rFonts w:ascii="Arial" w:cs="Arial" w:eastAsia="Arial" w:hAnsi="Arial"/>
                <w:sz w:val="14"/>
                <w:szCs w:val="14"/>
                <w:color w:val="auto"/>
              </w:rPr>
              <w:t>Suché m</w:t>
            </w:r>
            <w:r>
              <w:rPr>
                <w:rFonts w:ascii="MS PGothic" w:cs="MS PGothic" w:eastAsia="MS PGothic" w:hAnsi="MS PGothic"/>
                <w:sz w:val="14"/>
                <w:szCs w:val="14"/>
                <w:color w:val="auto"/>
              </w:rPr>
              <w:t>☒</w:t>
            </w:r>
            <w:r>
              <w:rPr>
                <w:rFonts w:ascii="Arial" w:cs="Arial" w:eastAsia="Arial" w:hAnsi="Arial"/>
                <w:sz w:val="14"/>
                <w:szCs w:val="14"/>
                <w:color w:val="auto"/>
              </w:rPr>
              <w:t>to 1,</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811 03 Bratislava,</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Slovak Republic</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50"/>
        </w:trPr>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113</w:t>
            </w:r>
          </w:p>
        </w:tc>
      </w:tr>
    </w:tbl>
    <w:p>
      <w:pPr>
        <w:sectPr>
          <w:pgSz w:w="11900" w:h="16838" w:orient="portrait"/>
          <w:cols w:equalWidth="0" w:num="1">
            <w:col w:w="10239"/>
          </w:cols>
          <w:pgMar w:left="220" w:top="1164" w:right="1440"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Nature of</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5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business</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Group</w:t>
            </w:r>
          </w:p>
        </w:tc>
      </w:tr>
      <w:tr>
        <w:trPr>
          <w:trHeight w:val="20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España, S.L.</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Calle Josep Pla,</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Numero 2, Torre Diagonal Mar,</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Piso 11, Modulo 1,</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Barcelona,</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0"/>
        </w:trPr>
        <w:tc>
          <w:tcPr>
            <w:tcW w:w="254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Spain</w:t>
            </w:r>
          </w:p>
        </w:tc>
        <w:tc>
          <w:tcPr>
            <w:tcW w:w="1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360"/>
        </w:trPr>
        <w:tc>
          <w:tcPr>
            <w:tcW w:w="25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DOCS International Sweden AB</w:t>
            </w:r>
          </w:p>
        </w:tc>
        <w:tc>
          <w:tcPr>
            <w:tcW w:w="1860" w:type="dxa"/>
            <w:vAlign w:val="bottom"/>
          </w:tcPr>
          <w:p>
            <w:pPr>
              <w:ind w:left="20"/>
              <w:spacing w:after="0"/>
              <w:rPr>
                <w:sz w:val="20"/>
                <w:szCs w:val="20"/>
                <w:color w:val="auto"/>
              </w:rPr>
            </w:pPr>
            <w:r>
              <w:rPr>
                <w:rFonts w:ascii="Arial" w:cs="Arial" w:eastAsia="Arial" w:hAnsi="Arial"/>
                <w:sz w:val="14"/>
                <w:szCs w:val="14"/>
                <w:color w:val="auto"/>
              </w:rPr>
              <w:t>Building B, Floor 10</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Klarabergsviadukten 90</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111 64 Stockholm</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Sweden</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1"/>
        </w:trPr>
        <w:tc>
          <w:tcPr>
            <w:tcW w:w="2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Switzerland GmbH</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 Experfina AG</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Picassoplatz 8</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4052 Basel</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1"/>
        </w:trPr>
        <w:tc>
          <w:tcPr>
            <w:tcW w:w="25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1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ICON Clinical Research (Switzerland)</w:t>
            </w:r>
          </w:p>
        </w:tc>
        <w:tc>
          <w:tcPr>
            <w:tcW w:w="1860" w:type="dxa"/>
            <w:vAlign w:val="bottom"/>
          </w:tcPr>
          <w:p>
            <w:pPr>
              <w:ind w:left="20"/>
              <w:spacing w:after="0"/>
              <w:rPr>
                <w:sz w:val="20"/>
                <w:szCs w:val="20"/>
                <w:color w:val="auto"/>
              </w:rPr>
            </w:pPr>
            <w:r>
              <w:rPr>
                <w:rFonts w:ascii="Arial" w:cs="Arial" w:eastAsia="Arial" w:hAnsi="Arial"/>
                <w:sz w:val="14"/>
                <w:szCs w:val="14"/>
                <w:color w:val="auto"/>
              </w:rPr>
              <w:t>c/o Experfina AG</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GmbH</w:t>
            </w:r>
          </w:p>
        </w:tc>
        <w:tc>
          <w:tcPr>
            <w:tcW w:w="1860" w:type="dxa"/>
            <w:vAlign w:val="bottom"/>
          </w:tcPr>
          <w:p>
            <w:pPr>
              <w:ind w:left="20"/>
              <w:spacing w:after="0"/>
              <w:rPr>
                <w:sz w:val="20"/>
                <w:szCs w:val="20"/>
                <w:color w:val="auto"/>
              </w:rPr>
            </w:pPr>
            <w:r>
              <w:rPr>
                <w:rFonts w:ascii="Arial" w:cs="Arial" w:eastAsia="Arial" w:hAnsi="Arial"/>
                <w:sz w:val="14"/>
                <w:szCs w:val="14"/>
                <w:color w:val="auto"/>
              </w:rPr>
              <w:t>Picassoplatz 8</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4052 Basel</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Taiwan Limited</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2F, No. 96, Sec. 1,</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Chien Kou North Road,</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Taipei 10495,</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0"/>
        </w:trPr>
        <w:tc>
          <w:tcPr>
            <w:tcW w:w="254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Taiwan, R.O.C.</w:t>
            </w:r>
          </w:p>
        </w:tc>
        <w:tc>
          <w:tcPr>
            <w:tcW w:w="1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1"/>
        </w:trPr>
        <w:tc>
          <w:tcPr>
            <w:tcW w:w="25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ICON Clinical Research (Thailand)</w:t>
            </w:r>
          </w:p>
        </w:tc>
        <w:tc>
          <w:tcPr>
            <w:tcW w:w="1860" w:type="dxa"/>
            <w:vAlign w:val="bottom"/>
          </w:tcPr>
          <w:p>
            <w:pPr>
              <w:ind w:left="20"/>
              <w:spacing w:after="0"/>
              <w:rPr>
                <w:sz w:val="20"/>
                <w:szCs w:val="20"/>
                <w:color w:val="auto"/>
              </w:rPr>
            </w:pPr>
            <w:r>
              <w:rPr>
                <w:rFonts w:ascii="Arial" w:cs="Arial" w:eastAsia="Arial" w:hAnsi="Arial"/>
                <w:sz w:val="14"/>
                <w:szCs w:val="14"/>
                <w:color w:val="auto"/>
              </w:rPr>
              <w:t>1 Empire Tower,</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Limited</w:t>
            </w:r>
          </w:p>
        </w:tc>
        <w:tc>
          <w:tcPr>
            <w:tcW w:w="1860" w:type="dxa"/>
            <w:vAlign w:val="bottom"/>
          </w:tcPr>
          <w:p>
            <w:pPr>
              <w:ind w:left="20"/>
              <w:spacing w:after="0"/>
              <w:rPr>
                <w:sz w:val="20"/>
                <w:szCs w:val="20"/>
                <w:color w:val="auto"/>
              </w:rPr>
            </w:pPr>
            <w:r>
              <w:rPr>
                <w:rFonts w:ascii="Arial" w:cs="Arial" w:eastAsia="Arial" w:hAnsi="Arial"/>
                <w:sz w:val="14"/>
                <w:szCs w:val="14"/>
                <w:color w:val="auto"/>
              </w:rPr>
              <w:t>24th Floor, Unit 2408,</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South Sathorn Road,</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Yannawa, Sathorn,</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Bangkok, 10120</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Thailand</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1"/>
        </w:trPr>
        <w:tc>
          <w:tcPr>
            <w:tcW w:w="2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ICON Ankara Klinik Arastirma Dis Ticaret</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Sogutozu mah,</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Anonim Sirketi</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Eskisehir Yolu Cad.2176.,</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SK No.9,</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Posta Kodu: 06510,</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Cankaya Ankara,</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1"/>
        </w:trPr>
        <w:tc>
          <w:tcPr>
            <w:tcW w:w="25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Turkey</w:t>
            </w:r>
          </w:p>
        </w:tc>
        <w:tc>
          <w:tcPr>
            <w:tcW w:w="1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DOCS International UK Limited</w:t>
            </w:r>
          </w:p>
        </w:tc>
        <w:tc>
          <w:tcPr>
            <w:tcW w:w="1860" w:type="dxa"/>
            <w:vAlign w:val="bottom"/>
          </w:tcPr>
          <w:p>
            <w:pPr>
              <w:ind w:left="20"/>
              <w:spacing w:after="0"/>
              <w:rPr>
                <w:sz w:val="20"/>
                <w:szCs w:val="20"/>
                <w:color w:val="auto"/>
              </w:rPr>
            </w:pPr>
            <w:r>
              <w:rPr>
                <w:rFonts w:ascii="Arial" w:cs="Arial" w:eastAsia="Arial" w:hAnsi="Arial"/>
                <w:sz w:val="14"/>
                <w:szCs w:val="14"/>
                <w:color w:val="auto"/>
              </w:rPr>
              <w:t>Concept House,</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6 Stoneycroft Rise,</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Chandlers Ford,</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Eastleigh,</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Hampshire,</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SO53 3LD</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Development Solutions Limited</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Concept House,</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 Stoneycroft Rise,</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Chandlers Ford,</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Eastleigh,</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Hampshire,</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SO53 3LD</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1"/>
        </w:trPr>
        <w:tc>
          <w:tcPr>
            <w:tcW w:w="25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1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DOCS Ukraine LLC</w:t>
            </w:r>
          </w:p>
        </w:tc>
        <w:tc>
          <w:tcPr>
            <w:tcW w:w="1860" w:type="dxa"/>
            <w:vAlign w:val="bottom"/>
          </w:tcPr>
          <w:p>
            <w:pPr>
              <w:ind w:left="20"/>
              <w:spacing w:after="0"/>
              <w:rPr>
                <w:sz w:val="20"/>
                <w:szCs w:val="20"/>
                <w:color w:val="auto"/>
              </w:rPr>
            </w:pPr>
            <w:r>
              <w:rPr>
                <w:rFonts w:ascii="Arial" w:cs="Arial" w:eastAsia="Arial" w:hAnsi="Arial"/>
                <w:sz w:val="14"/>
                <w:szCs w:val="14"/>
                <w:color w:val="auto"/>
              </w:rPr>
              <w:t>4th Floor,</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St. Poleva 24,</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Kiev,</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Ukraine, 03056</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81"/>
        </w:trPr>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ind w:left="140"/>
              <w:spacing w:after="0"/>
              <w:rPr>
                <w:sz w:val="20"/>
                <w:szCs w:val="20"/>
                <w:color w:val="auto"/>
              </w:rPr>
            </w:pPr>
            <w:r>
              <w:rPr>
                <w:rFonts w:ascii="Arial" w:cs="Arial" w:eastAsia="Arial" w:hAnsi="Arial"/>
                <w:sz w:val="14"/>
                <w:szCs w:val="14"/>
                <w:color w:val="auto"/>
              </w:rPr>
              <w:t>114</w:t>
            </w:r>
          </w:p>
        </w:tc>
      </w:tr>
    </w:tbl>
    <w:p>
      <w:pPr>
        <w:sectPr>
          <w:pgSz w:w="11900" w:h="16838" w:orient="portrait"/>
          <w:cols w:equalWidth="0" w:num="1">
            <w:col w:w="10239"/>
          </w:cols>
          <w:pgMar w:left="220" w:top="1164" w:right="1440"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w w:val="95"/>
              </w:rPr>
              <w:t>Nature of business</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Group</w:t>
            </w:r>
          </w:p>
        </w:tc>
      </w:tr>
      <w:tr>
        <w:trPr>
          <w:trHeight w:val="20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4th Floor,</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Poleva 24,</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Kiev,</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Ukraine, 03056</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1"/>
        </w:trPr>
        <w:tc>
          <w:tcPr>
            <w:tcW w:w="23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w w:val="96"/>
              </w:rPr>
              <w:t>ICON Clinical Research (U.K.) Limited</w:t>
            </w:r>
          </w:p>
        </w:tc>
        <w:tc>
          <w:tcPr>
            <w:tcW w:w="1720" w:type="dxa"/>
            <w:vAlign w:val="bottom"/>
          </w:tcPr>
          <w:p>
            <w:pPr>
              <w:ind w:left="20"/>
              <w:spacing w:after="0"/>
              <w:rPr>
                <w:sz w:val="20"/>
                <w:szCs w:val="20"/>
                <w:color w:val="auto"/>
              </w:rPr>
            </w:pPr>
            <w:r>
              <w:rPr>
                <w:rFonts w:ascii="Arial" w:cs="Arial" w:eastAsia="Arial" w:hAnsi="Arial"/>
                <w:sz w:val="14"/>
                <w:szCs w:val="14"/>
                <w:color w:val="auto"/>
              </w:rPr>
              <w:t>Concept House,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6 Stoneycroft Rise</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Chandlers Ford, Eastleigh,</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Hampshire, SO53 3LD</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Mapi Life Sciences UK Limited</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Concept House,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 Stoneycroft Rise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Chandlers Ford,</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Eastleigh,</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Hampshire,</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SO53 3LD</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1"/>
        </w:trPr>
        <w:tc>
          <w:tcPr>
            <w:tcW w:w="23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14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ICON Early Phase Services, LLC</w:t>
            </w:r>
          </w:p>
        </w:tc>
        <w:tc>
          <w:tcPr>
            <w:tcW w:w="1720" w:type="dxa"/>
            <w:vAlign w:val="bottom"/>
          </w:tcPr>
          <w:p>
            <w:pPr>
              <w:ind w:left="20"/>
              <w:spacing w:after="0"/>
              <w:rPr>
                <w:sz w:val="20"/>
                <w:szCs w:val="20"/>
                <w:color w:val="auto"/>
              </w:rPr>
            </w:pPr>
            <w:r>
              <w:rPr>
                <w:rFonts w:ascii="Arial" w:cs="Arial" w:eastAsia="Arial" w:hAnsi="Arial"/>
                <w:sz w:val="14"/>
                <w:szCs w:val="14"/>
                <w:color w:val="auto"/>
              </w:rPr>
              <w:t>8307 Gault Lane,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San Antonio,</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TX 78209-1015</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1"/>
        </w:trPr>
        <w:tc>
          <w:tcPr>
            <w:tcW w:w="2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Beacon Bioscience, Inc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2100 Pennbrook Parkway,</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Wales,</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 19454</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1"/>
        </w:trPr>
        <w:tc>
          <w:tcPr>
            <w:tcW w:w="23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C4 MedSolutions, LLC</w:t>
            </w:r>
          </w:p>
        </w:tc>
        <w:tc>
          <w:tcPr>
            <w:tcW w:w="1720" w:type="dxa"/>
            <w:vAlign w:val="bottom"/>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CHC Group,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360"/>
        </w:trPr>
        <w:tc>
          <w:tcPr>
            <w:tcW w:w="23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Global Pharmaceutical Strategies</w:t>
            </w:r>
          </w:p>
        </w:tc>
        <w:tc>
          <w:tcPr>
            <w:tcW w:w="1720" w:type="dxa"/>
            <w:vAlign w:val="bottom"/>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ind w:left="20"/>
              <w:spacing w:after="0"/>
              <w:rPr>
                <w:sz w:val="20"/>
                <w:szCs w:val="20"/>
                <w:color w:val="auto"/>
              </w:rPr>
            </w:pPr>
            <w:r>
              <w:rPr>
                <w:rFonts w:ascii="Arial" w:cs="Arial" w:eastAsia="Arial" w:hAnsi="Arial"/>
                <w:sz w:val="14"/>
                <w:szCs w:val="14"/>
                <w:color w:val="auto"/>
              </w:rPr>
              <w:t>Group, LLC</w:t>
            </w:r>
          </w:p>
        </w:tc>
        <w:tc>
          <w:tcPr>
            <w:tcW w:w="1720" w:type="dxa"/>
            <w:vAlign w:val="bottom"/>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360"/>
        </w:trPr>
        <w:tc>
          <w:tcPr>
            <w:tcW w:w="23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ICON Laboratory Services, Inc.</w:t>
            </w:r>
          </w:p>
        </w:tc>
        <w:tc>
          <w:tcPr>
            <w:tcW w:w="1720" w:type="dxa"/>
            <w:vAlign w:val="bottom"/>
          </w:tcPr>
          <w:p>
            <w:pPr>
              <w:ind w:left="20"/>
              <w:spacing w:after="0"/>
              <w:rPr>
                <w:sz w:val="20"/>
                <w:szCs w:val="20"/>
                <w:color w:val="auto"/>
              </w:rPr>
            </w:pPr>
            <w:r>
              <w:rPr>
                <w:rFonts w:ascii="Arial" w:cs="Arial" w:eastAsia="Arial" w:hAnsi="Arial"/>
                <w:sz w:val="14"/>
                <w:szCs w:val="14"/>
                <w:color w:val="auto"/>
              </w:rPr>
              <w:t>123 Smith Street,</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Farmingdale,</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NY 11735</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1"/>
        </w:trPr>
        <w:tc>
          <w:tcPr>
            <w:tcW w:w="2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US Holdings Inc.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2100 Pennbrook Parkway,</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Wales,</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 19454</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1"/>
        </w:trPr>
        <w:tc>
          <w:tcPr>
            <w:tcW w:w="23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359"/>
        </w:trPr>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115</w:t>
            </w:r>
          </w:p>
        </w:tc>
      </w:tr>
    </w:tbl>
    <w:p>
      <w:pPr>
        <w:sectPr>
          <w:pgSz w:w="11900" w:h="16838" w:orient="portrait"/>
          <w:cols w:equalWidth="0" w:num="1">
            <w:col w:w="10239"/>
          </w:cols>
          <w:pgMar w:left="220" w:top="1164" w:right="1440"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Registered Office</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Nature of</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4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business</w:t>
            </w:r>
          </w:p>
        </w:tc>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Group</w:t>
            </w: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Mapi USA, Inc.</w:t>
            </w:r>
          </w:p>
        </w:tc>
        <w:tc>
          <w:tcPr>
            <w:tcW w:w="2120" w:type="dxa"/>
            <w:vAlign w:val="bottom"/>
          </w:tcPr>
          <w:p>
            <w:pPr>
              <w:ind w:left="80"/>
              <w:spacing w:after="0"/>
              <w:rPr>
                <w:sz w:val="20"/>
                <w:szCs w:val="20"/>
                <w:color w:val="auto"/>
              </w:rPr>
            </w:pPr>
            <w:r>
              <w:rPr>
                <w:rFonts w:ascii="Arial" w:cs="Arial" w:eastAsia="Arial" w:hAnsi="Arial"/>
                <w:sz w:val="14"/>
                <w:szCs w:val="14"/>
                <w:color w:val="auto"/>
                <w:w w:val="96"/>
              </w:rPr>
              <w:t>2343 Alexandria Drive, 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Lexington, Kentucky 40504</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5"/>
                <w:szCs w:val="15"/>
                <w:color w:val="auto"/>
              </w:rPr>
            </w:pPr>
          </w:p>
        </w:tc>
      </w:tr>
      <w:tr>
        <w:trPr>
          <w:trHeight w:val="21"/>
        </w:trPr>
        <w:tc>
          <w:tcPr>
            <w:tcW w:w="2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MMMM Group,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81"/>
        </w:trPr>
        <w:tc>
          <w:tcPr>
            <w:tcW w:w="246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Borders>
              <w:bottom w:val="single" w:sz="8" w:color="CCEEFF"/>
            </w:tcBorders>
            <w:shd w:val="clear" w:color="auto" w:fill="CCEEFF"/>
          </w:tcPr>
          <w:p>
            <w:pPr>
              <w:spacing w:after="0"/>
              <w:rPr>
                <w:sz w:val="15"/>
                <w:szCs w:val="15"/>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MMMM Consulting, LLC</w:t>
            </w:r>
          </w:p>
        </w:tc>
        <w:tc>
          <w:tcPr>
            <w:tcW w:w="2120" w:type="dxa"/>
            <w:vAlign w:val="bottom"/>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5"/>
                <w:szCs w:val="15"/>
                <w:color w:val="auto"/>
              </w:rPr>
            </w:pPr>
          </w:p>
        </w:tc>
      </w:tr>
      <w:tr>
        <w:trPr>
          <w:trHeight w:val="21"/>
        </w:trPr>
        <w:tc>
          <w:tcPr>
            <w:tcW w:w="2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PriceSpective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2100 Pennbrook Parkway,</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North Wales,</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 19454</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shd w:val="clear" w:color="auto" w:fill="CCEEFF"/>
          </w:tcPr>
          <w:p>
            <w:pPr>
              <w:spacing w:after="0"/>
              <w:rPr>
                <w:sz w:val="14"/>
                <w:szCs w:val="14"/>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USA</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91"/>
        </w:trPr>
        <w:tc>
          <w:tcPr>
            <w:tcW w:w="24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PubsHub LLC</w:t>
            </w:r>
          </w:p>
        </w:tc>
        <w:tc>
          <w:tcPr>
            <w:tcW w:w="2120" w:type="dxa"/>
            <w:vAlign w:val="bottom"/>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5"/>
                <w:szCs w:val="15"/>
                <w:color w:val="auto"/>
              </w:rPr>
            </w:pPr>
          </w:p>
        </w:tc>
      </w:tr>
      <w:tr>
        <w:trPr>
          <w:trHeight w:val="21"/>
        </w:trPr>
        <w:tc>
          <w:tcPr>
            <w:tcW w:w="2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101 West University Avenue,</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Christie Clinic,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Champaign,</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IL 61820</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USA</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shd w:val="clear" w:color="auto" w:fill="CCEEFF"/>
          </w:tcPr>
          <w:p>
            <w:pPr>
              <w:spacing w:after="0"/>
              <w:rPr>
                <w:sz w:val="15"/>
                <w:szCs w:val="15"/>
                <w:color w:val="auto"/>
              </w:rPr>
            </w:pPr>
          </w:p>
        </w:tc>
      </w:tr>
      <w:tr>
        <w:trPr>
          <w:trHeight w:val="191"/>
        </w:trPr>
        <w:tc>
          <w:tcPr>
            <w:tcW w:w="24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DOCS Global, Inc.</w:t>
            </w:r>
          </w:p>
        </w:tc>
        <w:tc>
          <w:tcPr>
            <w:tcW w:w="2120" w:type="dxa"/>
            <w:vAlign w:val="bottom"/>
          </w:tcPr>
          <w:p>
            <w:pPr>
              <w:ind w:left="80"/>
              <w:spacing w:after="0"/>
              <w:rPr>
                <w:sz w:val="20"/>
                <w:szCs w:val="20"/>
                <w:color w:val="auto"/>
              </w:rPr>
            </w:pPr>
            <w:r>
              <w:rPr>
                <w:rFonts w:ascii="Arial" w:cs="Arial" w:eastAsia="Arial" w:hAnsi="Arial"/>
                <w:sz w:val="14"/>
                <w:szCs w:val="14"/>
                <w:color w:val="auto"/>
              </w:rPr>
              <w:t>2100 Pennbrook Parkway,</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North Wales,</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PA 19454</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USA</w:t>
            </w: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1"/>
        </w:trPr>
        <w:tc>
          <w:tcPr>
            <w:tcW w:w="2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Managed Care Strategic Solutions,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81"/>
        </w:trPr>
        <w:tc>
          <w:tcPr>
            <w:tcW w:w="246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Borders>
              <w:bottom w:val="single" w:sz="8" w:color="CCEEFF"/>
            </w:tcBorders>
            <w:shd w:val="clear" w:color="auto" w:fill="CCEEFF"/>
          </w:tcPr>
          <w:p>
            <w:pPr>
              <w:spacing w:after="0"/>
              <w:rPr>
                <w:sz w:val="15"/>
                <w:szCs w:val="15"/>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PMG Research of Charlotte, LLC</w:t>
            </w:r>
          </w:p>
        </w:tc>
        <w:tc>
          <w:tcPr>
            <w:tcW w:w="2120" w:type="dxa"/>
            <w:vAlign w:val="bottom"/>
          </w:tcPr>
          <w:p>
            <w:pPr>
              <w:ind w:left="80"/>
              <w:spacing w:after="0"/>
              <w:rPr>
                <w:sz w:val="20"/>
                <w:szCs w:val="20"/>
                <w:color w:val="auto"/>
              </w:rPr>
            </w:pPr>
            <w:r>
              <w:rPr>
                <w:rFonts w:ascii="Arial" w:cs="Arial" w:eastAsia="Arial" w:hAnsi="Arial"/>
                <w:sz w:val="14"/>
                <w:szCs w:val="14"/>
                <w:color w:val="auto"/>
              </w:rPr>
              <w:t>1700 Abbey Place,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201,</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Charlotte,</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North Carolina 28209</w:t>
            </w: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USA</w:t>
            </w: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1"/>
        </w:trPr>
        <w:tc>
          <w:tcPr>
            <w:tcW w:w="2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Hickory,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221 13th Ave Place NW</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Suite 201</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Hickory</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shd w:val="clear" w:color="auto" w:fill="CCEEFF"/>
          </w:tcPr>
          <w:p>
            <w:pPr>
              <w:spacing w:after="0"/>
              <w:rPr>
                <w:sz w:val="14"/>
                <w:szCs w:val="14"/>
                <w:color w:val="auto"/>
              </w:rPr>
            </w:pP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North Carolina 28601</w:t>
            </w: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91"/>
        </w:trPr>
        <w:tc>
          <w:tcPr>
            <w:tcW w:w="24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PMG Research of Raleigh, LLC</w:t>
            </w:r>
          </w:p>
        </w:tc>
        <w:tc>
          <w:tcPr>
            <w:tcW w:w="2120" w:type="dxa"/>
            <w:vAlign w:val="bottom"/>
          </w:tcPr>
          <w:p>
            <w:pPr>
              <w:ind w:left="80"/>
              <w:spacing w:after="0"/>
              <w:rPr>
                <w:sz w:val="20"/>
                <w:szCs w:val="20"/>
                <w:color w:val="auto"/>
              </w:rPr>
            </w:pPr>
            <w:r>
              <w:rPr>
                <w:rFonts w:ascii="Arial" w:cs="Arial" w:eastAsia="Arial" w:hAnsi="Arial"/>
                <w:sz w:val="14"/>
                <w:szCs w:val="14"/>
                <w:color w:val="auto"/>
              </w:rPr>
              <w:t>3521 Haworth Drive,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Raleigh,</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North Carolina 27609</w:t>
            </w: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USA</w:t>
            </w: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550"/>
        </w:trPr>
        <w:tc>
          <w:tcPr>
            <w:tcW w:w="2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4"/>
                <w:szCs w:val="14"/>
                <w:color w:val="auto"/>
              </w:rPr>
              <w:t>116</w:t>
            </w:r>
          </w:p>
        </w:tc>
      </w:tr>
    </w:tbl>
    <w:p>
      <w:pPr>
        <w:sectPr>
          <w:pgSz w:w="11900" w:h="16838" w:orient="portrait"/>
          <w:cols w:equalWidth="0" w:num="1">
            <w:col w:w="10239"/>
          </w:cols>
          <w:pgMar w:left="220" w:top="1164" w:right="1440"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w w:val="95"/>
              </w:rPr>
              <w:t>Nature of business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Group</w:t>
            </w:r>
          </w:p>
        </w:tc>
      </w:tr>
      <w:tr>
        <w:trPr>
          <w:trHeight w:val="201"/>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PMG Research of Rocky Mount,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901 N. Winstead Avenue,</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Rocky Mount,</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Carolina 27804</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360"/>
        </w:trPr>
        <w:tc>
          <w:tcPr>
            <w:tcW w:w="23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PMG Research of Salisbury, LLC</w:t>
            </w:r>
          </w:p>
        </w:tc>
        <w:tc>
          <w:tcPr>
            <w:tcW w:w="1720" w:type="dxa"/>
            <w:vAlign w:val="bottom"/>
          </w:tcPr>
          <w:p>
            <w:pPr>
              <w:ind w:left="20"/>
              <w:spacing w:after="0"/>
              <w:rPr>
                <w:sz w:val="20"/>
                <w:szCs w:val="20"/>
                <w:color w:val="auto"/>
              </w:rPr>
            </w:pPr>
            <w:r>
              <w:rPr>
                <w:rFonts w:ascii="Arial" w:cs="Arial" w:eastAsia="Arial" w:hAnsi="Arial"/>
                <w:sz w:val="14"/>
                <w:szCs w:val="14"/>
                <w:color w:val="auto"/>
              </w:rPr>
              <w:t>410 Mocksville Avenue,</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Salisbury,</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North Carolina 28144</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Wilmington,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1907 Tradd Court,</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Wilmington,</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Carolina 28401</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PMG Research of Winston-Salem,</w:t>
            </w:r>
          </w:p>
        </w:tc>
        <w:tc>
          <w:tcPr>
            <w:tcW w:w="1720" w:type="dxa"/>
            <w:vAlign w:val="bottom"/>
          </w:tcPr>
          <w:p>
            <w:pPr>
              <w:ind w:left="20"/>
              <w:spacing w:after="0"/>
              <w:rPr>
                <w:sz w:val="20"/>
                <w:szCs w:val="20"/>
                <w:color w:val="auto"/>
              </w:rPr>
            </w:pPr>
            <w:r>
              <w:rPr>
                <w:rFonts w:ascii="Arial" w:cs="Arial" w:eastAsia="Arial" w:hAnsi="Arial"/>
                <w:sz w:val="14"/>
                <w:szCs w:val="14"/>
                <w:color w:val="auto"/>
              </w:rPr>
              <w:t>1901 S. Hawthorne Road,</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LLC</w:t>
            </w:r>
          </w:p>
        </w:tc>
        <w:tc>
          <w:tcPr>
            <w:tcW w:w="1720" w:type="dxa"/>
            <w:vAlign w:val="bottom"/>
          </w:tcPr>
          <w:p>
            <w:pPr>
              <w:ind w:left="20"/>
              <w:spacing w:after="0"/>
              <w:rPr>
                <w:sz w:val="20"/>
                <w:szCs w:val="20"/>
                <w:color w:val="auto"/>
              </w:rPr>
            </w:pPr>
            <w:r>
              <w:rPr>
                <w:rFonts w:ascii="Arial" w:cs="Arial" w:eastAsia="Arial" w:hAnsi="Arial"/>
                <w:sz w:val="14"/>
                <w:szCs w:val="14"/>
                <w:color w:val="auto"/>
              </w:rPr>
              <w:t>Suite 306,</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Winston-Salem,</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North Carolina 27103</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Inc.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4505 Country Club Rd.,</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110,</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Winston-Salem,</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NC 27104</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w w:val="94"/>
              </w:rPr>
              <w:t>Complete Healthcare Communications</w:t>
            </w:r>
          </w:p>
        </w:tc>
        <w:tc>
          <w:tcPr>
            <w:tcW w:w="1720" w:type="dxa"/>
            <w:vAlign w:val="bottom"/>
          </w:tcPr>
          <w:p>
            <w:pPr>
              <w:ind w:left="20"/>
              <w:spacing w:after="0"/>
              <w:rPr>
                <w:sz w:val="20"/>
                <w:szCs w:val="20"/>
                <w:color w:val="auto"/>
              </w:rPr>
            </w:pPr>
            <w:r>
              <w:rPr>
                <w:rFonts w:ascii="Arial" w:cs="Arial" w:eastAsia="Arial" w:hAnsi="Arial"/>
                <w:sz w:val="14"/>
                <w:szCs w:val="14"/>
                <w:color w:val="auto"/>
              </w:rPr>
              <w:t>19 West College Ave</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LLC</w:t>
            </w:r>
          </w:p>
        </w:tc>
        <w:tc>
          <w:tcPr>
            <w:tcW w:w="1720" w:type="dxa"/>
            <w:vAlign w:val="bottom"/>
          </w:tcPr>
          <w:p>
            <w:pPr>
              <w:ind w:left="20"/>
              <w:spacing w:after="0"/>
              <w:rPr>
                <w:sz w:val="20"/>
                <w:szCs w:val="20"/>
                <w:color w:val="auto"/>
              </w:rPr>
            </w:pPr>
            <w:r>
              <w:rPr>
                <w:rFonts w:ascii="Arial" w:cs="Arial" w:eastAsia="Arial" w:hAnsi="Arial"/>
                <w:sz w:val="14"/>
                <w:szCs w:val="14"/>
                <w:color w:val="auto"/>
              </w:rPr>
              <w:t>Suite 100</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Yardley, PA 19067</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Complete Publication Solutions,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 West College Ave</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100</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81"/>
        </w:trPr>
        <w:tc>
          <w:tcPr>
            <w:tcW w:w="23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Yardley, PA 19067</w:t>
            </w:r>
          </w:p>
        </w:tc>
        <w:tc>
          <w:tcPr>
            <w:tcW w:w="14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PMG Research of Charleston, LLC</w:t>
            </w:r>
          </w:p>
        </w:tc>
        <w:tc>
          <w:tcPr>
            <w:tcW w:w="1720" w:type="dxa"/>
            <w:vAlign w:val="bottom"/>
          </w:tcPr>
          <w:p>
            <w:pPr>
              <w:ind w:left="20"/>
              <w:spacing w:after="0"/>
              <w:rPr>
                <w:sz w:val="20"/>
                <w:szCs w:val="20"/>
                <w:color w:val="auto"/>
              </w:rPr>
            </w:pPr>
            <w:r>
              <w:rPr>
                <w:rFonts w:ascii="Arial" w:cs="Arial" w:eastAsia="Arial" w:hAnsi="Arial"/>
                <w:sz w:val="14"/>
                <w:szCs w:val="14"/>
                <w:color w:val="auto"/>
              </w:rPr>
              <w:t>180 Wingo Way,</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Suite 203,</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Mt. Pleasant,</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South Carolina 29464</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Bristol,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1958 West State Street,</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Bristol,</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Tennessee 37620</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Addplan Inc</w:t>
            </w:r>
          </w:p>
        </w:tc>
        <w:tc>
          <w:tcPr>
            <w:tcW w:w="1720" w:type="dxa"/>
            <w:vAlign w:val="bottom"/>
          </w:tcPr>
          <w:p>
            <w:pPr>
              <w:ind w:left="20"/>
              <w:spacing w:after="0"/>
              <w:rPr>
                <w:sz w:val="20"/>
                <w:szCs w:val="20"/>
                <w:color w:val="auto"/>
              </w:rPr>
            </w:pPr>
            <w:r>
              <w:rPr>
                <w:rFonts w:ascii="Arial" w:cs="Arial" w:eastAsia="Arial" w:hAnsi="Arial"/>
                <w:sz w:val="14"/>
                <w:szCs w:val="14"/>
                <w:color w:val="auto"/>
              </w:rPr>
              <w:t>2100 Pennbrook Parkway,</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North Wales,</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Montgomery County,</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PA 19454</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550"/>
        </w:trPr>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ind w:left="180"/>
              <w:spacing w:after="0"/>
              <w:rPr>
                <w:sz w:val="20"/>
                <w:szCs w:val="20"/>
                <w:color w:val="auto"/>
              </w:rPr>
            </w:pPr>
            <w:r>
              <w:rPr>
                <w:rFonts w:ascii="Arial" w:cs="Arial" w:eastAsia="Arial" w:hAnsi="Arial"/>
                <w:sz w:val="14"/>
                <w:szCs w:val="14"/>
                <w:color w:val="auto"/>
              </w:rPr>
              <w:t>117</w:t>
            </w:r>
          </w:p>
        </w:tc>
      </w:tr>
    </w:tbl>
    <w:p>
      <w:pPr>
        <w:sectPr>
          <w:pgSz w:w="11900" w:h="16838" w:orient="portrait"/>
          <w:cols w:equalWidth="0" w:num="1">
            <w:col w:w="10239"/>
          </w:cols>
          <w:pgMar w:left="220" w:top="1164" w:right="1440"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Registered Office</w:t>
            </w:r>
          </w:p>
        </w:tc>
        <w:tc>
          <w:tcPr>
            <w:tcW w:w="158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w w:val="88"/>
              </w:rPr>
              <w:t>Nature of business</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Group</w:t>
            </w:r>
          </w:p>
        </w:tc>
        <w:tc>
          <w:tcPr>
            <w:tcW w:w="880" w:type="dxa"/>
            <w:vAlign w:val="bottom"/>
            <w:shd w:val="clear" w:color="auto" w:fill="CCEEFF"/>
          </w:tcPr>
          <w:p>
            <w:pPr>
              <w:spacing w:after="0"/>
              <w:rPr>
                <w:sz w:val="15"/>
                <w:szCs w:val="15"/>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Government and Public Health</w:t>
            </w: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1265 Ridge Road,</w:t>
            </w:r>
          </w:p>
        </w:tc>
        <w:tc>
          <w:tcPr>
            <w:tcW w:w="1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Clinical research</w:t>
            </w:r>
          </w:p>
        </w:tc>
        <w:tc>
          <w:tcPr>
            <w:tcW w:w="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CCEEFF"/>
          </w:tcPr>
          <w:p>
            <w:pPr>
              <w:spacing w:after="0"/>
              <w:rPr>
                <w:sz w:val="17"/>
                <w:szCs w:val="17"/>
                <w:color w:val="auto"/>
              </w:rPr>
            </w:pPr>
          </w:p>
        </w:tc>
      </w:tr>
      <w:tr>
        <w:trPr>
          <w:trHeight w:val="16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Solutions, Inc.</w:t>
            </w: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Hinckley,</w:t>
            </w:r>
          </w:p>
        </w:tc>
        <w:tc>
          <w:tcPr>
            <w:tcW w:w="1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services</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2440" w:type="dxa"/>
            <w:vAlign w:val="bottom"/>
            <w:shd w:val="clear" w:color="auto" w:fill="CCEEFF"/>
          </w:tcPr>
          <w:p>
            <w:pPr>
              <w:spacing w:after="0"/>
              <w:rPr>
                <w:sz w:val="14"/>
                <w:szCs w:val="14"/>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OH 44233</w:t>
            </w:r>
          </w:p>
        </w:tc>
        <w:tc>
          <w:tcPr>
            <w:tcW w:w="1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2440" w:type="dxa"/>
            <w:vAlign w:val="bottom"/>
            <w:shd w:val="clear" w:color="auto" w:fill="CCEEFF"/>
          </w:tcPr>
          <w:p>
            <w:pPr>
              <w:spacing w:after="0"/>
              <w:rPr>
                <w:sz w:val="15"/>
                <w:szCs w:val="15"/>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34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majority of which is held directly</w:t>
            </w:r>
          </w:p>
        </w:tc>
        <w:tc>
          <w:tcPr>
            <w:tcW w:w="15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14"/>
                <w:szCs w:val="14"/>
                <w:b w:val="1"/>
                <w:bCs w:val="1"/>
                <w:color w:val="auto"/>
              </w:rPr>
              <w:t>33. Disaggregation of Revenue</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6"/>
        </w:trPr>
        <w:tc>
          <w:tcPr>
            <w:tcW w:w="3940" w:type="dxa"/>
            <w:vAlign w:val="bottom"/>
            <w:gridSpan w:val="2"/>
          </w:tcPr>
          <w:p>
            <w:pPr>
              <w:spacing w:after="0"/>
              <w:rPr>
                <w:sz w:val="20"/>
                <w:szCs w:val="20"/>
                <w:color w:val="auto"/>
              </w:rPr>
            </w:pPr>
            <w:r>
              <w:rPr>
                <w:rFonts w:ascii="Arial" w:cs="Arial" w:eastAsia="Arial" w:hAnsi="Arial"/>
                <w:sz w:val="14"/>
                <w:szCs w:val="14"/>
                <w:color w:val="auto"/>
              </w:rPr>
              <w:t>Revenue disaggregated by customer profile is as follows:</w:t>
            </w: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2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2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24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4"/>
        </w:trPr>
        <w:tc>
          <w:tcPr>
            <w:tcW w:w="24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Top client</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352,335</w:t>
            </w:r>
          </w:p>
        </w:tc>
        <w:tc>
          <w:tcPr>
            <w:tcW w:w="880" w:type="dxa"/>
            <w:vAlign w:val="bottom"/>
          </w:tcPr>
          <w:p>
            <w:pPr>
              <w:jc w:val="right"/>
              <w:spacing w:after="0"/>
              <w:rPr>
                <w:sz w:val="20"/>
                <w:szCs w:val="20"/>
                <w:color w:val="auto"/>
              </w:rPr>
            </w:pPr>
            <w:r>
              <w:rPr>
                <w:rFonts w:ascii="Arial" w:cs="Arial" w:eastAsia="Arial" w:hAnsi="Arial"/>
                <w:sz w:val="14"/>
                <w:szCs w:val="14"/>
                <w:color w:val="auto"/>
              </w:rPr>
              <w:t>503,875</w:t>
            </w:r>
          </w:p>
        </w:tc>
      </w:tr>
      <w:tr>
        <w:trPr>
          <w:trHeight w:val="21"/>
        </w:trPr>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Clients 2-5</w:t>
            </w:r>
          </w:p>
        </w:tc>
        <w:tc>
          <w:tcPr>
            <w:tcW w:w="1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0"/>
              </w:rPr>
              <w:t>671,723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505,818</w:t>
            </w: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Clients 6-10</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385,741</w:t>
            </w:r>
          </w:p>
        </w:tc>
        <w:tc>
          <w:tcPr>
            <w:tcW w:w="880" w:type="dxa"/>
            <w:vAlign w:val="bottom"/>
          </w:tcPr>
          <w:p>
            <w:pPr>
              <w:jc w:val="right"/>
              <w:spacing w:after="0"/>
              <w:rPr>
                <w:sz w:val="20"/>
                <w:szCs w:val="20"/>
                <w:color w:val="auto"/>
              </w:rPr>
            </w:pPr>
            <w:r>
              <w:rPr>
                <w:rFonts w:ascii="Arial" w:cs="Arial" w:eastAsia="Arial" w:hAnsi="Arial"/>
                <w:sz w:val="14"/>
                <w:szCs w:val="14"/>
                <w:color w:val="auto"/>
              </w:rPr>
              <w:t>348,841</w:t>
            </w:r>
          </w:p>
        </w:tc>
      </w:tr>
      <w:tr>
        <w:trPr>
          <w:trHeight w:val="21"/>
        </w:trPr>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Clients 11-25</w:t>
            </w:r>
          </w:p>
        </w:tc>
        <w:tc>
          <w:tcPr>
            <w:tcW w:w="1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0"/>
              </w:rPr>
              <w:t>461,351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421,759</w:t>
            </w: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Other</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724,627</w:t>
            </w:r>
          </w:p>
        </w:tc>
        <w:tc>
          <w:tcPr>
            <w:tcW w:w="880" w:type="dxa"/>
            <w:vAlign w:val="bottom"/>
          </w:tcPr>
          <w:p>
            <w:pPr>
              <w:jc w:val="right"/>
              <w:spacing w:after="0"/>
              <w:rPr>
                <w:sz w:val="20"/>
                <w:szCs w:val="20"/>
                <w:color w:val="auto"/>
              </w:rPr>
            </w:pPr>
            <w:r>
              <w:rPr>
                <w:rFonts w:ascii="Arial" w:cs="Arial" w:eastAsia="Arial" w:hAnsi="Arial"/>
                <w:sz w:val="14"/>
                <w:szCs w:val="14"/>
                <w:color w:val="auto"/>
              </w:rPr>
              <w:t>622,028</w:t>
            </w:r>
          </w:p>
        </w:tc>
      </w:tr>
      <w:tr>
        <w:trPr>
          <w:trHeight w:val="21"/>
        </w:trPr>
        <w:tc>
          <w:tcPr>
            <w:tcW w:w="2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2,402,321</w:t>
            </w:r>
          </w:p>
        </w:tc>
      </w:tr>
      <w:tr>
        <w:trPr>
          <w:trHeight w:val="21"/>
        </w:trPr>
        <w:tc>
          <w:tcPr>
            <w:tcW w:w="2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Revenue for the year ended 31 December 2018 reflects revenue as reported on adoption of IFRS 15.</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Our customers have similar profiles and economic characteristics, and therefore have similar degrees of risk and growth opportunities.</w:t>
      </w:r>
    </w:p>
    <w:p>
      <w:pPr>
        <w:spacing w:after="0" w:line="39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0239"/>
          </w:cols>
          <w:pgMar w:left="220" w:top="1164" w:right="1440"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  Impact of change in accounting policies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Adoption of IFRS 15</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Group adopted IFRS 15 with a date of initial application of 1 January 2018. The revenue recognition accounting policy applied in preparation of the results for the twelve months ended 31 December 2018 therefore reflects application of IFRS 15. ICON has elected to adopt the standard using the cumulative effect transition method. Under this transition method, ICON has applied the new standard as at the date of initial application (i.e. 1 January 2018), without restatement of comparative amounts. The cumulative effect of initially applying the new standard (to revenue, costs and tax) is recorded as an adjustment to the opening balance of equity at the date of initial application. The comparative information has not been adjusted and therefore continues to be reported under the previous accounting standard.</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most significant impact of application of the standard relates to our assessment of performance and percentage of completion in respect of our clinical trial service revenue. Prior to application of IFRS 15, the revenue attributable to performance was determined based on both input and output methods of measurement.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downwards to reflect a realisable contract value. Revenue is recognised as the single performance obligation is satisfied. The progress towards completion for clinical service contracts is measured based on an input measure being total project costs (inclusive of third party costs) incurred as a percentage of total project costs, at each reporting period.</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Incremental costs of obtaining a contract were also considered on adoption of IFRS 15. Commission costs of $12 million were recognised as an asset on the Consolidated Statement of Financial Position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1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deferred tax asset of $6.9 million was recognised in respect of the timing differences arising from the cumulative impact of non tax adjustments recorded on adoption of IFRS 15. These are expected to reverse in future periods.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Adoption of IFRS 15 resulted in a net reduction in unbilled revenue of $42.0 million, a net reduction in payments on account of $59.0 million and an increase in accruals relating to reimbursable expenses of $84.3 million. Commission costs of $12 million were recognised as an asset on the Consolidated Statement of Financial Position and a deferred tax asset of $6.9 million was recognised in respect of the timing differences arising from the cumulative impact of non-tax adjustments recorded on adoption of IFRS 15. The tables on the pages following summarise the impact of adopting IFRS 15 on the consolidated financial statements for the twelve months ended 31 December 2018.</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Adoption of IFRS 9</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IFRS 9 was adopted with effect from 1 January 2018. IFRS 9 was adopted without restating comparative information. Adoption of IFRS 9 (including the new impairment rules) did not give rise to a material impact on balances reported at 31 December 2017 and therefore on adoption at 1 January 2018. The primary statements on the pages following therefore do not reflect changes arising on adoption of IFRS 9.</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Group's primary statements reflect the changes in classification required by IFRS 9 including:</w:t>
      </w:r>
    </w:p>
    <w:p>
      <w:pPr>
        <w:spacing w:after="0" w:line="19" w:lineRule="exact"/>
        <w:rPr>
          <w:sz w:val="20"/>
          <w:szCs w:val="20"/>
          <w:color w:val="auto"/>
        </w:rPr>
      </w:pPr>
    </w:p>
    <w:p>
      <w:pPr>
        <w:ind w:left="520" w:hanging="261"/>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Current asset investments are classified as financial assets at FVOCI reflecting the measurement basis;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Long-term equity investments are classified as financial assets at fair value through profit or loss;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Expected credit loss assessment in respect of trade and other receivables are identified in Note 16 and Note 26. The identified impairment loss was immaterial;</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While cash and cash equivalents are also subject to the impairment requirements of IFRS 9, the identified impairment loss was immaterial;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60"/>
          </w:cols>
          <w:pgMar w:left="220" w:top="699" w:right="21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19" w:firstLine="259"/>
        <w:spacing w:after="0" w:line="504" w:lineRule="auto"/>
        <w:tabs>
          <w:tab w:leader="none" w:pos="508"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The impairment loss identified on application of the expected credit risk model to debt instruments was immaterial. Accounting policy changes identified on adoption of IFRS 9 are reflected in </w:t>
      </w:r>
      <w:r>
        <w:rPr>
          <w:rFonts w:ascii="Arial" w:cs="Arial" w:eastAsia="Arial" w:hAnsi="Arial"/>
          <w:sz w:val="14"/>
          <w:szCs w:val="14"/>
          <w:i w:val="1"/>
          <w:iCs w:val="1"/>
          <w:color w:val="auto"/>
        </w:rPr>
        <w:t>note 1</w:t>
      </w:r>
      <w:r>
        <w:rPr>
          <w:rFonts w:ascii="Arial" w:cs="Arial" w:eastAsia="Arial" w:hAnsi="Arial"/>
          <w:sz w:val="14"/>
          <w:szCs w:val="14"/>
          <w:color w:val="auto"/>
        </w:rPr>
        <w:t>.</w:t>
      </w:r>
    </w:p>
    <w:p>
      <w:pPr>
        <w:spacing w:after="0"/>
        <w:rPr>
          <w:rFonts w:ascii="Arial" w:cs="Arial" w:eastAsia="Arial" w:hAnsi="Arial"/>
          <w:sz w:val="14"/>
          <w:szCs w:val="14"/>
          <w:color w:val="auto"/>
        </w:rPr>
      </w:pPr>
      <w:r>
        <w:rPr>
          <w:rFonts w:ascii="Arial" w:cs="Arial" w:eastAsia="Arial" w:hAnsi="Arial"/>
          <w:sz w:val="13"/>
          <w:szCs w:val="13"/>
          <w:color w:val="auto"/>
        </w:rPr>
        <w:t>There was no impact on the designation of open hedging arrangements at 1 January 2018 arising on adoption of IFRS 9.</w:t>
      </w: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0239"/>
          </w:cols>
          <w:pgMar w:left="220" w:top="699" w:right="1440"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Consolidated Statement of Profit and Loss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920" w:type="dxa"/>
            <w:vAlign w:val="bottom"/>
            <w:tcBorders>
              <w:right w:val="single" w:sz="8" w:color="CCEEFF"/>
            </w:tcBorders>
            <w:shd w:val="clear" w:color="auto" w:fill="CCEEFF"/>
          </w:tcPr>
          <w:p>
            <w:pPr>
              <w:spacing w:after="0"/>
              <w:rPr>
                <w:sz w:val="24"/>
                <w:szCs w:val="24"/>
                <w:color w:val="auto"/>
              </w:rPr>
            </w:pPr>
          </w:p>
        </w:tc>
        <w:tc>
          <w:tcPr>
            <w:tcW w:w="134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320" w:type="dxa"/>
            <w:vAlign w:val="bottom"/>
          </w:tcPr>
          <w:p>
            <w:pPr>
              <w:spacing w:after="0"/>
              <w:rPr>
                <w:sz w:val="15"/>
                <w:szCs w:val="15"/>
                <w:color w:val="auto"/>
              </w:rPr>
            </w:pPr>
          </w:p>
        </w:tc>
        <w:tc>
          <w:tcPr>
            <w:tcW w:w="1040" w:type="dxa"/>
            <w:vAlign w:val="bottom"/>
            <w:tcBorders>
              <w:right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84"/>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right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tcBorders>
              <w:right w:val="single" w:sz="8" w:color="auto"/>
            </w:tcBorders>
            <w:shd w:val="clear" w:color="auto" w:fill="CCEEFF"/>
          </w:tcPr>
          <w:p>
            <w:pPr>
              <w:spacing w:after="0"/>
              <w:rPr>
                <w:sz w:val="12"/>
                <w:szCs w:val="12"/>
                <w:color w:val="auto"/>
              </w:rPr>
            </w:pPr>
          </w:p>
        </w:tc>
        <w:tc>
          <w:tcPr>
            <w:tcW w:w="134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As reported</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3"/>
            <w:shd w:val="clear" w:color="auto" w:fill="CCEEFF"/>
          </w:tcPr>
          <w:p>
            <w:pPr>
              <w:jc w:val="right"/>
              <w:ind w:right="260"/>
              <w:spacing w:after="0" w:line="148" w:lineRule="exact"/>
              <w:rPr>
                <w:sz w:val="20"/>
                <w:szCs w:val="20"/>
                <w:color w:val="auto"/>
              </w:rPr>
            </w:pPr>
            <w:r>
              <w:rPr>
                <w:rFonts w:ascii="Arial" w:cs="Arial" w:eastAsia="Arial" w:hAnsi="Arial"/>
                <w:sz w:val="13"/>
                <w:szCs w:val="13"/>
                <w:b w:val="1"/>
                <w:bCs w:val="1"/>
                <w:color w:val="auto"/>
                <w:w w:val="86"/>
              </w:rPr>
              <w:t>Balance without</w:t>
            </w:r>
          </w:p>
        </w:tc>
        <w:tc>
          <w:tcPr>
            <w:tcW w:w="0" w:type="dxa"/>
            <w:vAlign w:val="bottom"/>
          </w:tcPr>
          <w:p>
            <w:pPr>
              <w:spacing w:after="0"/>
              <w:rPr>
                <w:sz w:val="1"/>
                <w:szCs w:val="1"/>
                <w:color w:val="auto"/>
              </w:rPr>
            </w:pPr>
          </w:p>
        </w:tc>
      </w:tr>
      <w:tr>
        <w:trPr>
          <w:trHeight w:val="20"/>
        </w:trPr>
        <w:tc>
          <w:tcPr>
            <w:tcW w:w="2920" w:type="dxa"/>
            <w:vAlign w:val="bottom"/>
            <w:tcBorders>
              <w:right w:val="single" w:sz="8" w:color="auto"/>
            </w:tcBorders>
            <w:shd w:val="clear" w:color="auto" w:fill="CCEEFF"/>
          </w:tcPr>
          <w:p>
            <w:pPr>
              <w:spacing w:after="0" w:line="20" w:lineRule="exact"/>
              <w:rPr>
                <w:sz w:val="1"/>
                <w:szCs w:val="1"/>
                <w:color w:val="auto"/>
              </w:rPr>
            </w:pPr>
          </w:p>
        </w:tc>
        <w:tc>
          <w:tcPr>
            <w:tcW w:w="1340" w:type="dxa"/>
            <w:vAlign w:val="bottom"/>
            <w:tcBorders>
              <w:right w:val="single" w:sz="8" w:color="auto"/>
            </w:tcBorders>
            <w:vMerge w:val="continue"/>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tcBorders>
              <w:right w:val="single" w:sz="8" w:color="auto"/>
            </w:tcBorders>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20" w:type="dxa"/>
            <w:vAlign w:val="bottom"/>
            <w:tcBorders>
              <w:right w:val="single" w:sz="8" w:color="auto"/>
            </w:tcBorders>
            <w:shd w:val="clear" w:color="auto" w:fill="CCEEFF"/>
          </w:tcPr>
          <w:p>
            <w:pPr>
              <w:spacing w:after="0"/>
              <w:rPr>
                <w:sz w:val="12"/>
                <w:szCs w:val="12"/>
                <w:color w:val="auto"/>
              </w:rPr>
            </w:pPr>
          </w:p>
        </w:tc>
        <w:tc>
          <w:tcPr>
            <w:tcW w:w="1340" w:type="dxa"/>
            <w:vAlign w:val="bottom"/>
            <w:tcBorders>
              <w:right w:val="single" w:sz="8" w:color="auto"/>
            </w:tcBorders>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6"/>
              </w:rPr>
              <w:t>Adjustments</w:t>
            </w:r>
          </w:p>
        </w:tc>
        <w:tc>
          <w:tcPr>
            <w:tcW w:w="340" w:type="dxa"/>
            <w:vAlign w:val="bottom"/>
            <w:tcBorders>
              <w:right w:val="single" w:sz="8" w:color="auto"/>
            </w:tcBorders>
            <w:shd w:val="clear" w:color="auto" w:fill="CCEEFF"/>
          </w:tcPr>
          <w:p>
            <w:pPr>
              <w:spacing w:after="0"/>
              <w:rPr>
                <w:sz w:val="12"/>
                <w:szCs w:val="12"/>
                <w:color w:val="auto"/>
              </w:rPr>
            </w:pPr>
          </w:p>
        </w:tc>
        <w:tc>
          <w:tcPr>
            <w:tcW w:w="1360" w:type="dxa"/>
            <w:vAlign w:val="bottom"/>
            <w:tcBorders>
              <w:right w:val="single" w:sz="8" w:color="auto"/>
            </w:tcBorders>
            <w:gridSpan w:val="5"/>
            <w:shd w:val="clear" w:color="auto" w:fill="CCEEFF"/>
          </w:tcPr>
          <w:p>
            <w:pPr>
              <w:jc w:val="right"/>
              <w:ind w:right="140"/>
              <w:spacing w:after="0" w:line="139" w:lineRule="exact"/>
              <w:rPr>
                <w:sz w:val="20"/>
                <w:szCs w:val="20"/>
                <w:color w:val="auto"/>
              </w:rPr>
            </w:pPr>
            <w:r>
              <w:rPr>
                <w:rFonts w:ascii="Arial" w:cs="Arial" w:eastAsia="Arial" w:hAnsi="Arial"/>
                <w:sz w:val="13"/>
                <w:szCs w:val="13"/>
                <w:b w:val="1"/>
                <w:bCs w:val="1"/>
                <w:color w:val="auto"/>
                <w:w w:val="98"/>
              </w:rPr>
              <w:t>adoption of IFRS 15</w:t>
            </w:r>
          </w:p>
        </w:tc>
        <w:tc>
          <w:tcPr>
            <w:tcW w:w="0" w:type="dxa"/>
            <w:vAlign w:val="bottom"/>
          </w:tcPr>
          <w:p>
            <w:pPr>
              <w:spacing w:after="0"/>
              <w:rPr>
                <w:sz w:val="1"/>
                <w:szCs w:val="1"/>
                <w:color w:val="auto"/>
              </w:rPr>
            </w:pPr>
          </w:p>
        </w:tc>
      </w:tr>
      <w:tr>
        <w:trPr>
          <w:trHeight w:val="33"/>
        </w:trPr>
        <w:tc>
          <w:tcPr>
            <w:tcW w:w="2920" w:type="dxa"/>
            <w:vAlign w:val="bottom"/>
            <w:tcBorders>
              <w:top w:val="single" w:sz="8" w:color="CCEEFF"/>
              <w:right w:val="single" w:sz="8" w:color="auto"/>
            </w:tcBorders>
            <w:shd w:val="clear" w:color="auto" w:fill="CCEEFF"/>
          </w:tcPr>
          <w:p>
            <w:pPr>
              <w:spacing w:after="0"/>
              <w:rPr>
                <w:sz w:val="2"/>
                <w:szCs w:val="2"/>
                <w:color w:val="auto"/>
              </w:rPr>
            </w:pPr>
          </w:p>
        </w:tc>
        <w:tc>
          <w:tcPr>
            <w:tcW w:w="1340" w:type="dxa"/>
            <w:vAlign w:val="bottom"/>
            <w:tcBorders>
              <w:top w:val="single" w:sz="8" w:color="CCEEFF"/>
              <w:right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13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$’000</w:t>
            </w:r>
          </w:p>
        </w:tc>
        <w:tc>
          <w:tcPr>
            <w:tcW w:w="32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20" w:type="dxa"/>
            <w:vAlign w:val="bottom"/>
            <w:tcBorders>
              <w:right w:val="single" w:sz="8" w:color="auto"/>
            </w:tcBorders>
            <w:shd w:val="clear" w:color="auto" w:fill="CCEEFF"/>
          </w:tcPr>
          <w:p>
            <w:pPr>
              <w:spacing w:after="0"/>
              <w:rPr>
                <w:sz w:val="22"/>
                <w:szCs w:val="22"/>
                <w:color w:val="auto"/>
              </w:rPr>
            </w:pPr>
          </w:p>
        </w:tc>
        <w:tc>
          <w:tcPr>
            <w:tcW w:w="1340" w:type="dxa"/>
            <w:vAlign w:val="bottom"/>
            <w:tcBorders>
              <w:right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4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 gross revenue</w:t>
            </w:r>
          </w:p>
        </w:tc>
        <w:tc>
          <w:tcPr>
            <w:tcW w:w="134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1360" w:type="dxa"/>
            <w:vAlign w:val="bottom"/>
            <w:tcBorders>
              <w:bottom w:val="single" w:sz="8" w:color="CCEEFF"/>
              <w:right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4,657</w:t>
            </w:r>
          </w:p>
        </w:tc>
        <w:tc>
          <w:tcPr>
            <w:tcW w:w="1360" w:type="dxa"/>
            <w:vAlign w:val="bottom"/>
            <w:tcBorders>
              <w:bottom w:val="single" w:sz="8" w:color="CCEEFF"/>
              <w:right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2,600,434</w:t>
            </w: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Reimbursable expenses</w:t>
            </w:r>
          </w:p>
        </w:tc>
        <w:tc>
          <w:tcPr>
            <w:tcW w:w="13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(702,812)</w:t>
            </w:r>
          </w:p>
        </w:tc>
        <w:tc>
          <w:tcPr>
            <w:tcW w:w="1360" w:type="dxa"/>
            <w:vAlign w:val="bottom"/>
            <w:tcBorders>
              <w:right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(702,812)</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920" w:type="dxa"/>
            <w:vAlign w:val="bottom"/>
            <w:tcBorders>
              <w:bottom w:val="single" w:sz="8" w:color="CCEEFF"/>
              <w:right w:val="single" w:sz="8" w:color="auto"/>
            </w:tcBorders>
            <w:shd w:val="clear" w:color="auto" w:fill="CCEEFF"/>
          </w:tcPr>
          <w:p>
            <w:pPr>
              <w:spacing w:after="0"/>
              <w:rPr>
                <w:sz w:val="15"/>
                <w:szCs w:val="15"/>
                <w:color w:val="auto"/>
              </w:rPr>
            </w:pPr>
          </w:p>
        </w:tc>
        <w:tc>
          <w:tcPr>
            <w:tcW w:w="134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1360" w:type="dxa"/>
            <w:vAlign w:val="bottom"/>
            <w:tcBorders>
              <w:bottom w:val="single" w:sz="8" w:color="CCEEFF"/>
              <w:right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(698,155)</w:t>
            </w:r>
          </w:p>
        </w:tc>
        <w:tc>
          <w:tcPr>
            <w:tcW w:w="1360" w:type="dxa"/>
            <w:vAlign w:val="bottom"/>
            <w:tcBorders>
              <w:bottom w:val="single" w:sz="8" w:color="CCEEFF"/>
              <w:right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1,897,622</w:t>
            </w: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Direct costs</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(1,826,287)</w:t>
            </w:r>
          </w:p>
        </w:tc>
        <w:tc>
          <w:tcPr>
            <w:tcW w:w="1360" w:type="dxa"/>
            <w:vAlign w:val="bottom"/>
            <w:tcBorders>
              <w:bottom w:val="single" w:sz="8" w:color="CCEEFF"/>
              <w:right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702,812</w:t>
            </w:r>
          </w:p>
        </w:tc>
        <w:tc>
          <w:tcPr>
            <w:tcW w:w="1360" w:type="dxa"/>
            <w:vAlign w:val="bottom"/>
            <w:tcBorders>
              <w:bottom w:val="single" w:sz="8" w:color="CCEEFF"/>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(1,123,475)</w:t>
            </w: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Other operating expenses</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(392,372)</w:t>
            </w: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(472)</w:t>
            </w:r>
          </w:p>
        </w:tc>
        <w:tc>
          <w:tcPr>
            <w:tcW w:w="1360" w:type="dxa"/>
            <w:vAlign w:val="bottom"/>
            <w:tcBorders>
              <w:right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(392,844)</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920" w:type="dxa"/>
            <w:vAlign w:val="bottom"/>
            <w:tcBorders>
              <w:right w:val="single" w:sz="8" w:color="auto"/>
            </w:tcBorders>
            <w:shd w:val="clear" w:color="auto" w:fill="CCEEFF"/>
          </w:tcPr>
          <w:p>
            <w:pPr>
              <w:spacing w:after="0"/>
              <w:rPr>
                <w:sz w:val="13"/>
                <w:szCs w:val="13"/>
                <w:color w:val="auto"/>
              </w:rPr>
            </w:pPr>
          </w:p>
        </w:tc>
        <w:tc>
          <w:tcPr>
            <w:tcW w:w="1340" w:type="dxa"/>
            <w:vAlign w:val="bottom"/>
            <w:tcBorders>
              <w:right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Operating profit</w:t>
            </w:r>
          </w:p>
        </w:tc>
        <w:tc>
          <w:tcPr>
            <w:tcW w:w="13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377,118</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4,185</w:t>
            </w:r>
          </w:p>
        </w:tc>
        <w:tc>
          <w:tcPr>
            <w:tcW w:w="1360" w:type="dxa"/>
            <w:vAlign w:val="bottom"/>
            <w:tcBorders>
              <w:right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381,303</w:t>
            </w: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Financing income</w:t>
            </w:r>
          </w:p>
        </w:tc>
        <w:tc>
          <w:tcPr>
            <w:tcW w:w="13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4,759</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right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4,759</w:t>
            </w: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Financing expense</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(13,502)</w:t>
            </w: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CCEEFF"/>
              <w:right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(13,502)</w:t>
            </w:r>
          </w:p>
        </w:tc>
        <w:tc>
          <w:tcPr>
            <w:tcW w:w="0" w:type="dxa"/>
            <w:vAlign w:val="bottom"/>
          </w:tcPr>
          <w:p>
            <w:pPr>
              <w:spacing w:after="0"/>
              <w:rPr>
                <w:sz w:val="1"/>
                <w:szCs w:val="1"/>
                <w:color w:val="auto"/>
              </w:rPr>
            </w:pPr>
          </w:p>
        </w:tc>
      </w:tr>
      <w:tr>
        <w:trPr>
          <w:trHeight w:val="170"/>
        </w:trPr>
        <w:tc>
          <w:tcPr>
            <w:tcW w:w="292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Borders>
              <w:top w:val="single" w:sz="8" w:color="auto"/>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Profit before taxation</w:t>
            </w:r>
          </w:p>
        </w:tc>
        <w:tc>
          <w:tcPr>
            <w:tcW w:w="134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368,375</w:t>
            </w:r>
          </w:p>
        </w:tc>
        <w:tc>
          <w:tcPr>
            <w:tcW w:w="1360" w:type="dxa"/>
            <w:vAlign w:val="bottom"/>
            <w:tcBorders>
              <w:bottom w:val="single" w:sz="8" w:color="CCEEFF"/>
              <w:right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4,185</w:t>
            </w:r>
          </w:p>
        </w:tc>
        <w:tc>
          <w:tcPr>
            <w:tcW w:w="1360" w:type="dxa"/>
            <w:vAlign w:val="bottom"/>
            <w:tcBorders>
              <w:bottom w:val="single" w:sz="8" w:color="CCEEFF"/>
              <w:right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372,560</w:t>
            </w: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(45,558)</w:t>
            </w: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(476)</w:t>
            </w:r>
          </w:p>
        </w:tc>
        <w:tc>
          <w:tcPr>
            <w:tcW w:w="1360" w:type="dxa"/>
            <w:vAlign w:val="bottom"/>
            <w:tcBorders>
              <w:right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(46,034)</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920" w:type="dxa"/>
            <w:vAlign w:val="bottom"/>
            <w:tcBorders>
              <w:right w:val="single" w:sz="8" w:color="auto"/>
            </w:tcBorders>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Profit for the financial year</w:t>
            </w:r>
          </w:p>
        </w:tc>
        <w:tc>
          <w:tcPr>
            <w:tcW w:w="13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322,817</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3,709</w:t>
            </w:r>
          </w:p>
        </w:tc>
        <w:tc>
          <w:tcPr>
            <w:tcW w:w="1360" w:type="dxa"/>
            <w:vAlign w:val="bottom"/>
            <w:tcBorders>
              <w:right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326,526</w:t>
            </w:r>
          </w:p>
        </w:tc>
        <w:tc>
          <w:tcPr>
            <w:tcW w:w="0" w:type="dxa"/>
            <w:vAlign w:val="bottom"/>
          </w:tcPr>
          <w:p>
            <w:pPr>
              <w:spacing w:after="0"/>
              <w:rPr>
                <w:sz w:val="1"/>
                <w:szCs w:val="1"/>
                <w:color w:val="auto"/>
              </w:rPr>
            </w:pPr>
          </w:p>
        </w:tc>
      </w:tr>
      <w:tr>
        <w:trPr>
          <w:trHeight w:val="23"/>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Attributable to:</w:t>
            </w:r>
          </w:p>
        </w:tc>
        <w:tc>
          <w:tcPr>
            <w:tcW w:w="13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Owners of the Company</w:t>
            </w:r>
          </w:p>
        </w:tc>
        <w:tc>
          <w:tcPr>
            <w:tcW w:w="13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322,817</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3,709</w:t>
            </w:r>
          </w:p>
        </w:tc>
        <w:tc>
          <w:tcPr>
            <w:tcW w:w="1360" w:type="dxa"/>
            <w:vAlign w:val="bottom"/>
            <w:tcBorders>
              <w:right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326,526</w:t>
            </w:r>
          </w:p>
        </w:tc>
        <w:tc>
          <w:tcPr>
            <w:tcW w:w="0" w:type="dxa"/>
            <w:vAlign w:val="bottom"/>
          </w:tcPr>
          <w:p>
            <w:pPr>
              <w:spacing w:after="0"/>
              <w:rPr>
                <w:sz w:val="1"/>
                <w:szCs w:val="1"/>
                <w:color w:val="auto"/>
              </w:rPr>
            </w:pPr>
          </w:p>
        </w:tc>
      </w:tr>
      <w:tr>
        <w:trPr>
          <w:trHeight w:val="23"/>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29"/>
        </w:trPr>
        <w:tc>
          <w:tcPr>
            <w:tcW w:w="2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85"/>
              </w:rPr>
              <w:t>121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059" w:right="1440"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Consolidated Statement of Financial Position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at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i w:val="1"/>
                <w:iCs w:val="1"/>
                <w:color w:val="auto"/>
              </w:rPr>
              <w:t>Note</w:t>
            </w:r>
          </w:p>
        </w:tc>
        <w:tc>
          <w:tcPr>
            <w:tcW w:w="10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b w:val="1"/>
                <w:bCs w:val="1"/>
                <w:color w:val="auto"/>
                <w:w w:val="88"/>
              </w:rPr>
              <w:t>December 31, 2018</w:t>
            </w:r>
          </w:p>
        </w:tc>
      </w:tr>
      <w:tr>
        <w:trPr>
          <w:trHeight w:val="176"/>
        </w:trPr>
        <w:tc>
          <w:tcPr>
            <w:tcW w:w="3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w w:val="96"/>
              </w:rPr>
              <w:t>Balance without</w:t>
            </w:r>
          </w:p>
        </w:tc>
      </w:tr>
      <w:tr>
        <w:trPr>
          <w:trHeight w:val="169"/>
        </w:trPr>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As Reported</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adoption of</w:t>
            </w:r>
          </w:p>
        </w:tc>
      </w:tr>
      <w:tr>
        <w:trPr>
          <w:trHeight w:val="184"/>
        </w:trPr>
        <w:tc>
          <w:tcPr>
            <w:tcW w:w="3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IFRS 15</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103,710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103,710</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Intangible assets – goodwill and other</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13</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879,283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879,283</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20,778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20,778</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Financial assets</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18</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6,963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6,963</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31,665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(5,680)</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25,985</w:t>
            </w:r>
          </w:p>
        </w:tc>
      </w:tr>
      <w:tr>
        <w:trPr>
          <w:trHeight w:val="181"/>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4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1,042,399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(5,680)</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1,036,719</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4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15</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2,274</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2,274</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414,791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414,791</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Unbilled revenue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362,926</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46,642</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409,568</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68,734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(12,580)</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56,154</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Current taxes receivable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39,468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39,468</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asset investments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59,910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59,910</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19</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395,851</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395,851</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1,343,954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1,378,016</w:t>
            </w:r>
          </w:p>
        </w:tc>
      </w:tr>
      <w:tr>
        <w:trPr>
          <w:trHeight w:val="86"/>
        </w:trPr>
        <w:tc>
          <w:tcPr>
            <w:tcW w:w="33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2,386,353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28,382</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2,414,735</w:t>
            </w:r>
          </w:p>
        </w:tc>
      </w:tr>
      <w:tr>
        <w:trPr>
          <w:trHeight w:val="96"/>
        </w:trPr>
        <w:tc>
          <w:tcPr>
            <w:tcW w:w="33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spacing w:after="0"/>
              <w:rPr>
                <w:sz w:val="8"/>
                <w:szCs w:val="8"/>
                <w:color w:val="auto"/>
              </w:rPr>
            </w:pPr>
          </w:p>
        </w:tc>
        <w:tc>
          <w:tcPr>
            <w:tcW w:w="100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r>
      <w:tr>
        <w:trPr>
          <w:trHeight w:val="18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4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Share capital</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24</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4,658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4,658</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premium</w:t>
            </w: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283,629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283,629</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Other undenominated capital</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25</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983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983</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 reserve</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173,326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173,326</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25</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11,868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11,868</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reserve</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(67,469)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(67,469)</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Current asset investment - fair value reserve</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25</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(450)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(450)</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979,834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51,813</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1,031,647</w:t>
            </w:r>
          </w:p>
        </w:tc>
      </w:tr>
      <w:tr>
        <w:trPr>
          <w:trHeight w:val="181"/>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92"/>
              </w:rPr>
              <w:t>Total equity attributable to the owners of the company</w:t>
            </w:r>
          </w:p>
        </w:tc>
        <w:tc>
          <w:tcPr>
            <w:tcW w:w="4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1,386,379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51,813</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1,438,192</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4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bank credit lines and loan facilities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349,264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349,264</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Non-current other liabilities</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20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13,022</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13,022</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provisions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1,301</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6</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8,213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8,213</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371,800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371,800</w:t>
            </w:r>
          </w:p>
        </w:tc>
      </w:tr>
      <w:tr>
        <w:trPr>
          <w:trHeight w:val="181"/>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4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13,288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13,288</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Payments on account</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274,468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59,242</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333,710</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309,943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(84,342)</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225,601</w:t>
            </w: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Provisions</w:t>
            </w:r>
          </w:p>
        </w:tc>
        <w:tc>
          <w:tcPr>
            <w:tcW w:w="440" w:type="dxa"/>
            <w:vAlign w:val="bottom"/>
          </w:tcPr>
          <w:p>
            <w:pPr>
              <w:jc w:val="right"/>
              <w:ind w:right="29"/>
              <w:spacing w:after="0"/>
              <w:rPr>
                <w:sz w:val="20"/>
                <w:szCs w:val="20"/>
                <w:color w:val="auto"/>
              </w:rPr>
            </w:pPr>
            <w:r>
              <w:rPr>
                <w:rFonts w:ascii="Arial" w:cs="Arial" w:eastAsia="Arial" w:hAnsi="Arial"/>
                <w:sz w:val="14"/>
                <w:szCs w:val="14"/>
                <w:i w:val="1"/>
                <w:iCs w:val="1"/>
                <w:color w:val="auto"/>
              </w:rPr>
              <w:t>21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7,200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7,200</w:t>
            </w:r>
          </w:p>
        </w:tc>
      </w:tr>
      <w:tr>
        <w:trPr>
          <w:trHeight w:val="21"/>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tax payable</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23,275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1,669</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24,944</w:t>
            </w:r>
          </w:p>
        </w:tc>
      </w:tr>
      <w:tr>
        <w:trPr>
          <w:trHeight w:val="181"/>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4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628,174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(23,431)</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604,743</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96"/>
        </w:trPr>
        <w:tc>
          <w:tcPr>
            <w:tcW w:w="338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r>
      <w:tr>
        <w:trPr>
          <w:trHeight w:val="181"/>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999,974</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(23,431)</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976,543</w:t>
            </w:r>
          </w:p>
        </w:tc>
      </w:tr>
      <w:tr>
        <w:trPr>
          <w:trHeight w:val="21"/>
        </w:trPr>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6"/>
        </w:trPr>
        <w:tc>
          <w:tcPr>
            <w:tcW w:w="33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Total equity and liabilities</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2,386,353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28,382</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2,414,735</w:t>
            </w:r>
          </w:p>
        </w:tc>
      </w:tr>
      <w:tr>
        <w:trPr>
          <w:trHeight w:val="23"/>
        </w:trPr>
        <w:tc>
          <w:tcPr>
            <w:tcW w:w="3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9"/>
        </w:trPr>
        <w:tc>
          <w:tcPr>
            <w:tcW w:w="3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w:t>
            </w:r>
          </w:p>
        </w:tc>
        <w:tc>
          <w:tcPr>
            <w:tcW w:w="1080" w:type="dxa"/>
            <w:vAlign w:val="bottom"/>
          </w:tcPr>
          <w:p>
            <w:pPr>
              <w:spacing w:after="0"/>
              <w:rPr>
                <w:sz w:val="24"/>
                <w:szCs w:val="24"/>
                <w:color w:val="auto"/>
              </w:rPr>
            </w:pPr>
          </w:p>
        </w:tc>
      </w:tr>
    </w:tbl>
    <w:p>
      <w:pPr>
        <w:sectPr>
          <w:pgSz w:w="11900" w:h="16838" w:orient="portrait"/>
          <w:cols w:equalWidth="0" w:num="1">
            <w:col w:w="10239"/>
          </w:cols>
          <w:pgMar w:left="220" w:top="1059" w:right="1440"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Consolidated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rPr>
              <w:t>Current Asset</w:t>
            </w: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06"/>
        </w:trPr>
        <w:tc>
          <w:tcPr>
            <w:tcW w:w="2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31"/>
              <w:spacing w:after="0" w:line="106" w:lineRule="exact"/>
              <w:rPr>
                <w:sz w:val="20"/>
                <w:szCs w:val="20"/>
                <w:color w:val="auto"/>
              </w:rPr>
            </w:pPr>
            <w:r>
              <w:rPr>
                <w:rFonts w:ascii="Arial" w:cs="Arial" w:eastAsia="Arial" w:hAnsi="Arial"/>
                <w:sz w:val="10"/>
                <w:szCs w:val="10"/>
                <w:b w:val="1"/>
                <w:bCs w:val="1"/>
                <w:color w:val="auto"/>
              </w:rPr>
              <w:t>Other</w:t>
            </w:r>
          </w:p>
        </w:tc>
        <w:tc>
          <w:tcPr>
            <w:tcW w:w="1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230"/>
              <w:spacing w:after="0" w:line="106" w:lineRule="exact"/>
              <w:rPr>
                <w:sz w:val="20"/>
                <w:szCs w:val="20"/>
                <w:color w:val="auto"/>
              </w:rPr>
            </w:pPr>
            <w:r>
              <w:rPr>
                <w:rFonts w:ascii="Arial" w:cs="Arial" w:eastAsia="Arial" w:hAnsi="Arial"/>
                <w:sz w:val="10"/>
                <w:szCs w:val="10"/>
                <w:b w:val="1"/>
                <w:bCs w:val="1"/>
                <w:color w:val="auto"/>
              </w:rPr>
              <w:t>Investment</w:t>
            </w:r>
          </w:p>
        </w:tc>
        <w:tc>
          <w:tcPr>
            <w:tcW w:w="9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06"/>
        </w:trPr>
        <w:tc>
          <w:tcPr>
            <w:tcW w:w="2340" w:type="dxa"/>
            <w:vAlign w:val="bottom"/>
            <w:shd w:val="clear" w:color="auto" w:fill="CCEEFF"/>
          </w:tcPr>
          <w:p>
            <w:pPr>
              <w:spacing w:after="0"/>
              <w:rPr>
                <w:sz w:val="9"/>
                <w:szCs w:val="9"/>
                <w:color w:val="auto"/>
              </w:rPr>
            </w:pPr>
          </w:p>
        </w:tc>
        <w:tc>
          <w:tcPr>
            <w:tcW w:w="1180" w:type="dxa"/>
            <w:vAlign w:val="bottom"/>
            <w:shd w:val="clear" w:color="auto" w:fill="CCEEFF"/>
          </w:tcPr>
          <w:p>
            <w:pPr>
              <w:jc w:val="right"/>
              <w:ind w:right="271"/>
              <w:spacing w:after="0" w:line="106" w:lineRule="exact"/>
              <w:rPr>
                <w:sz w:val="20"/>
                <w:szCs w:val="20"/>
                <w:color w:val="auto"/>
              </w:rPr>
            </w:pPr>
            <w:r>
              <w:rPr>
                <w:rFonts w:ascii="Arial" w:cs="Arial" w:eastAsia="Arial" w:hAnsi="Arial"/>
                <w:sz w:val="10"/>
                <w:szCs w:val="10"/>
                <w:b w:val="1"/>
                <w:bCs w:val="1"/>
                <w:color w:val="auto"/>
              </w:rPr>
              <w:t>Number</w:t>
            </w:r>
          </w:p>
        </w:tc>
        <w:tc>
          <w:tcPr>
            <w:tcW w:w="880" w:type="dxa"/>
            <w:vAlign w:val="bottom"/>
            <w:shd w:val="clear" w:color="auto" w:fill="CCEEFF"/>
          </w:tcPr>
          <w:p>
            <w:pPr>
              <w:jc w:val="right"/>
              <w:ind w:right="231"/>
              <w:spacing w:after="0" w:line="106" w:lineRule="exact"/>
              <w:rPr>
                <w:sz w:val="20"/>
                <w:szCs w:val="20"/>
                <w:color w:val="auto"/>
              </w:rPr>
            </w:pPr>
            <w:r>
              <w:rPr>
                <w:rFonts w:ascii="Arial" w:cs="Arial" w:eastAsia="Arial" w:hAnsi="Arial"/>
                <w:sz w:val="10"/>
                <w:szCs w:val="10"/>
                <w:b w:val="1"/>
                <w:bCs w:val="1"/>
                <w:color w:val="auto"/>
              </w:rPr>
              <w:t>Share</w:t>
            </w:r>
          </w:p>
        </w:tc>
        <w:tc>
          <w:tcPr>
            <w:tcW w:w="760" w:type="dxa"/>
            <w:vAlign w:val="bottom"/>
            <w:shd w:val="clear" w:color="auto" w:fill="CCEEFF"/>
          </w:tcPr>
          <w:p>
            <w:pPr>
              <w:jc w:val="right"/>
              <w:ind w:right="71"/>
              <w:spacing w:after="0" w:line="106" w:lineRule="exact"/>
              <w:rPr>
                <w:sz w:val="20"/>
                <w:szCs w:val="20"/>
                <w:color w:val="auto"/>
              </w:rPr>
            </w:pPr>
            <w:r>
              <w:rPr>
                <w:rFonts w:ascii="Arial" w:cs="Arial" w:eastAsia="Arial" w:hAnsi="Arial"/>
                <w:sz w:val="10"/>
                <w:szCs w:val="10"/>
                <w:b w:val="1"/>
                <w:bCs w:val="1"/>
                <w:color w:val="auto"/>
              </w:rPr>
              <w:t>Share</w:t>
            </w:r>
          </w:p>
        </w:tc>
        <w:tc>
          <w:tcPr>
            <w:tcW w:w="860" w:type="dxa"/>
            <w:vAlign w:val="bottom"/>
            <w:shd w:val="clear" w:color="auto" w:fill="CCEEFF"/>
          </w:tcPr>
          <w:p>
            <w:pPr>
              <w:jc w:val="right"/>
              <w:ind w:right="31"/>
              <w:spacing w:after="0" w:line="106" w:lineRule="exact"/>
              <w:rPr>
                <w:sz w:val="20"/>
                <w:szCs w:val="20"/>
                <w:color w:val="auto"/>
              </w:rPr>
            </w:pPr>
            <w:r>
              <w:rPr>
                <w:rFonts w:ascii="Arial" w:cs="Arial" w:eastAsia="Arial" w:hAnsi="Arial"/>
                <w:sz w:val="10"/>
                <w:szCs w:val="10"/>
                <w:b w:val="1"/>
                <w:bCs w:val="1"/>
                <w:color w:val="auto"/>
              </w:rPr>
              <w:t>Undenominated</w:t>
            </w:r>
          </w:p>
        </w:tc>
        <w:tc>
          <w:tcPr>
            <w:tcW w:w="1120" w:type="dxa"/>
            <w:vAlign w:val="bottom"/>
            <w:shd w:val="clear" w:color="auto" w:fill="CCEEFF"/>
          </w:tcPr>
          <w:p>
            <w:pPr>
              <w:jc w:val="right"/>
              <w:ind w:right="251"/>
              <w:spacing w:after="0" w:line="106" w:lineRule="exact"/>
              <w:rPr>
                <w:sz w:val="20"/>
                <w:szCs w:val="20"/>
                <w:color w:val="auto"/>
              </w:rPr>
            </w:pPr>
            <w:r>
              <w:rPr>
                <w:rFonts w:ascii="Arial" w:cs="Arial" w:eastAsia="Arial" w:hAnsi="Arial"/>
                <w:sz w:val="10"/>
                <w:szCs w:val="10"/>
                <w:b w:val="1"/>
                <w:bCs w:val="1"/>
                <w:color w:val="auto"/>
              </w:rPr>
              <w:t>Share-based</w:t>
            </w:r>
          </w:p>
        </w:tc>
        <w:tc>
          <w:tcPr>
            <w:tcW w:w="900" w:type="dxa"/>
            <w:vAlign w:val="bottom"/>
            <w:shd w:val="clear" w:color="auto" w:fill="CCEEFF"/>
          </w:tcPr>
          <w:p>
            <w:pPr>
              <w:jc w:val="right"/>
              <w:ind w:right="231"/>
              <w:spacing w:after="0" w:line="106" w:lineRule="exact"/>
              <w:rPr>
                <w:sz w:val="20"/>
                <w:szCs w:val="20"/>
                <w:color w:val="auto"/>
              </w:rPr>
            </w:pPr>
            <w:r>
              <w:rPr>
                <w:rFonts w:ascii="Arial" w:cs="Arial" w:eastAsia="Arial" w:hAnsi="Arial"/>
                <w:sz w:val="10"/>
                <w:szCs w:val="10"/>
                <w:b w:val="1"/>
                <w:bCs w:val="1"/>
                <w:color w:val="auto"/>
              </w:rPr>
              <w:t>Other</w:t>
            </w:r>
          </w:p>
        </w:tc>
        <w:tc>
          <w:tcPr>
            <w:tcW w:w="840" w:type="dxa"/>
            <w:vAlign w:val="bottom"/>
            <w:shd w:val="clear" w:color="auto" w:fill="CCEEFF"/>
          </w:tcPr>
          <w:p>
            <w:pPr>
              <w:jc w:val="right"/>
              <w:ind w:right="151"/>
              <w:spacing w:after="0" w:line="106" w:lineRule="exact"/>
              <w:rPr>
                <w:sz w:val="20"/>
                <w:szCs w:val="20"/>
                <w:color w:val="auto"/>
              </w:rPr>
            </w:pPr>
            <w:r>
              <w:rPr>
                <w:rFonts w:ascii="Arial" w:cs="Arial" w:eastAsia="Arial" w:hAnsi="Arial"/>
                <w:sz w:val="10"/>
                <w:szCs w:val="10"/>
                <w:b w:val="1"/>
                <w:bCs w:val="1"/>
                <w:color w:val="auto"/>
              </w:rPr>
              <w:t>Currency</w:t>
            </w:r>
          </w:p>
        </w:tc>
        <w:tc>
          <w:tcPr>
            <w:tcW w:w="1040" w:type="dxa"/>
            <w:vAlign w:val="bottom"/>
            <w:shd w:val="clear" w:color="auto" w:fill="CCEEFF"/>
          </w:tcPr>
          <w:p>
            <w:pPr>
              <w:jc w:val="right"/>
              <w:ind w:right="230"/>
              <w:spacing w:after="0" w:line="106" w:lineRule="exact"/>
              <w:rPr>
                <w:sz w:val="20"/>
                <w:szCs w:val="20"/>
                <w:color w:val="auto"/>
              </w:rPr>
            </w:pPr>
            <w:r>
              <w:rPr>
                <w:rFonts w:ascii="Arial" w:cs="Arial" w:eastAsia="Arial" w:hAnsi="Arial"/>
                <w:sz w:val="10"/>
                <w:szCs w:val="10"/>
                <w:b w:val="1"/>
                <w:bCs w:val="1"/>
                <w:color w:val="auto"/>
              </w:rPr>
              <w:t>Fair value</w:t>
            </w:r>
          </w:p>
        </w:tc>
        <w:tc>
          <w:tcPr>
            <w:tcW w:w="920" w:type="dxa"/>
            <w:vAlign w:val="bottom"/>
            <w:shd w:val="clear" w:color="auto" w:fill="CCEEFF"/>
          </w:tcPr>
          <w:p>
            <w:pPr>
              <w:jc w:val="right"/>
              <w:ind w:right="231"/>
              <w:spacing w:after="0" w:line="106" w:lineRule="exact"/>
              <w:rPr>
                <w:sz w:val="20"/>
                <w:szCs w:val="20"/>
                <w:color w:val="auto"/>
              </w:rPr>
            </w:pPr>
            <w:r>
              <w:rPr>
                <w:rFonts w:ascii="Arial" w:cs="Arial" w:eastAsia="Arial" w:hAnsi="Arial"/>
                <w:sz w:val="10"/>
                <w:szCs w:val="10"/>
                <w:b w:val="1"/>
                <w:bCs w:val="1"/>
                <w:color w:val="auto"/>
              </w:rPr>
              <w:t>Retained</w:t>
            </w:r>
          </w:p>
        </w:tc>
        <w:tc>
          <w:tcPr>
            <w:tcW w:w="700" w:type="dxa"/>
            <w:vAlign w:val="bottom"/>
            <w:shd w:val="clear" w:color="auto" w:fill="CCEEFF"/>
          </w:tcPr>
          <w:p>
            <w:pPr>
              <w:spacing w:after="0"/>
              <w:rPr>
                <w:sz w:val="9"/>
                <w:szCs w:val="9"/>
                <w:color w:val="auto"/>
              </w:rPr>
            </w:pPr>
          </w:p>
        </w:tc>
      </w:tr>
      <w:tr>
        <w:trPr>
          <w:trHeight w:val="140"/>
        </w:trPr>
        <w:tc>
          <w:tcPr>
            <w:tcW w:w="23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b w:val="1"/>
                <w:bCs w:val="1"/>
                <w:color w:val="auto"/>
              </w:rPr>
              <w:t>of shares</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Capital</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Premium</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Capital</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b w:val="1"/>
                <w:bCs w:val="1"/>
                <w:color w:val="auto"/>
                <w:w w:val="95"/>
              </w:rPr>
              <w:t>Payment Reserve</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Reserves</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Reserve</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rPr>
              <w:t>Reserve</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Earnings</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Total</w:t>
            </w:r>
          </w:p>
        </w:tc>
      </w:tr>
      <w:tr>
        <w:trPr>
          <w:trHeight w:val="134"/>
        </w:trPr>
        <w:tc>
          <w:tcPr>
            <w:tcW w:w="2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jc w:val="right"/>
              <w:ind w:right="231"/>
              <w:spacing w:after="0"/>
              <w:rPr>
                <w:sz w:val="20"/>
                <w:szCs w:val="20"/>
                <w:color w:val="auto"/>
              </w:rPr>
            </w:pPr>
            <w:r>
              <w:rPr>
                <w:rFonts w:ascii="Arial" w:cs="Arial" w:eastAsia="Arial" w:hAnsi="Arial"/>
                <w:sz w:val="10"/>
                <w:szCs w:val="10"/>
                <w:b w:val="1"/>
                <w:bCs w:val="1"/>
                <w:color w:val="auto"/>
              </w:rPr>
              <w:t>$’000</w:t>
            </w:r>
          </w:p>
        </w:tc>
        <w:tc>
          <w:tcPr>
            <w:tcW w:w="760" w:type="dxa"/>
            <w:vAlign w:val="bottom"/>
          </w:tcPr>
          <w:p>
            <w:pPr>
              <w:jc w:val="right"/>
              <w:ind w:right="71"/>
              <w:spacing w:after="0"/>
              <w:rPr>
                <w:sz w:val="20"/>
                <w:szCs w:val="20"/>
                <w:color w:val="auto"/>
              </w:rPr>
            </w:pPr>
            <w:r>
              <w:rPr>
                <w:rFonts w:ascii="Arial" w:cs="Arial" w:eastAsia="Arial" w:hAnsi="Arial"/>
                <w:sz w:val="10"/>
                <w:szCs w:val="10"/>
                <w:b w:val="1"/>
                <w:bCs w:val="1"/>
                <w:color w:val="auto"/>
              </w:rPr>
              <w:t>$’000</w:t>
            </w:r>
          </w:p>
        </w:tc>
        <w:tc>
          <w:tcPr>
            <w:tcW w:w="860" w:type="dxa"/>
            <w:vAlign w:val="bottom"/>
          </w:tcPr>
          <w:p>
            <w:pPr>
              <w:jc w:val="right"/>
              <w:ind w:right="31"/>
              <w:spacing w:after="0"/>
              <w:rPr>
                <w:sz w:val="20"/>
                <w:szCs w:val="20"/>
                <w:color w:val="auto"/>
              </w:rPr>
            </w:pPr>
            <w:r>
              <w:rPr>
                <w:rFonts w:ascii="Arial" w:cs="Arial" w:eastAsia="Arial" w:hAnsi="Arial"/>
                <w:sz w:val="10"/>
                <w:szCs w:val="10"/>
                <w:b w:val="1"/>
                <w:bCs w:val="1"/>
                <w:color w:val="auto"/>
              </w:rPr>
              <w:t>$’000</w:t>
            </w:r>
          </w:p>
        </w:tc>
        <w:tc>
          <w:tcPr>
            <w:tcW w:w="1120" w:type="dxa"/>
            <w:vAlign w:val="bottom"/>
          </w:tcPr>
          <w:p>
            <w:pPr>
              <w:jc w:val="right"/>
              <w:ind w:right="251"/>
              <w:spacing w:after="0"/>
              <w:rPr>
                <w:sz w:val="20"/>
                <w:szCs w:val="20"/>
                <w:color w:val="auto"/>
              </w:rPr>
            </w:pPr>
            <w:r>
              <w:rPr>
                <w:rFonts w:ascii="Arial" w:cs="Arial" w:eastAsia="Arial" w:hAnsi="Arial"/>
                <w:sz w:val="10"/>
                <w:szCs w:val="10"/>
                <w:b w:val="1"/>
                <w:bCs w:val="1"/>
                <w:color w:val="auto"/>
              </w:rPr>
              <w:t>$’000</w:t>
            </w:r>
          </w:p>
        </w:tc>
        <w:tc>
          <w:tcPr>
            <w:tcW w:w="900" w:type="dxa"/>
            <w:vAlign w:val="bottom"/>
          </w:tcPr>
          <w:p>
            <w:pPr>
              <w:jc w:val="right"/>
              <w:ind w:right="231"/>
              <w:spacing w:after="0"/>
              <w:rPr>
                <w:sz w:val="20"/>
                <w:szCs w:val="20"/>
                <w:color w:val="auto"/>
              </w:rPr>
            </w:pPr>
            <w:r>
              <w:rPr>
                <w:rFonts w:ascii="Arial" w:cs="Arial" w:eastAsia="Arial" w:hAnsi="Arial"/>
                <w:sz w:val="10"/>
                <w:szCs w:val="10"/>
                <w:b w:val="1"/>
                <w:bCs w:val="1"/>
                <w:color w:val="auto"/>
              </w:rPr>
              <w:t>$’000</w:t>
            </w:r>
          </w:p>
        </w:tc>
        <w:tc>
          <w:tcPr>
            <w:tcW w:w="840" w:type="dxa"/>
            <w:vAlign w:val="bottom"/>
          </w:tcPr>
          <w:p>
            <w:pPr>
              <w:jc w:val="right"/>
              <w:ind w:right="151"/>
              <w:spacing w:after="0"/>
              <w:rPr>
                <w:sz w:val="20"/>
                <w:szCs w:val="20"/>
                <w:color w:val="auto"/>
              </w:rPr>
            </w:pPr>
            <w:r>
              <w:rPr>
                <w:rFonts w:ascii="Arial" w:cs="Arial" w:eastAsia="Arial" w:hAnsi="Arial"/>
                <w:sz w:val="10"/>
                <w:szCs w:val="10"/>
                <w:b w:val="1"/>
                <w:bCs w:val="1"/>
                <w:color w:val="auto"/>
              </w:rPr>
              <w:t>$’000</w:t>
            </w:r>
          </w:p>
        </w:tc>
        <w:tc>
          <w:tcPr>
            <w:tcW w:w="1040" w:type="dxa"/>
            <w:vAlign w:val="bottom"/>
          </w:tcPr>
          <w:p>
            <w:pPr>
              <w:jc w:val="right"/>
              <w:ind w:right="230"/>
              <w:spacing w:after="0"/>
              <w:rPr>
                <w:sz w:val="20"/>
                <w:szCs w:val="20"/>
                <w:color w:val="auto"/>
              </w:rPr>
            </w:pPr>
            <w:r>
              <w:rPr>
                <w:rFonts w:ascii="Arial" w:cs="Arial" w:eastAsia="Arial" w:hAnsi="Arial"/>
                <w:sz w:val="10"/>
                <w:szCs w:val="10"/>
                <w:b w:val="1"/>
                <w:bCs w:val="1"/>
                <w:color w:val="auto"/>
              </w:rPr>
              <w:t>$’000</w:t>
            </w:r>
          </w:p>
        </w:tc>
        <w:tc>
          <w:tcPr>
            <w:tcW w:w="920" w:type="dxa"/>
            <w:vAlign w:val="bottom"/>
          </w:tcPr>
          <w:p>
            <w:pPr>
              <w:jc w:val="right"/>
              <w:ind w:right="231"/>
              <w:spacing w:after="0"/>
              <w:rPr>
                <w:sz w:val="20"/>
                <w:szCs w:val="20"/>
                <w:color w:val="auto"/>
              </w:rPr>
            </w:pPr>
            <w:r>
              <w:rPr>
                <w:rFonts w:ascii="Arial" w:cs="Arial" w:eastAsia="Arial" w:hAnsi="Arial"/>
                <w:sz w:val="10"/>
                <w:szCs w:val="10"/>
                <w:b w:val="1"/>
                <w:bCs w:val="1"/>
                <w:color w:val="auto"/>
              </w:rPr>
              <w:t>$’000</w:t>
            </w:r>
          </w:p>
        </w:tc>
        <w:tc>
          <w:tcPr>
            <w:tcW w:w="70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r>
      <w:tr>
        <w:trPr>
          <w:trHeight w:val="79"/>
        </w:trPr>
        <w:tc>
          <w:tcPr>
            <w:tcW w:w="234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17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31 December 2017</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0"/>
                <w:szCs w:val="10"/>
                <w:b w:val="1"/>
                <w:bCs w:val="1"/>
                <w:color w:val="auto"/>
              </w:rPr>
              <w:t>54,081,601</w:t>
            </w: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4,664</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266,852</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912</w:t>
            </w: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b w:val="1"/>
                <w:bCs w:val="1"/>
                <w:color w:val="auto"/>
              </w:rPr>
              <w:t>187,840</w:t>
            </w: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11,029</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(35,077)</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rPr>
              <w:t>(295)</w:t>
            </w: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794,331</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1,230,256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Profit for the year</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322,817</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322,817</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1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Impact of change in accounting policy</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3,709</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3,709</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(26,522)</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(26,522)</w:t>
            </w:r>
          </w:p>
        </w:tc>
      </w:tr>
      <w:tr>
        <w:trPr>
          <w:trHeight w:val="194"/>
        </w:trPr>
        <w:tc>
          <w:tcPr>
            <w:tcW w:w="2340" w:type="dxa"/>
            <w:vAlign w:val="bottom"/>
          </w:tcPr>
          <w:p>
            <w:pPr>
              <w:ind w:left="20"/>
              <w:spacing w:after="0"/>
              <w:rPr>
                <w:sz w:val="20"/>
                <w:szCs w:val="20"/>
                <w:color w:val="auto"/>
              </w:rPr>
            </w:pPr>
            <w:r>
              <w:rPr>
                <w:rFonts w:ascii="Arial" w:cs="Arial" w:eastAsia="Arial" w:hAnsi="Arial"/>
                <w:sz w:val="10"/>
                <w:szCs w:val="10"/>
                <w:color w:val="auto"/>
              </w:rPr>
              <w:t>Currency impact on long-term funding</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(4,834)</w:t>
            </w:r>
          </w:p>
        </w:tc>
        <w:tc>
          <w:tcPr>
            <w:tcW w:w="1040" w:type="dxa"/>
            <w:vAlign w:val="bottom"/>
          </w:tcPr>
          <w:p>
            <w:pPr>
              <w:jc w:val="right"/>
              <w:ind w:right="23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(4,834)</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flow hedge</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(1,036)</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190"/>
              <w:spacing w:after="0"/>
              <w:rPr>
                <w:sz w:val="20"/>
                <w:szCs w:val="20"/>
                <w:color w:val="auto"/>
              </w:rPr>
            </w:pPr>
            <w:r>
              <w:rPr>
                <w:rFonts w:ascii="Arial" w:cs="Arial" w:eastAsia="Arial" w:hAnsi="Arial"/>
                <w:sz w:val="10"/>
                <w:szCs w:val="10"/>
                <w:color w:val="auto"/>
              </w:rPr>
              <w:t>(155)</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(155)</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2,640</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2,640</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Tax benefit on defined benefit pension contributions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69"/>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Amortisation of interest rate hedge</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(923)</w:t>
            </w: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(923)</w:t>
            </w:r>
          </w:p>
        </w:tc>
      </w:tr>
      <w:tr>
        <w:trPr>
          <w:trHeight w:val="160"/>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other comprehensive income</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(923)</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(32,392)</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rPr>
              <w:t>(155)</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6,349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(27,121)</w:t>
            </w:r>
          </w:p>
        </w:tc>
      </w:tr>
      <w:tr>
        <w:trPr>
          <w:trHeight w:val="160"/>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(923)</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(32,392)</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rPr>
              <w:t>(155)</w:t>
            </w: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329,166</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295,696</w:t>
            </w:r>
          </w:p>
        </w:tc>
      </w:tr>
      <w:tr>
        <w:trPr>
          <w:trHeight w:val="202"/>
        </w:trPr>
        <w:tc>
          <w:tcPr>
            <w:tcW w:w="2340" w:type="dxa"/>
            <w:vAlign w:val="bottom"/>
          </w:tcPr>
          <w:p>
            <w:pPr>
              <w:ind w:left="20"/>
              <w:spacing w:after="0"/>
              <w:rPr>
                <w:sz w:val="20"/>
                <w:szCs w:val="20"/>
                <w:color w:val="auto"/>
              </w:rPr>
            </w:pPr>
            <w:r>
              <w:rPr>
                <w:rFonts w:ascii="Arial" w:cs="Arial" w:eastAsia="Arial" w:hAnsi="Arial"/>
                <w:sz w:val="10"/>
                <w:szCs w:val="10"/>
                <w:b w:val="1"/>
                <w:bCs w:val="1"/>
                <w:color w:val="auto"/>
                <w:w w:val="90"/>
              </w:rPr>
              <w:t>Transactions with owners, recorded directly in equity</w:t>
            </w: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28,009</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28,009</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Exercise of share options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408,699</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29</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16,777</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16,806</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w w:val="94"/>
              </w:rPr>
              <w:t>Transfer of exercised and expired share–based awards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(38,954)</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38,954</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w w:val="94"/>
              </w:rPr>
              <w:t>Issue of restricted share units/ performance share units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489,568</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36</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36</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issue costs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(16)</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Repurchase of ordinary shares</w:t>
            </w:r>
          </w:p>
        </w:tc>
        <w:tc>
          <w:tcPr>
            <w:tcW w:w="1180" w:type="dxa"/>
            <w:vAlign w:val="bottom"/>
          </w:tcPr>
          <w:p>
            <w:pPr>
              <w:jc w:val="right"/>
              <w:ind w:right="231"/>
              <w:spacing w:after="0"/>
              <w:rPr>
                <w:sz w:val="20"/>
                <w:szCs w:val="20"/>
                <w:color w:val="auto"/>
              </w:rPr>
            </w:pPr>
            <w:r>
              <w:rPr>
                <w:rFonts w:ascii="Arial" w:cs="Arial" w:eastAsia="Arial" w:hAnsi="Arial"/>
                <w:sz w:val="10"/>
                <w:szCs w:val="10"/>
                <w:color w:val="auto"/>
              </w:rPr>
              <w:t>(1,008,162)</w:t>
            </w:r>
          </w:p>
        </w:tc>
        <w:tc>
          <w:tcPr>
            <w:tcW w:w="880" w:type="dxa"/>
            <w:vAlign w:val="bottom"/>
          </w:tcPr>
          <w:p>
            <w:pPr>
              <w:jc w:val="right"/>
              <w:ind w:right="191"/>
              <w:spacing w:after="0"/>
              <w:rPr>
                <w:sz w:val="20"/>
                <w:szCs w:val="20"/>
                <w:color w:val="auto"/>
              </w:rPr>
            </w:pPr>
            <w:r>
              <w:rPr>
                <w:rFonts w:ascii="Arial" w:cs="Arial" w:eastAsia="Arial" w:hAnsi="Arial"/>
                <w:sz w:val="10"/>
                <w:szCs w:val="10"/>
                <w:color w:val="auto"/>
              </w:rPr>
              <w:t>(71)</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71</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91"/>
              <w:spacing w:after="0"/>
              <w:rPr>
                <w:sz w:val="20"/>
                <w:szCs w:val="20"/>
                <w:color w:val="auto"/>
              </w:rPr>
            </w:pPr>
            <w:r>
              <w:rPr>
                <w:rFonts w:ascii="Arial" w:cs="Arial" w:eastAsia="Arial" w:hAnsi="Arial"/>
                <w:sz w:val="10"/>
                <w:szCs w:val="10"/>
                <w:color w:val="auto"/>
              </w:rPr>
              <w:t>(128,960)</w:t>
            </w:r>
          </w:p>
        </w:tc>
        <w:tc>
          <w:tcPr>
            <w:tcW w:w="700" w:type="dxa"/>
            <w:vAlign w:val="bottom"/>
          </w:tcPr>
          <w:p>
            <w:pPr>
              <w:jc w:val="right"/>
              <w:spacing w:after="0"/>
              <w:rPr>
                <w:sz w:val="20"/>
                <w:szCs w:val="20"/>
                <w:color w:val="auto"/>
              </w:rPr>
            </w:pPr>
            <w:r>
              <w:rPr>
                <w:rFonts w:ascii="Arial" w:cs="Arial" w:eastAsia="Arial" w:hAnsi="Arial"/>
                <w:sz w:val="10"/>
                <w:szCs w:val="10"/>
                <w:color w:val="auto"/>
              </w:rPr>
              <w:t>(128,960)</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repurchase costs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(66)</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4,626</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4,626</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(8,195)</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(8,195)</w:t>
            </w:r>
          </w:p>
        </w:tc>
      </w:tr>
      <w:tr>
        <w:trPr>
          <w:trHeight w:val="162"/>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Non-distributable reserves</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1,762</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(1,762)</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r>
      <w:tr>
        <w:trPr>
          <w:trHeight w:val="160"/>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11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(109,895)</w:t>
            </w: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(6)</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16,777</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71</w:t>
            </w:r>
          </w:p>
        </w:tc>
        <w:tc>
          <w:tcPr>
            <w:tcW w:w="11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(14,514)</w:t>
            </w: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1,762</w:t>
            </w: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(91,850)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(87,760)</w:t>
            </w:r>
          </w:p>
        </w:tc>
      </w:tr>
      <w:tr>
        <w:trPr>
          <w:trHeight w:val="168"/>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at 31 December 2018</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53,971,706</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4,658</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283,629</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983</w:t>
            </w: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173,326</w:t>
            </w: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11,868</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(67,469)</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(450)</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1,031,647</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1,438,192</w:t>
            </w:r>
          </w:p>
        </w:tc>
      </w:tr>
    </w:tbl>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540"/>
          </w:cols>
          <w:pgMar w:left="220" w:top="1059" w:right="1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Consolidated Statement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i w:val="1"/>
                <w:iCs w:val="1"/>
                <w:color w:val="auto"/>
              </w:rPr>
              <w:t>Note</w:t>
            </w:r>
          </w:p>
        </w:tc>
        <w:tc>
          <w:tcPr>
            <w:tcW w:w="7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84"/>
              <w:spacing w:after="0"/>
              <w:rPr>
                <w:sz w:val="20"/>
                <w:szCs w:val="20"/>
                <w:color w:val="auto"/>
              </w:rPr>
            </w:pPr>
            <w:r>
              <w:rPr>
                <w:rFonts w:ascii="Arial" w:cs="Arial" w:eastAsia="Arial" w:hAnsi="Arial"/>
                <w:sz w:val="11"/>
                <w:szCs w:val="11"/>
                <w:b w:val="1"/>
                <w:bCs w:val="1"/>
                <w:color w:val="auto"/>
                <w:w w:val="92"/>
              </w:rPr>
              <w:t>December 31, 2018</w:t>
            </w:r>
          </w:p>
        </w:tc>
        <w:tc>
          <w:tcPr>
            <w:tcW w:w="0" w:type="dxa"/>
            <w:vAlign w:val="bottom"/>
          </w:tcPr>
          <w:p>
            <w:pPr>
              <w:spacing w:after="0"/>
              <w:rPr>
                <w:sz w:val="1"/>
                <w:szCs w:val="1"/>
                <w:color w:val="auto"/>
              </w:rPr>
            </w:pPr>
          </w:p>
        </w:tc>
      </w:tr>
      <w:tr>
        <w:trPr>
          <w:trHeight w:val="120"/>
        </w:trPr>
        <w:tc>
          <w:tcPr>
            <w:tcW w:w="3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jc w:val="right"/>
              <w:ind w:right="4"/>
              <w:spacing w:after="0" w:line="121" w:lineRule="exact"/>
              <w:rPr>
                <w:sz w:val="20"/>
                <w:szCs w:val="20"/>
                <w:color w:val="auto"/>
              </w:rPr>
            </w:pPr>
            <w:r>
              <w:rPr>
                <w:rFonts w:ascii="Arial" w:cs="Arial" w:eastAsia="Arial" w:hAnsi="Arial"/>
                <w:sz w:val="11"/>
                <w:szCs w:val="11"/>
                <w:b w:val="1"/>
                <w:bCs w:val="1"/>
                <w:color w:val="auto"/>
              </w:rPr>
              <w:t>As reported</w:t>
            </w:r>
          </w:p>
        </w:tc>
        <w:tc>
          <w:tcPr>
            <w:tcW w:w="900" w:type="dxa"/>
            <w:vAlign w:val="bottom"/>
          </w:tcPr>
          <w:p>
            <w:pPr>
              <w:jc w:val="right"/>
              <w:ind w:right="4"/>
              <w:spacing w:after="0" w:line="121" w:lineRule="exact"/>
              <w:rPr>
                <w:sz w:val="20"/>
                <w:szCs w:val="20"/>
                <w:color w:val="auto"/>
              </w:rPr>
            </w:pPr>
            <w:r>
              <w:rPr>
                <w:rFonts w:ascii="Arial" w:cs="Arial" w:eastAsia="Arial" w:hAnsi="Arial"/>
                <w:sz w:val="11"/>
                <w:szCs w:val="11"/>
                <w:b w:val="1"/>
                <w:bCs w:val="1"/>
                <w:color w:val="auto"/>
              </w:rPr>
              <w:t>Adjustment</w:t>
            </w:r>
          </w:p>
        </w:tc>
        <w:tc>
          <w:tcPr>
            <w:tcW w:w="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Balance without</w:t>
            </w: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ind w:left="20"/>
              <w:spacing w:after="0" w:line="116" w:lineRule="exact"/>
              <w:rPr>
                <w:sz w:val="20"/>
                <w:szCs w:val="20"/>
                <w:color w:val="auto"/>
              </w:rPr>
            </w:pPr>
            <w:r>
              <w:rPr>
                <w:rFonts w:ascii="Arial" w:cs="Arial" w:eastAsia="Arial" w:hAnsi="Arial"/>
                <w:sz w:val="11"/>
                <w:szCs w:val="11"/>
                <w:b w:val="1"/>
                <w:bCs w:val="1"/>
                <w:color w:val="auto"/>
              </w:rPr>
              <w:t>adoption of IFRS</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15</w:t>
            </w: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$’000</w:t>
            </w:r>
          </w:p>
        </w:tc>
        <w:tc>
          <w:tcPr>
            <w:tcW w:w="9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b w:val="1"/>
                <w:bCs w:val="1"/>
                <w:color w:val="auto"/>
              </w:rPr>
              <w:t>Profit for the financial year</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322,817</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3,709</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326,526</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7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w w:val="95"/>
              </w:rPr>
              <w:t>Adjustments to reconcile net income to net cash generated from operating</w:t>
            </w: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activities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Loss on disposal of property, plant and equipment</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70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12</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19,996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19,996</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Amortisation of intangible assets</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13</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45,920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45,920</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grants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22</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Interest on short term investments</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18</w:t>
            </w:r>
          </w:p>
        </w:tc>
        <w:tc>
          <w:tcPr>
            <w:tcW w:w="780" w:type="dxa"/>
            <w:vAlign w:val="bottom"/>
          </w:tcPr>
          <w:p>
            <w:pPr>
              <w:jc w:val="right"/>
              <w:spacing w:after="0"/>
              <w:rPr>
                <w:sz w:val="20"/>
                <w:szCs w:val="20"/>
                <w:color w:val="auto"/>
              </w:rPr>
            </w:pPr>
            <w:r>
              <w:rPr>
                <w:rFonts w:ascii="Arial" w:cs="Arial" w:eastAsia="Arial" w:hAnsi="Arial"/>
                <w:sz w:val="11"/>
                <w:szCs w:val="11"/>
                <w:color w:val="auto"/>
              </w:rPr>
              <w:t>(1,329)</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(1,329)</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Realised gain on sale of short term investments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18</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Gain on re-measurement of financial assets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(800)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(800)</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gain on interest rate hedge</w:t>
            </w:r>
          </w:p>
        </w:tc>
        <w:tc>
          <w:tcPr>
            <w:tcW w:w="5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(923)</w:t>
            </w: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(923)</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Amortisation of deferred financing costs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812</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812</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based payment</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11</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28,059</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28,059</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Financing income</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4</w:t>
            </w:r>
          </w:p>
        </w:tc>
        <w:tc>
          <w:tcPr>
            <w:tcW w:w="780" w:type="dxa"/>
            <w:vAlign w:val="bottom"/>
          </w:tcPr>
          <w:p>
            <w:pPr>
              <w:jc w:val="right"/>
              <w:spacing w:after="0"/>
              <w:rPr>
                <w:sz w:val="20"/>
                <w:szCs w:val="20"/>
                <w:color w:val="auto"/>
              </w:rPr>
            </w:pPr>
            <w:r>
              <w:rPr>
                <w:rFonts w:ascii="Arial" w:cs="Arial" w:eastAsia="Arial" w:hAnsi="Arial"/>
                <w:sz w:val="11"/>
                <w:szCs w:val="11"/>
                <w:color w:val="auto"/>
              </w:rPr>
              <w:t>(4,759)</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(4,759)</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expense</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5</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13,613</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13,613</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Defined benefit pension service costs</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263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pension finance costs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Defined benefit past service cost</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tcPr>
          <w:p>
            <w:pPr>
              <w:jc w:val="right"/>
              <w:spacing w:after="0"/>
              <w:rPr>
                <w:sz w:val="20"/>
                <w:szCs w:val="20"/>
                <w:color w:val="auto"/>
              </w:rPr>
            </w:pPr>
            <w:r>
              <w:rPr>
                <w:rFonts w:ascii="Arial" w:cs="Arial" w:eastAsia="Arial" w:hAnsi="Arial"/>
                <w:sz w:val="11"/>
                <w:szCs w:val="11"/>
                <w:color w:val="auto"/>
              </w:rPr>
              <w:t>(8)</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expenses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Income tax expense</w:t>
            </w:r>
          </w:p>
        </w:tc>
        <w:tc>
          <w:tcPr>
            <w:tcW w:w="5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i w:val="1"/>
                <w:iCs w:val="1"/>
                <w:color w:val="auto"/>
              </w:rPr>
              <w:t>6</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45,558</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5,680</w:t>
            </w: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51,238</w:t>
            </w: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cash inflow before changes in working capital</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469,323</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9,389</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478,712</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Increase in accounts receivable</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(37,557)</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(37,557)</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Increase in unbilled revenue</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(98,510)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1,462</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(97,048)</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Decrease in other current assets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342</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12,580</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12,922</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other non current assets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856</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Increase in inventory</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(38)</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accounts payable</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(5,067)</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(Decrease)/increase in payments on account</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(6,253)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59,242</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52,989</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accrued and other liabilities and provisions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(29,613)</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(82,673)</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(112,286)</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Decrease in non current other liabilities and provisions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(1,813)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(1,813)</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provided by operations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291,670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291,670</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tcPr>
          <w:p>
            <w:pPr>
              <w:ind w:left="20"/>
              <w:spacing w:after="0"/>
              <w:rPr>
                <w:sz w:val="20"/>
                <w:szCs w:val="20"/>
                <w:color w:val="auto"/>
              </w:rPr>
            </w:pPr>
            <w:r>
              <w:rPr>
                <w:rFonts w:ascii="Arial" w:cs="Arial" w:eastAsia="Arial" w:hAnsi="Arial"/>
                <w:sz w:val="11"/>
                <w:szCs w:val="11"/>
                <w:color w:val="auto"/>
              </w:rPr>
              <w:t>Income taxes paid</w:t>
            </w: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(18,558)</w:t>
            </w:r>
          </w:p>
        </w:tc>
        <w:tc>
          <w:tcPr>
            <w:tcW w:w="900" w:type="dxa"/>
            <w:vAlign w:val="bottom"/>
          </w:tcPr>
          <w:p>
            <w:pPr>
              <w:spacing w:after="0"/>
              <w:rPr>
                <w:sz w:val="12"/>
                <w:szCs w:val="12"/>
                <w:color w:val="auto"/>
              </w:rPr>
            </w:pPr>
          </w:p>
        </w:tc>
        <w:tc>
          <w:tcPr>
            <w:tcW w:w="980" w:type="dxa"/>
            <w:vAlign w:val="bottom"/>
          </w:tcPr>
          <w:p>
            <w:pPr>
              <w:jc w:val="right"/>
              <w:ind w:right="44"/>
              <w:spacing w:after="0"/>
              <w:rPr>
                <w:sz w:val="20"/>
                <w:szCs w:val="20"/>
                <w:color w:val="auto"/>
              </w:rPr>
            </w:pPr>
            <w:r>
              <w:rPr>
                <w:rFonts w:ascii="Arial" w:cs="Arial" w:eastAsia="Arial" w:hAnsi="Arial"/>
                <w:sz w:val="11"/>
                <w:szCs w:val="11"/>
                <w:color w:val="auto"/>
              </w:rPr>
              <w:t>(18,558)</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Employer contribution defined benefit pension scheme</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Interest received</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4,224</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4,224</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(13,060)</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tcPr>
          <w:p>
            <w:pPr>
              <w:ind w:left="20"/>
              <w:spacing w:after="0"/>
              <w:rPr>
                <w:sz w:val="20"/>
                <w:szCs w:val="20"/>
                <w:color w:val="auto"/>
              </w:rPr>
            </w:pPr>
            <w:r>
              <w:rPr>
                <w:rFonts w:ascii="Arial" w:cs="Arial" w:eastAsia="Arial" w:hAnsi="Arial"/>
                <w:sz w:val="11"/>
                <w:szCs w:val="11"/>
                <w:b w:val="1"/>
                <w:bCs w:val="1"/>
                <w:color w:val="auto"/>
              </w:rPr>
              <w:t>Net cash inflow from operating activities</w:t>
            </w:r>
          </w:p>
        </w:tc>
        <w:tc>
          <w:tcPr>
            <w:tcW w:w="560" w:type="dxa"/>
            <w:vAlign w:val="bottom"/>
          </w:tcPr>
          <w:p>
            <w:pPr>
              <w:spacing w:after="0"/>
              <w:rPr>
                <w:sz w:val="12"/>
                <w:szCs w:val="12"/>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264,013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264,013</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Purchase of property, plant and equipment</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(20,760)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44"/>
              <w:spacing w:after="0"/>
              <w:rPr>
                <w:sz w:val="20"/>
                <w:szCs w:val="20"/>
                <w:color w:val="auto"/>
              </w:rPr>
            </w:pPr>
            <w:r>
              <w:rPr>
                <w:rFonts w:ascii="Arial" w:cs="Arial" w:eastAsia="Arial" w:hAnsi="Arial"/>
                <w:sz w:val="11"/>
                <w:szCs w:val="11"/>
                <w:color w:val="auto"/>
              </w:rPr>
              <w:t>(20,760)</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intangible assets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(27,637)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(27,637)</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Purchase of subsidiary undertakings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(1,645)</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44"/>
              <w:spacing w:after="0"/>
              <w:rPr>
                <w:sz w:val="20"/>
                <w:szCs w:val="20"/>
                <w:color w:val="auto"/>
              </w:rPr>
            </w:pPr>
            <w:r>
              <w:rPr>
                <w:rFonts w:ascii="Arial" w:cs="Arial" w:eastAsia="Arial" w:hAnsi="Arial"/>
                <w:sz w:val="11"/>
                <w:szCs w:val="11"/>
                <w:color w:val="auto"/>
              </w:rPr>
              <w:t>(1,645)</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acquired with subsidiary undertakings</w:t>
            </w:r>
          </w:p>
        </w:tc>
        <w:tc>
          <w:tcPr>
            <w:tcW w:w="5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Sale/maturity of current asset investments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99,865</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4"/>
              <w:spacing w:after="0"/>
              <w:rPr>
                <w:sz w:val="20"/>
                <w:szCs w:val="20"/>
                <w:color w:val="auto"/>
              </w:rPr>
            </w:pPr>
            <w:r>
              <w:rPr>
                <w:rFonts w:ascii="Arial" w:cs="Arial" w:eastAsia="Arial" w:hAnsi="Arial"/>
                <w:sz w:val="11"/>
                <w:szCs w:val="11"/>
                <w:color w:val="auto"/>
              </w:rPr>
              <w:t>99,865</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current asset investments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(80,956)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(80,956)</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Purchase of investments in equity - long term</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(6,163)</w:t>
            </w:r>
          </w:p>
        </w:tc>
        <w:tc>
          <w:tcPr>
            <w:tcW w:w="90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44"/>
              <w:spacing w:after="0"/>
              <w:rPr>
                <w:sz w:val="20"/>
                <w:szCs w:val="20"/>
                <w:color w:val="auto"/>
              </w:rPr>
            </w:pPr>
            <w:r>
              <w:rPr>
                <w:rFonts w:ascii="Arial" w:cs="Arial" w:eastAsia="Arial" w:hAnsi="Arial"/>
                <w:sz w:val="11"/>
                <w:szCs w:val="11"/>
                <w:color w:val="auto"/>
              </w:rPr>
              <w:t>(6,163)</w:t>
            </w:r>
          </w:p>
        </w:tc>
        <w:tc>
          <w:tcPr>
            <w:tcW w:w="0" w:type="dxa"/>
            <w:vAlign w:val="bottom"/>
          </w:tcPr>
          <w:p>
            <w:pPr>
              <w:spacing w:after="0"/>
              <w:rPr>
                <w:sz w:val="1"/>
                <w:szCs w:val="1"/>
                <w:color w:val="auto"/>
              </w:rPr>
            </w:pPr>
          </w:p>
        </w:tc>
      </w:tr>
      <w:tr>
        <w:trPr>
          <w:trHeight w:val="57"/>
        </w:trPr>
        <w:tc>
          <w:tcPr>
            <w:tcW w:w="3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(37,296)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(37,296)</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costs</w:t>
            </w:r>
          </w:p>
        </w:tc>
        <w:tc>
          <w:tcPr>
            <w:tcW w:w="5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(823)</w:t>
            </w: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Tax benefit from the exercise of share options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4,626</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4"/>
              <w:spacing w:after="0"/>
              <w:rPr>
                <w:sz w:val="20"/>
                <w:szCs w:val="20"/>
                <w:color w:val="auto"/>
              </w:rPr>
            </w:pPr>
            <w:r>
              <w:rPr>
                <w:rFonts w:ascii="Arial" w:cs="Arial" w:eastAsia="Arial" w:hAnsi="Arial"/>
                <w:sz w:val="11"/>
                <w:szCs w:val="11"/>
                <w:color w:val="auto"/>
              </w:rPr>
              <w:t>4,626</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exercise of share options, RSUs and PSUs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16,842</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16,842</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Share issuance costs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44"/>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ordinary shares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(128,960)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1"/>
                <w:szCs w:val="11"/>
                <w:color w:val="auto"/>
              </w:rPr>
              <w:t>(128,960)</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Share repurchase costs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(66)</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44"/>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57"/>
        </w:trPr>
        <w:tc>
          <w:tcPr>
            <w:tcW w:w="3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5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(108,397)</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rPr>
              <w:t>(108,397)</w:t>
            </w:r>
          </w:p>
        </w:tc>
        <w:tc>
          <w:tcPr>
            <w:tcW w:w="0" w:type="dxa"/>
            <w:vAlign w:val="bottom"/>
          </w:tcPr>
          <w:p>
            <w:pPr>
              <w:spacing w:after="0"/>
              <w:rPr>
                <w:sz w:val="1"/>
                <w:szCs w:val="1"/>
                <w:color w:val="auto"/>
              </w:rPr>
            </w:pPr>
          </w:p>
        </w:tc>
      </w:tr>
      <w:tr>
        <w:trPr>
          <w:trHeight w:val="145"/>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Net increase in cash and cash equivalents</w:t>
            </w:r>
          </w:p>
        </w:tc>
        <w:tc>
          <w:tcPr>
            <w:tcW w:w="5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118,320</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118,320</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(5,328)</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(5,328)</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Cash and cash equivalents at start of year</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282,859</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282,859</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 at end of year</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395,851</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395,851</w:t>
            </w:r>
          </w:p>
        </w:tc>
        <w:tc>
          <w:tcPr>
            <w:tcW w:w="0" w:type="dxa"/>
            <w:vAlign w:val="bottom"/>
          </w:tcPr>
          <w:p>
            <w:pPr>
              <w:spacing w:after="0"/>
              <w:rPr>
                <w:sz w:val="1"/>
                <w:szCs w:val="1"/>
                <w:color w:val="auto"/>
              </w:rPr>
            </w:pPr>
          </w:p>
        </w:tc>
      </w:tr>
      <w:tr>
        <w:trPr>
          <w:trHeight w:val="62"/>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10239"/>
          </w:cols>
          <w:pgMar w:left="220" w:top="1059" w:right="1440" w:bottom="1440" w:gutter="0" w:footer="0" w:header="0"/>
        </w:sectPr>
      </w:pPr>
    </w:p>
    <w:p>
      <w:pPr>
        <w:ind w:left="5620"/>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0239"/>
          </w:cols>
          <w:pgMar w:left="220" w:top="1059" w:right="1440"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35. Approval of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approved these financial statements on 30 April 2019.</w:t>
      </w:r>
    </w:p>
    <w:p>
      <w:pPr>
        <w:spacing w:after="0" w:line="199"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0239"/>
          </w:cols>
          <w:pgMar w:left="220" w:top="1164" w:right="1440"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Company Statement of Financial Position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b w:val="1"/>
                <w:bCs w:val="1"/>
                <w:color w:val="auto"/>
              </w:rPr>
              <w:t>31 December 2018</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31 December 2017</w:t>
            </w:r>
          </w:p>
        </w:tc>
      </w:tr>
      <w:tr>
        <w:trPr>
          <w:trHeight w:val="190"/>
        </w:trPr>
        <w:tc>
          <w:tcPr>
            <w:tcW w:w="1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1</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691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1660" w:type="dxa"/>
            <w:vAlign w:val="bottom"/>
          </w:tcPr>
          <w:p>
            <w:pPr>
              <w:spacing w:after="0"/>
              <w:rPr>
                <w:sz w:val="16"/>
                <w:szCs w:val="16"/>
                <w:color w:val="auto"/>
              </w:rPr>
            </w:pP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2</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102</w:t>
            </w: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subsidiaries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3</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264,347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293,934</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non current assets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37</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4</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451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265,628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294,604</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6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660" w:type="dxa"/>
            <w:vAlign w:val="bottom"/>
          </w:tcPr>
          <w:p>
            <w:pPr>
              <w:spacing w:after="0"/>
              <w:rPr>
                <w:sz w:val="16"/>
                <w:szCs w:val="16"/>
                <w:color w:val="auto"/>
              </w:rPr>
            </w:pP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5</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2,138</w:t>
            </w:r>
          </w:p>
        </w:tc>
        <w:tc>
          <w:tcPr>
            <w:tcW w:w="1160" w:type="dxa"/>
            <w:vAlign w:val="bottom"/>
          </w:tcPr>
          <w:p>
            <w:pPr>
              <w:jc w:val="right"/>
              <w:spacing w:after="0"/>
              <w:rPr>
                <w:sz w:val="20"/>
                <w:szCs w:val="20"/>
                <w:color w:val="auto"/>
              </w:rPr>
            </w:pPr>
            <w:r>
              <w:rPr>
                <w:rFonts w:ascii="Arial" w:cs="Arial" w:eastAsia="Arial" w:hAnsi="Arial"/>
                <w:sz w:val="14"/>
                <w:szCs w:val="14"/>
                <w:color w:val="auto"/>
              </w:rPr>
              <w:t>1,996</w:t>
            </w:r>
          </w:p>
        </w:tc>
      </w:tr>
      <w:tr>
        <w:trPr>
          <w:trHeight w:val="21"/>
        </w:trPr>
        <w:tc>
          <w:tcPr>
            <w:tcW w:w="36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Amounts due from subsidiary undertakings</w:t>
            </w: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6</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430,810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368,030</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Current taxes receivable</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673</w:t>
            </w:r>
          </w:p>
        </w:tc>
        <w:tc>
          <w:tcPr>
            <w:tcW w:w="116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100,048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51,529</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533,669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422,164</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19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r>
      <w:tr>
        <w:trPr>
          <w:trHeight w:val="181"/>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799,297</w:t>
            </w:r>
          </w:p>
        </w:tc>
        <w:tc>
          <w:tcPr>
            <w:tcW w:w="1160" w:type="dxa"/>
            <w:vAlign w:val="bottom"/>
          </w:tcPr>
          <w:p>
            <w:pPr>
              <w:jc w:val="right"/>
              <w:spacing w:after="0"/>
              <w:rPr>
                <w:sz w:val="20"/>
                <w:szCs w:val="20"/>
                <w:color w:val="auto"/>
              </w:rPr>
            </w:pPr>
            <w:r>
              <w:rPr>
                <w:rFonts w:ascii="Arial" w:cs="Arial" w:eastAsia="Arial" w:hAnsi="Arial"/>
                <w:sz w:val="14"/>
                <w:szCs w:val="14"/>
                <w:color w:val="auto"/>
              </w:rPr>
              <w:t>716,768</w:t>
            </w: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Share capital</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4,658</w:t>
            </w:r>
          </w:p>
        </w:tc>
        <w:tc>
          <w:tcPr>
            <w:tcW w:w="1160" w:type="dxa"/>
            <w:vAlign w:val="bottom"/>
          </w:tcPr>
          <w:p>
            <w:pPr>
              <w:jc w:val="right"/>
              <w:spacing w:after="0"/>
              <w:rPr>
                <w:sz w:val="20"/>
                <w:szCs w:val="20"/>
                <w:color w:val="auto"/>
              </w:rPr>
            </w:pPr>
            <w:r>
              <w:rPr>
                <w:rFonts w:ascii="Arial" w:cs="Arial" w:eastAsia="Arial" w:hAnsi="Arial"/>
                <w:sz w:val="14"/>
                <w:szCs w:val="14"/>
                <w:color w:val="auto"/>
              </w:rPr>
              <w:t>4,664</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premium</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283,629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266,852</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undenominated capital</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983</w:t>
            </w:r>
          </w:p>
        </w:tc>
        <w:tc>
          <w:tcPr>
            <w:tcW w:w="116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based payment reserve</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134,208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145,153</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(107,464)</w:t>
            </w:r>
          </w:p>
        </w:tc>
        <w:tc>
          <w:tcPr>
            <w:tcW w:w="1160" w:type="dxa"/>
            <w:vAlign w:val="bottom"/>
          </w:tcPr>
          <w:p>
            <w:pPr>
              <w:jc w:val="right"/>
              <w:spacing w:after="0"/>
              <w:rPr>
                <w:sz w:val="20"/>
                <w:szCs w:val="20"/>
                <w:color w:val="auto"/>
              </w:rPr>
            </w:pPr>
            <w:r>
              <w:rPr>
                <w:rFonts w:ascii="Arial" w:cs="Arial" w:eastAsia="Arial" w:hAnsi="Arial"/>
                <w:sz w:val="14"/>
                <w:szCs w:val="14"/>
                <w:color w:val="auto"/>
              </w:rPr>
              <w:t>(107,332)</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1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465,110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389,286</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99"/>
              </w:rPr>
              <w:t>Attributable to equity holders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781,124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699,535</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19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r>
      <w:tr>
        <w:trPr>
          <w:trHeight w:val="181"/>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Total equity</w:t>
            </w: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781,124</w:t>
            </w:r>
          </w:p>
        </w:tc>
        <w:tc>
          <w:tcPr>
            <w:tcW w:w="1160" w:type="dxa"/>
            <w:vAlign w:val="bottom"/>
          </w:tcPr>
          <w:p>
            <w:pPr>
              <w:jc w:val="right"/>
              <w:spacing w:after="0"/>
              <w:rPr>
                <w:sz w:val="20"/>
                <w:szCs w:val="20"/>
                <w:color w:val="auto"/>
              </w:rPr>
            </w:pPr>
            <w:r>
              <w:rPr>
                <w:rFonts w:ascii="Arial" w:cs="Arial" w:eastAsia="Arial" w:hAnsi="Arial"/>
                <w:sz w:val="14"/>
                <w:szCs w:val="14"/>
                <w:color w:val="auto"/>
              </w:rPr>
              <w:t>699,535</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19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Non-current other liabilities</w:t>
            </w:r>
          </w:p>
        </w:tc>
        <w:tc>
          <w:tcPr>
            <w:tcW w:w="1660" w:type="dxa"/>
            <w:vAlign w:val="bottom"/>
          </w:tcPr>
          <w:p>
            <w:pPr>
              <w:spacing w:after="0"/>
              <w:rPr>
                <w:sz w:val="16"/>
                <w:szCs w:val="16"/>
                <w:color w:val="auto"/>
              </w:rPr>
            </w:pP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7</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2,533</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2,533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0"/>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Amounts due to subsidiary undertakings</w:t>
            </w: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6</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2,969</w:t>
            </w:r>
          </w:p>
        </w:tc>
        <w:tc>
          <w:tcPr>
            <w:tcW w:w="1160" w:type="dxa"/>
            <w:vAlign w:val="bottom"/>
          </w:tcPr>
          <w:p>
            <w:pPr>
              <w:jc w:val="right"/>
              <w:spacing w:after="0"/>
              <w:rPr>
                <w:sz w:val="20"/>
                <w:szCs w:val="20"/>
                <w:color w:val="auto"/>
              </w:rPr>
            </w:pPr>
            <w:r>
              <w:rPr>
                <w:rFonts w:ascii="Arial" w:cs="Arial" w:eastAsia="Arial" w:hAnsi="Arial"/>
                <w:sz w:val="14"/>
                <w:szCs w:val="14"/>
                <w:color w:val="auto"/>
              </w:rPr>
              <w:t>3,944</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7</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11,907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13,238</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Current taxes payable</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708</w:t>
            </w:r>
          </w:p>
        </w:tc>
        <w:tc>
          <w:tcPr>
            <w:tcW w:w="11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19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15,640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17,233</w:t>
            </w:r>
          </w:p>
        </w:tc>
      </w:tr>
      <w:tr>
        <w:trPr>
          <w:trHeight w:val="213"/>
        </w:trPr>
        <w:tc>
          <w:tcPr>
            <w:tcW w:w="19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r>
      <w:tr>
        <w:trPr>
          <w:trHeight w:val="20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18,173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17,233</w:t>
            </w:r>
          </w:p>
        </w:tc>
      </w:tr>
      <w:tr>
        <w:trPr>
          <w:trHeight w:val="213"/>
        </w:trPr>
        <w:tc>
          <w:tcPr>
            <w:tcW w:w="19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r>
      <w:tr>
        <w:trPr>
          <w:trHeight w:val="208"/>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and liabilities</w:t>
            </w: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799,297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716,768</w:t>
            </w:r>
          </w:p>
        </w:tc>
      </w:tr>
      <w:tr>
        <w:trPr>
          <w:trHeight w:val="338"/>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On behalf of the Board</w:t>
            </w:r>
          </w:p>
        </w:tc>
        <w:tc>
          <w:tcPr>
            <w:tcW w:w="16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96"/>
        </w:trPr>
        <w:tc>
          <w:tcPr>
            <w:tcW w:w="1980" w:type="dxa"/>
            <w:vAlign w:val="bottom"/>
          </w:tcPr>
          <w:p>
            <w:pPr>
              <w:ind w:left="20"/>
              <w:spacing w:after="0"/>
              <w:rPr>
                <w:sz w:val="20"/>
                <w:szCs w:val="20"/>
                <w:color w:val="auto"/>
              </w:rPr>
            </w:pPr>
            <w:r>
              <w:rPr>
                <w:rFonts w:ascii="Arial" w:cs="Arial" w:eastAsia="Arial" w:hAnsi="Arial"/>
                <w:sz w:val="14"/>
                <w:szCs w:val="14"/>
                <w:color w:val="auto"/>
              </w:rPr>
              <w:t>Steve Cutler</w:t>
            </w:r>
          </w:p>
        </w:tc>
        <w:tc>
          <w:tcPr>
            <w:tcW w:w="1660" w:type="dxa"/>
            <w:vAlign w:val="bottom"/>
          </w:tcPr>
          <w:p>
            <w:pPr>
              <w:ind w:left="140"/>
              <w:spacing w:after="0"/>
              <w:rPr>
                <w:sz w:val="20"/>
                <w:szCs w:val="20"/>
                <w:color w:val="auto"/>
              </w:rPr>
            </w:pPr>
            <w:r>
              <w:rPr>
                <w:rFonts w:ascii="Arial" w:cs="Arial" w:eastAsia="Arial" w:hAnsi="Arial"/>
                <w:sz w:val="14"/>
                <w:szCs w:val="14"/>
                <w:color w:val="auto"/>
              </w:rPr>
              <w:t>Ronan Murphy</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2"/>
        </w:trPr>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660" w:type="dxa"/>
            <w:vAlign w:val="bottom"/>
          </w:tcPr>
          <w:p>
            <w:pPr>
              <w:ind w:left="140"/>
              <w:spacing w:after="0"/>
              <w:rPr>
                <w:sz w:val="20"/>
                <w:szCs w:val="20"/>
                <w:color w:val="auto"/>
              </w:rPr>
            </w:pPr>
            <w:r>
              <w:rPr>
                <w:rFonts w:ascii="Arial" w:cs="Arial" w:eastAsia="Arial" w:hAnsi="Arial"/>
                <w:sz w:val="14"/>
                <w:szCs w:val="14"/>
                <w:i w:val="1"/>
                <w:iCs w:val="1"/>
                <w:color w:val="auto"/>
              </w:rPr>
              <w:t>Director</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81"/>
        </w:trPr>
        <w:tc>
          <w:tcPr>
            <w:tcW w:w="1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60" w:type="dxa"/>
            <w:vAlign w:val="bottom"/>
            <w:gridSpan w:val="2"/>
          </w:tcPr>
          <w:p>
            <w:pPr>
              <w:jc w:val="right"/>
              <w:ind w:right="1049"/>
              <w:spacing w:after="0"/>
              <w:rPr>
                <w:sz w:val="20"/>
                <w:szCs w:val="20"/>
                <w:color w:val="auto"/>
              </w:rPr>
            </w:pPr>
            <w:r>
              <w:rPr>
                <w:rFonts w:ascii="Arial" w:cs="Arial" w:eastAsia="Arial" w:hAnsi="Arial"/>
                <w:sz w:val="14"/>
                <w:szCs w:val="14"/>
                <w:color w:val="auto"/>
              </w:rPr>
              <w:t>126</w:t>
            </w:r>
          </w:p>
        </w:tc>
      </w:tr>
    </w:tbl>
    <w:p>
      <w:pPr>
        <w:sectPr>
          <w:pgSz w:w="11900" w:h="16838" w:orient="portrait"/>
          <w:cols w:equalWidth="0" w:num="1">
            <w:col w:w="10239"/>
          </w:cols>
          <w:pgMar w:left="220" w:top="1059" w:right="1440"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Company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Share</w:t>
            </w: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69"/>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Based</w:t>
            </w: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Number</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Share Undenominated</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Payment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Currency</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8"/>
              </w:rPr>
              <w:t>Retained</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5"/>
        </w:trPr>
        <w:tc>
          <w:tcPr>
            <w:tcW w:w="3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of shares</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Premium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Capital</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Reserve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Reserve</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Reserve</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Earnings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90"/>
        </w:trPr>
        <w:tc>
          <w:tcPr>
            <w:tcW w:w="3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Balance at 1 January 2018</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54,081,601</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4,664</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266,852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145,153</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(113,403)</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389,286</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699,535</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for the year</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165,912</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165,912</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10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Total other comprehensive income</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Total comprehensive income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165,912</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165,780</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Transactions with owners, recorded directly in equity</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Share based payment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28,009</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28,009</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share options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408,699</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16,777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16,806</w:t>
            </w: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Share issue costs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Issue of restricted share units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489,568</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Repurchase of ordinary shares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(1,008,162)</w:t>
            </w:r>
          </w:p>
        </w:tc>
        <w:tc>
          <w:tcPr>
            <w:tcW w:w="640" w:type="dxa"/>
            <w:vAlign w:val="bottom"/>
          </w:tcPr>
          <w:p>
            <w:pPr>
              <w:jc w:val="right"/>
              <w:spacing w:after="0"/>
              <w:rPr>
                <w:sz w:val="20"/>
                <w:szCs w:val="20"/>
                <w:color w:val="auto"/>
              </w:rPr>
            </w:pPr>
            <w:r>
              <w:rPr>
                <w:rFonts w:ascii="Arial" w:cs="Arial" w:eastAsia="Arial" w:hAnsi="Arial"/>
                <w:sz w:val="14"/>
                <w:szCs w:val="14"/>
                <w:color w:val="auto"/>
              </w:rPr>
              <w:t>(71)</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(128,960) (128,960)</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repurchase costs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Transfer of exercised and expired share based awards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(38,954)</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38,954</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Total contributions by and distributions to owners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(109,895)</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16,777</w:t>
            </w: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(10,945)</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(90,088)</w:t>
            </w:r>
          </w:p>
        </w:tc>
        <w:tc>
          <w:tcPr>
            <w:tcW w:w="580" w:type="dxa"/>
            <w:vAlign w:val="bottom"/>
          </w:tcPr>
          <w:p>
            <w:pPr>
              <w:jc w:val="right"/>
              <w:spacing w:after="0"/>
              <w:rPr>
                <w:sz w:val="20"/>
                <w:szCs w:val="20"/>
                <w:color w:val="auto"/>
              </w:rPr>
            </w:pPr>
            <w:r>
              <w:rPr>
                <w:rFonts w:ascii="Arial" w:cs="Arial" w:eastAsia="Arial" w:hAnsi="Arial"/>
                <w:sz w:val="14"/>
                <w:szCs w:val="14"/>
                <w:color w:val="auto"/>
              </w:rPr>
              <w:t>(84,191)</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at 31 December 2018</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53,971,706</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4,658</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283,629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983</w:t>
            </w: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134,208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(113,535)</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465,110</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781,124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4770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7000" cy="13335"/>
                    </a:xfrm>
                    <a:prstGeom prst="rect">
                      <a:avLst/>
                    </a:prstGeom>
                    <a:noFill/>
                  </pic:spPr>
                </pic:pic>
              </a:graphicData>
            </a:graphic>
          </wp:anchor>
        </w:drawing>
      </w:r>
    </w:p>
    <w:p>
      <w:pPr>
        <w:spacing w:after="0" w:line="16" w:lineRule="exact"/>
        <w:rPr>
          <w:sz w:val="20"/>
          <w:szCs w:val="20"/>
          <w:color w:val="auto"/>
        </w:rPr>
      </w:pPr>
    </w:p>
    <w:p>
      <w:pPr>
        <w:spacing w:after="0" w:line="256" w:lineRule="auto"/>
        <w:rPr>
          <w:sz w:val="20"/>
          <w:szCs w:val="20"/>
          <w:color w:val="auto"/>
        </w:rPr>
      </w:pPr>
      <w:r>
        <w:rPr>
          <w:rFonts w:ascii="Arial" w:cs="Arial" w:eastAsia="Arial" w:hAnsi="Arial"/>
          <w:sz w:val="13"/>
          <w:szCs w:val="13"/>
          <w:i w:val="1"/>
          <w:iCs w:val="1"/>
          <w:color w:val="auto"/>
        </w:rPr>
        <w:t>As permitted by section 504 of the Companies Act 2014, the Company has not presented a Company Statement of Profit and Loss. The profit for the 2018 financial year of the Company amounted to $165,912,000 (2017: profit $24,233,000)</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60"/>
          </w:cols>
          <w:pgMar w:left="220" w:top="1059" w:right="21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Company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Share-</w:t>
            </w: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69"/>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based</w:t>
            </w:r>
          </w:p>
        </w:tc>
        <w:tc>
          <w:tcPr>
            <w:tcW w:w="6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Number</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Share Undenominated</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Payment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Currency</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8"/>
              </w:rPr>
              <w:t>Retained</w:t>
            </w: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85"/>
        </w:trPr>
        <w:tc>
          <w:tcPr>
            <w:tcW w:w="34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of shares</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Premium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Capital</w:t>
            </w: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Reserve</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Reserve</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Earnings</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Equity</w:t>
            </w:r>
          </w:p>
        </w:tc>
      </w:tr>
      <w:tr>
        <w:trPr>
          <w:trHeight w:val="190"/>
        </w:trPr>
        <w:tc>
          <w:tcPr>
            <w:tcW w:w="3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5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Balance at 1 January 2017</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54,530,843</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4,692</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252,977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809</w:t>
            </w: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120,241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(113,462)</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493,294</w:t>
            </w:r>
          </w:p>
        </w:tc>
        <w:tc>
          <w:tcPr>
            <w:tcW w:w="58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764,622</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for the year</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24,233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24,233</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10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59</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Total other comprehensive income</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59</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Total comprehensive income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24,233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24,292</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Transactions with owners, recorded directly in equity</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29,898</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29,898</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share options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458,243</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13,875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13,906</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Share issue costs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Issue of restricted share units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681,742</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44</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Repurchase of ordinary shares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(1,589,227)</w:t>
            </w: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w w:val="98"/>
              </w:rPr>
              <w:t>(133,106) (133,106)</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repurchase costs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w w:val="99"/>
              </w:rPr>
              <w:t>Transfer of exercised and expired share-based awards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(4,986)</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4,986</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Total contributions by and distributions to owners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(449,242)</w:t>
            </w: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13,875</w:t>
            </w: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24,912</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(128,241)</w:t>
            </w:r>
          </w:p>
        </w:tc>
        <w:tc>
          <w:tcPr>
            <w:tcW w:w="580" w:type="dxa"/>
            <w:vAlign w:val="bottom"/>
          </w:tcPr>
          <w:p>
            <w:pPr>
              <w:jc w:val="right"/>
              <w:spacing w:after="0"/>
              <w:rPr>
                <w:sz w:val="20"/>
                <w:szCs w:val="20"/>
                <w:color w:val="auto"/>
              </w:rPr>
            </w:pPr>
            <w:r>
              <w:rPr>
                <w:rFonts w:ascii="Arial" w:cs="Arial" w:eastAsia="Arial" w:hAnsi="Arial"/>
                <w:sz w:val="14"/>
                <w:szCs w:val="14"/>
                <w:color w:val="auto"/>
                <w:w w:val="99"/>
              </w:rPr>
              <w:t>(89,379)</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Balance at 31 December 2017</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54,081,601</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4,664</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266,852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145,153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(113,403)</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389,286</w:t>
            </w:r>
          </w:p>
        </w:tc>
        <w:tc>
          <w:tcPr>
            <w:tcW w:w="58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699,535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47001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0015" cy="13335"/>
                    </a:xfrm>
                    <a:prstGeom prst="rect">
                      <a:avLst/>
                    </a:prstGeom>
                    <a:noFill/>
                  </pic:spPr>
                </pic:pic>
              </a:graphicData>
            </a:graphic>
          </wp:anchor>
        </w:drawing>
      </w:r>
    </w:p>
    <w:p>
      <w:pPr>
        <w:spacing w:after="0" w:line="16" w:lineRule="exact"/>
        <w:rPr>
          <w:sz w:val="20"/>
          <w:szCs w:val="20"/>
          <w:color w:val="auto"/>
        </w:rPr>
      </w:pPr>
    </w:p>
    <w:p>
      <w:pPr>
        <w:spacing w:after="0" w:line="256" w:lineRule="auto"/>
        <w:rPr>
          <w:sz w:val="20"/>
          <w:szCs w:val="20"/>
          <w:color w:val="auto"/>
        </w:rPr>
      </w:pPr>
      <w:r>
        <w:rPr>
          <w:rFonts w:ascii="Arial" w:cs="Arial" w:eastAsia="Arial" w:hAnsi="Arial"/>
          <w:sz w:val="13"/>
          <w:szCs w:val="13"/>
          <w:i w:val="1"/>
          <w:iCs w:val="1"/>
          <w:color w:val="auto"/>
        </w:rPr>
        <w:t>As permitted by section 504 of the Companies Act 2014, the Company has not presented a Company Statement of Profit and Loss. The profit for the 2017 financial year of the Company amounted to $24,233,000 (2016: profit $324,848,000)</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60"/>
          </w:cols>
          <w:pgMar w:left="220" w:top="1058" w:right="21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Company Statement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42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149"/>
              <w:spacing w:after="0"/>
              <w:rPr>
                <w:sz w:val="20"/>
                <w:szCs w:val="20"/>
                <w:color w:val="auto"/>
              </w:rPr>
            </w:pPr>
            <w:r>
              <w:rPr>
                <w:rFonts w:ascii="Arial" w:cs="Arial" w:eastAsia="Arial" w:hAnsi="Arial"/>
                <w:sz w:val="14"/>
                <w:szCs w:val="14"/>
                <w:b w:val="1"/>
                <w:bCs w:val="1"/>
                <w:i w:val="1"/>
                <w:iCs w:val="1"/>
                <w:color w:val="auto"/>
                <w:w w:val="89"/>
              </w:rPr>
              <w:t>Note</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6"/>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44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4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Profit for the financial year</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165,912</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24,233</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Adjustments to reconcile net income to net cash generated from</w:t>
            </w: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660" w:type="dxa"/>
            <w:vAlign w:val="bottom"/>
          </w:tcPr>
          <w:p>
            <w:pPr>
              <w:jc w:val="center"/>
              <w:ind w:left="149"/>
              <w:spacing w:after="0"/>
              <w:rPr>
                <w:sz w:val="20"/>
                <w:szCs w:val="20"/>
                <w:color w:val="auto"/>
              </w:rPr>
            </w:pPr>
            <w:r>
              <w:rPr>
                <w:rFonts w:ascii="Arial" w:cs="Arial" w:eastAsia="Arial" w:hAnsi="Arial"/>
                <w:sz w:val="14"/>
                <w:szCs w:val="14"/>
                <w:i w:val="1"/>
                <w:iCs w:val="1"/>
                <w:color w:val="auto"/>
              </w:rPr>
              <w:t>1</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355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141</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Amortisation of intangible assets</w:t>
            </w:r>
          </w:p>
        </w:tc>
        <w:tc>
          <w:tcPr>
            <w:tcW w:w="660" w:type="dxa"/>
            <w:vAlign w:val="bottom"/>
            <w:tcBorders>
              <w:bottom w:val="single" w:sz="8" w:color="CCEEFF"/>
            </w:tcBorders>
            <w:shd w:val="clear" w:color="auto" w:fill="CCEEFF"/>
          </w:tcPr>
          <w:p>
            <w:pPr>
              <w:jc w:val="center"/>
              <w:ind w:left="149"/>
              <w:spacing w:after="0"/>
              <w:rPr>
                <w:sz w:val="20"/>
                <w:szCs w:val="20"/>
                <w:color w:val="auto"/>
              </w:rPr>
            </w:pPr>
            <w:r>
              <w:rPr>
                <w:rFonts w:ascii="Arial" w:cs="Arial" w:eastAsia="Arial" w:hAnsi="Arial"/>
                <w:sz w:val="14"/>
                <w:szCs w:val="14"/>
                <w:i w:val="1"/>
                <w:iCs w:val="1"/>
                <w:color w:val="auto"/>
              </w:rPr>
              <w:t>2</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50</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7,405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21,632</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cash inflow before changes in working capital</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173,726</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46,056</w:t>
            </w:r>
          </w:p>
        </w:tc>
      </w:tr>
      <w:tr>
        <w:trPr>
          <w:trHeight w:val="223"/>
        </w:trPr>
        <w:tc>
          <w:tcPr>
            <w:tcW w:w="44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(Increase)/decrease in other current assets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1,398</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Increase in non current assets</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(Decrease)/increase in accounts payable and accrued and other liabilities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2,532</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Decrease/ (increase) in income taxes receivable</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1,503</w:t>
            </w:r>
          </w:p>
        </w:tc>
        <w:tc>
          <w:tcPr>
            <w:tcW w:w="920" w:type="dxa"/>
            <w:vAlign w:val="bottom"/>
          </w:tcPr>
          <w:p>
            <w:pPr>
              <w:jc w:val="right"/>
              <w:spacing w:after="0"/>
              <w:rPr>
                <w:sz w:val="20"/>
                <w:szCs w:val="20"/>
                <w:color w:val="auto"/>
              </w:rPr>
            </w:pPr>
            <w:r>
              <w:rPr>
                <w:rFonts w:ascii="Arial" w:cs="Arial" w:eastAsia="Arial" w:hAnsi="Arial"/>
                <w:sz w:val="14"/>
                <w:szCs w:val="14"/>
                <w:color w:val="auto"/>
              </w:rPr>
              <w:t>(1,245)</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non-current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2,533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provided by operations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176,260</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48,741</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(963)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inflow from operating activities</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175,297</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48,741</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computer software</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Purchase of property, plant and equipment</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(832)</w:t>
            </w:r>
          </w:p>
        </w:tc>
        <w:tc>
          <w:tcPr>
            <w:tcW w:w="9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decrease in amounts due from/to subsidiary undertakings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92,835</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(Increase)/ decrease in investment in subsidiaries</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330</w:t>
            </w:r>
          </w:p>
        </w:tc>
        <w:tc>
          <w:tcPr>
            <w:tcW w:w="920" w:type="dxa"/>
            <w:vAlign w:val="bottom"/>
          </w:tcPr>
          <w:p>
            <w:pPr>
              <w:jc w:val="right"/>
              <w:spacing w:after="0"/>
              <w:rPr>
                <w:sz w:val="20"/>
                <w:szCs w:val="20"/>
                <w:color w:val="auto"/>
              </w:rPr>
            </w:pPr>
            <w:r>
              <w:rPr>
                <w:rFonts w:ascii="Arial" w:cs="Arial" w:eastAsia="Arial" w:hAnsi="Arial"/>
                <w:sz w:val="14"/>
                <w:szCs w:val="14"/>
                <w:color w:val="auto"/>
              </w:rPr>
              <w:t>(3,036)</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by investing activities</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(14,578)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89,771</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share options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16,842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13,950</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Share issuance costs</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ordinary shares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(128,960)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(133,106)</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Share repurchase costs</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92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(112,200)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(119,277)</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48,519</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19,235</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Cash and cash equivalents at start of year</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51,529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32,294</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year</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100,048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51,529</w:t>
            </w:r>
          </w:p>
        </w:tc>
      </w:tr>
      <w:tr>
        <w:trPr>
          <w:trHeight w:val="698"/>
        </w:trPr>
        <w:tc>
          <w:tcPr>
            <w:tcW w:w="4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129</w:t>
            </w: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0239"/>
          </w:cols>
          <w:pgMar w:left="220" w:top="1058" w:right="1440"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Notes to Company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73" w:lineRule="exact"/>
        <w:rPr>
          <w:sz w:val="20"/>
          <w:szCs w:val="20"/>
          <w:color w:val="auto"/>
        </w:rPr>
      </w:pPr>
    </w:p>
    <w:p>
      <w:pPr>
        <w:ind w:left="260" w:hanging="255"/>
        <w:spacing w:after="0"/>
        <w:tabs>
          <w:tab w:leader="none" w:pos="26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Property, plant and equipment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Leasehold</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Computer</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w w:val="96"/>
              </w:rPr>
              <w:t>Office furniture</w:t>
            </w:r>
          </w:p>
        </w:tc>
        <w:tc>
          <w:tcPr>
            <w:tcW w:w="680" w:type="dxa"/>
            <w:vAlign w:val="bottom"/>
            <w:shd w:val="clear" w:color="auto" w:fill="CCEEFF"/>
          </w:tcPr>
          <w:p>
            <w:pPr>
              <w:spacing w:after="0"/>
              <w:rPr>
                <w:sz w:val="15"/>
                <w:szCs w:val="15"/>
                <w:color w:val="auto"/>
              </w:rPr>
            </w:pPr>
          </w:p>
        </w:tc>
      </w:tr>
      <w:tr>
        <w:trPr>
          <w:trHeight w:val="185"/>
        </w:trPr>
        <w:tc>
          <w:tcPr>
            <w:tcW w:w="23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improvements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equipment</w:t>
            </w:r>
          </w:p>
        </w:tc>
        <w:tc>
          <w:tcPr>
            <w:tcW w:w="13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&amp; fixtures</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auto"/>
              </w:rPr>
              <w:t>$’000</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855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1,901</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1,317</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4,073</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189</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132</w:t>
            </w:r>
          </w:p>
        </w:tc>
        <w:tc>
          <w:tcPr>
            <w:tcW w:w="13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511</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832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Foreign currency movement</w:t>
            </w:r>
          </w:p>
        </w:tc>
        <w:tc>
          <w:tcPr>
            <w:tcW w:w="1740" w:type="dxa"/>
            <w:vAlign w:val="bottom"/>
          </w:tcPr>
          <w:p>
            <w:pPr>
              <w:jc w:val="right"/>
              <w:ind w:right="29"/>
              <w:spacing w:after="0"/>
              <w:rPr>
                <w:sz w:val="20"/>
                <w:szCs w:val="20"/>
                <w:color w:val="auto"/>
              </w:rPr>
            </w:pPr>
            <w:r>
              <w:rPr>
                <w:rFonts w:ascii="Arial" w:cs="Arial" w:eastAsia="Arial" w:hAnsi="Arial"/>
                <w:sz w:val="14"/>
                <w:szCs w:val="14"/>
                <w:color w:val="auto"/>
              </w:rPr>
              <w:t>(54)</w:t>
            </w: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(85)</w:t>
            </w:r>
          </w:p>
        </w:tc>
        <w:tc>
          <w:tcPr>
            <w:tcW w:w="6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990</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1,933</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auto"/>
              </w:rPr>
              <w:t>1,743</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4,666</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Depreciation</w:t>
            </w:r>
          </w:p>
        </w:tc>
        <w:tc>
          <w:tcPr>
            <w:tcW w:w="1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2018</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842</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1,804</w:t>
            </w:r>
          </w:p>
        </w:tc>
        <w:tc>
          <w:tcPr>
            <w:tcW w:w="13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1,176</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3,822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Charge for the year</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152</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116</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87</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355</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movement</w:t>
            </w:r>
          </w:p>
        </w:tc>
        <w:tc>
          <w:tcPr>
            <w:tcW w:w="1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3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(52)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202"/>
        </w:trPr>
        <w:tc>
          <w:tcPr>
            <w:tcW w:w="23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942</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1,822</w:t>
            </w:r>
          </w:p>
        </w:tc>
        <w:tc>
          <w:tcPr>
            <w:tcW w:w="13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1,211</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3,975</w:t>
            </w:r>
          </w:p>
        </w:tc>
      </w:tr>
      <w:tr>
        <w:trPr>
          <w:trHeight w:val="202"/>
        </w:trPr>
        <w:tc>
          <w:tcPr>
            <w:tcW w:w="23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1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48</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111</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auto"/>
              </w:rPr>
              <w:t>532</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691</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2"/>
        </w:trPr>
        <w:tc>
          <w:tcPr>
            <w:tcW w:w="2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31 December 2017</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13</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97</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141</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251</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6"/>
        </w:trPr>
        <w:tc>
          <w:tcPr>
            <w:tcW w:w="2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76"/>
        </w:trPr>
        <w:tc>
          <w:tcPr>
            <w:tcW w:w="2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Leasehold</w:t>
            </w:r>
          </w:p>
        </w:tc>
        <w:tc>
          <w:tcPr>
            <w:tcW w:w="840" w:type="dxa"/>
            <w:vAlign w:val="bottom"/>
            <w:shd w:val="clear" w:color="auto" w:fill="CCEEFF"/>
          </w:tcPr>
          <w:p>
            <w:pPr>
              <w:jc w:val="center"/>
              <w:ind w:left="29"/>
              <w:spacing w:after="0"/>
              <w:rPr>
                <w:sz w:val="20"/>
                <w:szCs w:val="20"/>
                <w:color w:val="auto"/>
              </w:rPr>
            </w:pPr>
            <w:r>
              <w:rPr>
                <w:rFonts w:ascii="Arial" w:cs="Arial" w:eastAsia="Arial" w:hAnsi="Arial"/>
                <w:sz w:val="14"/>
                <w:szCs w:val="14"/>
                <w:b w:val="1"/>
                <w:bCs w:val="1"/>
                <w:color w:val="auto"/>
                <w:w w:val="93"/>
              </w:rPr>
              <w:t>Computer</w:t>
            </w:r>
          </w:p>
        </w:tc>
        <w:tc>
          <w:tcPr>
            <w:tcW w:w="134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Office furniture</w:t>
            </w:r>
          </w:p>
        </w:tc>
        <w:tc>
          <w:tcPr>
            <w:tcW w:w="680" w:type="dxa"/>
            <w:vAlign w:val="bottom"/>
            <w:shd w:val="clear" w:color="auto" w:fill="CCEEFF"/>
          </w:tcPr>
          <w:p>
            <w:pPr>
              <w:spacing w:after="0"/>
              <w:rPr>
                <w:sz w:val="15"/>
                <w:szCs w:val="15"/>
                <w:color w:val="auto"/>
              </w:rPr>
            </w:pPr>
          </w:p>
        </w:tc>
      </w:tr>
      <w:tr>
        <w:trPr>
          <w:trHeight w:val="185"/>
        </w:trPr>
        <w:tc>
          <w:tcPr>
            <w:tcW w:w="23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improvements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equipment</w:t>
            </w:r>
          </w:p>
        </w:tc>
        <w:tc>
          <w:tcPr>
            <w:tcW w:w="13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&amp; fixtures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1340" w:type="dxa"/>
            <w:vAlign w:val="bottom"/>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731</w:t>
            </w:r>
          </w:p>
        </w:tc>
        <w:tc>
          <w:tcPr>
            <w:tcW w:w="840" w:type="dxa"/>
            <w:vAlign w:val="bottom"/>
          </w:tcPr>
          <w:p>
            <w:pPr>
              <w:jc w:val="right"/>
              <w:spacing w:after="0"/>
              <w:rPr>
                <w:sz w:val="20"/>
                <w:szCs w:val="20"/>
                <w:color w:val="auto"/>
              </w:rPr>
            </w:pPr>
            <w:r>
              <w:rPr>
                <w:rFonts w:ascii="Arial" w:cs="Arial" w:eastAsia="Arial" w:hAnsi="Arial"/>
                <w:sz w:val="14"/>
                <w:szCs w:val="14"/>
                <w:color w:val="auto"/>
              </w:rPr>
              <w:t>1,635</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1,219</w:t>
            </w:r>
          </w:p>
        </w:tc>
        <w:tc>
          <w:tcPr>
            <w:tcW w:w="680" w:type="dxa"/>
            <w:vAlign w:val="bottom"/>
          </w:tcPr>
          <w:p>
            <w:pPr>
              <w:jc w:val="right"/>
              <w:spacing w:after="0"/>
              <w:rPr>
                <w:sz w:val="20"/>
                <w:szCs w:val="20"/>
                <w:color w:val="auto"/>
              </w:rPr>
            </w:pPr>
            <w:r>
              <w:rPr>
                <w:rFonts w:ascii="Arial" w:cs="Arial" w:eastAsia="Arial" w:hAnsi="Arial"/>
                <w:sz w:val="14"/>
                <w:szCs w:val="14"/>
                <w:color w:val="auto"/>
              </w:rPr>
              <w:t>3,585</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3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Foreign currency movement</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124</w:t>
            </w:r>
          </w:p>
        </w:tc>
        <w:tc>
          <w:tcPr>
            <w:tcW w:w="840" w:type="dxa"/>
            <w:vAlign w:val="bottom"/>
          </w:tcPr>
          <w:p>
            <w:pPr>
              <w:jc w:val="right"/>
              <w:spacing w:after="0"/>
              <w:rPr>
                <w:sz w:val="20"/>
                <w:szCs w:val="20"/>
                <w:color w:val="auto"/>
              </w:rPr>
            </w:pPr>
            <w:r>
              <w:rPr>
                <w:rFonts w:ascii="Arial" w:cs="Arial" w:eastAsia="Arial" w:hAnsi="Arial"/>
                <w:sz w:val="14"/>
                <w:szCs w:val="14"/>
                <w:color w:val="auto"/>
              </w:rPr>
              <w:t>264</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72</w:t>
            </w:r>
          </w:p>
        </w:tc>
        <w:tc>
          <w:tcPr>
            <w:tcW w:w="68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855</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1,901</w:t>
            </w:r>
          </w:p>
        </w:tc>
        <w:tc>
          <w:tcPr>
            <w:tcW w:w="1340" w:type="dxa"/>
            <w:vAlign w:val="bottom"/>
          </w:tcPr>
          <w:p>
            <w:pPr>
              <w:jc w:val="right"/>
              <w:ind w:right="229"/>
              <w:spacing w:after="0"/>
              <w:rPr>
                <w:sz w:val="20"/>
                <w:szCs w:val="20"/>
                <w:color w:val="auto"/>
              </w:rPr>
            </w:pPr>
            <w:r>
              <w:rPr>
                <w:rFonts w:ascii="Arial" w:cs="Arial" w:eastAsia="Arial" w:hAnsi="Arial"/>
                <w:sz w:val="14"/>
                <w:szCs w:val="14"/>
                <w:b w:val="1"/>
                <w:bCs w:val="1"/>
                <w:color w:val="auto"/>
              </w:rPr>
              <w:t>1,317</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4,073</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Depreciation</w:t>
            </w:r>
          </w:p>
        </w:tc>
        <w:tc>
          <w:tcPr>
            <w:tcW w:w="1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2017</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696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3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1,070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Charge for the year</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25</w:t>
            </w:r>
          </w:p>
        </w:tc>
        <w:tc>
          <w:tcPr>
            <w:tcW w:w="840" w:type="dxa"/>
            <w:vAlign w:val="bottom"/>
          </w:tcPr>
          <w:p>
            <w:pPr>
              <w:jc w:val="right"/>
              <w:spacing w:after="0"/>
              <w:rPr>
                <w:sz w:val="20"/>
                <w:szCs w:val="20"/>
                <w:color w:val="auto"/>
              </w:rPr>
            </w:pPr>
            <w:r>
              <w:rPr>
                <w:rFonts w:ascii="Arial" w:cs="Arial" w:eastAsia="Arial" w:hAnsi="Arial"/>
                <w:sz w:val="14"/>
                <w:szCs w:val="14"/>
                <w:color w:val="auto"/>
              </w:rPr>
              <w:t>63</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53</w:t>
            </w: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movement</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3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53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202"/>
        </w:trPr>
        <w:tc>
          <w:tcPr>
            <w:tcW w:w="23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842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1,804</w:t>
            </w:r>
          </w:p>
        </w:tc>
        <w:tc>
          <w:tcPr>
            <w:tcW w:w="13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1,176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3,822</w:t>
            </w:r>
          </w:p>
        </w:tc>
      </w:tr>
      <w:tr>
        <w:trPr>
          <w:trHeight w:val="202"/>
        </w:trPr>
        <w:tc>
          <w:tcPr>
            <w:tcW w:w="23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1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13</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340" w:type="dxa"/>
            <w:vAlign w:val="bottom"/>
          </w:tcPr>
          <w:p>
            <w:pPr>
              <w:jc w:val="right"/>
              <w:ind w:right="229"/>
              <w:spacing w:after="0"/>
              <w:rPr>
                <w:sz w:val="20"/>
                <w:szCs w:val="20"/>
                <w:color w:val="auto"/>
              </w:rPr>
            </w:pPr>
            <w:r>
              <w:rPr>
                <w:rFonts w:ascii="Arial" w:cs="Arial" w:eastAsia="Arial" w:hAnsi="Arial"/>
                <w:sz w:val="14"/>
                <w:szCs w:val="14"/>
                <w:b w:val="1"/>
                <w:bCs w:val="1"/>
                <w:color w:val="auto"/>
              </w:rPr>
              <w:t>141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251</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2"/>
        </w:trPr>
        <w:tc>
          <w:tcPr>
            <w:tcW w:w="2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31 December 2016</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35</w:t>
            </w:r>
          </w:p>
        </w:tc>
        <w:tc>
          <w:tcPr>
            <w:tcW w:w="840" w:type="dxa"/>
            <w:vAlign w:val="bottom"/>
          </w:tcPr>
          <w:p>
            <w:pPr>
              <w:jc w:val="right"/>
              <w:spacing w:after="0"/>
              <w:rPr>
                <w:sz w:val="20"/>
                <w:szCs w:val="20"/>
                <w:color w:val="auto"/>
              </w:rPr>
            </w:pPr>
            <w:r>
              <w:rPr>
                <w:rFonts w:ascii="Arial" w:cs="Arial" w:eastAsia="Arial" w:hAnsi="Arial"/>
                <w:sz w:val="14"/>
                <w:szCs w:val="14"/>
                <w:color w:val="auto"/>
              </w:rPr>
              <w:t>145</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149</w:t>
            </w:r>
          </w:p>
        </w:tc>
        <w:tc>
          <w:tcPr>
            <w:tcW w:w="680" w:type="dxa"/>
            <w:vAlign w:val="bottom"/>
          </w:tcPr>
          <w:p>
            <w:pPr>
              <w:jc w:val="right"/>
              <w:spacing w:after="0"/>
              <w:rPr>
                <w:sz w:val="20"/>
                <w:szCs w:val="20"/>
                <w:color w:val="auto"/>
              </w:rPr>
            </w:pPr>
            <w:r>
              <w:rPr>
                <w:rFonts w:ascii="Arial" w:cs="Arial" w:eastAsia="Arial" w:hAnsi="Arial"/>
                <w:sz w:val="14"/>
                <w:szCs w:val="14"/>
                <w:color w:val="auto"/>
              </w:rPr>
              <w:t>329</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59"/>
        </w:trPr>
        <w:tc>
          <w:tcPr>
            <w:tcW w:w="2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jc w:val="right"/>
              <w:ind w:right="369"/>
              <w:spacing w:after="0"/>
              <w:rPr>
                <w:sz w:val="20"/>
                <w:szCs w:val="20"/>
                <w:color w:val="auto"/>
              </w:rPr>
            </w:pPr>
            <w:r>
              <w:rPr>
                <w:rFonts w:ascii="Arial" w:cs="Arial" w:eastAsia="Arial" w:hAnsi="Arial"/>
                <w:sz w:val="14"/>
                <w:szCs w:val="14"/>
                <w:color w:val="auto"/>
              </w:rPr>
              <w:t>130</w:t>
            </w:r>
          </w:p>
        </w:tc>
        <w:tc>
          <w:tcPr>
            <w:tcW w:w="680" w:type="dxa"/>
            <w:vAlign w:val="bottom"/>
          </w:tcPr>
          <w:p>
            <w:pPr>
              <w:spacing w:after="0"/>
              <w:rPr>
                <w:sz w:val="24"/>
                <w:szCs w:val="24"/>
                <w:color w:val="auto"/>
              </w:rPr>
            </w:pPr>
          </w:p>
        </w:tc>
      </w:tr>
    </w:tbl>
    <w:p>
      <w:pPr>
        <w:sectPr>
          <w:pgSz w:w="11900" w:h="16838" w:orient="portrait"/>
          <w:cols w:equalWidth="0" w:num="1">
            <w:col w:w="10239"/>
          </w:cols>
          <w:pgMar w:left="220" w:top="1164" w:right="1440"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20"/>
                <w:szCs w:val="20"/>
                <w:color w:val="auto"/>
              </w:rPr>
            </w:pPr>
            <w:r>
              <w:rPr>
                <w:rFonts w:ascii="Arial" w:cs="Arial" w:eastAsia="Arial" w:hAnsi="Arial"/>
                <w:sz w:val="14"/>
                <w:szCs w:val="14"/>
                <w:b w:val="1"/>
                <w:bCs w:val="1"/>
                <w:color w:val="auto"/>
              </w:rPr>
              <w:t>2.  Intangible assets</w:t>
            </w:r>
          </w:p>
        </w:tc>
        <w:tc>
          <w:tcPr>
            <w:tcW w:w="3340" w:type="dxa"/>
            <w:vAlign w:val="bottom"/>
          </w:tcPr>
          <w:p>
            <w:pPr>
              <w:spacing w:after="0"/>
              <w:rPr>
                <w:sz w:val="15"/>
                <w:szCs w:val="15"/>
                <w:color w:val="auto"/>
              </w:rPr>
            </w:pPr>
          </w:p>
        </w:tc>
      </w:tr>
      <w:tr>
        <w:trPr>
          <w:trHeight w:val="275"/>
        </w:trPr>
        <w:tc>
          <w:tcPr>
            <w:tcW w:w="364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176"/>
        </w:trPr>
        <w:tc>
          <w:tcPr>
            <w:tcW w:w="3640" w:type="dxa"/>
            <w:vAlign w:val="bottom"/>
            <w:shd w:val="clear" w:color="auto" w:fill="CCEEFF"/>
          </w:tcPr>
          <w:p>
            <w:pPr>
              <w:spacing w:after="0"/>
              <w:rPr>
                <w:sz w:val="15"/>
                <w:szCs w:val="15"/>
                <w:color w:val="auto"/>
              </w:rPr>
            </w:pPr>
          </w:p>
        </w:tc>
        <w:tc>
          <w:tcPr>
            <w:tcW w:w="33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Computer</w:t>
            </w:r>
          </w:p>
        </w:tc>
      </w:tr>
      <w:tr>
        <w:trPr>
          <w:trHeight w:val="185"/>
        </w:trPr>
        <w:tc>
          <w:tcPr>
            <w:tcW w:w="3640" w:type="dxa"/>
            <w:vAlign w:val="bottom"/>
            <w:tcBorders>
              <w:bottom w:val="single" w:sz="8" w:color="CCEEFF"/>
            </w:tcBorders>
            <w:shd w:val="clear" w:color="auto" w:fill="CCEEFF"/>
          </w:tcPr>
          <w:p>
            <w:pPr>
              <w:spacing w:after="0"/>
              <w:rPr>
                <w:sz w:val="16"/>
                <w:szCs w:val="16"/>
                <w:color w:val="auto"/>
              </w:rPr>
            </w:pP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Software</w:t>
            </w:r>
          </w:p>
        </w:tc>
      </w:tr>
      <w:tr>
        <w:trPr>
          <w:trHeight w:val="190"/>
        </w:trPr>
        <w:tc>
          <w:tcPr>
            <w:tcW w:w="3640" w:type="dxa"/>
            <w:vAlign w:val="bottom"/>
          </w:tcPr>
          <w:p>
            <w:pPr>
              <w:spacing w:after="0"/>
              <w:rPr>
                <w:sz w:val="16"/>
                <w:szCs w:val="16"/>
                <w:color w:val="auto"/>
              </w:rPr>
            </w:pP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22"/>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Cost</w:t>
            </w:r>
          </w:p>
        </w:tc>
        <w:tc>
          <w:tcPr>
            <w:tcW w:w="3340" w:type="dxa"/>
            <w:vAlign w:val="bottom"/>
          </w:tcPr>
          <w:p>
            <w:pPr>
              <w:spacing w:after="0"/>
              <w:rPr>
                <w:sz w:val="16"/>
                <w:szCs w:val="16"/>
                <w:color w:val="auto"/>
              </w:rPr>
            </w:pP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1,052</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Additions</w:t>
            </w:r>
          </w:p>
        </w:tc>
        <w:tc>
          <w:tcPr>
            <w:tcW w:w="334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154</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1,206</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122</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45"/>
        </w:trPr>
        <w:tc>
          <w:tcPr>
            <w:tcW w:w="364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1,228</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Amortisation</w:t>
            </w:r>
          </w:p>
        </w:tc>
        <w:tc>
          <w:tcPr>
            <w:tcW w:w="3340" w:type="dxa"/>
            <w:vAlign w:val="bottom"/>
          </w:tcPr>
          <w:p>
            <w:pPr>
              <w:spacing w:after="0"/>
              <w:rPr>
                <w:sz w:val="16"/>
                <w:szCs w:val="16"/>
                <w:color w:val="auto"/>
              </w:rPr>
            </w:pP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990</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Charge during the year</w:t>
            </w:r>
          </w:p>
        </w:tc>
        <w:tc>
          <w:tcPr>
            <w:tcW w:w="3340" w:type="dxa"/>
            <w:vAlign w:val="bottom"/>
          </w:tcPr>
          <w:p>
            <w:pPr>
              <w:jc w:val="right"/>
              <w:ind w:right="9"/>
              <w:spacing w:after="0"/>
              <w:rPr>
                <w:sz w:val="20"/>
                <w:szCs w:val="20"/>
                <w:color w:val="auto"/>
              </w:rPr>
            </w:pPr>
            <w:r>
              <w:rPr>
                <w:rFonts w:ascii="Arial" w:cs="Arial" w:eastAsia="Arial" w:hAnsi="Arial"/>
                <w:sz w:val="14"/>
                <w:szCs w:val="14"/>
                <w:color w:val="auto"/>
              </w:rPr>
              <w:t>50</w:t>
            </w: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140</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1,180</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Charge during the year</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1,126</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Net book value</w:t>
            </w:r>
          </w:p>
        </w:tc>
        <w:tc>
          <w:tcPr>
            <w:tcW w:w="3340" w:type="dxa"/>
            <w:vAlign w:val="bottom"/>
          </w:tcPr>
          <w:p>
            <w:pPr>
              <w:spacing w:after="0"/>
              <w:rPr>
                <w:sz w:val="16"/>
                <w:szCs w:val="16"/>
                <w:color w:val="auto"/>
              </w:rPr>
            </w:pP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22"/>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102</w:t>
            </w:r>
          </w:p>
        </w:tc>
      </w:tr>
      <w:tr>
        <w:trPr>
          <w:trHeight w:val="23"/>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33"/>
        </w:trPr>
        <w:tc>
          <w:tcPr>
            <w:tcW w:w="364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At 31 December 2017</w:t>
            </w:r>
          </w:p>
        </w:tc>
        <w:tc>
          <w:tcPr>
            <w:tcW w:w="3340" w:type="dxa"/>
            <w:vAlign w:val="bottom"/>
          </w:tcPr>
          <w:p>
            <w:pPr>
              <w:jc w:val="right"/>
              <w:ind w:right="9"/>
              <w:spacing w:after="0"/>
              <w:rPr>
                <w:sz w:val="20"/>
                <w:szCs w:val="20"/>
                <w:color w:val="auto"/>
              </w:rPr>
            </w:pPr>
            <w:r>
              <w:rPr>
                <w:rFonts w:ascii="Arial" w:cs="Arial" w:eastAsia="Arial" w:hAnsi="Arial"/>
                <w:sz w:val="14"/>
                <w:szCs w:val="14"/>
                <w:color w:val="auto"/>
              </w:rPr>
              <w:t>26</w:t>
            </w:r>
          </w:p>
        </w:tc>
      </w:tr>
      <w:tr>
        <w:trPr>
          <w:trHeight w:val="23"/>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698"/>
        </w:trPr>
        <w:tc>
          <w:tcPr>
            <w:tcW w:w="3640" w:type="dxa"/>
            <w:vAlign w:val="bottom"/>
          </w:tcPr>
          <w:p>
            <w:pPr>
              <w:spacing w:after="0"/>
              <w:rPr>
                <w:sz w:val="24"/>
                <w:szCs w:val="24"/>
                <w:color w:val="auto"/>
              </w:rPr>
            </w:pPr>
          </w:p>
        </w:tc>
        <w:tc>
          <w:tcPr>
            <w:tcW w:w="3340" w:type="dxa"/>
            <w:vAlign w:val="bottom"/>
          </w:tcPr>
          <w:p>
            <w:pPr>
              <w:jc w:val="right"/>
              <w:ind w:right="1069"/>
              <w:spacing w:after="0"/>
              <w:rPr>
                <w:sz w:val="20"/>
                <w:szCs w:val="20"/>
                <w:color w:val="auto"/>
              </w:rPr>
            </w:pPr>
            <w:r>
              <w:rPr>
                <w:rFonts w:ascii="Arial" w:cs="Arial" w:eastAsia="Arial" w:hAnsi="Arial"/>
                <w:sz w:val="14"/>
                <w:szCs w:val="14"/>
                <w:color w:val="auto"/>
              </w:rPr>
              <w:t>131</w:t>
            </w:r>
          </w:p>
        </w:tc>
      </w:tr>
    </w:tbl>
    <w:p>
      <w:pPr>
        <w:sectPr>
          <w:pgSz w:w="11900" w:h="16838" w:orient="portrait"/>
          <w:cols w:equalWidth="0" w:num="1">
            <w:col w:w="10239"/>
          </w:cols>
          <w:pgMar w:left="220" w:top="1164" w:right="1440"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20"/>
                <w:szCs w:val="20"/>
                <w:color w:val="auto"/>
              </w:rPr>
            </w:pPr>
            <w:r>
              <w:rPr>
                <w:rFonts w:ascii="Arial" w:cs="Arial" w:eastAsia="Arial" w:hAnsi="Arial"/>
                <w:sz w:val="14"/>
                <w:szCs w:val="14"/>
                <w:b w:val="1"/>
                <w:bCs w:val="1"/>
                <w:color w:val="auto"/>
              </w:rPr>
              <w:t>3.  Investment in subsidiaries</w:t>
            </w:r>
          </w:p>
        </w:tc>
        <w:tc>
          <w:tcPr>
            <w:tcW w:w="2340" w:type="dxa"/>
            <w:vAlign w:val="bottom"/>
          </w:tcPr>
          <w:p>
            <w:pPr>
              <w:spacing w:after="0"/>
              <w:rPr>
                <w:sz w:val="15"/>
                <w:szCs w:val="15"/>
                <w:color w:val="auto"/>
              </w:rPr>
            </w:pPr>
          </w:p>
        </w:tc>
      </w:tr>
      <w:tr>
        <w:trPr>
          <w:trHeight w:val="275"/>
        </w:trPr>
        <w:tc>
          <w:tcPr>
            <w:tcW w:w="462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176"/>
        </w:trPr>
        <w:tc>
          <w:tcPr>
            <w:tcW w:w="4620" w:type="dxa"/>
            <w:vAlign w:val="bottom"/>
            <w:shd w:val="clear" w:color="auto" w:fill="CCEEFF"/>
          </w:tcPr>
          <w:p>
            <w:pPr>
              <w:spacing w:after="0"/>
              <w:rPr>
                <w:sz w:val="15"/>
                <w:szCs w:val="15"/>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Investment in</w:t>
            </w:r>
          </w:p>
        </w:tc>
      </w:tr>
      <w:tr>
        <w:trPr>
          <w:trHeight w:val="169"/>
        </w:trPr>
        <w:tc>
          <w:tcPr>
            <w:tcW w:w="46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Subsidiary</w:t>
            </w:r>
          </w:p>
        </w:tc>
      </w:tr>
      <w:tr>
        <w:trPr>
          <w:trHeight w:val="185"/>
        </w:trPr>
        <w:tc>
          <w:tcPr>
            <w:tcW w:w="462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Undertakings</w:t>
            </w:r>
          </w:p>
        </w:tc>
      </w:tr>
      <w:tr>
        <w:trPr>
          <w:trHeight w:val="190"/>
        </w:trPr>
        <w:tc>
          <w:tcPr>
            <w:tcW w:w="462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2"/>
        </w:trPr>
        <w:tc>
          <w:tcPr>
            <w:tcW w:w="46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Cost</w:t>
            </w:r>
          </w:p>
        </w:tc>
        <w:tc>
          <w:tcPr>
            <w:tcW w:w="2340" w:type="dxa"/>
            <w:vAlign w:val="bottom"/>
          </w:tcPr>
          <w:p>
            <w:pPr>
              <w:spacing w:after="0"/>
              <w:rPr>
                <w:sz w:val="16"/>
                <w:szCs w:val="16"/>
                <w:color w:val="auto"/>
              </w:rPr>
            </w:pP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2"/>
        </w:trPr>
        <w:tc>
          <w:tcPr>
            <w:tcW w:w="46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2340" w:type="dxa"/>
            <w:vAlign w:val="bottom"/>
          </w:tcPr>
          <w:p>
            <w:pPr>
              <w:jc w:val="right"/>
              <w:spacing w:after="0"/>
              <w:rPr>
                <w:sz w:val="20"/>
                <w:szCs w:val="20"/>
                <w:color w:val="auto"/>
              </w:rPr>
            </w:pPr>
            <w:r>
              <w:rPr>
                <w:rFonts w:ascii="Arial" w:cs="Arial" w:eastAsia="Arial" w:hAnsi="Arial"/>
                <w:sz w:val="14"/>
                <w:szCs w:val="14"/>
                <w:color w:val="auto"/>
              </w:rPr>
              <w:t>346,406</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3,036</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2340" w:type="dxa"/>
            <w:vAlign w:val="bottom"/>
          </w:tcPr>
          <w:p>
            <w:pPr>
              <w:jc w:val="right"/>
              <w:spacing w:after="0"/>
              <w:rPr>
                <w:sz w:val="20"/>
                <w:szCs w:val="20"/>
                <w:color w:val="auto"/>
              </w:rPr>
            </w:pPr>
            <w:r>
              <w:rPr>
                <w:rFonts w:ascii="Arial" w:cs="Arial" w:eastAsia="Arial" w:hAnsi="Arial"/>
                <w:sz w:val="14"/>
                <w:szCs w:val="14"/>
                <w:color w:val="auto"/>
              </w:rPr>
              <w:t>9,489</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subscription payment from subsidiary companies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(64,997)</w:t>
            </w:r>
          </w:p>
        </w:tc>
      </w:tr>
      <w:tr>
        <w:trPr>
          <w:trHeight w:val="245"/>
        </w:trPr>
        <w:tc>
          <w:tcPr>
            <w:tcW w:w="462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tcPr>
          <w:p>
            <w:pPr>
              <w:spacing w:after="0"/>
              <w:rPr>
                <w:sz w:val="21"/>
                <w:szCs w:val="2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2017</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293,934</w:t>
            </w:r>
          </w:p>
        </w:tc>
      </w:tr>
      <w:tr>
        <w:trPr>
          <w:trHeight w:val="223"/>
        </w:trPr>
        <w:tc>
          <w:tcPr>
            <w:tcW w:w="46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2340" w:type="dxa"/>
            <w:vAlign w:val="bottom"/>
          </w:tcPr>
          <w:p>
            <w:pPr>
              <w:jc w:val="right"/>
              <w:spacing w:after="0"/>
              <w:rPr>
                <w:sz w:val="20"/>
                <w:szCs w:val="20"/>
                <w:color w:val="auto"/>
              </w:rPr>
            </w:pPr>
            <w:r>
              <w:rPr>
                <w:rFonts w:ascii="Arial" w:cs="Arial" w:eastAsia="Arial" w:hAnsi="Arial"/>
                <w:sz w:val="14"/>
                <w:szCs w:val="14"/>
                <w:color w:val="auto"/>
              </w:rPr>
              <w:t>20,650</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subscription payment from subsidiary companies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(49,908)</w:t>
            </w:r>
          </w:p>
        </w:tc>
      </w:tr>
      <w:tr>
        <w:trPr>
          <w:trHeight w:val="223"/>
        </w:trPr>
        <w:tc>
          <w:tcPr>
            <w:tcW w:w="46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264,347</w:t>
            </w:r>
          </w:p>
        </w:tc>
      </w:tr>
      <w:tr>
        <w:trPr>
          <w:trHeight w:val="21"/>
        </w:trPr>
        <w:tc>
          <w:tcPr>
            <w:tcW w:w="46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0239"/>
          </w:cols>
          <w:pgMar w:left="220" w:top="1164" w:right="1440"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p>
      <w:pPr>
        <w:ind w:left="260" w:hanging="255"/>
        <w:spacing w:after="0"/>
        <w:tabs>
          <w:tab w:leader="none" w:pos="260"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Deferred taxation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net deferred tax asset at 31 December 2018 and 31 December 2017 was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8"/>
              </w:rPr>
              <w:t>31 December</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rPr>
              <w:t>31 December</w:t>
            </w: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3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0"/>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Deferred taxation assets: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392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3400" w:type="dxa"/>
            <w:vAlign w:val="bottom"/>
          </w:tcPr>
          <w:p>
            <w:pPr>
              <w:ind w:left="4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39</w:t>
            </w: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Loans to subsidiaries</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deferred taxation assets</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481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19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taxation liabilities:</w:t>
            </w: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ind w:left="4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deferred taxation liabilities</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451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275"/>
        </w:trPr>
        <w:tc>
          <w:tcPr>
            <w:tcW w:w="340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176"/>
        </w:trPr>
        <w:tc>
          <w:tcPr>
            <w:tcW w:w="34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Balance 1</w:t>
            </w:r>
          </w:p>
        </w:tc>
        <w:tc>
          <w:tcPr>
            <w:tcW w:w="10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Balance</w:t>
            </w:r>
          </w:p>
        </w:tc>
      </w:tr>
      <w:tr>
        <w:trPr>
          <w:trHeight w:val="169"/>
        </w:trPr>
        <w:tc>
          <w:tcPr>
            <w:tcW w:w="3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January</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Recognised in</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31 December</w:t>
            </w: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Income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r>
      <w:tr>
        <w:trPr>
          <w:trHeight w:val="190"/>
        </w:trPr>
        <w:tc>
          <w:tcPr>
            <w:tcW w:w="3400" w:type="dxa"/>
            <w:vAlign w:val="bottom"/>
          </w:tcPr>
          <w:p>
            <w:pPr>
              <w:spacing w:after="0"/>
              <w:rPr>
                <w:sz w:val="16"/>
                <w:szCs w:val="16"/>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3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Deferred taxation assets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318</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to subsidiaries</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assets</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404</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 liabilities</w:t>
            </w: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liabilities</w:t>
            </w:r>
          </w:p>
        </w:tc>
        <w:tc>
          <w:tcPr>
            <w:tcW w:w="15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393</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w:t>
            </w:r>
          </w:p>
        </w:tc>
      </w:tr>
      <w:tr>
        <w:trPr>
          <w:trHeight w:val="529"/>
        </w:trPr>
        <w:tc>
          <w:tcPr>
            <w:tcW w:w="34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133</w:t>
            </w: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0239"/>
          </w:cols>
          <w:pgMar w:left="220" w:top="1164" w:right="1440"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tab/>
        <w:t>Deferred taxation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Balance 1</w:t>
            </w: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Balance</w:t>
            </w:r>
          </w:p>
        </w:tc>
      </w:tr>
      <w:tr>
        <w:trPr>
          <w:trHeight w:val="169"/>
        </w:trPr>
        <w:tc>
          <w:tcPr>
            <w:tcW w:w="3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January</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89"/>
              </w:rPr>
              <w:t>Recognised in</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r>
      <w:tr>
        <w:trPr>
          <w:trHeight w:val="185"/>
        </w:trPr>
        <w:tc>
          <w:tcPr>
            <w:tcW w:w="34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r>
      <w:tr>
        <w:trPr>
          <w:trHeight w:val="190"/>
        </w:trPr>
        <w:tc>
          <w:tcPr>
            <w:tcW w:w="3460" w:type="dxa"/>
            <w:vAlign w:val="bottom"/>
          </w:tcPr>
          <w:p>
            <w:pPr>
              <w:spacing w:after="0"/>
              <w:rPr>
                <w:sz w:val="16"/>
                <w:szCs w:val="16"/>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Deferred taxation assets</w:t>
            </w: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346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104</w:t>
            </w:r>
          </w:p>
        </w:tc>
        <w:tc>
          <w:tcPr>
            <w:tcW w:w="960" w:type="dxa"/>
            <w:vAlign w:val="bottom"/>
          </w:tcPr>
          <w:p>
            <w:pPr>
              <w:jc w:val="right"/>
              <w:spacing w:after="0"/>
              <w:rPr>
                <w:sz w:val="20"/>
                <w:szCs w:val="20"/>
                <w:color w:val="auto"/>
              </w:rPr>
            </w:pPr>
            <w:r>
              <w:rPr>
                <w:rFonts w:ascii="Arial" w:cs="Arial" w:eastAsia="Arial" w:hAnsi="Arial"/>
                <w:sz w:val="14"/>
                <w:szCs w:val="14"/>
                <w:color w:val="auto"/>
              </w:rPr>
              <w:t>(68)</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to subsidiaries</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assets</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 liabilities</w:t>
            </w:r>
          </w:p>
        </w:tc>
        <w:tc>
          <w:tcPr>
            <w:tcW w:w="16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346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640" w:type="dxa"/>
            <w:vAlign w:val="bottom"/>
          </w:tcPr>
          <w:p>
            <w:pPr>
              <w:jc w:val="right"/>
              <w:spacing w:after="0"/>
              <w:rPr>
                <w:sz w:val="20"/>
                <w:szCs w:val="20"/>
                <w:color w:val="auto"/>
              </w:rPr>
            </w:pPr>
            <w:r>
              <w:rPr>
                <w:rFonts w:ascii="Arial" w:cs="Arial" w:eastAsia="Arial" w:hAnsi="Arial"/>
                <w:sz w:val="14"/>
                <w:szCs w:val="14"/>
                <w:color w:val="auto"/>
              </w:rPr>
              <w:t>(10)</w:t>
            </w: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liabilities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548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w:t>
            </w:r>
          </w:p>
        </w:tc>
      </w:tr>
      <w:tr>
        <w:trPr>
          <w:trHeight w:val="21"/>
        </w:trPr>
        <w:tc>
          <w:tcPr>
            <w:tcW w:w="3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At 31 December 2018 and 31 December 2017 the Company had no operating loss carry forwards for income tax purposes. At 31 December 2018 the Company had an unrecognised deferred tax asset in respect of unutilised foreign tax credits carried forward of $3.1 million (2017: $3.3 million).</w:t>
      </w:r>
    </w:p>
    <w:p>
      <w:pPr>
        <w:spacing w:after="0" w:line="128" w:lineRule="exact"/>
        <w:rPr>
          <w:sz w:val="20"/>
          <w:szCs w:val="20"/>
          <w:color w:val="auto"/>
        </w:rPr>
      </w:pPr>
    </w:p>
    <w:p>
      <w:pPr>
        <w:ind w:left="260" w:hanging="255"/>
        <w:spacing w:after="0"/>
        <w:tabs>
          <w:tab w:leader="none" w:pos="26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Other current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shd w:val="clear" w:color="auto" w:fill="CCEEFF"/>
          </w:tcPr>
          <w:p>
            <w:pPr>
              <w:spacing w:after="0"/>
              <w:rPr>
                <w:sz w:val="15"/>
                <w:szCs w:val="15"/>
                <w:color w:val="auto"/>
              </w:rPr>
            </w:pPr>
          </w:p>
        </w:tc>
        <w:tc>
          <w:tcPr>
            <w:tcW w:w="29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10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10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10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Prepayments</w:t>
            </w:r>
          </w:p>
        </w:tc>
        <w:tc>
          <w:tcPr>
            <w:tcW w:w="2980" w:type="dxa"/>
            <w:vAlign w:val="bottom"/>
          </w:tcPr>
          <w:p>
            <w:pPr>
              <w:jc w:val="right"/>
              <w:spacing w:after="0"/>
              <w:rPr>
                <w:sz w:val="20"/>
                <w:szCs w:val="20"/>
                <w:color w:val="auto"/>
              </w:rPr>
            </w:pPr>
            <w:r>
              <w:rPr>
                <w:rFonts w:ascii="Arial" w:cs="Arial" w:eastAsia="Arial" w:hAnsi="Arial"/>
                <w:sz w:val="14"/>
                <w:szCs w:val="14"/>
                <w:b w:val="1"/>
                <w:bCs w:val="1"/>
                <w:color w:val="auto"/>
              </w:rPr>
              <w:t>821</w:t>
            </w:r>
          </w:p>
        </w:tc>
        <w:tc>
          <w:tcPr>
            <w:tcW w:w="900" w:type="dxa"/>
            <w:vAlign w:val="bottom"/>
          </w:tcPr>
          <w:p>
            <w:pPr>
              <w:jc w:val="right"/>
              <w:spacing w:after="0"/>
              <w:rPr>
                <w:sz w:val="20"/>
                <w:szCs w:val="20"/>
                <w:color w:val="auto"/>
              </w:rPr>
            </w:pPr>
            <w:r>
              <w:rPr>
                <w:rFonts w:ascii="Arial" w:cs="Arial" w:eastAsia="Arial" w:hAnsi="Arial"/>
                <w:sz w:val="14"/>
                <w:szCs w:val="14"/>
                <w:color w:val="auto"/>
              </w:rPr>
              <w:t>524</w:t>
            </w:r>
          </w:p>
        </w:tc>
      </w:tr>
      <w:tr>
        <w:trPr>
          <w:trHeight w:val="21"/>
        </w:trPr>
        <w:tc>
          <w:tcPr>
            <w:tcW w:w="3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receivables</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1,472</w:t>
            </w:r>
          </w:p>
        </w:tc>
      </w:tr>
      <w:tr>
        <w:trPr>
          <w:trHeight w:val="223"/>
        </w:trPr>
        <w:tc>
          <w:tcPr>
            <w:tcW w:w="31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1,996</w:t>
            </w:r>
          </w:p>
        </w:tc>
      </w:tr>
      <w:tr>
        <w:trPr>
          <w:trHeight w:val="21"/>
        </w:trPr>
        <w:tc>
          <w:tcPr>
            <w:tcW w:w="31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left="260" w:hanging="255"/>
        <w:spacing w:after="0"/>
        <w:tabs>
          <w:tab w:leader="none" w:pos="260"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color w:val="auto"/>
        </w:rPr>
        <w:t>Amounts due from/to subsidiary undertakings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shd w:val="clear" w:color="auto" w:fill="CCEEFF"/>
          </w:tcPr>
          <w:p>
            <w:pPr>
              <w:spacing w:after="0"/>
              <w:rPr>
                <w:sz w:val="15"/>
                <w:szCs w:val="15"/>
                <w:color w:val="auto"/>
              </w:rPr>
            </w:pPr>
          </w:p>
        </w:tc>
        <w:tc>
          <w:tcPr>
            <w:tcW w:w="2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38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800" w:type="dxa"/>
            <w:vAlign w:val="bottom"/>
          </w:tcPr>
          <w:p>
            <w:pPr>
              <w:spacing w:after="0"/>
              <w:rPr>
                <w:sz w:val="16"/>
                <w:szCs w:val="16"/>
                <w:color w:val="auto"/>
              </w:rPr>
            </w:pPr>
          </w:p>
        </w:tc>
        <w:tc>
          <w:tcPr>
            <w:tcW w:w="22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8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Amounts due from subsidiary undertakings</w:t>
            </w:r>
          </w:p>
        </w:tc>
        <w:tc>
          <w:tcPr>
            <w:tcW w:w="2240" w:type="dxa"/>
            <w:vAlign w:val="bottom"/>
          </w:tcPr>
          <w:p>
            <w:pPr>
              <w:jc w:val="right"/>
              <w:ind w:right="29"/>
              <w:spacing w:after="0"/>
              <w:rPr>
                <w:sz w:val="20"/>
                <w:szCs w:val="20"/>
                <w:color w:val="auto"/>
              </w:rPr>
            </w:pPr>
            <w:r>
              <w:rPr>
                <w:rFonts w:ascii="Arial" w:cs="Arial" w:eastAsia="Arial" w:hAnsi="Arial"/>
                <w:sz w:val="14"/>
                <w:szCs w:val="14"/>
                <w:b w:val="1"/>
                <w:bCs w:val="1"/>
                <w:color w:val="auto"/>
              </w:rPr>
              <w:t>430,810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368,030</w:t>
            </w:r>
          </w:p>
        </w:tc>
      </w:tr>
      <w:tr>
        <w:trPr>
          <w:trHeight w:val="21"/>
        </w:trPr>
        <w:tc>
          <w:tcPr>
            <w:tcW w:w="3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Amounts due to subsidiary undertakings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r>
      <w:tr>
        <w:trPr>
          <w:trHeight w:val="21"/>
        </w:trPr>
        <w:tc>
          <w:tcPr>
            <w:tcW w:w="38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Amounts owed by subsidiary undertakings are non-interest bearing and repayable on demand. All amounts fall due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60"/>
          </w:cols>
          <w:pgMar w:left="220" w:top="762" w:right="21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p>
      <w:pPr>
        <w:ind w:left="260" w:hanging="255"/>
        <w:spacing w:after="0"/>
        <w:tabs>
          <w:tab w:leader="none" w:pos="26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Accrued and other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shd w:val="clear" w:color="auto" w:fill="CCEEFF"/>
          </w:tcPr>
          <w:p>
            <w:pPr>
              <w:spacing w:after="0"/>
              <w:rPr>
                <w:sz w:val="15"/>
                <w:szCs w:val="15"/>
                <w:color w:val="auto"/>
              </w:rPr>
            </w:pPr>
          </w:p>
        </w:tc>
        <w:tc>
          <w:tcPr>
            <w:tcW w:w="26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7"/>
              </w:rPr>
              <w:t>31 December</w:t>
            </w:r>
          </w:p>
        </w:tc>
      </w:tr>
      <w:tr>
        <w:trPr>
          <w:trHeight w:val="185"/>
        </w:trPr>
        <w:tc>
          <w:tcPr>
            <w:tcW w:w="344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0"/>
        </w:trPr>
        <w:tc>
          <w:tcPr>
            <w:tcW w:w="344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$’000</w:t>
            </w:r>
          </w:p>
        </w:tc>
      </w:tr>
      <w:tr>
        <w:trPr>
          <w:trHeight w:val="21"/>
        </w:trPr>
        <w:tc>
          <w:tcPr>
            <w:tcW w:w="3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34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Non-current other liabilities</w:t>
            </w:r>
          </w:p>
        </w:tc>
        <w:tc>
          <w:tcPr>
            <w:tcW w:w="2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3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2,533</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223"/>
        </w:trPr>
        <w:tc>
          <w:tcPr>
            <w:tcW w:w="344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1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2,533</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266"/>
        </w:trPr>
        <w:tc>
          <w:tcPr>
            <w:tcW w:w="3440" w:type="dxa"/>
            <w:vAlign w:val="bottom"/>
            <w:tcBorders>
              <w:top w:val="single" w:sz="8" w:color="auto"/>
            </w:tcBorders>
          </w:tcPr>
          <w:p>
            <w:pPr>
              <w:spacing w:after="0"/>
              <w:rPr>
                <w:sz w:val="23"/>
                <w:szCs w:val="23"/>
                <w:color w:val="auto"/>
              </w:rPr>
            </w:pPr>
          </w:p>
        </w:tc>
        <w:tc>
          <w:tcPr>
            <w:tcW w:w="26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gridSpan w:val="2"/>
          </w:tcPr>
          <w:p>
            <w:pPr>
              <w:spacing w:after="0"/>
              <w:rPr>
                <w:sz w:val="23"/>
                <w:szCs w:val="23"/>
                <w:color w:val="auto"/>
              </w:rPr>
            </w:pPr>
          </w:p>
        </w:tc>
      </w:tr>
      <w:tr>
        <w:trPr>
          <w:trHeight w:val="176"/>
        </w:trPr>
        <w:tc>
          <w:tcPr>
            <w:tcW w:w="3440" w:type="dxa"/>
            <w:vAlign w:val="bottom"/>
            <w:shd w:val="clear" w:color="auto" w:fill="CCEEFF"/>
          </w:tcPr>
          <w:p>
            <w:pPr>
              <w:spacing w:after="0"/>
              <w:rPr>
                <w:sz w:val="15"/>
                <w:szCs w:val="15"/>
                <w:color w:val="auto"/>
              </w:rPr>
            </w:pPr>
          </w:p>
        </w:tc>
        <w:tc>
          <w:tcPr>
            <w:tcW w:w="26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c>
          <w:tcPr>
            <w:tcW w:w="20" w:type="dxa"/>
            <w:vAlign w:val="bottom"/>
          </w:tcPr>
          <w:p>
            <w:pPr>
              <w:spacing w:after="0"/>
              <w:rPr>
                <w:sz w:val="15"/>
                <w:szCs w:val="15"/>
                <w:color w:val="auto"/>
              </w:rPr>
            </w:pPr>
          </w:p>
        </w:tc>
      </w:tr>
      <w:tr>
        <w:trPr>
          <w:trHeight w:val="185"/>
        </w:trPr>
        <w:tc>
          <w:tcPr>
            <w:tcW w:w="344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6"/>
                <w:szCs w:val="16"/>
                <w:color w:val="auto"/>
              </w:rPr>
            </w:pPr>
          </w:p>
        </w:tc>
      </w:tr>
      <w:tr>
        <w:trPr>
          <w:trHeight w:val="190"/>
        </w:trPr>
        <w:tc>
          <w:tcPr>
            <w:tcW w:w="344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$’000</w:t>
            </w:r>
          </w:p>
        </w:tc>
      </w:tr>
      <w:tr>
        <w:trPr>
          <w:trHeight w:val="21"/>
        </w:trPr>
        <w:tc>
          <w:tcPr>
            <w:tcW w:w="3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34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3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Accruals and other liabilities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11,907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13,238</w:t>
            </w:r>
          </w:p>
        </w:tc>
        <w:tc>
          <w:tcPr>
            <w:tcW w:w="20" w:type="dxa"/>
            <w:vAlign w:val="bottom"/>
          </w:tcPr>
          <w:p>
            <w:pPr>
              <w:spacing w:after="0"/>
              <w:rPr>
                <w:sz w:val="18"/>
                <w:szCs w:val="18"/>
                <w:color w:val="auto"/>
              </w:rPr>
            </w:pPr>
          </w:p>
        </w:tc>
      </w:tr>
      <w:tr>
        <w:trPr>
          <w:trHeight w:val="223"/>
        </w:trPr>
        <w:tc>
          <w:tcPr>
            <w:tcW w:w="344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11,907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13,238</w:t>
            </w:r>
          </w:p>
        </w:tc>
        <w:tc>
          <w:tcPr>
            <w:tcW w:w="20" w:type="dxa"/>
            <w:vAlign w:val="bottom"/>
          </w:tcPr>
          <w:p>
            <w:pPr>
              <w:spacing w:after="0"/>
              <w:rPr>
                <w:sz w:val="18"/>
                <w:szCs w:val="18"/>
                <w:color w:val="auto"/>
              </w:rPr>
            </w:pPr>
          </w:p>
        </w:tc>
      </w:tr>
      <w:tr>
        <w:trPr>
          <w:trHeight w:val="338"/>
        </w:trPr>
        <w:tc>
          <w:tcPr>
            <w:tcW w:w="34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8.  Related parties</w:t>
            </w:r>
          </w:p>
        </w:tc>
        <w:tc>
          <w:tcPr>
            <w:tcW w:w="26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Company entered into the following transactions with subsidiary companies during the period: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2"/>
              </w:rPr>
              <w:t>31 December</w:t>
            </w:r>
          </w:p>
        </w:tc>
      </w:tr>
      <w:tr>
        <w:trPr>
          <w:trHeight w:val="185"/>
        </w:trPr>
        <w:tc>
          <w:tcPr>
            <w:tcW w:w="43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320" w:type="dxa"/>
            <w:vAlign w:val="bottom"/>
          </w:tcPr>
          <w:p>
            <w:pPr>
              <w:spacing w:after="0"/>
              <w:rPr>
                <w:sz w:val="16"/>
                <w:szCs w:val="16"/>
                <w:color w:val="auto"/>
              </w:rPr>
            </w:pPr>
          </w:p>
        </w:tc>
        <w:tc>
          <w:tcPr>
            <w:tcW w:w="178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Statement of Profit and Loss</w:t>
            </w: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Expenses recharged to subsidiary companies</w:t>
            </w:r>
          </w:p>
        </w:tc>
        <w:tc>
          <w:tcPr>
            <w:tcW w:w="1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6,984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11,424</w:t>
            </w: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Dividend received from subsidiary company (a)</w:t>
            </w:r>
          </w:p>
        </w:tc>
        <w:tc>
          <w:tcPr>
            <w:tcW w:w="1780" w:type="dxa"/>
            <w:vAlign w:val="bottom"/>
          </w:tcPr>
          <w:p>
            <w:pPr>
              <w:jc w:val="right"/>
              <w:ind w:right="29"/>
              <w:spacing w:after="0"/>
              <w:rPr>
                <w:sz w:val="20"/>
                <w:szCs w:val="20"/>
                <w:color w:val="auto"/>
              </w:rPr>
            </w:pPr>
            <w:r>
              <w:rPr>
                <w:rFonts w:ascii="Arial" w:cs="Arial" w:eastAsia="Arial" w:hAnsi="Arial"/>
                <w:sz w:val="14"/>
                <w:szCs w:val="14"/>
                <w:b w:val="1"/>
                <w:bCs w:val="1"/>
                <w:color w:val="auto"/>
              </w:rPr>
              <w:t>172,275</w:t>
            </w:r>
          </w:p>
        </w:tc>
        <w:tc>
          <w:tcPr>
            <w:tcW w:w="880" w:type="dxa"/>
            <w:vAlign w:val="bottom"/>
          </w:tcPr>
          <w:p>
            <w:pPr>
              <w:jc w:val="right"/>
              <w:spacing w:after="0"/>
              <w:rPr>
                <w:sz w:val="20"/>
                <w:szCs w:val="20"/>
                <w:color w:val="auto"/>
              </w:rPr>
            </w:pPr>
            <w:r>
              <w:rPr>
                <w:rFonts w:ascii="Arial" w:cs="Arial" w:eastAsia="Arial" w:hAnsi="Arial"/>
                <w:sz w:val="14"/>
                <w:szCs w:val="14"/>
                <w:color w:val="auto"/>
              </w:rPr>
              <w:t>43,524</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780" w:type="dxa"/>
            <w:vAlign w:val="bottom"/>
          </w:tcPr>
          <w:p>
            <w:pPr>
              <w:jc w:val="right"/>
              <w:ind w:right="29"/>
              <w:spacing w:after="0"/>
              <w:rPr>
                <w:sz w:val="20"/>
                <w:szCs w:val="20"/>
                <w:color w:val="auto"/>
              </w:rPr>
            </w:pPr>
            <w:r>
              <w:rPr>
                <w:rFonts w:ascii="Arial" w:cs="Arial" w:eastAsia="Arial" w:hAnsi="Arial"/>
                <w:sz w:val="14"/>
                <w:szCs w:val="14"/>
                <w:b w:val="1"/>
                <w:bCs w:val="1"/>
                <w:color w:val="auto"/>
              </w:rPr>
              <w:t>179,259</w:t>
            </w:r>
          </w:p>
        </w:tc>
        <w:tc>
          <w:tcPr>
            <w:tcW w:w="880" w:type="dxa"/>
            <w:vAlign w:val="bottom"/>
          </w:tcPr>
          <w:p>
            <w:pPr>
              <w:jc w:val="right"/>
              <w:spacing w:after="0"/>
              <w:rPr>
                <w:sz w:val="20"/>
                <w:szCs w:val="20"/>
                <w:color w:val="auto"/>
              </w:rPr>
            </w:pPr>
            <w:r>
              <w:rPr>
                <w:rFonts w:ascii="Arial" w:cs="Arial" w:eastAsia="Arial" w:hAnsi="Arial"/>
                <w:sz w:val="14"/>
                <w:szCs w:val="14"/>
                <w:color w:val="auto"/>
              </w:rPr>
              <w:t>54,948</w:t>
            </w:r>
          </w:p>
        </w:tc>
      </w:tr>
      <w:tr>
        <w:trPr>
          <w:trHeight w:val="23"/>
        </w:trPr>
        <w:tc>
          <w:tcPr>
            <w:tcW w:w="4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3"/>
        </w:trPr>
        <w:tc>
          <w:tcPr>
            <w:tcW w:w="4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Statement of Cash Flows</w:t>
            </w: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(Increase)/decrease in intercompany debtors and investments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92,835</w:t>
            </w:r>
          </w:p>
        </w:tc>
      </w:tr>
      <w:tr>
        <w:trPr>
          <w:trHeight w:val="223"/>
        </w:trPr>
        <w:tc>
          <w:tcPr>
            <w:tcW w:w="43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19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92,835</w:t>
            </w:r>
          </w:p>
        </w:tc>
      </w:tr>
      <w:tr>
        <w:trPr>
          <w:trHeight w:val="21"/>
        </w:trPr>
        <w:tc>
          <w:tcPr>
            <w:tcW w:w="4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ind w:left="640" w:hanging="381"/>
        <w:spacing w:after="0" w:line="280" w:lineRule="auto"/>
        <w:tabs>
          <w:tab w:leader="none" w:pos="640" w:val="left"/>
        </w:tabs>
        <w:numPr>
          <w:ilvl w:val="0"/>
          <w:numId w:val="84"/>
        </w:numPr>
        <w:rPr>
          <w:rFonts w:ascii="Arial" w:cs="Arial" w:eastAsia="Arial" w:hAnsi="Arial"/>
          <w:sz w:val="14"/>
          <w:szCs w:val="14"/>
          <w:i w:val="1"/>
          <w:iCs w:val="1"/>
          <w:color w:val="auto"/>
        </w:rPr>
      </w:pPr>
      <w:r>
        <w:rPr>
          <w:rFonts w:ascii="Arial" w:cs="Arial" w:eastAsia="Arial" w:hAnsi="Arial"/>
          <w:sz w:val="14"/>
          <w:szCs w:val="14"/>
          <w:color w:val="auto"/>
        </w:rPr>
        <w:t>During 2018, the Company received dividends of $172.3 million (2017: $43.5 million) from its subsidiary undertakings ICON Clinical Research Limited ($100.9 million), ICON Holdings Unlimited Company ($62.6 million) and ICON Investments Four Unlimited Company ($8.8 million).</w:t>
      </w:r>
    </w:p>
    <w:p>
      <w:pPr>
        <w:spacing w:after="0" w:line="30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4"/>
          <w:szCs w:val="14"/>
          <w:i w:val="1"/>
          <w:iCs w:val="1"/>
          <w:color w:val="auto"/>
        </w:rPr>
        <w:t>note 30</w:t>
      </w:r>
      <w:r>
        <w:rPr>
          <w:rFonts w:ascii="Arial" w:cs="Arial" w:eastAsia="Arial" w:hAnsi="Arial"/>
          <w:sz w:val="14"/>
          <w:szCs w:val="14"/>
          <w:color w:val="auto"/>
        </w:rPr>
        <w:t xml:space="preserve"> to the Consolidated Financial Statements, and for information on Directors’ remuneration see </w:t>
      </w:r>
      <w:r>
        <w:rPr>
          <w:rFonts w:ascii="Arial" w:cs="Arial" w:eastAsia="Arial" w:hAnsi="Arial"/>
          <w:sz w:val="14"/>
          <w:szCs w:val="14"/>
          <w:i w:val="1"/>
          <w:iCs w:val="1"/>
          <w:color w:val="auto"/>
        </w:rPr>
        <w:t>note 9</w:t>
      </w:r>
      <w:r>
        <w:rPr>
          <w:rFonts w:ascii="Arial" w:cs="Arial" w:eastAsia="Arial" w:hAnsi="Arial"/>
          <w:sz w:val="14"/>
          <w:szCs w:val="14"/>
          <w:color w:val="auto"/>
        </w:rPr>
        <w:t>.</w:t>
      </w:r>
    </w:p>
    <w:p>
      <w:pPr>
        <w:spacing w:after="0" w:line="128" w:lineRule="exact"/>
        <w:rPr>
          <w:sz w:val="20"/>
          <w:szCs w:val="20"/>
          <w:color w:val="auto"/>
        </w:rPr>
      </w:pPr>
    </w:p>
    <w:p>
      <w:pPr>
        <w:ind w:left="260" w:hanging="255"/>
        <w:spacing w:after="0"/>
        <w:tabs>
          <w:tab w:leader="none" w:pos="26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leases</w:t>
      </w:r>
    </w:p>
    <w:p>
      <w:pPr>
        <w:spacing w:after="0" w:line="178"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The Company has several non-cancellable operating leases that expire over the next 6 years. These leases generally contain renewal options and require the Company to pay all executory costs such as maintenance and insurance. The Company recognised $2.1 million and $2.0 million in rental expense (including rates) for the years ended 31 December 2018 and 31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60"/>
          </w:cols>
          <w:pgMar w:left="220" w:top="1164" w:right="21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December 2017 respectively. Future minimum rental commitments for operating leases with non-cancellable terms in excess of one year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shd w:val="clear" w:color="auto" w:fill="CCEEFF"/>
          </w:tcPr>
          <w:p>
            <w:pPr>
              <w:spacing w:after="0"/>
              <w:rPr>
                <w:sz w:val="18"/>
                <w:szCs w:val="18"/>
                <w:color w:val="auto"/>
              </w:rPr>
            </w:pPr>
          </w:p>
        </w:tc>
        <w:tc>
          <w:tcPr>
            <w:tcW w:w="3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Minimum rental payments</w:t>
            </w:r>
          </w:p>
        </w:tc>
      </w:tr>
      <w:tr>
        <w:trPr>
          <w:trHeight w:val="190"/>
        </w:trPr>
        <w:tc>
          <w:tcPr>
            <w:tcW w:w="308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3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3"/>
        </w:trPr>
        <w:tc>
          <w:tcPr>
            <w:tcW w:w="308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2019</w:t>
            </w:r>
          </w:p>
        </w:tc>
        <w:tc>
          <w:tcPr>
            <w:tcW w:w="3900" w:type="dxa"/>
            <w:vAlign w:val="bottom"/>
          </w:tcPr>
          <w:p>
            <w:pPr>
              <w:jc w:val="right"/>
              <w:spacing w:after="0"/>
              <w:rPr>
                <w:sz w:val="20"/>
                <w:szCs w:val="20"/>
                <w:color w:val="auto"/>
              </w:rPr>
            </w:pPr>
            <w:r>
              <w:rPr>
                <w:rFonts w:ascii="Arial" w:cs="Arial" w:eastAsia="Arial" w:hAnsi="Arial"/>
                <w:sz w:val="14"/>
                <w:szCs w:val="14"/>
                <w:color w:val="auto"/>
              </w:rPr>
              <w:t>2,077</w:t>
            </w:r>
          </w:p>
        </w:tc>
      </w:tr>
      <w:tr>
        <w:trPr>
          <w:trHeight w:val="21"/>
        </w:trPr>
        <w:tc>
          <w:tcPr>
            <w:tcW w:w="3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2021</w:t>
            </w:r>
          </w:p>
        </w:tc>
        <w:tc>
          <w:tcPr>
            <w:tcW w:w="3900" w:type="dxa"/>
            <w:vAlign w:val="bottom"/>
          </w:tcPr>
          <w:p>
            <w:pPr>
              <w:jc w:val="right"/>
              <w:spacing w:after="0"/>
              <w:rPr>
                <w:sz w:val="20"/>
                <w:szCs w:val="20"/>
                <w:color w:val="auto"/>
              </w:rPr>
            </w:pPr>
            <w:r>
              <w:rPr>
                <w:rFonts w:ascii="Arial" w:cs="Arial" w:eastAsia="Arial" w:hAnsi="Arial"/>
                <w:sz w:val="14"/>
                <w:szCs w:val="14"/>
                <w:color w:val="auto"/>
              </w:rPr>
              <w:t>1,833</w:t>
            </w:r>
          </w:p>
        </w:tc>
      </w:tr>
      <w:tr>
        <w:trPr>
          <w:trHeight w:val="21"/>
        </w:trPr>
        <w:tc>
          <w:tcPr>
            <w:tcW w:w="3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3900" w:type="dxa"/>
            <w:vAlign w:val="bottom"/>
          </w:tcPr>
          <w:p>
            <w:pPr>
              <w:jc w:val="right"/>
              <w:spacing w:after="0"/>
              <w:rPr>
                <w:sz w:val="20"/>
                <w:szCs w:val="20"/>
                <w:color w:val="auto"/>
              </w:rPr>
            </w:pPr>
            <w:r>
              <w:rPr>
                <w:rFonts w:ascii="Arial" w:cs="Arial" w:eastAsia="Arial" w:hAnsi="Arial"/>
                <w:sz w:val="14"/>
                <w:szCs w:val="14"/>
                <w:color w:val="auto"/>
              </w:rPr>
              <w:t>1,172</w:t>
            </w:r>
          </w:p>
        </w:tc>
      </w:tr>
      <w:tr>
        <w:trPr>
          <w:trHeight w:val="21"/>
        </w:trPr>
        <w:tc>
          <w:tcPr>
            <w:tcW w:w="30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3900" w:type="dxa"/>
            <w:vAlign w:val="bottom"/>
          </w:tcPr>
          <w:p>
            <w:pPr>
              <w:jc w:val="right"/>
              <w:spacing w:after="0"/>
              <w:rPr>
                <w:sz w:val="20"/>
                <w:szCs w:val="20"/>
                <w:color w:val="auto"/>
              </w:rPr>
            </w:pPr>
            <w:r>
              <w:rPr>
                <w:rFonts w:ascii="Arial" w:cs="Arial" w:eastAsia="Arial" w:hAnsi="Arial"/>
                <w:sz w:val="14"/>
                <w:szCs w:val="14"/>
                <w:b w:val="1"/>
                <w:bCs w:val="1"/>
                <w:color w:val="auto"/>
              </w:rPr>
              <w:t>8,835</w:t>
            </w:r>
          </w:p>
        </w:tc>
      </w:tr>
      <w:tr>
        <w:trPr>
          <w:trHeight w:val="23"/>
        </w:trPr>
        <w:tc>
          <w:tcPr>
            <w:tcW w:w="30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338"/>
        </w:trPr>
        <w:tc>
          <w:tcPr>
            <w:tcW w:w="3080" w:type="dxa"/>
            <w:vAlign w:val="bottom"/>
          </w:tcPr>
          <w:p>
            <w:pPr>
              <w:spacing w:after="0"/>
              <w:rPr>
                <w:sz w:val="20"/>
                <w:szCs w:val="20"/>
                <w:color w:val="auto"/>
              </w:rPr>
            </w:pPr>
            <w:r>
              <w:rPr>
                <w:rFonts w:ascii="Arial" w:cs="Arial" w:eastAsia="Arial" w:hAnsi="Arial"/>
                <w:sz w:val="14"/>
                <w:szCs w:val="14"/>
                <w:b w:val="1"/>
                <w:bCs w:val="1"/>
                <w:color w:val="auto"/>
              </w:rPr>
              <w:t>10. Litigation</w:t>
            </w:r>
          </w:p>
        </w:tc>
        <w:tc>
          <w:tcPr>
            <w:tcW w:w="3900" w:type="dxa"/>
            <w:vAlign w:val="bottom"/>
          </w:tcPr>
          <w:p>
            <w:pPr>
              <w:spacing w:after="0"/>
              <w:rPr>
                <w:sz w:val="24"/>
                <w:szCs w:val="24"/>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Financial instruments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risk</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Intercompany loans receivable and payable are initially recognised at fair value. These are subsequently measured at amortised cost, less any loss allowance. An expected credit loss assessment was performed in respect of the receivables at 1 January 2018. The identified impairment loss was immaterial.</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Liquidity risk</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23.</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60"/>
          </w:cols>
          <w:pgMar w:left="220" w:top="1164" w:right="21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Financial instruments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4427855"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27855" cy="134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At 31 December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40" w:type="dxa"/>
            <w:vAlign w:val="bottom"/>
          </w:tcPr>
          <w:p>
            <w:pPr>
              <w:spacing w:after="0"/>
              <w:rPr>
                <w:sz w:val="13"/>
                <w:szCs w:val="13"/>
                <w:color w:val="auto"/>
              </w:rPr>
            </w:pP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Carrying</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6 mths or</w:t>
            </w:r>
          </w:p>
        </w:tc>
        <w:tc>
          <w:tcPr>
            <w:tcW w:w="760" w:type="dxa"/>
            <w:vAlign w:val="bottom"/>
          </w:tcPr>
          <w:p>
            <w:pPr>
              <w:jc w:val="right"/>
              <w:ind w:right="93"/>
              <w:spacing w:after="0"/>
              <w:rPr>
                <w:sz w:val="20"/>
                <w:szCs w:val="20"/>
                <w:color w:val="auto"/>
              </w:rPr>
            </w:pPr>
            <w:r>
              <w:rPr>
                <w:rFonts w:ascii="Arial" w:cs="Arial" w:eastAsia="Arial" w:hAnsi="Arial"/>
                <w:sz w:val="13"/>
                <w:szCs w:val="13"/>
                <w:b w:val="1"/>
                <w:bCs w:val="1"/>
                <w:color w:val="auto"/>
              </w:rPr>
              <w:t>6 to 12</w:t>
            </w: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1 to 2</w:t>
            </w: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2 to 5   More than</w:t>
            </w:r>
          </w:p>
        </w:tc>
      </w:tr>
      <w:tr>
        <w:trPr>
          <w:trHeight w:val="159"/>
        </w:trPr>
        <w:tc>
          <w:tcPr>
            <w:tcW w:w="1440" w:type="dxa"/>
            <w:vAlign w:val="bottom"/>
          </w:tcPr>
          <w:p>
            <w:pPr>
              <w:spacing w:after="0"/>
              <w:rPr>
                <w:sz w:val="13"/>
                <w:szCs w:val="13"/>
                <w:color w:val="auto"/>
              </w:rPr>
            </w:pP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Cashflows</w:t>
            </w: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less</w:t>
            </w:r>
          </w:p>
        </w:tc>
        <w:tc>
          <w:tcPr>
            <w:tcW w:w="760" w:type="dxa"/>
            <w:vAlign w:val="bottom"/>
          </w:tcPr>
          <w:p>
            <w:pPr>
              <w:jc w:val="right"/>
              <w:ind w:right="93"/>
              <w:spacing w:after="0"/>
              <w:rPr>
                <w:sz w:val="20"/>
                <w:szCs w:val="20"/>
                <w:color w:val="auto"/>
              </w:rPr>
            </w:pPr>
            <w:r>
              <w:rPr>
                <w:rFonts w:ascii="Arial" w:cs="Arial" w:eastAsia="Arial" w:hAnsi="Arial"/>
                <w:sz w:val="13"/>
                <w:szCs w:val="13"/>
                <w:b w:val="1"/>
                <w:bCs w:val="1"/>
                <w:color w:val="auto"/>
              </w:rPr>
              <w:t>mths</w:t>
            </w: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years</w:t>
            </w:r>
          </w:p>
        </w:tc>
        <w:tc>
          <w:tcPr>
            <w:tcW w:w="720" w:type="dxa"/>
            <w:vAlign w:val="bottom"/>
            <w:gridSpan w:val="2"/>
          </w:tcPr>
          <w:p>
            <w:pPr>
              <w:ind w:left="260"/>
              <w:spacing w:after="0"/>
              <w:rPr>
                <w:sz w:val="20"/>
                <w:szCs w:val="20"/>
                <w:color w:val="auto"/>
              </w:rPr>
            </w:pPr>
            <w:r>
              <w:rPr>
                <w:rFonts w:ascii="Arial" w:cs="Arial" w:eastAsia="Arial" w:hAnsi="Arial"/>
                <w:sz w:val="13"/>
                <w:szCs w:val="13"/>
                <w:b w:val="1"/>
                <w:bCs w:val="1"/>
                <w:color w:val="auto"/>
              </w:rPr>
              <w:t>years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5"/>
        </w:trPr>
        <w:tc>
          <w:tcPr>
            <w:tcW w:w="144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$’000</w:t>
            </w:r>
          </w:p>
        </w:tc>
        <w:tc>
          <w:tcPr>
            <w:tcW w:w="760" w:type="dxa"/>
            <w:vAlign w:val="bottom"/>
          </w:tcPr>
          <w:p>
            <w:pPr>
              <w:jc w:val="right"/>
              <w:ind w:right="93"/>
              <w:spacing w:after="0"/>
              <w:rPr>
                <w:sz w:val="20"/>
                <w:szCs w:val="20"/>
                <w:color w:val="auto"/>
              </w:rPr>
            </w:pPr>
            <w:r>
              <w:rPr>
                <w:rFonts w:ascii="Arial" w:cs="Arial" w:eastAsia="Arial" w:hAnsi="Arial"/>
                <w:sz w:val="13"/>
                <w:szCs w:val="13"/>
                <w:b w:val="1"/>
                <w:bCs w:val="1"/>
                <w:color w:val="auto"/>
              </w:rPr>
              <w:t>$’000</w:t>
            </w: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72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$’000</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5"/>
        </w:trPr>
        <w:tc>
          <w:tcPr>
            <w:tcW w:w="1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r>
      <w:tr>
        <w:trPr>
          <w:trHeight w:val="212"/>
        </w:trPr>
        <w:tc>
          <w:tcPr>
            <w:tcW w:w="1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860" w:type="dxa"/>
            <w:vAlign w:val="bottom"/>
          </w:tcPr>
          <w:p>
            <w:pPr>
              <w:jc w:val="right"/>
              <w:ind w:right="133"/>
              <w:spacing w:after="0"/>
              <w:rPr>
                <w:sz w:val="20"/>
                <w:szCs w:val="20"/>
                <w:color w:val="auto"/>
              </w:rPr>
            </w:pPr>
            <w:r>
              <w:rPr>
                <w:rFonts w:ascii="Arial" w:cs="Arial" w:eastAsia="Arial" w:hAnsi="Arial"/>
                <w:sz w:val="14"/>
                <w:szCs w:val="14"/>
                <w:color w:val="auto"/>
              </w:rPr>
              <w:t>56</w:t>
            </w: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8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 and other</w:t>
            </w: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6"/>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14,440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8,715</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1,943</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1,249</w:t>
            </w:r>
          </w:p>
        </w:tc>
        <w:tc>
          <w:tcPr>
            <w:tcW w:w="7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1,023</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1,510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1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18"/>
        </w:trPr>
        <w:tc>
          <w:tcPr>
            <w:tcW w:w="1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14,496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8,771</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1,943</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1,249</w:t>
            </w:r>
          </w:p>
        </w:tc>
        <w:tc>
          <w:tcPr>
            <w:tcW w:w="7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1,023</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b w:val="1"/>
                <w:bCs w:val="1"/>
                <w:color w:val="auto"/>
              </w:rPr>
              <w:t>1,510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75"/>
        </w:trPr>
        <w:tc>
          <w:tcPr>
            <w:tcW w:w="14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r>
      <w:tr>
        <w:trPr>
          <w:trHeight w:val="192"/>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9"/>
              </w:rPr>
              <w:t>At 31 December 2017</w:t>
            </w:r>
          </w:p>
        </w:tc>
        <w:tc>
          <w:tcPr>
            <w:tcW w:w="8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69"/>
        </w:trPr>
        <w:tc>
          <w:tcPr>
            <w:tcW w:w="144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Carrying</w:t>
            </w: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Contractual</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w w:val="92"/>
              </w:rPr>
              <w:t>6 mths or</w:t>
            </w:r>
          </w:p>
        </w:tc>
        <w:tc>
          <w:tcPr>
            <w:tcW w:w="760" w:type="dxa"/>
            <w:vAlign w:val="bottom"/>
          </w:tcPr>
          <w:p>
            <w:pPr>
              <w:jc w:val="right"/>
              <w:ind w:right="193"/>
              <w:spacing w:after="0"/>
              <w:rPr>
                <w:sz w:val="20"/>
                <w:szCs w:val="20"/>
                <w:color w:val="auto"/>
              </w:rPr>
            </w:pPr>
            <w:r>
              <w:rPr>
                <w:rFonts w:ascii="Arial" w:cs="Arial" w:eastAsia="Arial" w:hAnsi="Arial"/>
                <w:sz w:val="13"/>
                <w:szCs w:val="13"/>
                <w:b w:val="1"/>
                <w:bCs w:val="1"/>
                <w:color w:val="auto"/>
              </w:rPr>
              <w:t>6 to 12</w:t>
            </w:r>
          </w:p>
        </w:tc>
        <w:tc>
          <w:tcPr>
            <w:tcW w:w="780" w:type="dxa"/>
            <w:vAlign w:val="bottom"/>
          </w:tcPr>
          <w:p>
            <w:pPr>
              <w:jc w:val="right"/>
              <w:ind w:right="193"/>
              <w:spacing w:after="0"/>
              <w:rPr>
                <w:sz w:val="20"/>
                <w:szCs w:val="20"/>
                <w:color w:val="auto"/>
              </w:rPr>
            </w:pPr>
            <w:r>
              <w:rPr>
                <w:rFonts w:ascii="Arial" w:cs="Arial" w:eastAsia="Arial" w:hAnsi="Arial"/>
                <w:sz w:val="13"/>
                <w:szCs w:val="13"/>
                <w:b w:val="1"/>
                <w:bCs w:val="1"/>
                <w:color w:val="auto"/>
              </w:rPr>
              <w:t>1 to 2</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2 to 5</w:t>
            </w:r>
          </w:p>
        </w:tc>
        <w:tc>
          <w:tcPr>
            <w:tcW w:w="740" w:type="dxa"/>
            <w:vAlign w:val="bottom"/>
            <w:gridSpan w:val="2"/>
          </w:tcPr>
          <w:p>
            <w:pPr>
              <w:jc w:val="right"/>
              <w:ind w:right="12"/>
              <w:spacing w:after="0"/>
              <w:rPr>
                <w:sz w:val="20"/>
                <w:szCs w:val="20"/>
                <w:color w:val="auto"/>
              </w:rPr>
            </w:pPr>
            <w:r>
              <w:rPr>
                <w:rFonts w:ascii="Arial" w:cs="Arial" w:eastAsia="Arial" w:hAnsi="Arial"/>
                <w:sz w:val="13"/>
                <w:szCs w:val="13"/>
                <w:b w:val="1"/>
                <w:bCs w:val="1"/>
                <w:color w:val="auto"/>
              </w:rPr>
              <w:t>More than</w:t>
            </w:r>
          </w:p>
        </w:tc>
      </w:tr>
      <w:tr>
        <w:trPr>
          <w:trHeight w:val="159"/>
        </w:trPr>
        <w:tc>
          <w:tcPr>
            <w:tcW w:w="1440" w:type="dxa"/>
            <w:vAlign w:val="bottom"/>
          </w:tcPr>
          <w:p>
            <w:pPr>
              <w:spacing w:after="0"/>
              <w:rPr>
                <w:sz w:val="13"/>
                <w:szCs w:val="13"/>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Amount</w:t>
            </w: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Cashflows</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rPr>
              <w:t>less</w:t>
            </w:r>
          </w:p>
        </w:tc>
        <w:tc>
          <w:tcPr>
            <w:tcW w:w="760" w:type="dxa"/>
            <w:vAlign w:val="bottom"/>
          </w:tcPr>
          <w:p>
            <w:pPr>
              <w:jc w:val="right"/>
              <w:ind w:right="193"/>
              <w:spacing w:after="0"/>
              <w:rPr>
                <w:sz w:val="20"/>
                <w:szCs w:val="20"/>
                <w:color w:val="auto"/>
              </w:rPr>
            </w:pPr>
            <w:r>
              <w:rPr>
                <w:rFonts w:ascii="Arial" w:cs="Arial" w:eastAsia="Arial" w:hAnsi="Arial"/>
                <w:sz w:val="13"/>
                <w:szCs w:val="13"/>
                <w:b w:val="1"/>
                <w:bCs w:val="1"/>
                <w:color w:val="auto"/>
              </w:rPr>
              <w:t>mths</w:t>
            </w:r>
          </w:p>
        </w:tc>
        <w:tc>
          <w:tcPr>
            <w:tcW w:w="780" w:type="dxa"/>
            <w:vAlign w:val="bottom"/>
          </w:tcPr>
          <w:p>
            <w:pPr>
              <w:jc w:val="right"/>
              <w:ind w:right="193"/>
              <w:spacing w:after="0"/>
              <w:rPr>
                <w:sz w:val="20"/>
                <w:szCs w:val="20"/>
                <w:color w:val="auto"/>
              </w:rPr>
            </w:pPr>
            <w:r>
              <w:rPr>
                <w:rFonts w:ascii="Arial" w:cs="Arial" w:eastAsia="Arial" w:hAnsi="Arial"/>
                <w:sz w:val="13"/>
                <w:szCs w:val="13"/>
                <w:b w:val="1"/>
                <w:bCs w:val="1"/>
                <w:color w:val="auto"/>
              </w:rPr>
              <w:t>years</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years</w:t>
            </w:r>
          </w:p>
        </w:tc>
        <w:tc>
          <w:tcPr>
            <w:tcW w:w="100" w:type="dxa"/>
            <w:vAlign w:val="bottom"/>
          </w:tcPr>
          <w:p>
            <w:pPr>
              <w:spacing w:after="0"/>
              <w:rPr>
                <w:sz w:val="13"/>
                <w:szCs w:val="13"/>
                <w:color w:val="auto"/>
              </w:rPr>
            </w:pPr>
          </w:p>
        </w:tc>
        <w:tc>
          <w:tcPr>
            <w:tcW w:w="640" w:type="dxa"/>
            <w:vAlign w:val="bottom"/>
          </w:tcPr>
          <w:p>
            <w:pPr>
              <w:jc w:val="right"/>
              <w:ind w:right="12"/>
              <w:spacing w:after="0"/>
              <w:rPr>
                <w:sz w:val="20"/>
                <w:szCs w:val="20"/>
                <w:color w:val="auto"/>
              </w:rPr>
            </w:pPr>
            <w:r>
              <w:rPr>
                <w:rFonts w:ascii="Arial" w:cs="Arial" w:eastAsia="Arial" w:hAnsi="Arial"/>
                <w:sz w:val="13"/>
                <w:szCs w:val="13"/>
                <w:b w:val="1"/>
                <w:bCs w:val="1"/>
                <w:color w:val="auto"/>
              </w:rPr>
              <w:t>5 years</w:t>
            </w:r>
          </w:p>
        </w:tc>
      </w:tr>
      <w:tr>
        <w:trPr>
          <w:trHeight w:val="165"/>
        </w:trPr>
        <w:tc>
          <w:tcPr>
            <w:tcW w:w="144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760" w:type="dxa"/>
            <w:vAlign w:val="bottom"/>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780" w:type="dxa"/>
            <w:vAlign w:val="bottom"/>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$’000</w:t>
            </w:r>
          </w:p>
        </w:tc>
        <w:tc>
          <w:tcPr>
            <w:tcW w:w="10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3"/>
                <w:szCs w:val="13"/>
                <w:b w:val="1"/>
                <w:bCs w:val="1"/>
                <w:color w:val="auto"/>
              </w:rPr>
              <w:t>$’000</w:t>
            </w:r>
          </w:p>
        </w:tc>
      </w:tr>
      <w:tr>
        <w:trPr>
          <w:trHeight w:val="25"/>
        </w:trPr>
        <w:tc>
          <w:tcPr>
            <w:tcW w:w="1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2"/>
        </w:trPr>
        <w:tc>
          <w:tcPr>
            <w:tcW w:w="1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860" w:type="dxa"/>
            <w:vAlign w:val="bottom"/>
          </w:tcPr>
          <w:p>
            <w:pPr>
              <w:jc w:val="right"/>
              <w:ind w:right="133"/>
              <w:spacing w:after="0"/>
              <w:rPr>
                <w:sz w:val="20"/>
                <w:szCs w:val="20"/>
                <w:color w:val="auto"/>
              </w:rPr>
            </w:pPr>
            <w:r>
              <w:rPr>
                <w:rFonts w:ascii="Arial" w:cs="Arial" w:eastAsia="Arial" w:hAnsi="Arial"/>
                <w:sz w:val="14"/>
                <w:szCs w:val="14"/>
                <w:color w:val="auto"/>
              </w:rPr>
              <w:t>(5)</w:t>
            </w: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153"/>
              <w:spacing w:after="0"/>
              <w:rPr>
                <w:sz w:val="20"/>
                <w:szCs w:val="20"/>
                <w:color w:val="auto"/>
              </w:rPr>
            </w:pPr>
            <w:r>
              <w:rPr>
                <w:rFonts w:ascii="Arial" w:cs="Arial" w:eastAsia="Arial" w:hAnsi="Arial"/>
                <w:sz w:val="14"/>
                <w:szCs w:val="14"/>
                <w:color w:val="auto"/>
              </w:rPr>
              <w:t>(5)</w:t>
            </w:r>
          </w:p>
        </w:tc>
        <w:tc>
          <w:tcPr>
            <w:tcW w:w="76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21"/>
        </w:trPr>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 and other</w:t>
            </w: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6"/>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(13,238)</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(13,238)</w:t>
            </w: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color w:val="auto"/>
              </w:rPr>
              <w:t>(9,133)</w:t>
            </w:r>
          </w:p>
        </w:tc>
        <w:tc>
          <w:tcPr>
            <w:tcW w:w="7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(667)</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color w:val="auto"/>
              </w:rPr>
              <w:t>(1,076)</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(840)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r>
      <w:tr>
        <w:trPr>
          <w:trHeight w:val="202"/>
        </w:trPr>
        <w:tc>
          <w:tcPr>
            <w:tcW w:w="1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192"/>
        </w:trPr>
        <w:tc>
          <w:tcPr>
            <w:tcW w:w="14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(13,243)</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(13,243)</w:t>
            </w: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(9,138)</w:t>
            </w:r>
          </w:p>
        </w:tc>
        <w:tc>
          <w:tcPr>
            <w:tcW w:w="7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(667)</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(1,076)</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b w:val="1"/>
                <w:bCs w:val="1"/>
                <w:color w:val="auto"/>
              </w:rPr>
              <w:t>(840)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(1,522)</w:t>
            </w:r>
          </w:p>
        </w:tc>
      </w:tr>
      <w:tr>
        <w:trPr>
          <w:trHeight w:val="21"/>
        </w:trPr>
        <w:tc>
          <w:tcPr>
            <w:tcW w:w="1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While the functional currency of the Company is USD, the functional currency of the branches is Euro. As a consequence, the results, when translated into U.S. dollars, could be affected by fluctuations in exchange rates against the U.S. dollar. At 31 December 2018 the Company had $Nil US dollar denominated bank loans (2017: $Nil).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163830</wp:posOffset>
            </wp:positionV>
            <wp:extent cx="4380865"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80865" cy="134620"/>
                    </a:xfrm>
                    <a:prstGeom prst="rect">
                      <a:avLst/>
                    </a:prstGeom>
                    <a:noFill/>
                  </pic:spPr>
                </pic:pic>
              </a:graphicData>
            </a:graphic>
          </wp:anchor>
        </w:drawing>
      </w:r>
    </w:p>
    <w:p>
      <w:pPr>
        <w:spacing w:after="0" w:line="24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173355</wp:posOffset>
            </wp:positionV>
            <wp:extent cx="4380865" cy="456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80865" cy="456565"/>
                    </a:xfrm>
                    <a:prstGeom prst="rect">
                      <a:avLst/>
                    </a:prstGeom>
                    <a:noFill/>
                  </pic:spPr>
                </pic:pic>
              </a:graphicData>
            </a:graphic>
          </wp:anchor>
        </w:drawing>
      </w:r>
    </w:p>
    <w:p>
      <w:pPr>
        <w:spacing w:after="0" w:line="263" w:lineRule="exact"/>
        <w:rPr>
          <w:sz w:val="20"/>
          <w:szCs w:val="20"/>
          <w:color w:val="auto"/>
        </w:rPr>
      </w:pPr>
    </w:p>
    <w:p>
      <w:pPr>
        <w:jc w:val="both"/>
        <w:ind w:left="940" w:right="4520" w:hanging="846"/>
        <w:spacing w:after="0" w:line="261" w:lineRule="auto"/>
        <w:tabs>
          <w:tab w:leader="none" w:pos="9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153035</wp:posOffset>
            </wp:positionV>
            <wp:extent cx="4380865" cy="241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80865" cy="241935"/>
                    </a:xfrm>
                    <a:prstGeom prst="rect">
                      <a:avLst/>
                    </a:prstGeom>
                    <a:noFill/>
                  </pic:spPr>
                </pic:pic>
              </a:graphicData>
            </a:graphic>
          </wp:anchor>
        </w:drawing>
      </w:r>
    </w:p>
    <w:p>
      <w:pPr>
        <w:spacing w:after="0" w:line="232" w:lineRule="exact"/>
        <w:rPr>
          <w:sz w:val="20"/>
          <w:szCs w:val="20"/>
          <w:color w:val="auto"/>
        </w:rPr>
      </w:pPr>
    </w:p>
    <w:p>
      <w:pPr>
        <w:ind w:left="940" w:right="4920" w:hanging="846"/>
        <w:spacing w:after="0" w:line="280" w:lineRule="auto"/>
        <w:tabs>
          <w:tab w:leader="none" w:pos="9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are generally unobservable and typically reflect management’s estimates of assumptions that market participants would use in pricing the asset or liability.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60"/>
          </w:cols>
          <w:pgMar w:left="220" w:top="762" w:right="21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Financial instruments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Amounts owed by subsidiary undertakings are non-interest bearing and repayable on demand. All amounts are therefore recorded as due within one year. Fair value is deemed to equal carrying value on this basis.</w:t>
      </w:r>
    </w:p>
    <w:p>
      <w:pPr>
        <w:spacing w:after="0" w:line="15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Approval of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approved the Company Financial Statements on 30 April 2019.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60"/>
          </w:cols>
          <w:pgMar w:left="220" w:top="762" w:right="21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Reconciliation from IFRS to US Accounting Policies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Consolidated Financial Statements set out on pages 23 to 125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Financial statement format</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March 2019. The financial statements included in such Form 20-F are prepared in accordance with U.S. GAAP.</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Merger with PRAI</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35" w:lineRule="exact"/>
        <w:rPr>
          <w:sz w:val="20"/>
          <w:szCs w:val="20"/>
          <w:color w:val="auto"/>
        </w:rPr>
      </w:pPr>
    </w:p>
    <w:p>
      <w:pPr>
        <w:ind w:left="300" w:hanging="295"/>
        <w:spacing w:after="0"/>
        <w:tabs>
          <w:tab w:leader="none" w:pos="3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Group’s historic U.S. GAAP financial statements have been restated to reflect the combined results of ICON and PRAI;</w:t>
      </w:r>
    </w:p>
    <w:p>
      <w:pPr>
        <w:spacing w:after="0" w:line="18" w:lineRule="exact"/>
        <w:rPr>
          <w:rFonts w:ascii="Arial" w:cs="Arial" w:eastAsia="Arial" w:hAnsi="Arial"/>
          <w:sz w:val="14"/>
          <w:szCs w:val="14"/>
          <w:color w:val="auto"/>
        </w:rPr>
      </w:pPr>
    </w:p>
    <w:p>
      <w:pPr>
        <w:ind w:left="300" w:hanging="295"/>
        <w:spacing w:after="0"/>
        <w:tabs>
          <w:tab w:leader="none" w:pos="3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costs of the merger were expensed for U.S. GAAP purposes and included in the cost of acquisition for IFRS;</w:t>
      </w:r>
    </w:p>
    <w:p>
      <w:pPr>
        <w:spacing w:after="0" w:line="8" w:lineRule="exact"/>
        <w:rPr>
          <w:rFonts w:ascii="Arial" w:cs="Arial" w:eastAsia="Arial" w:hAnsi="Arial"/>
          <w:sz w:val="14"/>
          <w:szCs w:val="14"/>
          <w:color w:val="auto"/>
        </w:rPr>
      </w:pPr>
    </w:p>
    <w:p>
      <w:pPr>
        <w:ind w:left="300" w:hanging="295"/>
        <w:spacing w:after="0"/>
        <w:tabs>
          <w:tab w:leader="none" w:pos="3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goodwill arising on IFRS has been amortised over its expected useful life up to 31 May 2001. No goodwill arose on the merger under U.S. GAAP;</w:t>
      </w:r>
    </w:p>
    <w:p>
      <w:pPr>
        <w:spacing w:after="0" w:line="8" w:lineRule="exact"/>
        <w:rPr>
          <w:rFonts w:ascii="Arial" w:cs="Arial" w:eastAsia="Arial" w:hAnsi="Arial"/>
          <w:sz w:val="14"/>
          <w:szCs w:val="14"/>
          <w:color w:val="auto"/>
        </w:rPr>
      </w:pPr>
    </w:p>
    <w:p>
      <w:pPr>
        <w:ind w:left="300" w:hanging="295"/>
        <w:spacing w:after="0"/>
        <w:tabs>
          <w:tab w:leader="none" w:pos="3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tax charge arising on the conversion of PRAI from an S-Corporation to a C-Corporation is treated as a pre-acquisition charge under IFRS.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Share-based payment expense</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IFRS requires that the fair value of share-based payments be expensed to the Consolidated Statement of Profit and Loss over the period the related services are received, with a corresponding increase in equity. In the year ending 31 December 2018, the Group has accounted for share-based payments under U.S. GAAP in accordance with </w:t>
      </w:r>
      <w:r>
        <w:rPr>
          <w:rFonts w:ascii="Arial" w:cs="Arial" w:eastAsia="Arial" w:hAnsi="Arial"/>
          <w:sz w:val="14"/>
          <w:szCs w:val="14"/>
          <w:i w:val="1"/>
          <w:iCs w:val="1"/>
          <w:color w:val="auto"/>
        </w:rPr>
        <w:t>FASB ASC 718, Compensation – Stock Compensation</w:t>
      </w:r>
      <w:r>
        <w:rPr>
          <w:rFonts w:ascii="Arial" w:cs="Arial" w:eastAsia="Arial" w:hAnsi="Arial"/>
          <w:sz w:val="14"/>
          <w:szCs w:val="14"/>
          <w:color w:val="auto"/>
        </w:rPr>
        <w:t>, which also requires that the fair value of share-based payments be expensed to the Consolidated Statement of Profit and Loss over the period the related services are received, with a corresponding increase in equity.</w:t>
      </w:r>
    </w:p>
    <w:p>
      <w:pPr>
        <w:spacing w:after="0" w:line="146"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60"/>
          </w:cols>
          <w:pgMar w:left="220" w:top="1291" w:right="21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 xml:space="preserve">Reconciliation from IFRS to US Accounting Policies </w:t>
      </w:r>
      <w:r>
        <w:rPr>
          <w:rFonts w:ascii="Arial" w:cs="Arial" w:eastAsia="Arial" w:hAnsi="Arial"/>
          <w:sz w:val="15"/>
          <w:szCs w:val="15"/>
          <w:i w:val="1"/>
          <w:iCs w:val="1"/>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IAS 19R Defined Benefit Pensions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($161k) and the different net interest expense recorded under IFRS and U.S. GAAP ($(387k)).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Current tax and deferred tax assets</w:t>
      </w:r>
    </w:p>
    <w:p>
      <w:pPr>
        <w:spacing w:after="0" w:line="18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U.S. GAAP, ASC 740, Income Taxes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U.S. GAAP, ASC 740, Income Taxes requires recognition of a current tax benefit of certain tax deductions arising from Share based payment windfall gains in the Consolidated Statement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IFRS requires that the current tax benefit of these Share based payment windfall gains is recognised through Equity, in the Share-based payment reserve.</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 Effect on profit for the financial year</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7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47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78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w w:val="99"/>
              </w:rPr>
              <w:t>Profit for the financial year attributable to equity holders as stated under IFRS</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322,817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272,944</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 expense under IFRS</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28,059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31,120</w:t>
            </w: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Share-based payment expense under U.S. GAAP</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(31,594)</w:t>
            </w:r>
          </w:p>
        </w:tc>
        <w:tc>
          <w:tcPr>
            <w:tcW w:w="920" w:type="dxa"/>
            <w:vAlign w:val="bottom"/>
          </w:tcPr>
          <w:p>
            <w:pPr>
              <w:jc w:val="right"/>
              <w:spacing w:after="0"/>
              <w:rPr>
                <w:sz w:val="20"/>
                <w:szCs w:val="20"/>
                <w:color w:val="auto"/>
              </w:rPr>
            </w:pPr>
            <w:r>
              <w:rPr>
                <w:rFonts w:ascii="Arial" w:cs="Arial" w:eastAsia="Arial" w:hAnsi="Arial"/>
                <w:sz w:val="14"/>
                <w:szCs w:val="14"/>
                <w:color w:val="auto"/>
              </w:rPr>
              <w:t>(30,573)</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adjustments on share-based payments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Current tax adjustments on share based payments</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4,626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7,519</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adjustments on pension contributions</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754</w:t>
            </w: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Additional costs defined benefit pension scheme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5"/>
        </w:trPr>
        <w:tc>
          <w:tcPr>
            <w:tcW w:w="47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Net income as stated under U.S. GAAP</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322,656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281,488</w:t>
            </w:r>
          </w:p>
        </w:tc>
      </w:tr>
      <w:tr>
        <w:trPr>
          <w:trHeight w:val="23"/>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Basic earnings per Ordinary Share under U.S. GAAP</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$5.96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$5.20</w:t>
            </w:r>
          </w:p>
        </w:tc>
      </w:tr>
      <w:tr>
        <w:trPr>
          <w:trHeight w:val="23"/>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Ordinary Share under U.S. GAAP</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$5.89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$5.13</w:t>
            </w:r>
          </w:p>
        </w:tc>
      </w:tr>
      <w:tr>
        <w:trPr>
          <w:trHeight w:val="23"/>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67"/>
        </w:trPr>
        <w:tc>
          <w:tcPr>
            <w:tcW w:w="4780" w:type="dxa"/>
            <w:vAlign w:val="bottom"/>
          </w:tcPr>
          <w:p>
            <w:pPr>
              <w:spacing w:after="0"/>
              <w:rPr>
                <w:sz w:val="24"/>
                <w:szCs w:val="24"/>
                <w:color w:val="auto"/>
              </w:rPr>
            </w:pP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140</w:t>
            </w:r>
          </w:p>
        </w:tc>
        <w:tc>
          <w:tcPr>
            <w:tcW w:w="920" w:type="dxa"/>
            <w:vAlign w:val="bottom"/>
          </w:tcPr>
          <w:p>
            <w:pPr>
              <w:spacing w:after="0"/>
              <w:rPr>
                <w:sz w:val="24"/>
                <w:szCs w:val="24"/>
                <w:color w:val="auto"/>
              </w:rPr>
            </w:pPr>
          </w:p>
        </w:tc>
      </w:tr>
    </w:tbl>
    <w:p>
      <w:pPr>
        <w:sectPr>
          <w:pgSz w:w="11900" w:h="16838" w:orient="portrait"/>
          <w:cols w:equalWidth="0" w:num="1">
            <w:col w:w="11460"/>
          </w:cols>
          <w:pgMar w:left="220" w:top="1361" w:right="21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color w:val="auto"/>
        </w:rPr>
        <w:t xml:space="preserve">Reconciliation from IFRS to US Accounting Policies </w:t>
      </w:r>
      <w:r>
        <w:rPr>
          <w:rFonts w:ascii="Arial" w:cs="Arial" w:eastAsia="Arial" w:hAnsi="Arial"/>
          <w:sz w:val="15"/>
          <w:szCs w:val="15"/>
          <w:i w:val="1"/>
          <w:iCs w:val="1"/>
          <w:color w:val="auto"/>
        </w:rPr>
        <w:t>(continued)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tcPr>
          <w:p>
            <w:pPr>
              <w:spacing w:after="0"/>
              <w:rPr>
                <w:sz w:val="20"/>
                <w:szCs w:val="20"/>
                <w:color w:val="auto"/>
              </w:rPr>
            </w:pPr>
            <w:r>
              <w:rPr>
                <w:rFonts w:ascii="Arial" w:cs="Arial" w:eastAsia="Arial" w:hAnsi="Arial"/>
                <w:sz w:val="14"/>
                <w:szCs w:val="14"/>
                <w:i w:val="1"/>
                <w:iCs w:val="1"/>
                <w:color w:val="auto"/>
              </w:rPr>
              <w:t>(ii) Effect on shareholders’ equity</w:t>
            </w:r>
          </w:p>
        </w:tc>
        <w:tc>
          <w:tcPr>
            <w:tcW w:w="2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5"/>
        </w:trPr>
        <w:tc>
          <w:tcPr>
            <w:tcW w:w="40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76"/>
        </w:trPr>
        <w:tc>
          <w:tcPr>
            <w:tcW w:w="400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spacing w:after="0"/>
              <w:rPr>
                <w:sz w:val="16"/>
                <w:szCs w:val="16"/>
                <w:color w:val="auto"/>
              </w:rPr>
            </w:pPr>
          </w:p>
        </w:tc>
        <w:tc>
          <w:tcPr>
            <w:tcW w:w="20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0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Shareholders’ equity as stated under IFRS</w:t>
            </w:r>
          </w:p>
        </w:tc>
        <w:tc>
          <w:tcPr>
            <w:tcW w:w="2040" w:type="dxa"/>
            <w:vAlign w:val="bottom"/>
          </w:tcPr>
          <w:p>
            <w:pPr>
              <w:jc w:val="right"/>
              <w:ind w:right="29"/>
              <w:spacing w:after="0"/>
              <w:rPr>
                <w:sz w:val="20"/>
                <w:szCs w:val="20"/>
                <w:color w:val="auto"/>
              </w:rPr>
            </w:pPr>
            <w:r>
              <w:rPr>
                <w:rFonts w:ascii="Arial" w:cs="Arial" w:eastAsia="Arial" w:hAnsi="Arial"/>
                <w:sz w:val="14"/>
                <w:szCs w:val="14"/>
                <w:b w:val="1"/>
                <w:bCs w:val="1"/>
                <w:color w:val="auto"/>
              </w:rPr>
              <w:t>1,386,379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1,230,256</w:t>
            </w: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0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20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(net) arising on merger with PRAI</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(14,009)</w:t>
            </w: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Deferred tax adjustments on share-based payments</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(18,089)</w:t>
            </w:r>
          </w:p>
        </w:tc>
        <w:tc>
          <w:tcPr>
            <w:tcW w:w="920" w:type="dxa"/>
            <w:vAlign w:val="bottom"/>
          </w:tcPr>
          <w:p>
            <w:pPr>
              <w:jc w:val="right"/>
              <w:spacing w:after="0"/>
              <w:rPr>
                <w:sz w:val="20"/>
                <w:szCs w:val="20"/>
                <w:color w:val="auto"/>
              </w:rPr>
            </w:pPr>
            <w:r>
              <w:rPr>
                <w:rFonts w:ascii="Arial" w:cs="Arial" w:eastAsia="Arial" w:hAnsi="Arial"/>
                <w:sz w:val="14"/>
                <w:szCs w:val="14"/>
                <w:color w:val="auto"/>
              </w:rPr>
              <w:t>(25,247)</w:t>
            </w: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5"/>
        </w:trPr>
        <w:tc>
          <w:tcPr>
            <w:tcW w:w="40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Shareholders’ equity as stated under U.S. GAAP</w:t>
            </w:r>
          </w:p>
        </w:tc>
        <w:tc>
          <w:tcPr>
            <w:tcW w:w="2040" w:type="dxa"/>
            <w:vAlign w:val="bottom"/>
          </w:tcPr>
          <w:p>
            <w:pPr>
              <w:jc w:val="right"/>
              <w:ind w:right="29"/>
              <w:spacing w:after="0"/>
              <w:rPr>
                <w:sz w:val="20"/>
                <w:szCs w:val="20"/>
                <w:color w:val="auto"/>
              </w:rPr>
            </w:pPr>
            <w:r>
              <w:rPr>
                <w:rFonts w:ascii="Arial" w:cs="Arial" w:eastAsia="Arial" w:hAnsi="Arial"/>
                <w:sz w:val="14"/>
                <w:szCs w:val="14"/>
                <w:b w:val="1"/>
                <w:bCs w:val="1"/>
                <w:color w:val="auto"/>
              </w:rPr>
              <w:t>1,354,281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1,191,000</w:t>
            </w:r>
          </w:p>
        </w:tc>
      </w:tr>
      <w:tr>
        <w:trPr>
          <w:trHeight w:val="23"/>
        </w:trPr>
        <w:tc>
          <w:tcPr>
            <w:tcW w:w="40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8"/>
        </w:trPr>
        <w:tc>
          <w:tcPr>
            <w:tcW w:w="4000" w:type="dxa"/>
            <w:vAlign w:val="bottom"/>
          </w:tcPr>
          <w:p>
            <w:pPr>
              <w:spacing w:after="0"/>
              <w:rPr>
                <w:sz w:val="20"/>
                <w:szCs w:val="20"/>
                <w:color w:val="auto"/>
              </w:rPr>
            </w:pPr>
            <w:r>
              <w:rPr>
                <w:rFonts w:ascii="Arial" w:cs="Arial" w:eastAsia="Arial" w:hAnsi="Arial"/>
                <w:sz w:val="14"/>
                <w:szCs w:val="14"/>
                <w:i w:val="1"/>
                <w:iCs w:val="1"/>
                <w:color w:val="auto"/>
              </w:rPr>
              <w:t>(iii) Effect on total assets</w:t>
            </w:r>
          </w:p>
        </w:tc>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5"/>
        </w:trPr>
        <w:tc>
          <w:tcPr>
            <w:tcW w:w="40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76"/>
        </w:trPr>
        <w:tc>
          <w:tcPr>
            <w:tcW w:w="400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spacing w:after="0"/>
              <w:rPr>
                <w:sz w:val="16"/>
                <w:szCs w:val="16"/>
                <w:color w:val="auto"/>
              </w:rPr>
            </w:pPr>
          </w:p>
        </w:tc>
        <w:tc>
          <w:tcPr>
            <w:tcW w:w="20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Total assets as stated under IFRS</w:t>
            </w:r>
          </w:p>
        </w:tc>
        <w:tc>
          <w:tcPr>
            <w:tcW w:w="2040" w:type="dxa"/>
            <w:vAlign w:val="bottom"/>
          </w:tcPr>
          <w:p>
            <w:pPr>
              <w:jc w:val="right"/>
              <w:ind w:right="9"/>
              <w:spacing w:after="0"/>
              <w:rPr>
                <w:sz w:val="20"/>
                <w:szCs w:val="20"/>
                <w:color w:val="auto"/>
              </w:rPr>
            </w:pPr>
            <w:r>
              <w:rPr>
                <w:rFonts w:ascii="Arial" w:cs="Arial" w:eastAsia="Arial" w:hAnsi="Arial"/>
                <w:sz w:val="14"/>
                <w:szCs w:val="14"/>
                <w:b w:val="1"/>
                <w:bCs w:val="1"/>
                <w:color w:val="auto"/>
              </w:rPr>
              <w:t>2,386,353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2,185,874</w:t>
            </w: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20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(net) arising on merger with PRAI</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(14,009)</w:t>
            </w: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Deferred tax adjustments on share-based payments</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(18,089)</w:t>
            </w:r>
          </w:p>
        </w:tc>
        <w:tc>
          <w:tcPr>
            <w:tcW w:w="920" w:type="dxa"/>
            <w:vAlign w:val="bottom"/>
          </w:tcPr>
          <w:p>
            <w:pPr>
              <w:jc w:val="right"/>
              <w:spacing w:after="0"/>
              <w:rPr>
                <w:sz w:val="20"/>
                <w:szCs w:val="20"/>
                <w:color w:val="auto"/>
              </w:rPr>
            </w:pPr>
            <w:r>
              <w:rPr>
                <w:rFonts w:ascii="Arial" w:cs="Arial" w:eastAsia="Arial" w:hAnsi="Arial"/>
                <w:sz w:val="14"/>
                <w:szCs w:val="14"/>
                <w:color w:val="auto"/>
              </w:rPr>
              <w:t>(25,247)</w:t>
            </w: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5"/>
        </w:trPr>
        <w:tc>
          <w:tcPr>
            <w:tcW w:w="40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Total assets as stated under U.S. GAAP</w:t>
            </w:r>
          </w:p>
        </w:tc>
        <w:tc>
          <w:tcPr>
            <w:tcW w:w="2040" w:type="dxa"/>
            <w:vAlign w:val="bottom"/>
          </w:tcPr>
          <w:p>
            <w:pPr>
              <w:jc w:val="right"/>
              <w:ind w:right="9"/>
              <w:spacing w:after="0"/>
              <w:rPr>
                <w:sz w:val="20"/>
                <w:szCs w:val="20"/>
                <w:color w:val="auto"/>
              </w:rPr>
            </w:pPr>
            <w:r>
              <w:rPr>
                <w:rFonts w:ascii="Arial" w:cs="Arial" w:eastAsia="Arial" w:hAnsi="Arial"/>
                <w:sz w:val="14"/>
                <w:szCs w:val="14"/>
                <w:b w:val="1"/>
                <w:bCs w:val="1"/>
                <w:color w:val="auto"/>
              </w:rPr>
              <w:t>2,354,255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2,146,618</w:t>
            </w:r>
          </w:p>
        </w:tc>
      </w:tr>
      <w:tr>
        <w:trPr>
          <w:trHeight w:val="23"/>
        </w:trPr>
        <w:tc>
          <w:tcPr>
            <w:tcW w:w="40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08"/>
        </w:trPr>
        <w:tc>
          <w:tcPr>
            <w:tcW w:w="4000" w:type="dxa"/>
            <w:vAlign w:val="bottom"/>
          </w:tcPr>
          <w:p>
            <w:pPr>
              <w:spacing w:after="0"/>
              <w:rPr>
                <w:sz w:val="20"/>
                <w:szCs w:val="20"/>
                <w:color w:val="auto"/>
              </w:rPr>
            </w:pPr>
            <w:r>
              <w:rPr>
                <w:rFonts w:ascii="Arial" w:cs="Arial" w:eastAsia="Arial" w:hAnsi="Arial"/>
                <w:sz w:val="14"/>
                <w:szCs w:val="14"/>
                <w:i w:val="1"/>
                <w:iCs w:val="1"/>
                <w:color w:val="auto"/>
              </w:rPr>
              <w:t>(iv)Effect on total liabilities</w:t>
            </w:r>
          </w:p>
        </w:tc>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5"/>
        </w:trPr>
        <w:tc>
          <w:tcPr>
            <w:tcW w:w="40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76"/>
        </w:trPr>
        <w:tc>
          <w:tcPr>
            <w:tcW w:w="400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5"/>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Total liabilities as stated under IFRS</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999,974</w:t>
            </w:r>
          </w:p>
        </w:tc>
        <w:tc>
          <w:tcPr>
            <w:tcW w:w="920" w:type="dxa"/>
            <w:vAlign w:val="bottom"/>
          </w:tcPr>
          <w:p>
            <w:pPr>
              <w:jc w:val="right"/>
              <w:spacing w:after="0"/>
              <w:rPr>
                <w:sz w:val="20"/>
                <w:szCs w:val="20"/>
                <w:color w:val="auto"/>
              </w:rPr>
            </w:pPr>
            <w:r>
              <w:rPr>
                <w:rFonts w:ascii="Arial" w:cs="Arial" w:eastAsia="Arial" w:hAnsi="Arial"/>
                <w:sz w:val="14"/>
                <w:szCs w:val="14"/>
                <w:color w:val="auto"/>
              </w:rPr>
              <w:t>955,618</w:t>
            </w: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20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Offset between deferred tax assets and liabilities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5"/>
        </w:trPr>
        <w:tc>
          <w:tcPr>
            <w:tcW w:w="40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1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as stated under U.S. GAAP</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999,974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955,618</w:t>
            </w:r>
          </w:p>
        </w:tc>
      </w:tr>
      <w:tr>
        <w:trPr>
          <w:trHeight w:val="529"/>
        </w:trPr>
        <w:tc>
          <w:tcPr>
            <w:tcW w:w="40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141</w:t>
            </w: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0239"/>
          </w:cols>
          <w:pgMar w:left="220" w:top="1361" w:right="1440"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color w:val="auto"/>
        </w:rPr>
        <w:t>Appendix A: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Business and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depend on a limited number of customers and a loss of, or significant decrease in business from one or more of them could affect our business.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During the year ended 31 December 2018 39.5% of our revenues were derived from our top five customers, with one customer contributing more than 10% of our net revenues during the period (14%). During the year ended 31 December 2017 42% of our revenues (including revenue from reimbursable expenses) were derived from our top five customers, with one customer contributing more than 10% of our revenues (including revenue from reimbursable expenses) during the period (21%). No other customer contributed more than 10% of our revenues during this period. During the year ended 31 December 2016 45% of our net revenues (excluding revenue from reimbursable expenses) were derived from our top five customers, with one customer contributing more than 10% of our net revenues (excluding revenue from reimbursable expenses) during the period (26%).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Many of our contracts are long-term fixed-fee contracts. We would lose money in performing these contracts if the costs of performance exceed the fixed fees for these projects and we are unable to negotiate a change order for the value of work performed</w:t>
      </w:r>
      <w:r>
        <w:rPr>
          <w:rFonts w:ascii="Arial" w:cs="Arial" w:eastAsia="Arial" w:hAnsi="Arial"/>
          <w:sz w:val="14"/>
          <w:szCs w:val="14"/>
          <w:color w:val="auto"/>
        </w:rPr>
        <w:t>.</w:t>
      </w:r>
    </w:p>
    <w:p>
      <w:pPr>
        <w:spacing w:after="0" w:line="4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Many of our contracts are long-term fixed fee contracts. Revenues on these contracts are agreed in the contract between the Company and the customer and are based on an assessment of progress towards completion based on the cost of time and reimbursable costs.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also endeavours to ensure that changes in scope are appropriately monitored and change orders for additional revenue are promptly negotiated for additional work as necessary.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42" w:lineRule="exact"/>
        <w:rPr>
          <w:sz w:val="20"/>
          <w:szCs w:val="20"/>
          <w:color w:val="auto"/>
        </w:rPr>
      </w:pPr>
    </w:p>
    <w:p>
      <w:pPr>
        <w:ind w:left="640" w:hanging="254"/>
        <w:spacing w:after="0"/>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failure of products being tested to satisfy safety or efficacy requirements;</w:t>
      </w:r>
    </w:p>
    <w:p>
      <w:pPr>
        <w:spacing w:after="0" w:line="18" w:lineRule="exact"/>
        <w:rPr>
          <w:rFonts w:ascii="Arial" w:cs="Arial" w:eastAsia="Arial" w:hAnsi="Arial"/>
          <w:sz w:val="14"/>
          <w:szCs w:val="14"/>
          <w:color w:val="auto"/>
        </w:rPr>
      </w:pPr>
    </w:p>
    <w:p>
      <w:pPr>
        <w:ind w:left="640" w:hanging="254"/>
        <w:spacing w:after="0"/>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unexpected or undesired clinical results of the product;</w:t>
      </w:r>
    </w:p>
    <w:p>
      <w:pPr>
        <w:spacing w:after="0" w:line="8" w:lineRule="exact"/>
        <w:rPr>
          <w:rFonts w:ascii="Arial" w:cs="Arial" w:eastAsia="Arial" w:hAnsi="Arial"/>
          <w:sz w:val="14"/>
          <w:szCs w:val="14"/>
          <w:color w:val="auto"/>
        </w:rPr>
      </w:pPr>
    </w:p>
    <w:p>
      <w:pPr>
        <w:ind w:left="640" w:hanging="254"/>
        <w:spacing w:after="0"/>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 decision that a particular study is no longer necessary or viable;</w:t>
      </w:r>
    </w:p>
    <w:p>
      <w:pPr>
        <w:spacing w:after="0" w:line="8" w:lineRule="exact"/>
        <w:rPr>
          <w:rFonts w:ascii="Arial" w:cs="Arial" w:eastAsia="Arial" w:hAnsi="Arial"/>
          <w:sz w:val="14"/>
          <w:szCs w:val="14"/>
          <w:color w:val="auto"/>
        </w:rPr>
      </w:pPr>
    </w:p>
    <w:p>
      <w:pPr>
        <w:ind w:left="640" w:hanging="254"/>
        <w:spacing w:after="0"/>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poor project performance, quality concerns, insufficient patient enrolment or investigator recruitment; and</w:t>
      </w:r>
    </w:p>
    <w:p>
      <w:pPr>
        <w:spacing w:after="0" w:line="8" w:lineRule="exact"/>
        <w:rPr>
          <w:rFonts w:ascii="Arial" w:cs="Arial" w:eastAsia="Arial" w:hAnsi="Arial"/>
          <w:sz w:val="14"/>
          <w:szCs w:val="14"/>
          <w:color w:val="auto"/>
        </w:rPr>
      </w:pPr>
    </w:p>
    <w:p>
      <w:pPr>
        <w:ind w:left="640" w:hanging="254"/>
        <w:spacing w:after="0"/>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production problems resulting in shortages of the drug.</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60"/>
          </w:cols>
          <w:pgMar w:left="220" w:top="1371" w:right="21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attract or retain qualified staff, our performance may suffer.</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perform clinical trials is dependent upon the ability to recruit suitable willing patients.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enrolment may result in the termination or delay of a study which could have a material adverse impact on our results of operations.</w:t>
      </w:r>
    </w:p>
    <w:p>
      <w:pPr>
        <w:spacing w:after="0" w:line="146"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Company is focused on continuing to develop its expertise in patient recruitment. The focus is on making it easier for the site and the patient to actively participate in a trial to ensure increased predictability, enrolment and retention. Our site and patient solutions group includes upfront planning of site and patient management including identification, enrolment and engagement.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Improved site selection is achieved through:</w:t>
      </w:r>
    </w:p>
    <w:p>
      <w:pPr>
        <w:spacing w:after="0" w:line="178" w:lineRule="exact"/>
        <w:rPr>
          <w:sz w:val="20"/>
          <w:szCs w:val="20"/>
          <w:color w:val="auto"/>
        </w:rPr>
      </w:pPr>
    </w:p>
    <w:p>
      <w:pPr>
        <w:ind w:left="520" w:hanging="261"/>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leading technology to identify where the patients are that match the protocol;</w:t>
      </w:r>
    </w:p>
    <w:p>
      <w:pPr>
        <w:spacing w:after="0" w:line="177" w:lineRule="exact"/>
        <w:rPr>
          <w:rFonts w:ascii="Arial" w:cs="Arial" w:eastAsia="Arial" w:hAnsi="Arial"/>
          <w:sz w:val="14"/>
          <w:szCs w:val="14"/>
          <w:color w:val="auto"/>
        </w:rPr>
      </w:pPr>
    </w:p>
    <w:p>
      <w:pPr>
        <w:ind w:left="520" w:hanging="261"/>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assessment of the qualification of sites based on real data;</w:t>
      </w:r>
    </w:p>
    <w:p>
      <w:pPr>
        <w:spacing w:after="0" w:line="177" w:lineRule="exact"/>
        <w:rPr>
          <w:rFonts w:ascii="Arial" w:cs="Arial" w:eastAsia="Arial" w:hAnsi="Arial"/>
          <w:sz w:val="14"/>
          <w:szCs w:val="14"/>
          <w:color w:val="auto"/>
        </w:rPr>
      </w:pPr>
    </w:p>
    <w:p>
      <w:pPr>
        <w:ind w:left="520" w:hanging="261"/>
        <w:spacing w:after="0" w:line="280" w:lineRule="auto"/>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burden on the site in ensuring patient enrolment and engagement is achieved through integrated site networks. ICON have a number of site alliance partners. During 2018, we enhanced our site and patient recruitment capabilities with an expansion of the PMG Research network through a partnership with the Du Page Medical Group. We also use digital solutions to drive site performance, including pre-screening, eConsent, learning management, document tracking and management with key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perform clinical trials is dependent upon our ability to recruit suitable willing investigators.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third parties for important products and services.</w:t>
      </w:r>
    </w:p>
    <w:p>
      <w:pPr>
        <w:spacing w:after="0" w:line="125"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60"/>
          </w:cols>
          <w:pgMar w:left="220" w:top="1339" w:right="21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46" w:lineRule="exact"/>
        <w:rPr>
          <w:sz w:val="20"/>
          <w:szCs w:val="20"/>
          <w:color w:val="auto"/>
        </w:rPr>
      </w:pPr>
    </w:p>
    <w:p>
      <w:pPr>
        <w:ind w:left="580" w:hanging="258"/>
        <w:spacing w:after="0"/>
        <w:tabs>
          <w:tab w:leader="none" w:pos="5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disruption or failure of data centres, telecommunications facilities or other key infrastructure platforms;</w:t>
      </w:r>
    </w:p>
    <w:p>
      <w:pPr>
        <w:spacing w:after="0" w:line="18" w:lineRule="exact"/>
        <w:rPr>
          <w:rFonts w:ascii="Arial" w:cs="Arial" w:eastAsia="Arial" w:hAnsi="Arial"/>
          <w:sz w:val="14"/>
          <w:szCs w:val="14"/>
          <w:color w:val="auto"/>
        </w:rPr>
      </w:pPr>
    </w:p>
    <w:p>
      <w:pPr>
        <w:ind w:left="580" w:hanging="258"/>
        <w:spacing w:after="0" w:line="252" w:lineRule="auto"/>
        <w:tabs>
          <w:tab w:leader="none" w:pos="5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security breaches, cyber-attacks or other failures or malfunctions in our application or information systems or their associated hardware or other systems that we have access to or that we rely upon or that have access to our systems; and</w:t>
      </w:r>
    </w:p>
    <w:p>
      <w:pPr>
        <w:ind w:left="580" w:hanging="258"/>
        <w:spacing w:after="0"/>
        <w:tabs>
          <w:tab w:leader="none" w:pos="5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excessive costs, excessive delays or other deficiencies in or problems with systems development and deployment.</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 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one or more of the termination of a contract,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Unauthorised disclosure of sensitive or confidential data, whether through system failure or employee negligence, fraud or misappropriation, could damage our reputation and cause us to lose clients. Similarly, despite investing in information and cyber- security controls there is a risk that unauthorised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Upgrading the information systems that support our operating processes and evolving the technology platform for our services pose risks to our business.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60"/>
          </w:cols>
          <w:pgMar w:left="220" w:top="1340" w:right="21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Additionally, our progress may be limited by parties with existing or claimed patents who seek to prevent us from using preferred technology or seek license payments from us.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and One Search services. Also, increased requirements for investment in information technology may negatively impact our financial condition, including profitability.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operations might be impacted by a disruption to travel systems.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Many of our operations rely on the availability of air or other transportation for the distribution of clinical trial materials, study samples and personnel. While we have developed contingency plans to minimise the impact of such events, a disruption to the availability of air transportation or other travel systems could have a material adverse impact on our ability to provide services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make, or be unable to make, acquisitions in the future, which may lead to disruptions to our ongoing business.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made a number of acquisitions and will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32" w:lineRule="exact"/>
        <w:rPr>
          <w:sz w:val="20"/>
          <w:szCs w:val="20"/>
          <w:color w:val="auto"/>
        </w:rPr>
      </w:pPr>
    </w:p>
    <w:p>
      <w:pPr>
        <w:ind w:left="580" w:hanging="258"/>
        <w:spacing w:after="0"/>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effectively and quickly assimilate the operations and services or products of the acquired company or business;</w:t>
      </w:r>
    </w:p>
    <w:p>
      <w:pPr>
        <w:spacing w:after="0" w:line="18" w:lineRule="exact"/>
        <w:rPr>
          <w:rFonts w:ascii="Arial" w:cs="Arial" w:eastAsia="Arial" w:hAnsi="Arial"/>
          <w:sz w:val="14"/>
          <w:szCs w:val="14"/>
          <w:color w:val="auto"/>
        </w:rPr>
      </w:pPr>
    </w:p>
    <w:p>
      <w:pPr>
        <w:ind w:left="580" w:hanging="258"/>
        <w:spacing w:after="0"/>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integrate acquired personnel;</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retain and motivate key employees;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retain customers; and</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minimise the diversion of management's attention from other business concerns.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Improper performance of our services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endeavour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60"/>
          </w:cols>
          <w:pgMar w:left="220" w:top="1340" w:right="21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only a limited ability to protect our intellectual property rights and these rights are important to our success.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may, in certain circumstances, grant a customer more expansive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biopharmaceutical industry has a history of patent and other intellectual property litigation, and we might be involved in costly intellectual property lawsuits.</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unfavourable terms. Any infringement or other legal processing related to intellectual property could have a material adverse effect on our operations and financial condition.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60"/>
          </w:cols>
          <w:pgMar w:left="220" w:top="1339" w:right="21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act as legal representative for some clients.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be available and provide cover or that a client will fulfil its obligations in relation to their indemnity.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Industry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the continued outsourcing of research and development by the pharmaceutical, biotechnology and medical device industries.</w:t>
      </w:r>
    </w:p>
    <w:p>
      <w:pPr>
        <w:spacing w:after="0" w:line="178" w:lineRule="exact"/>
        <w:rPr>
          <w:sz w:val="20"/>
          <w:szCs w:val="20"/>
          <w:color w:val="auto"/>
        </w:rPr>
      </w:pPr>
    </w:p>
    <w:p>
      <w:pPr>
        <w:jc w:val="both"/>
        <w:ind w:left="60"/>
        <w:spacing w:after="0" w:line="261" w:lineRule="auto"/>
        <w:rPr>
          <w:sz w:val="20"/>
          <w:szCs w:val="20"/>
          <w:color w:val="auto"/>
        </w:rPr>
      </w:pPr>
      <w:r>
        <w:rPr>
          <w:rFonts w:ascii="Arial" w:cs="Arial" w:eastAsia="Arial" w:hAnsi="Arial"/>
          <w:sz w:val="14"/>
          <w:szCs w:val="14"/>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46" w:lineRule="exact"/>
        <w:rPr>
          <w:sz w:val="20"/>
          <w:szCs w:val="20"/>
          <w:color w:val="auto"/>
        </w:rPr>
      </w:pPr>
    </w:p>
    <w:p>
      <w:pPr>
        <w:ind w:left="580" w:hanging="258"/>
        <w:spacing w:after="0"/>
        <w:tabs>
          <w:tab w:leader="none" w:pos="5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spacing w:after="0" w:line="30" w:lineRule="exact"/>
        <w:rPr>
          <w:rFonts w:ascii="Arial" w:cs="Arial" w:eastAsia="Arial" w:hAnsi="Arial"/>
          <w:sz w:val="13"/>
          <w:szCs w:val="13"/>
          <w:color w:val="auto"/>
        </w:rPr>
      </w:pPr>
    </w:p>
    <w:p>
      <w:pPr>
        <w:ind w:left="580" w:right="400" w:hanging="258"/>
        <w:spacing w:after="0" w:line="252" w:lineRule="auto"/>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580" w:hanging="258"/>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if unfavorable economic conditions or disruptions in the credit and capital markets negatively impacted our clients.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Increased collaboration amongst pharmaceutical companies in research and development activities may lead to fewer research opportunities.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and dynamic market.</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60"/>
          </w:cols>
          <w:pgMar w:left="220" w:top="1340" w:right="21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type and depth of services provided by CROs has changed in recent years. Failure to develop and market new services or expand existing service offerings could adversely affect our business and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New entrants may also enter the market which would further increase competition and could adversely affect our business and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Financial Results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results are dependent upon a number of factors and can fluctuate from quarter to quarter.</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indication of future results.</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exposure to exchange rate fluctuations could adversely affect our results of operations.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effective tax rate may fluctuate from quarter to quarter, which may adversely affect our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unsatisfied performance obligation (assessment of the realisable value of contracted awards) may not convert to revenue and the rate of conversion may slow.</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remaining unsatisfied performance obligation is that element of contracted awards that has not yet converted to revenue. This value is not necessarily a meaningful predictor of future results, due to the potential for the cancellation or delay of projects included in the backlog. No assurances can be given that we will be able to realise this backlog in full as revenue. A failure to realise these contracted awards could have a material adverse impact on our results of operations. In addition, as the length and complexity of projects increases, the rate at which contracted awards convert to revenue may be slower than in the past. A significant reduction in the rate of conversion could have a material impact on our results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60"/>
          </w:cols>
          <w:pgMar w:left="220" w:top="1340" w:right="21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 is exposed to various risks in relation to our cash and cash equivalents and short term investments.</w:t>
      </w: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accounting standards may adversely affect our financial statements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2"/>
          <w:szCs w:val="12"/>
          <w:color w:val="auto"/>
        </w:rPr>
        <w:t xml:space="preserve">We are required to prepare our financial statements in accordance with International Financial Reporting Standards (“IFRS”), as adopted by the European Union (“EU IFRS”) which are revised on an on-going basis by the authoritative bodies. It is possible that future accounting standard changes, may require additional changes to the accounting treatment that we apply in preparation of our financial statements. These changes may also require significant changes to our reporting systems. We applied IFRS 15 -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with effect from 1 January 2018. Under this new standard, the Company is required to recognise revenue in respect of our clinical trial services on a percentage of completion basis. The change in revenue recognition requires significant estimates of project costs that will need to be updated and adjusted on a regular basis. These updates may result in unexpected variability in the timing of recognition of revenue and therefore in our operating results. Application of IFRS 16 - '</w:t>
      </w:r>
      <w:r>
        <w:rPr>
          <w:rFonts w:ascii="Arial" w:cs="Arial" w:eastAsia="Arial" w:hAnsi="Arial"/>
          <w:sz w:val="12"/>
          <w:szCs w:val="12"/>
          <w:i w:val="1"/>
          <w:iCs w:val="1"/>
          <w:color w:val="auto"/>
        </w:rPr>
        <w:t>Leases</w:t>
      </w:r>
      <w:r>
        <w:rPr>
          <w:rFonts w:ascii="Arial" w:cs="Arial" w:eastAsia="Arial" w:hAnsi="Arial"/>
          <w:sz w:val="12"/>
          <w:szCs w:val="12"/>
          <w:color w:val="auto"/>
        </w:rPr>
        <w:t>' will result in the recognition of a lease liability and right-of-use asset on the Consolidated Statement of Financial Position at 31 December 2019.</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Political, Legal or Regulatory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lose business opportunities as a result of health care reform and the expansion of managed care organisations.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addition to health 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and other changes in the healthcare industry and in healthcare spending could adversely affect our business model, financial condition or results of operations.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60"/>
          </w:cols>
          <w:pgMar w:left="220" w:top="1340" w:right="21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lose business as a result of changes in the regulatory environment.</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the regulations and requirements of the U.S. Food and Drug Administration and other regulatory authorities could result in substantial penalties and/or loss of business.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146" w:lineRule="exact"/>
        <w:rPr>
          <w:sz w:val="20"/>
          <w:szCs w:val="20"/>
          <w:color w:val="auto"/>
        </w:rPr>
      </w:pP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termination of or delay in any research;</w:t>
      </w:r>
    </w:p>
    <w:p>
      <w:pPr>
        <w:spacing w:after="0" w:line="18" w:lineRule="exact"/>
        <w:rPr>
          <w:rFonts w:ascii="Arial" w:cs="Arial" w:eastAsia="Arial" w:hAnsi="Arial"/>
          <w:sz w:val="14"/>
          <w:szCs w:val="14"/>
          <w:color w:val="auto"/>
        </w:rPr>
      </w:pP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disqualification of data;</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denial of the right to conduct business;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criminal penalties;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other enforcement actions including debarment from government contracts;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loss of clients and/or business; and</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litigation from clients and/or patients and/or regulatory authorities and/or other affected third parties, and resulting material penalties, damages and costs.</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political, regulatory, operational and legal risks associated with our international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23 June 2016, the United Kingdom, or U.K., held a referendum, referred to as “Brexit”, in which voters approved an exit from the European Union (E.U). As a result of the referendum, the British government continues to negotiate the terms of the U.K.’s future relationship with the E.U. The terms of the exit continue to be unknown however it is possible that there will be greater restrictions on trade and the transfer of goods and other items (including lab samples) between the U.K. and E.U. countries and increased regulatory complexities. At present, these changes are not expected to significantly affect our operations or financial results. Approximately 3% of our revenue is billed in Sterling. We currently employ approximately 700 people in the UK. The announcement of Brexit and continued uncertainty around the terms of exit is causing volatility in global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60"/>
          </w:cols>
          <w:pgMar w:left="220" w:top="1340" w:right="21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markets and exchange rates. The fluctuation of currency exchange rates may expose us to gains and losses on non U.S. currency transactions.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materialise, our results of operations and financial condition could be materially adversely affected.</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3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60"/>
          </w:cols>
          <w:pgMar w:left="220" w:top="1340" w:right="21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31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Liability claims brought against us could result in payment of substantial damages, costs and liabilities and decrease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Claims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Claims relating to Investigators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Indemnification from Customers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Indemnifications provided by our customers against the risk of liability for personal injury to or death of the patients arising from a study drug vary from customer to customer and from trial to trial and may not be sufficient in scope or amount,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460"/>
          </w:cols>
          <w:pgMar w:left="220" w:top="1340" w:right="21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customer may not have the financial ability to fulfil their indemnification obligations. Furthermore, we would be liable for our own negligence and negligence of our employees which could lead to litigation from customers or action or enforcement by regulatory authorities.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Insurance</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Claims to Date</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Indebtedness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debt, which could impair our flexibility and access to capital and adversely affect our financial position.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31 December 2018, and 31 December 2017, we had an outstanding principal amount of indebtedness of $350 million under our $350 million Note Purchase and Guarantee Agreement or ‘Senior Notes’ that we entered into on 15 December 2015. The Senior Notes will mature on 15 December 2020. We also have up to $150 million of additional borrowing capacity available under the Revolving Credit Facility which was entered into with Citibank, JP Morgan, Santander, HSBC Bank and Morgan Stanley International on 12 March 2018. No amounts were drawn under the Revolving Credit Facility as of 31 December 2018. This facility bears interest at LIBOR plus a margin. We are monitoring the phasing out of LIBOR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cost and availability of credit are subject to changes in the global or regional economic environment. If conditions in the major credit markets deteriorate our ability to obtain debt financing on favourable terms may be negatively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We may incur additional debt in the future. Our debt could have significant adverse consequences, including to;</w:t>
      </w:r>
    </w:p>
    <w:p>
      <w:pPr>
        <w:spacing w:after="0" w:line="178" w:lineRule="exact"/>
        <w:rPr>
          <w:sz w:val="20"/>
          <w:szCs w:val="20"/>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limit our ability to borrow additional funds for working capital, capital expenditures, acquisitions or other general business purposes;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limit our ability to use our cash flow or obtain additional financing for future working capital, capital expenditures, acquisitions or other general business purposes;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require us to use all or a portion of our cash flow from operations to make debt service payments;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require us to sell certain assets;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restrict us from making strategic investments, including acquisitions or cause us to make non-strategic divestitures;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place us at a competitive disadvantage compared to our competitors that have less debt;</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cause us to incur substantial fees from time to time in connection with debt amendments or refinancing;</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limit our flexibility to plan for, or react to, changes in our business and industry;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increase our vulnerability to the impact of adverse economic and industry conditions.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addition, a failure to comply with the covenants under our indebtedness could result in an event of default under such indebtedness. In the event of an acceleration of amounts due under our existing indebtedness as a result of an event of default,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60"/>
          </w:cols>
          <w:pgMar w:left="220" w:top="1340" w:right="21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we may not have sufficient funds or may be unable to arrange for additional financing to repay our indebtedness or to make any required accelerated payments.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Senior Notes and the Revolving Credit Facility credit agreements include certain customary covenants that limit our ability to, amongst other things, subject to certain exceptions;</w:t>
      </w:r>
    </w:p>
    <w:p>
      <w:pPr>
        <w:spacing w:after="0" w:line="178" w:lineRule="exact"/>
        <w:rPr>
          <w:sz w:val="20"/>
          <w:szCs w:val="20"/>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incur or assume liens or additional debt;</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dispose of assets;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engage in mergers or reorganisations, or;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enter into certain types of transactions with affiliates.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Senior Notes agreement also includes certain financial covenants that require us to comply with a consolidated leverage ratio, a minimum EBITDA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These covenants may limit our operating and financial flexibility and limit our ability to respond to changes in our business or competitive activities.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Interest rate fluctuations may materially adversely affect our results of operations and financial condition in the event that the Company draws down on either Revolving Credit Facility or in respect of any future issuances of debt.</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interest rate in respect of the Senior Notes is fixed at 3.64% for the five year term of the agreement. The Revolving Credit Facility bears interest at LIBOR plus a margin. There were no amounts drawn on the Revolving Credit Facility at 31 December 2018. The Company is therefore subject to interest rate volatility in respect of any future draw down on the Revolving Credit Facility or in respect of any future issuances of debt.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in the market price of our common stock could lead to losses by investors.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32" w:lineRule="exact"/>
        <w:rPr>
          <w:sz w:val="20"/>
          <w:szCs w:val="20"/>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general market and economic conditions;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our results of operations;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issuance of new or changed securities analysts’ reports or recommendations;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developments impacting the industry or our competitors;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introduction of new products or services by us or our competitors;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public's reaction to our press releases, our other public announcements and our filings with the SEC;</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guidance, if any, that we provide to the public, any changes in this guidance or failure to meet this guidance;</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changes in the credit ratings of our debt;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460"/>
          </w:cols>
          <w:pgMar w:left="220" w:top="1340" w:right="21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sales, or anticipated sales, of large blocks of our stock;</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additions or departures of key personnel;</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regulatory or political developments;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litigation and governmental investigations;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changing economic conditions;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exchange rate fluctuations.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sectPr>
      <w:pgSz w:w="11900" w:h="16838" w:orient="portrait"/>
      <w:cols w:equalWidth="0" w:num="1">
        <w:col w:w="11460"/>
      </w:cols>
      <w:pgMar w:left="220" w:top="13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decimal"/>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1)"/>
      <w:numFmt w:val="lowerLetter"/>
      <w:start w:val="3"/>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lowerLetter"/>
      <w:start w:val="4"/>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lowerLetter"/>
      <w:start w:val="6"/>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1."/>
      <w:numFmt w:val="decimal"/>
      <w:start w:val="2"/>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decimal"/>
      <w:start w:val="3"/>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6"/>
    </w:lvl>
  </w:abstractNum>
  <w:abstractNum w:abstractNumId="45">
    <w:nsid w:val="799D0247"/>
    <w:multiLevelType w:val="hybridMultilevel"/>
    <w:lvl w:ilvl="0">
      <w:lvlJc w:val="left"/>
      <w:lvlText w:val="%1."/>
      <w:numFmt w:val="decimal"/>
      <w:start w:val="6"/>
    </w:lvl>
  </w:abstractNum>
  <w:abstractNum w:abstractNumId="46">
    <w:nsid w:val="6B94764"/>
    <w:multiLevelType w:val="hybridMultilevel"/>
    <w:lvl w:ilvl="0">
      <w:lvlJc w:val="left"/>
      <w:lvlText w:val="%1."/>
      <w:numFmt w:val="decimal"/>
      <w:start w:val="6"/>
    </w:lvl>
  </w:abstractNum>
  <w:abstractNum w:abstractNumId="47">
    <w:nsid w:val="42C296BD"/>
    <w:multiLevelType w:val="hybridMultilevel"/>
    <w:lvl w:ilvl="0">
      <w:lvlJc w:val="left"/>
      <w:lvlText w:val="%1."/>
      <w:numFmt w:val="decimal"/>
      <w:start w:val="6"/>
    </w:lvl>
  </w:abstractNum>
  <w:abstractNum w:abstractNumId="48">
    <w:nsid w:val="168E121F"/>
    <w:multiLevelType w:val="hybridMultilevel"/>
    <w:lvl w:ilvl="0">
      <w:lvlJc w:val="left"/>
      <w:lvlText w:val="%1."/>
      <w:numFmt w:val="decimal"/>
      <w:start w:val="7"/>
    </w:lvl>
  </w:abstractNum>
  <w:abstractNum w:abstractNumId="49">
    <w:nsid w:val="1EBA5D23"/>
    <w:multiLevelType w:val="hybridMultilevel"/>
    <w:lvl w:ilvl="0">
      <w:lvlJc w:val="left"/>
      <w:lvlText w:val="%1."/>
      <w:numFmt w:val="decimal"/>
      <w:start w:val="8"/>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1."/>
      <w:numFmt w:val="decimal"/>
      <w:start w:val="9"/>
    </w:lvl>
  </w:abstractNum>
  <w:abstractNum w:abstractNumId="52">
    <w:nsid w:val="540A471C"/>
    <w:multiLevelType w:val="hybridMultilevel"/>
    <w:lvl w:ilvl="0">
      <w:lvlJc w:val="left"/>
      <w:lvlText w:val="%1."/>
      <w:numFmt w:val="decimal"/>
      <w:start w:val="9"/>
    </w:lvl>
  </w:abstractNum>
  <w:abstractNum w:abstractNumId="53">
    <w:nsid w:val="7BD3EE7B"/>
    <w:multiLevelType w:val="hybridMultilevel"/>
    <w:lvl w:ilvl="0">
      <w:lvlJc w:val="left"/>
      <w:lvlText w:val="%1."/>
      <w:numFmt w:val="decimal"/>
      <w:start w:val="9"/>
    </w:lvl>
  </w:abstractNum>
  <w:abstractNum w:abstractNumId="54">
    <w:nsid w:val="51D9C564"/>
    <w:multiLevelType w:val="hybridMultilevel"/>
    <w:lvl w:ilvl="0">
      <w:lvlJc w:val="left"/>
      <w:lvlText w:val="%1."/>
      <w:numFmt w:val="decimal"/>
      <w:start w:val="9"/>
    </w:lvl>
  </w:abstractNum>
  <w:abstractNum w:abstractNumId="55">
    <w:nsid w:val="613EFDC5"/>
    <w:multiLevelType w:val="hybridMultilevel"/>
    <w:lvl w:ilvl="0">
      <w:lvlJc w:val="left"/>
      <w:lvlText w:val="%1."/>
      <w:numFmt w:val="decimal"/>
      <w:start w:val="9"/>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1)"/>
      <w:numFmt w:val="decimal"/>
      <w:start w:val="1"/>
    </w:lvl>
  </w:abstractNum>
  <w:abstractNum w:abstractNumId="58">
    <w:nsid w:val="42963E5A"/>
    <w:multiLevelType w:val="hybridMultilevel"/>
    <w:lvl w:ilvl="0">
      <w:lvlJc w:val="left"/>
      <w:lvlText w:val="%1."/>
      <w:numFmt w:val="decimal"/>
      <w:start w:val="9"/>
    </w:lvl>
  </w:abstractNum>
  <w:abstractNum w:abstractNumId="59">
    <w:nsid w:val="A0382C5"/>
    <w:multiLevelType w:val="hybridMultilevel"/>
    <w:lvl w:ilvl="0">
      <w:lvlJc w:val="left"/>
      <w:lvlText w:val="%1."/>
      <w:numFmt w:val="decimal"/>
      <w:start w:val="9"/>
    </w:lvl>
  </w:abstractNum>
  <w:abstractNum w:abstractNumId="60">
    <w:nsid w:val="8F2B15E"/>
    <w:multiLevelType w:val="hybridMultilevel"/>
    <w:lvl w:ilvl="0">
      <w:lvlJc w:val="left"/>
      <w:lvlText w:val="%1."/>
      <w:numFmt w:val="decimal"/>
      <w:start w:val="9"/>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lowerRoman"/>
      <w:start w:val="1"/>
    </w:lvl>
  </w:abstractNum>
  <w:abstractNum w:abstractNumId="65">
    <w:nsid w:val="60B6DF70"/>
    <w:multiLevelType w:val="hybridMultilevel"/>
    <w:lvl w:ilvl="0">
      <w:lvlJc w:val="left"/>
      <w:lvlText w:val="%1."/>
      <w:numFmt w:val="decimal"/>
      <w:start w:val="10"/>
    </w:lvl>
    <w:lvl w:ilvl="1">
      <w:lvlJc w:val="left"/>
      <w:lvlText w:val="(%2)"/>
      <w:numFmt w:val="lowerRoman"/>
      <w:start w:val="2"/>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1."/>
      <w:numFmt w:val="decimal"/>
      <w:start w:val="28"/>
    </w:lvl>
    <w:lvl w:ilvl="1">
      <w:lvlJc w:val="left"/>
      <w:lvlText w:val="•"/>
      <w:numFmt w:val="bullet"/>
      <w:start w:val="1"/>
    </w:lvl>
  </w:abstractNum>
  <w:abstractNum w:abstractNumId="74">
    <w:nsid w:val="6F6DD9AC"/>
    <w:multiLevelType w:val="hybridMultilevel"/>
    <w:lvl w:ilvl="0">
      <w:lvlJc w:val="left"/>
      <w:lvlText w:val="(%1)"/>
      <w:numFmt w:val="lowerRoman"/>
      <w:start w:val="1"/>
    </w:lvl>
  </w:abstractNum>
  <w:abstractNum w:abstractNumId="75">
    <w:nsid w:val="94211F2"/>
    <w:multiLevelType w:val="hybridMultilevel"/>
    <w:lvl w:ilvl="0">
      <w:lvlJc w:val="left"/>
      <w:lvlText w:val="(%1)"/>
      <w:numFmt w:val="lowerRoman"/>
      <w:start w:val="2"/>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4"/>
    </w:lvl>
  </w:abstractNum>
  <w:abstractNum w:abstractNumId="80">
    <w:nsid w:val="14E17E33"/>
    <w:multiLevelType w:val="hybridMultilevel"/>
    <w:lvl w:ilvl="0">
      <w:lvlJc w:val="left"/>
      <w:lvlText w:val="%1."/>
      <w:numFmt w:val="decimal"/>
      <w:start w:val="5"/>
    </w:lvl>
  </w:abstractNum>
  <w:abstractNum w:abstractNumId="81">
    <w:nsid w:val="3222E7CD"/>
    <w:multiLevelType w:val="hybridMultilevel"/>
    <w:lvl w:ilvl="0">
      <w:lvlJc w:val="left"/>
      <w:lvlText w:val="%1."/>
      <w:numFmt w:val="decimal"/>
      <w:start w:val="6"/>
    </w:lvl>
  </w:abstractNum>
  <w:abstractNum w:abstractNumId="82">
    <w:nsid w:val="74DE0EE3"/>
    <w:multiLevelType w:val="hybridMultilevel"/>
    <w:lvl w:ilvl="0">
      <w:lvlJc w:val="left"/>
      <w:lvlText w:val="%1."/>
      <w:numFmt w:val="decimal"/>
      <w:start w:val="7"/>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decimal"/>
      <w:start w:val="9"/>
    </w:lvl>
  </w:abstractNum>
  <w:abstractNum w:abstractNumId="85">
    <w:nsid w:val="46B7D447"/>
    <w:multiLevelType w:val="hybridMultilevel"/>
    <w:lvl w:ilvl="0">
      <w:lvlJc w:val="left"/>
      <w:lvlText w:val="(%1)"/>
      <w:numFmt w:val="lowerRoman"/>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2019-12-02T17:56:46Z</dcterms:created>
  <dcterms:modified xsi:type="dcterms:W3CDTF">2019-12-02T17:56:46Z</dcterms:modified>
</cp:coreProperties>
</file>