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announcement issued February 16,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16,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right="680"/>
        <w:spacing w:after="0" w:line="256" w:lineRule="auto"/>
        <w:rPr>
          <w:sz w:val="20"/>
          <w:szCs w:val="20"/>
          <w:color w:val="auto"/>
        </w:rPr>
      </w:pPr>
      <w:r>
        <w:rPr>
          <w:rFonts w:ascii="Arial" w:cs="Arial" w:eastAsia="Arial" w:hAnsi="Arial"/>
          <w:sz w:val="22"/>
          <w:szCs w:val="22"/>
          <w:b w:val="1"/>
          <w:bCs w:val="1"/>
          <w:color w:val="auto"/>
        </w:rPr>
        <w:t>ICON reports fourth quarter 2011 revenue of $243m, up 5% year on year, and EPS of $0.07. Backlog increases 19%. (NASDAQ:ICLR) (ISIN:IE0005711209)</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 – Fourth Quarter and Full year ended December 31 2011.</w:t>
      </w:r>
    </w:p>
    <w:p>
      <w:pPr>
        <w:spacing w:after="0" w:line="206" w:lineRule="exact"/>
        <w:rPr>
          <w:sz w:val="20"/>
          <w:szCs w:val="20"/>
          <w:color w:val="auto"/>
        </w:rPr>
      </w:pPr>
    </w:p>
    <w:p>
      <w:pPr>
        <w:ind w:left="180" w:hanging="172"/>
        <w:spacing w:after="0"/>
        <w:tabs>
          <w:tab w:leader="none" w:pos="180" w:val="left"/>
        </w:tabs>
        <w:numPr>
          <w:ilvl w:val="0"/>
          <w:numId w:val="1"/>
        </w:numPr>
        <w:rPr>
          <w:rFonts w:ascii="Arial" w:cs="Arial" w:eastAsia="Arial" w:hAnsi="Arial"/>
          <w:sz w:val="21"/>
          <w:szCs w:val="21"/>
          <w:b w:val="1"/>
          <w:bCs w:val="1"/>
          <w:color w:val="auto"/>
        </w:rPr>
      </w:pPr>
      <w:r>
        <w:rPr>
          <w:rFonts w:ascii="Arial" w:cs="Arial" w:eastAsia="Arial" w:hAnsi="Arial"/>
          <w:sz w:val="21"/>
          <w:szCs w:val="21"/>
          <w:b w:val="1"/>
          <w:bCs w:val="1"/>
          <w:color w:val="auto"/>
        </w:rPr>
        <w:t>Q4 net revenues increased 5% year on year to $243 million. FY 2011 net revenue increased 5% to $946 million.</w:t>
      </w:r>
    </w:p>
    <w:p>
      <w:pPr>
        <w:spacing w:after="0" w:line="217" w:lineRule="exact"/>
        <w:rPr>
          <w:rFonts w:ascii="Arial" w:cs="Arial" w:eastAsia="Arial" w:hAnsi="Arial"/>
          <w:sz w:val="21"/>
          <w:szCs w:val="21"/>
          <w:b w:val="1"/>
          <w:bCs w:val="1"/>
          <w:color w:val="auto"/>
        </w:rPr>
      </w:pPr>
    </w:p>
    <w:p>
      <w:pPr>
        <w:ind w:right="46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Q4 operating income was 3% or $6.6 million. FY 2011 operating income before non recurring charges was 4% or $39 million.</w:t>
      </w:r>
    </w:p>
    <w:p>
      <w:pPr>
        <w:spacing w:after="0" w:line="162"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EPS for Q4 was $0.07. Diluted 2011 EPS before non-recurring charges was $0.52.</w:t>
      </w:r>
    </w:p>
    <w:p>
      <w:pPr>
        <w:spacing w:after="0" w:line="206" w:lineRule="exact"/>
        <w:rPr>
          <w:rFonts w:ascii="Arial" w:cs="Arial" w:eastAsia="Arial" w:hAnsi="Arial"/>
          <w:sz w:val="22"/>
          <w:szCs w:val="22"/>
          <w:b w:val="1"/>
          <w:bCs w:val="1"/>
          <w:color w:val="auto"/>
        </w:rPr>
      </w:pPr>
    </w:p>
    <w:p>
      <w:pPr>
        <w:ind w:right="20" w:firstLine="8"/>
        <w:spacing w:after="0" w:line="256" w:lineRule="auto"/>
        <w:tabs>
          <w:tab w:leader="none" w:pos="162"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Q4 net business awards were $308 million, a book-to-bill of 1.3, 2011 net new business awards were $1.3 billion, a book-to-bill of 1.4.</w:t>
      </w:r>
    </w:p>
    <w:p>
      <w:pPr>
        <w:spacing w:after="0" w:line="162"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Guidance for 2012 is for revenue in the range of $1.07 - $1.11 billion, and EPS in the range of $0.90 to $1.10</w:t>
      </w:r>
    </w:p>
    <w:p>
      <w:pPr>
        <w:spacing w:after="0" w:line="206" w:lineRule="exact"/>
        <w:rPr>
          <w:rFonts w:ascii="Arial" w:cs="Arial" w:eastAsia="Arial" w:hAnsi="Arial"/>
          <w:sz w:val="22"/>
          <w:szCs w:val="22"/>
          <w:b w:val="1"/>
          <w:bCs w:val="1"/>
          <w:color w:val="auto"/>
        </w:rPr>
      </w:pPr>
    </w:p>
    <w:p>
      <w:pPr>
        <w:ind w:left="180" w:hanging="172"/>
        <w:spacing w:after="0"/>
        <w:tabs>
          <w:tab w:leader="none" w:pos="1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Brendan Brennan appointed Chief Financial Officer.</w:t>
      </w:r>
    </w:p>
    <w:p>
      <w:pPr>
        <w:spacing w:after="0" w:line="206" w:lineRule="exact"/>
        <w:rPr>
          <w:sz w:val="20"/>
          <w:szCs w:val="20"/>
          <w:color w:val="auto"/>
        </w:rPr>
      </w:pPr>
    </w:p>
    <w:p>
      <w:pPr>
        <w:ind w:right="240"/>
        <w:spacing w:after="0" w:line="243" w:lineRule="auto"/>
        <w:rPr>
          <w:sz w:val="20"/>
          <w:szCs w:val="20"/>
          <w:color w:val="auto"/>
        </w:rPr>
      </w:pPr>
      <w:r>
        <w:rPr>
          <w:rFonts w:ascii="Arial" w:cs="Arial" w:eastAsia="Arial" w:hAnsi="Arial"/>
          <w:sz w:val="22"/>
          <w:szCs w:val="22"/>
          <w:color w:val="auto"/>
        </w:rPr>
        <w:t>DUBLIN--(BUSINESS WIRE)--February 16, 2012--</w:t>
      </w:r>
      <w:r>
        <w:rPr>
          <w:rFonts w:ascii="Arial" w:cs="Arial" w:eastAsia="Arial" w:hAnsi="Arial"/>
          <w:sz w:val="22"/>
          <w:szCs w:val="22"/>
          <w:b w:val="1"/>
          <w:bCs w:val="1"/>
          <w:color w:val="auto"/>
        </w:rPr>
        <w:t>ICON (NASDAQ:ICLR) (ISIN:IE0005711209)</w:t>
      </w:r>
      <w:r>
        <w:rPr>
          <w:rFonts w:ascii="Arial" w:cs="Arial" w:eastAsia="Arial" w:hAnsi="Arial"/>
          <w:sz w:val="22"/>
          <w:szCs w:val="22"/>
          <w:color w:val="auto"/>
        </w:rPr>
        <w:t>, a global provider of outsourced development services to the pharmaceutical, biotechnology and medical device industries, today reported its financial results for the full year and fourth quarter ended December 31, 2011.</w:t>
      </w:r>
    </w:p>
    <w:p>
      <w:pPr>
        <w:spacing w:after="0" w:line="183" w:lineRule="exact"/>
        <w:rPr>
          <w:sz w:val="20"/>
          <w:szCs w:val="20"/>
          <w:color w:val="auto"/>
        </w:rPr>
      </w:pPr>
    </w:p>
    <w:p>
      <w:pPr>
        <w:ind w:right="20"/>
        <w:spacing w:after="0"/>
        <w:rPr>
          <w:sz w:val="20"/>
          <w:szCs w:val="20"/>
          <w:color w:val="auto"/>
        </w:rPr>
      </w:pPr>
      <w:r>
        <w:rPr>
          <w:rFonts w:ascii="Arial" w:cs="Arial" w:eastAsia="Arial" w:hAnsi="Arial"/>
          <w:sz w:val="22"/>
          <w:szCs w:val="22"/>
          <w:color w:val="auto"/>
        </w:rPr>
        <w:t>For the fourth quarter net revenues grew 5% year on year to $242.6 million and operating income was $6.6 million representing 3% of revenue, compared to $22 million or 9% for the same quarter last year. Net income was $4.1 million compared with $22.1 million last year or $0.07 per share compared to $0.36 in the same quarter last year.</w:t>
      </w:r>
    </w:p>
    <w:p>
      <w:pPr>
        <w:spacing w:after="0" w:line="186"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For the full year revenue grew 5.1% to $946 million and operating income before non-recurring charges was $39.3 million representing 4.2% of revenue compared to $92 million or 10.2% in 2010. On a US GAAP basis income from operations was $29.4 million or 3.1% compared with $92 million in the prior year.</w:t>
      </w:r>
    </w:p>
    <w:p>
      <w:pPr>
        <w:spacing w:after="0" w:line="18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Net income before non-recurring charges was $31.5 million, a net margin of 3.3%, compared to $87.1 million last year and 9.7% of revenue. EPS before non-recurring charges for 2011 was $0.52 per share compared with $1.44 in 2010. On a US GAAP basis net income was $22.8 million, a net margin of 2.4%, compared to $87.1 million last year and 9.7% of revenue. EPS on a GAAP basis for 2011 was $0.37 per share compared with $1.44 in 2010.</w:t>
      </w:r>
    </w:p>
    <w:p>
      <w:pPr>
        <w:spacing w:after="0" w:line="185" w:lineRule="exact"/>
        <w:rPr>
          <w:sz w:val="20"/>
          <w:szCs w:val="20"/>
          <w:color w:val="auto"/>
        </w:rPr>
      </w:pPr>
    </w:p>
    <w:p>
      <w:pPr>
        <w:ind w:right="220"/>
        <w:spacing w:after="0" w:line="274" w:lineRule="auto"/>
        <w:rPr>
          <w:sz w:val="20"/>
          <w:szCs w:val="20"/>
          <w:color w:val="auto"/>
        </w:rPr>
      </w:pPr>
      <w:r>
        <w:rPr>
          <w:rFonts w:ascii="Arial" w:cs="Arial" w:eastAsia="Arial" w:hAnsi="Arial"/>
          <w:sz w:val="21"/>
          <w:szCs w:val="21"/>
          <w:color w:val="auto"/>
        </w:rPr>
        <w:t>Days sales outstanding, comprising accounts receivable and unbilled revenue less payments on account was 47 days at December 31, 2011 compared with 52 days at the September 30, 2011 and 37 days at December 31, 2010.</w:t>
      </w:r>
    </w:p>
    <w:p>
      <w:pPr>
        <w:spacing w:after="0" w:line="151"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For the quarter ended December 31, 2011 cash provided by operating activities was $37.8 million and capital expenditure was $10.7 million. For the full year 2011 cash flow from operating activities was $20.2 million and capital expenditure was $35.3 million. In addition $61.5 million was invested on acquisitions and $9 million was expended on a stock repurchase programme. As a result the company’s net cash amounted to $174 million at December 31, 2011 compared to $256 million of net cash at December 31, 2010.</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Commenting on the results, Chief Executive Officer, Ciaran Murray, said “I am encouraged with our performance in the quarter. Net new business awards were $308m, representing a book to bill of 1.3. This resulted in a year-end backlog of $2.3 billion up 19% on December 2010.” He continued “Earnings in the quarter increased to $0.07. With this level of backlog growth and continuing success in developing our strategic partnerships, we expect revenue to grow steadily through the remainder of 2012 and be in the range of $1.07 - $1.11 billion. As a result of this revenue growth and of improved leverage from our cost base we expect EPS in the range of $0.90 to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line="235" w:lineRule="auto"/>
        <w:rPr>
          <w:sz w:val="20"/>
          <w:szCs w:val="20"/>
          <w:color w:val="auto"/>
        </w:rPr>
      </w:pPr>
      <w:r>
        <w:rPr>
          <w:rFonts w:ascii="Arial" w:cs="Arial" w:eastAsia="Arial" w:hAnsi="Arial"/>
          <w:sz w:val="22"/>
          <w:szCs w:val="22"/>
          <w:color w:val="auto"/>
        </w:rPr>
        <w:t>ICON today also announced the appointment of Mr. Brendan Brennan as Chief Financial Officer. Mr. Brennan has served as acting Chief Financial Officer since October 2011. Prior to this appointment he served as ICON’s Senior Vice President of Corporate Finance and he has been a senior member of the ICON finance team since January 2006. Prior to joining ICON, Mr. Brennan held a senior corporate finance position in CRH plc, a major international building materials group. Mr Brennan qualified as a chartered accountant with PricewaterhouseCoopers and obtained a Bachelor’s degree in Accounting and Finance from Dublin City University.</w:t>
      </w:r>
    </w:p>
    <w:p>
      <w:pPr>
        <w:spacing w:after="0" w:line="189" w:lineRule="exact"/>
        <w:rPr>
          <w:sz w:val="20"/>
          <w:szCs w:val="20"/>
          <w:color w:val="auto"/>
        </w:rPr>
      </w:pPr>
    </w:p>
    <w:p>
      <w:pPr>
        <w:jc w:val="both"/>
        <w:ind w:right="34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40"/>
        <w:spacing w:after="0" w:line="252" w:lineRule="auto"/>
        <w:rPr>
          <w:sz w:val="20"/>
          <w:szCs w:val="20"/>
          <w:color w:val="auto"/>
        </w:rPr>
      </w:pPr>
      <w:r>
        <w:rPr>
          <w:rFonts w:ascii="Arial" w:cs="Arial" w:eastAsia="Arial" w:hAnsi="Arial"/>
          <w:sz w:val="21"/>
          <w:szCs w:val="21"/>
          <w:color w:val="auto"/>
        </w:rPr>
        <w:t xml:space="preserve">The company will hold its fourth quarter conference call today, February 16, 2012 at 9:00 EST [14:00 Ireland &amp; UK]. This call and associated slide presentation can be accessed live from our website at </w:t>
      </w:r>
      <w:r>
        <w:rPr>
          <w:rFonts w:ascii="Arial" w:cs="Arial" w:eastAsia="Arial" w:hAnsi="Arial"/>
          <w:sz w:val="21"/>
          <w:szCs w:val="21"/>
          <w:u w:val="single" w:color="auto"/>
          <w:color w:val="auto"/>
        </w:rPr>
        <w:t>http://www.iconplc.com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The statements made in this press release may contain forward-looking statements that involve a number of risks and uncertainties. In addition to the matters described in this Press Release, the ability to maintain large client contracts or enter into new contracts, maintain client relationships and the ability to manage the opening of new offices, the integration of new business mergers and acquisitions, as well as other risks and uncertainties detailed from time to time in SEC reports filed by ICON, including its Form 20-F, F-1, S-8 and F-3, may affect the actual results achieved by ICON. ICON disclaims any intent or obligation to update these forward-looking statements.</w:t>
      </w:r>
    </w:p>
    <w:p>
      <w:pPr>
        <w:spacing w:after="0" w:line="188" w:lineRule="exact"/>
        <w:rPr>
          <w:sz w:val="20"/>
          <w:szCs w:val="20"/>
          <w:color w:val="auto"/>
        </w:rPr>
      </w:pPr>
    </w:p>
    <w:p>
      <w:pPr>
        <w:ind w:right="54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81 locations in 40 countries and has approximately 8,500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Income Statements (Before nonrecurring items)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2011 and December 31, 2010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60" w:type="dxa"/>
            <w:vAlign w:val="bottom"/>
          </w:tcPr>
          <w:p>
            <w:pPr>
              <w:spacing w:after="0"/>
              <w:rPr>
                <w:sz w:val="15"/>
                <w:szCs w:val="15"/>
                <w:color w:val="auto"/>
              </w:rPr>
            </w:pPr>
          </w:p>
        </w:tc>
        <w:tc>
          <w:tcPr>
            <w:tcW w:w="2280" w:type="dxa"/>
            <w:vAlign w:val="bottom"/>
            <w:gridSpan w:val="3"/>
          </w:tcPr>
          <w:p>
            <w:pPr>
              <w:ind w:left="940"/>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3"/>
          </w:tcPr>
          <w:p>
            <w:pPr>
              <w:ind w:left="920"/>
              <w:spacing w:after="0"/>
              <w:rPr>
                <w:sz w:val="20"/>
                <w:szCs w:val="20"/>
                <w:color w:val="auto"/>
              </w:rPr>
            </w:pPr>
            <w:r>
              <w:rPr>
                <w:rFonts w:ascii="Arial" w:cs="Arial" w:eastAsia="Arial" w:hAnsi="Arial"/>
                <w:sz w:val="14"/>
                <w:szCs w:val="14"/>
                <w:b w:val="1"/>
                <w:bCs w:val="1"/>
                <w:color w:val="auto"/>
                <w:w w:val="95"/>
              </w:rPr>
              <w:t>Twelve Months Ended</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2280" w:type="dxa"/>
            <w:vAlign w:val="bottom"/>
            <w:gridSpan w:val="3"/>
          </w:tcPr>
          <w:p>
            <w:pPr>
              <w:ind w:left="6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December 31,</w:t>
            </w:r>
          </w:p>
        </w:tc>
        <w:tc>
          <w:tcPr>
            <w:tcW w:w="2340" w:type="dxa"/>
            <w:vAlign w:val="bottom"/>
            <w:gridSpan w:val="3"/>
          </w:tcPr>
          <w:p>
            <w:pPr>
              <w:ind w:left="700"/>
              <w:spacing w:after="0"/>
              <w:rPr>
                <w:sz w:val="20"/>
                <w:szCs w:val="20"/>
                <w:color w:val="auto"/>
              </w:rPr>
            </w:pPr>
            <w:r>
              <w:rPr>
                <w:rFonts w:ascii="Arial" w:cs="Arial" w:eastAsia="Arial" w:hAnsi="Arial"/>
                <w:sz w:val="14"/>
                <w:szCs w:val="14"/>
                <w:b w:val="1"/>
                <w:bCs w:val="1"/>
                <w:color w:val="auto"/>
              </w:rPr>
              <w:t>December 31,</w:t>
            </w:r>
          </w:p>
        </w:tc>
        <w:tc>
          <w:tcPr>
            <w:tcW w:w="9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47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760" w:type="dxa"/>
            <w:vAlign w:val="bottom"/>
          </w:tcPr>
          <w:p>
            <w:pPr>
              <w:spacing w:after="0"/>
              <w:rPr>
                <w:sz w:val="20"/>
                <w:szCs w:val="20"/>
                <w:color w:val="auto"/>
              </w:rPr>
            </w:pPr>
            <w:r>
              <w:rPr>
                <w:rFonts w:ascii="Arial" w:cs="Arial" w:eastAsia="Arial" w:hAnsi="Arial"/>
                <w:sz w:val="14"/>
                <w:szCs w:val="14"/>
                <w:color w:val="auto"/>
              </w:rPr>
              <w:t>Gross Revenue</w:t>
            </w:r>
          </w:p>
        </w:tc>
        <w:tc>
          <w:tcPr>
            <w:tcW w:w="1540" w:type="dxa"/>
            <w:vAlign w:val="bottom"/>
          </w:tcPr>
          <w:p>
            <w:pPr>
              <w:jc w:val="right"/>
              <w:spacing w:after="0"/>
              <w:rPr>
                <w:sz w:val="20"/>
                <w:szCs w:val="20"/>
                <w:color w:val="auto"/>
              </w:rPr>
            </w:pPr>
            <w:r>
              <w:rPr>
                <w:rFonts w:ascii="Arial" w:cs="Arial" w:eastAsia="Arial" w:hAnsi="Arial"/>
                <w:sz w:val="14"/>
                <w:szCs w:val="14"/>
                <w:color w:val="auto"/>
              </w:rPr>
              <w:t>337,934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317,279</w:t>
            </w:r>
          </w:p>
        </w:tc>
        <w:tc>
          <w:tcPr>
            <w:tcW w:w="1560" w:type="dxa"/>
            <w:vAlign w:val="bottom"/>
          </w:tcPr>
          <w:p>
            <w:pPr>
              <w:jc w:val="right"/>
              <w:spacing w:after="0"/>
              <w:rPr>
                <w:sz w:val="20"/>
                <w:szCs w:val="20"/>
                <w:color w:val="auto"/>
              </w:rPr>
            </w:pPr>
            <w:r>
              <w:rPr>
                <w:rFonts w:ascii="Arial" w:cs="Arial" w:eastAsia="Arial" w:hAnsi="Arial"/>
                <w:sz w:val="14"/>
                <w:szCs w:val="14"/>
                <w:color w:val="auto"/>
              </w:rPr>
              <w:t>1,296,509</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1,263,147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60" w:type="dxa"/>
            <w:vAlign w:val="bottom"/>
          </w:tcPr>
          <w:p>
            <w:pPr>
              <w:spacing w:after="0"/>
              <w:rPr>
                <w:sz w:val="20"/>
                <w:szCs w:val="20"/>
                <w:color w:val="auto"/>
              </w:rPr>
            </w:pPr>
            <w:r>
              <w:rPr>
                <w:rFonts w:ascii="Arial" w:cs="Arial" w:eastAsia="Arial" w:hAnsi="Arial"/>
                <w:sz w:val="14"/>
                <w:szCs w:val="14"/>
                <w:color w:val="auto"/>
              </w:rPr>
              <w:t>Reimbursable expenses</w:t>
            </w:r>
          </w:p>
        </w:tc>
        <w:tc>
          <w:tcPr>
            <w:tcW w:w="1540" w:type="dxa"/>
            <w:vAlign w:val="bottom"/>
          </w:tcPr>
          <w:p>
            <w:pPr>
              <w:jc w:val="right"/>
              <w:spacing w:after="0"/>
              <w:rPr>
                <w:sz w:val="20"/>
                <w:szCs w:val="20"/>
                <w:color w:val="auto"/>
              </w:rPr>
            </w:pPr>
            <w:r>
              <w:rPr>
                <w:rFonts w:ascii="Arial" w:cs="Arial" w:eastAsia="Arial" w:hAnsi="Arial"/>
                <w:sz w:val="14"/>
                <w:szCs w:val="14"/>
                <w:color w:val="auto"/>
              </w:rPr>
              <w:t>95,319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85,193</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350,780</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363,103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242,615</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232,086</w:t>
            </w:r>
          </w:p>
        </w:tc>
        <w:tc>
          <w:tcPr>
            <w:tcW w:w="2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945,729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900,044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76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Arial" w:cs="Arial" w:eastAsia="Arial" w:hAnsi="Arial"/>
                <w:sz w:val="14"/>
                <w:szCs w:val="14"/>
                <w:color w:val="auto"/>
              </w:rPr>
              <w:t>Direct costs</w:t>
            </w:r>
          </w:p>
        </w:tc>
        <w:tc>
          <w:tcPr>
            <w:tcW w:w="1540" w:type="dxa"/>
            <w:vAlign w:val="bottom"/>
          </w:tcPr>
          <w:p>
            <w:pPr>
              <w:jc w:val="right"/>
              <w:spacing w:after="0"/>
              <w:rPr>
                <w:sz w:val="20"/>
                <w:szCs w:val="20"/>
                <w:color w:val="auto"/>
              </w:rPr>
            </w:pPr>
            <w:r>
              <w:rPr>
                <w:rFonts w:ascii="Arial" w:cs="Arial" w:eastAsia="Arial" w:hAnsi="Arial"/>
                <w:sz w:val="14"/>
                <w:szCs w:val="14"/>
                <w:color w:val="auto"/>
              </w:rPr>
              <w:t>158,244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139,741</w:t>
            </w:r>
          </w:p>
        </w:tc>
        <w:tc>
          <w:tcPr>
            <w:tcW w:w="1560" w:type="dxa"/>
            <w:vAlign w:val="bottom"/>
          </w:tcPr>
          <w:p>
            <w:pPr>
              <w:jc w:val="right"/>
              <w:spacing w:after="0"/>
              <w:rPr>
                <w:sz w:val="20"/>
                <w:szCs w:val="20"/>
                <w:color w:val="auto"/>
              </w:rPr>
            </w:pPr>
            <w:r>
              <w:rPr>
                <w:rFonts w:ascii="Arial" w:cs="Arial" w:eastAsia="Arial" w:hAnsi="Arial"/>
                <w:sz w:val="14"/>
                <w:szCs w:val="14"/>
                <w:color w:val="auto"/>
              </w:rPr>
              <w:t>611,923</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541,388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540" w:type="dxa"/>
            <w:vAlign w:val="bottom"/>
          </w:tcPr>
          <w:p>
            <w:pPr>
              <w:jc w:val="right"/>
              <w:spacing w:after="0"/>
              <w:rPr>
                <w:sz w:val="20"/>
                <w:szCs w:val="20"/>
                <w:color w:val="auto"/>
              </w:rPr>
            </w:pPr>
            <w:r>
              <w:rPr>
                <w:rFonts w:ascii="Arial" w:cs="Arial" w:eastAsia="Arial" w:hAnsi="Arial"/>
                <w:sz w:val="14"/>
                <w:szCs w:val="14"/>
                <w:color w:val="auto"/>
              </w:rPr>
              <w:t>67,008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61,463</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255,864</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232,688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40" w:type="dxa"/>
            <w:vAlign w:val="bottom"/>
          </w:tcPr>
          <w:p>
            <w:pPr>
              <w:jc w:val="right"/>
              <w:spacing w:after="0"/>
              <w:rPr>
                <w:sz w:val="20"/>
                <w:szCs w:val="20"/>
                <w:color w:val="auto"/>
              </w:rPr>
            </w:pPr>
            <w:r>
              <w:rPr>
                <w:rFonts w:ascii="Arial" w:cs="Arial" w:eastAsia="Arial" w:hAnsi="Arial"/>
                <w:sz w:val="14"/>
                <w:szCs w:val="14"/>
                <w:color w:val="auto"/>
              </w:rPr>
              <w:t>10,713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8,868</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38,682</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33,873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Total costs and expenses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235,965</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210,072</w:t>
            </w:r>
          </w:p>
        </w:tc>
        <w:tc>
          <w:tcPr>
            <w:tcW w:w="24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906,469</w:t>
            </w: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807,949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76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540" w:type="dxa"/>
            <w:vAlign w:val="bottom"/>
          </w:tcPr>
          <w:p>
            <w:pPr>
              <w:jc w:val="right"/>
              <w:spacing w:after="0"/>
              <w:rPr>
                <w:sz w:val="20"/>
                <w:szCs w:val="20"/>
                <w:color w:val="auto"/>
              </w:rPr>
            </w:pPr>
            <w:r>
              <w:rPr>
                <w:rFonts w:ascii="Arial" w:cs="Arial" w:eastAsia="Arial" w:hAnsi="Arial"/>
                <w:sz w:val="14"/>
                <w:szCs w:val="14"/>
                <w:color w:val="auto"/>
              </w:rPr>
              <w:t>6,650</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22,014</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39,260</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92,095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60" w:type="dxa"/>
            <w:vAlign w:val="bottom"/>
          </w:tcPr>
          <w:p>
            <w:pPr>
              <w:spacing w:after="0"/>
              <w:rPr>
                <w:sz w:val="20"/>
                <w:szCs w:val="20"/>
                <w:color w:val="auto"/>
              </w:rPr>
            </w:pPr>
            <w:r>
              <w:rPr>
                <w:rFonts w:ascii="Arial" w:cs="Arial" w:eastAsia="Arial" w:hAnsi="Arial"/>
                <w:sz w:val="14"/>
                <w:szCs w:val="14"/>
                <w:color w:val="auto"/>
              </w:rPr>
              <w:t>Interest (expense)/income</w:t>
            </w:r>
          </w:p>
        </w:tc>
        <w:tc>
          <w:tcPr>
            <w:tcW w:w="1540" w:type="dxa"/>
            <w:vAlign w:val="bottom"/>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484</w:t>
            </w:r>
          </w:p>
        </w:tc>
        <w:tc>
          <w:tcPr>
            <w:tcW w:w="156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60" w:type="dxa"/>
            <w:vAlign w:val="bottom"/>
            <w:vMerge w:val="restart"/>
          </w:tcPr>
          <w:p>
            <w:pPr>
              <w:spacing w:after="0"/>
              <w:rPr>
                <w:sz w:val="20"/>
                <w:szCs w:val="20"/>
                <w:color w:val="auto"/>
              </w:rPr>
            </w:pPr>
            <w:r>
              <w:rPr>
                <w:rFonts w:ascii="Arial" w:cs="Arial" w:eastAsia="Arial" w:hAnsi="Arial"/>
                <w:sz w:val="14"/>
                <w:szCs w:val="14"/>
                <w:color w:val="auto"/>
              </w:rPr>
              <w:t>Income before provision for income taxes</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680" w:type="dxa"/>
            <w:vAlign w:val="bottom"/>
            <w:gridSpan w:val="2"/>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5,899</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22,498</w:t>
            </w:r>
          </w:p>
        </w:tc>
        <w:tc>
          <w:tcPr>
            <w:tcW w:w="240" w:type="dxa"/>
            <w:vAlign w:val="bottom"/>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38,812</w:t>
            </w:r>
          </w:p>
        </w:tc>
        <w:tc>
          <w:tcPr>
            <w:tcW w:w="1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92,724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76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540" w:type="dxa"/>
            <w:vAlign w:val="bottom"/>
          </w:tcPr>
          <w:p>
            <w:pPr>
              <w:jc w:val="right"/>
              <w:spacing w:after="0"/>
              <w:rPr>
                <w:sz w:val="20"/>
                <w:szCs w:val="20"/>
                <w:color w:val="auto"/>
              </w:rPr>
            </w:pPr>
            <w:r>
              <w:rPr>
                <w:rFonts w:ascii="Arial" w:cs="Arial" w:eastAsia="Arial" w:hAnsi="Arial"/>
                <w:sz w:val="14"/>
                <w:szCs w:val="14"/>
                <w:color w:val="auto"/>
              </w:rPr>
              <w:t>(1,786)</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(398)</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(7,347)</w:t>
            </w:r>
          </w:p>
        </w:tc>
        <w:tc>
          <w:tcPr>
            <w:tcW w:w="6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color w:val="auto"/>
              </w:rPr>
              <w:t>(5,653)</w:t>
            </w:r>
          </w:p>
        </w:tc>
        <w:tc>
          <w:tcPr>
            <w:tcW w:w="0" w:type="dxa"/>
            <w:vAlign w:val="bottom"/>
          </w:tcPr>
          <w:p>
            <w:pPr>
              <w:spacing w:after="0"/>
              <w:rPr>
                <w:sz w:val="1"/>
                <w:szCs w:val="1"/>
                <w:color w:val="auto"/>
              </w:rPr>
            </w:pPr>
          </w:p>
        </w:tc>
      </w:tr>
      <w:tr>
        <w:trPr>
          <w:trHeight w:val="174"/>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760" w:type="dxa"/>
            <w:vAlign w:val="bottom"/>
            <w:vMerge w:val="continue"/>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4,113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22,100</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31,465</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87,071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6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60" w:type="dxa"/>
            <w:vAlign w:val="bottom"/>
          </w:tcPr>
          <w:p>
            <w:pPr>
              <w:spacing w:after="0"/>
              <w:rPr>
                <w:sz w:val="20"/>
                <w:szCs w:val="20"/>
                <w:color w:val="auto"/>
              </w:rPr>
            </w:pPr>
            <w:r>
              <w:rPr>
                <w:rFonts w:ascii="Arial" w:cs="Arial" w:eastAsia="Arial" w:hAnsi="Arial"/>
                <w:sz w:val="14"/>
                <w:szCs w:val="14"/>
                <w:color w:val="auto"/>
              </w:rPr>
              <w:t>Basic</w:t>
            </w:r>
          </w:p>
        </w:tc>
        <w:tc>
          <w:tcPr>
            <w:tcW w:w="154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$0.37</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$0.52</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60" w:type="dxa"/>
            <w:vAlign w:val="bottom"/>
          </w:tcPr>
          <w:p>
            <w:pPr>
              <w:spacing w:after="0"/>
              <w:rPr>
                <w:sz w:val="20"/>
                <w:szCs w:val="20"/>
                <w:color w:val="auto"/>
              </w:rPr>
            </w:pPr>
            <w:r>
              <w:rPr>
                <w:rFonts w:ascii="Arial" w:cs="Arial" w:eastAsia="Arial" w:hAnsi="Arial"/>
                <w:sz w:val="14"/>
                <w:szCs w:val="14"/>
                <w:color w:val="auto"/>
              </w:rPr>
              <w:t>Diluted</w:t>
            </w:r>
          </w:p>
        </w:tc>
        <w:tc>
          <w:tcPr>
            <w:tcW w:w="1540" w:type="dxa"/>
            <w:vAlign w:val="bottom"/>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$0.36</w:t>
            </w:r>
          </w:p>
        </w:tc>
        <w:tc>
          <w:tcPr>
            <w:tcW w:w="1680" w:type="dxa"/>
            <w:vAlign w:val="bottom"/>
            <w:gridSpan w:val="2"/>
          </w:tcPr>
          <w:p>
            <w:pPr>
              <w:jc w:val="right"/>
              <w:ind w:right="120"/>
              <w:spacing w:after="0"/>
              <w:rPr>
                <w:sz w:val="20"/>
                <w:szCs w:val="20"/>
                <w:color w:val="auto"/>
              </w:rPr>
            </w:pPr>
            <w:r>
              <w:rPr>
                <w:rFonts w:ascii="Arial" w:cs="Arial" w:eastAsia="Arial" w:hAnsi="Arial"/>
                <w:sz w:val="14"/>
                <w:szCs w:val="14"/>
                <w:color w:val="auto"/>
              </w:rPr>
              <w:t>$0.52</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76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60" w:type="dxa"/>
            <w:vAlign w:val="bottom"/>
          </w:tcPr>
          <w:p>
            <w:pPr>
              <w:spacing w:after="0"/>
              <w:rPr>
                <w:sz w:val="20"/>
                <w:szCs w:val="20"/>
                <w:color w:val="auto"/>
              </w:rPr>
            </w:pPr>
            <w:r>
              <w:rPr>
                <w:rFonts w:ascii="Arial" w:cs="Arial" w:eastAsia="Arial" w:hAnsi="Arial"/>
                <w:sz w:val="14"/>
                <w:szCs w:val="14"/>
                <w:color w:val="auto"/>
              </w:rPr>
              <w:t>Basic</w:t>
            </w:r>
          </w:p>
        </w:tc>
        <w:tc>
          <w:tcPr>
            <w:tcW w:w="1540" w:type="dxa"/>
            <w:vAlign w:val="bottom"/>
          </w:tcPr>
          <w:p>
            <w:pPr>
              <w:jc w:val="right"/>
              <w:spacing w:after="0"/>
              <w:rPr>
                <w:sz w:val="20"/>
                <w:szCs w:val="20"/>
                <w:color w:val="auto"/>
              </w:rPr>
            </w:pPr>
            <w:r>
              <w:rPr>
                <w:rFonts w:ascii="Arial" w:cs="Arial" w:eastAsia="Arial" w:hAnsi="Arial"/>
                <w:sz w:val="14"/>
                <w:szCs w:val="14"/>
                <w:color w:val="auto"/>
              </w:rPr>
              <w:t>60,371,190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60,145,383</w:t>
            </w:r>
          </w:p>
        </w:tc>
        <w:tc>
          <w:tcPr>
            <w:tcW w:w="1560" w:type="dxa"/>
            <w:vAlign w:val="bottom"/>
          </w:tcPr>
          <w:p>
            <w:pPr>
              <w:jc w:val="right"/>
              <w:spacing w:after="0"/>
              <w:rPr>
                <w:sz w:val="20"/>
                <w:szCs w:val="20"/>
                <w:color w:val="auto"/>
              </w:rPr>
            </w:pPr>
            <w:r>
              <w:rPr>
                <w:rFonts w:ascii="Arial" w:cs="Arial" w:eastAsia="Arial" w:hAnsi="Arial"/>
                <w:sz w:val="14"/>
                <w:szCs w:val="14"/>
                <w:color w:val="auto"/>
              </w:rPr>
              <w:t>60,379,338</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59,718,934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760" w:type="dxa"/>
            <w:vAlign w:val="bottom"/>
          </w:tcPr>
          <w:p>
            <w:pPr>
              <w:spacing w:after="0"/>
              <w:rPr>
                <w:sz w:val="20"/>
                <w:szCs w:val="20"/>
                <w:color w:val="auto"/>
              </w:rPr>
            </w:pPr>
            <w:r>
              <w:rPr>
                <w:rFonts w:ascii="Arial" w:cs="Arial" w:eastAsia="Arial" w:hAnsi="Arial"/>
                <w:sz w:val="14"/>
                <w:szCs w:val="14"/>
                <w:color w:val="auto"/>
              </w:rPr>
              <w:t>Diluted</w:t>
            </w:r>
          </w:p>
        </w:tc>
        <w:tc>
          <w:tcPr>
            <w:tcW w:w="1540" w:type="dxa"/>
            <w:vAlign w:val="bottom"/>
          </w:tcPr>
          <w:p>
            <w:pPr>
              <w:jc w:val="right"/>
              <w:spacing w:after="0"/>
              <w:rPr>
                <w:sz w:val="20"/>
                <w:szCs w:val="20"/>
                <w:color w:val="auto"/>
              </w:rPr>
            </w:pPr>
            <w:r>
              <w:rPr>
                <w:rFonts w:ascii="Arial" w:cs="Arial" w:eastAsia="Arial" w:hAnsi="Arial"/>
                <w:sz w:val="14"/>
                <w:szCs w:val="14"/>
                <w:color w:val="auto"/>
              </w:rPr>
              <w:t>60,759,588</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60,817,130</w:t>
            </w:r>
          </w:p>
        </w:tc>
        <w:tc>
          <w:tcPr>
            <w:tcW w:w="1560" w:type="dxa"/>
            <w:vAlign w:val="bottom"/>
          </w:tcPr>
          <w:p>
            <w:pPr>
              <w:jc w:val="right"/>
              <w:spacing w:after="0"/>
              <w:rPr>
                <w:sz w:val="20"/>
                <w:szCs w:val="20"/>
                <w:color w:val="auto"/>
              </w:rPr>
            </w:pPr>
            <w:r>
              <w:rPr>
                <w:rFonts w:ascii="Arial" w:cs="Arial" w:eastAsia="Arial" w:hAnsi="Arial"/>
                <w:sz w:val="14"/>
                <w:szCs w:val="14"/>
                <w:color w:val="auto"/>
              </w:rPr>
              <w:t>61,070,686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60,637,103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7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6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Income Statements (US GAAP)</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2011 and December 31, 2010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2340" w:type="dxa"/>
            <w:vAlign w:val="bottom"/>
            <w:gridSpan w:val="3"/>
          </w:tcPr>
          <w:p>
            <w:pPr>
              <w:ind w:left="960"/>
              <w:spacing w:after="0"/>
              <w:rPr>
                <w:sz w:val="20"/>
                <w:szCs w:val="20"/>
                <w:color w:val="auto"/>
              </w:rPr>
            </w:pPr>
            <w:r>
              <w:rPr>
                <w:rFonts w:ascii="Arial" w:cs="Arial" w:eastAsia="Arial" w:hAnsi="Arial"/>
                <w:sz w:val="14"/>
                <w:szCs w:val="14"/>
                <w:b w:val="1"/>
                <w:bCs w:val="1"/>
                <w:color w:val="auto"/>
                <w:w w:val="98"/>
              </w:rPr>
              <w:t>Three Months Ended</w:t>
            </w: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3"/>
          </w:tcPr>
          <w:p>
            <w:pPr>
              <w:ind w:left="960"/>
              <w:spacing w:after="0"/>
              <w:rPr>
                <w:sz w:val="20"/>
                <w:szCs w:val="20"/>
                <w:color w:val="auto"/>
              </w:rPr>
            </w:pPr>
            <w:r>
              <w:rPr>
                <w:rFonts w:ascii="Arial" w:cs="Arial" w:eastAsia="Arial" w:hAnsi="Arial"/>
                <w:sz w:val="14"/>
                <w:szCs w:val="14"/>
                <w:b w:val="1"/>
                <w:bCs w:val="1"/>
                <w:color w:val="auto"/>
                <w:w w:val="96"/>
              </w:rPr>
              <w:t>Twelve Months Ended</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2340" w:type="dxa"/>
            <w:vAlign w:val="bottom"/>
            <w:gridSpan w:val="3"/>
          </w:tcPr>
          <w:p>
            <w:pPr>
              <w:ind w:left="66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December 31,</w:t>
            </w:r>
          </w:p>
        </w:tc>
        <w:tc>
          <w:tcPr>
            <w:tcW w:w="2400" w:type="dxa"/>
            <w:vAlign w:val="bottom"/>
            <w:gridSpan w:val="3"/>
          </w:tcPr>
          <w:p>
            <w:pPr>
              <w:ind w:left="6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6"/>
        </w:trPr>
        <w:tc>
          <w:tcPr>
            <w:tcW w:w="470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4700" w:type="dxa"/>
            <w:vAlign w:val="bottom"/>
          </w:tcPr>
          <w:p>
            <w:pPr>
              <w:spacing w:after="0"/>
              <w:rPr>
                <w:sz w:val="20"/>
                <w:szCs w:val="20"/>
                <w:color w:val="auto"/>
              </w:rPr>
            </w:pPr>
            <w:r>
              <w:rPr>
                <w:rFonts w:ascii="Arial" w:cs="Arial" w:eastAsia="Arial" w:hAnsi="Arial"/>
                <w:sz w:val="14"/>
                <w:szCs w:val="14"/>
                <w:color w:val="auto"/>
              </w:rPr>
              <w:t>Gross Revenue</w:t>
            </w:r>
          </w:p>
        </w:tc>
        <w:tc>
          <w:tcPr>
            <w:tcW w:w="1500" w:type="dxa"/>
            <w:vAlign w:val="bottom"/>
          </w:tcPr>
          <w:p>
            <w:pPr>
              <w:jc w:val="right"/>
              <w:spacing w:after="0"/>
              <w:rPr>
                <w:sz w:val="20"/>
                <w:szCs w:val="20"/>
                <w:color w:val="auto"/>
              </w:rPr>
            </w:pPr>
            <w:r>
              <w:rPr>
                <w:rFonts w:ascii="Arial" w:cs="Arial" w:eastAsia="Arial" w:hAnsi="Arial"/>
                <w:sz w:val="14"/>
                <w:szCs w:val="14"/>
                <w:color w:val="auto"/>
              </w:rPr>
              <w:t>337,934</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317,279</w:t>
            </w:r>
          </w:p>
        </w:tc>
        <w:tc>
          <w:tcPr>
            <w:tcW w:w="1540" w:type="dxa"/>
            <w:vAlign w:val="bottom"/>
          </w:tcPr>
          <w:p>
            <w:pPr>
              <w:jc w:val="right"/>
              <w:spacing w:after="0"/>
              <w:rPr>
                <w:sz w:val="20"/>
                <w:szCs w:val="20"/>
                <w:color w:val="auto"/>
              </w:rPr>
            </w:pPr>
            <w:r>
              <w:rPr>
                <w:rFonts w:ascii="Arial" w:cs="Arial" w:eastAsia="Arial" w:hAnsi="Arial"/>
                <w:sz w:val="14"/>
                <w:szCs w:val="14"/>
                <w:color w:val="auto"/>
              </w:rPr>
              <w:t>1,296,509</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1,263,147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00" w:type="dxa"/>
            <w:vAlign w:val="bottom"/>
          </w:tcPr>
          <w:p>
            <w:pPr>
              <w:spacing w:after="0"/>
              <w:rPr>
                <w:sz w:val="20"/>
                <w:szCs w:val="20"/>
                <w:color w:val="auto"/>
              </w:rPr>
            </w:pPr>
            <w:r>
              <w:rPr>
                <w:rFonts w:ascii="Arial" w:cs="Arial" w:eastAsia="Arial" w:hAnsi="Arial"/>
                <w:sz w:val="14"/>
                <w:szCs w:val="14"/>
                <w:color w:val="auto"/>
              </w:rPr>
              <w:t>Reimbursable expenses</w:t>
            </w:r>
          </w:p>
        </w:tc>
        <w:tc>
          <w:tcPr>
            <w:tcW w:w="1500" w:type="dxa"/>
            <w:vAlign w:val="bottom"/>
          </w:tcPr>
          <w:p>
            <w:pPr>
              <w:jc w:val="right"/>
              <w:spacing w:after="0"/>
              <w:rPr>
                <w:sz w:val="20"/>
                <w:szCs w:val="20"/>
                <w:color w:val="auto"/>
              </w:rPr>
            </w:pPr>
            <w:r>
              <w:rPr>
                <w:rFonts w:ascii="Arial" w:cs="Arial" w:eastAsia="Arial" w:hAnsi="Arial"/>
                <w:sz w:val="14"/>
                <w:szCs w:val="14"/>
                <w:color w:val="auto"/>
              </w:rPr>
              <w:t>95,319</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85,193</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350,780</w:t>
            </w: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363,103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Net Revenue</w:t>
            </w:r>
          </w:p>
        </w:tc>
        <w:tc>
          <w:tcPr>
            <w:tcW w:w="1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242,615</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232,086</w:t>
            </w: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945,729</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900,044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470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20"/>
                <w:szCs w:val="20"/>
                <w:color w:val="auto"/>
              </w:rPr>
            </w:pPr>
            <w:r>
              <w:rPr>
                <w:rFonts w:ascii="Arial" w:cs="Arial" w:eastAsia="Arial" w:hAnsi="Arial"/>
                <w:sz w:val="14"/>
                <w:szCs w:val="14"/>
                <w:color w:val="auto"/>
              </w:rPr>
              <w:t>Direct costs</w:t>
            </w:r>
          </w:p>
        </w:tc>
        <w:tc>
          <w:tcPr>
            <w:tcW w:w="1500" w:type="dxa"/>
            <w:vAlign w:val="bottom"/>
          </w:tcPr>
          <w:p>
            <w:pPr>
              <w:jc w:val="right"/>
              <w:spacing w:after="0"/>
              <w:rPr>
                <w:sz w:val="20"/>
                <w:szCs w:val="20"/>
                <w:color w:val="auto"/>
              </w:rPr>
            </w:pPr>
            <w:r>
              <w:rPr>
                <w:rFonts w:ascii="Arial" w:cs="Arial" w:eastAsia="Arial" w:hAnsi="Arial"/>
                <w:sz w:val="14"/>
                <w:szCs w:val="14"/>
                <w:color w:val="auto"/>
              </w:rPr>
              <w:t>158,244</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139,741</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611,923</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541,388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1500" w:type="dxa"/>
            <w:vAlign w:val="bottom"/>
          </w:tcPr>
          <w:p>
            <w:pPr>
              <w:jc w:val="right"/>
              <w:spacing w:after="0"/>
              <w:rPr>
                <w:sz w:val="20"/>
                <w:szCs w:val="20"/>
                <w:color w:val="auto"/>
              </w:rPr>
            </w:pPr>
            <w:r>
              <w:rPr>
                <w:rFonts w:ascii="Arial" w:cs="Arial" w:eastAsia="Arial" w:hAnsi="Arial"/>
                <w:sz w:val="14"/>
                <w:szCs w:val="14"/>
                <w:color w:val="auto"/>
              </w:rPr>
              <w:t>67,008</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61,463</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255,864</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232,688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500" w:type="dxa"/>
            <w:vAlign w:val="bottom"/>
          </w:tcPr>
          <w:p>
            <w:pPr>
              <w:jc w:val="right"/>
              <w:spacing w:after="0"/>
              <w:rPr>
                <w:sz w:val="20"/>
                <w:szCs w:val="20"/>
                <w:color w:val="auto"/>
              </w:rPr>
            </w:pPr>
            <w:r>
              <w:rPr>
                <w:rFonts w:ascii="Arial" w:cs="Arial" w:eastAsia="Arial" w:hAnsi="Arial"/>
                <w:sz w:val="14"/>
                <w:szCs w:val="14"/>
                <w:color w:val="auto"/>
              </w:rPr>
              <w:t>10,713</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8,868</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38,682</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33,873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20"/>
                <w:szCs w:val="20"/>
                <w:color w:val="auto"/>
              </w:rPr>
            </w:pPr>
            <w:r>
              <w:rPr>
                <w:rFonts w:ascii="Arial" w:cs="Arial" w:eastAsia="Arial" w:hAnsi="Arial"/>
                <w:sz w:val="14"/>
                <w:szCs w:val="14"/>
                <w:color w:val="auto"/>
              </w:rPr>
              <w:t>Nonrecurring charges</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9,817</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20"/>
                <w:szCs w:val="20"/>
                <w:color w:val="auto"/>
              </w:rPr>
            </w:pPr>
            <w:r>
              <w:rPr>
                <w:rFonts w:ascii="Arial" w:cs="Arial" w:eastAsia="Arial" w:hAnsi="Arial"/>
                <w:sz w:val="14"/>
                <w:szCs w:val="14"/>
                <w:b w:val="1"/>
                <w:bCs w:val="1"/>
                <w:color w:val="auto"/>
              </w:rPr>
              <w:t>Total costs and expenses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235,965</w:t>
            </w:r>
          </w:p>
        </w:tc>
        <w:tc>
          <w:tcPr>
            <w:tcW w:w="2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210,072</w:t>
            </w:r>
          </w:p>
        </w:tc>
        <w:tc>
          <w:tcPr>
            <w:tcW w:w="16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916,286</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807,949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70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500" w:type="dxa"/>
            <w:vAlign w:val="bottom"/>
          </w:tcPr>
          <w:p>
            <w:pPr>
              <w:jc w:val="right"/>
              <w:spacing w:after="0"/>
              <w:rPr>
                <w:sz w:val="20"/>
                <w:szCs w:val="20"/>
                <w:color w:val="auto"/>
              </w:rPr>
            </w:pPr>
            <w:r>
              <w:rPr>
                <w:rFonts w:ascii="Arial" w:cs="Arial" w:eastAsia="Arial" w:hAnsi="Arial"/>
                <w:sz w:val="14"/>
                <w:szCs w:val="14"/>
                <w:color w:val="auto"/>
              </w:rPr>
              <w:t>6,650</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22,014</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29,443</w:t>
            </w: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92,095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00" w:type="dxa"/>
            <w:vAlign w:val="bottom"/>
          </w:tcPr>
          <w:p>
            <w:pPr>
              <w:spacing w:after="0"/>
              <w:rPr>
                <w:sz w:val="20"/>
                <w:szCs w:val="20"/>
                <w:color w:val="auto"/>
              </w:rPr>
            </w:pPr>
            <w:r>
              <w:rPr>
                <w:rFonts w:ascii="Arial" w:cs="Arial" w:eastAsia="Arial" w:hAnsi="Arial"/>
                <w:sz w:val="14"/>
                <w:szCs w:val="14"/>
                <w:color w:val="auto"/>
              </w:rPr>
              <w:t>Interest income/(expense)</w:t>
            </w:r>
          </w:p>
        </w:tc>
        <w:tc>
          <w:tcPr>
            <w:tcW w:w="1500" w:type="dxa"/>
            <w:vAlign w:val="bottom"/>
          </w:tcPr>
          <w:p>
            <w:pPr>
              <w:jc w:val="right"/>
              <w:spacing w:after="0"/>
              <w:rPr>
                <w:sz w:val="20"/>
                <w:szCs w:val="20"/>
                <w:color w:val="auto"/>
              </w:rPr>
            </w:pPr>
            <w:r>
              <w:rPr>
                <w:rFonts w:ascii="Arial" w:cs="Arial" w:eastAsia="Arial" w:hAnsi="Arial"/>
                <w:sz w:val="14"/>
                <w:szCs w:val="14"/>
                <w:color w:val="auto"/>
              </w:rPr>
              <w:t>(751)</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484</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(448)</w:t>
            </w: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700" w:type="dxa"/>
            <w:vAlign w:val="bottom"/>
            <w:vMerge w:val="restart"/>
          </w:tcPr>
          <w:p>
            <w:pPr>
              <w:spacing w:after="0"/>
              <w:rPr>
                <w:sz w:val="20"/>
                <w:szCs w:val="20"/>
                <w:color w:val="auto"/>
              </w:rPr>
            </w:pPr>
            <w:r>
              <w:rPr>
                <w:rFonts w:ascii="Arial" w:cs="Arial" w:eastAsia="Arial" w:hAnsi="Arial"/>
                <w:sz w:val="14"/>
                <w:szCs w:val="14"/>
                <w:color w:val="auto"/>
              </w:rPr>
              <w:t>Income before provision for income taxes</w:t>
            </w: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17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vMerge w:val="continue"/>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5,899</w:t>
            </w:r>
          </w:p>
        </w:tc>
        <w:tc>
          <w:tcPr>
            <w:tcW w:w="2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22,498</w:t>
            </w:r>
          </w:p>
        </w:tc>
        <w:tc>
          <w:tcPr>
            <w:tcW w:w="16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28,995</w:t>
            </w:r>
          </w:p>
        </w:tc>
        <w:tc>
          <w:tcPr>
            <w:tcW w:w="2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92,724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700" w:type="dxa"/>
            <w:vAlign w:val="bottom"/>
          </w:tcPr>
          <w:p>
            <w:pPr>
              <w:spacing w:after="0"/>
              <w:rPr>
                <w:sz w:val="20"/>
                <w:szCs w:val="20"/>
                <w:color w:val="auto"/>
              </w:rPr>
            </w:pPr>
            <w:r>
              <w:rPr>
                <w:rFonts w:ascii="Arial" w:cs="Arial" w:eastAsia="Arial" w:hAnsi="Arial"/>
                <w:sz w:val="14"/>
                <w:szCs w:val="14"/>
                <w:color w:val="auto"/>
              </w:rPr>
              <w:t>Provision for income taxes</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color w:val="auto"/>
              </w:rPr>
              <w:t>(1,786)</w:t>
            </w: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(398)</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(6,115)</w:t>
            </w:r>
          </w:p>
        </w:tc>
        <w:tc>
          <w:tcPr>
            <w:tcW w:w="6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(5,653)</w:t>
            </w:r>
          </w:p>
        </w:tc>
        <w:tc>
          <w:tcPr>
            <w:tcW w:w="0" w:type="dxa"/>
            <w:vAlign w:val="bottom"/>
          </w:tcPr>
          <w:p>
            <w:pPr>
              <w:spacing w:after="0"/>
              <w:rPr>
                <w:sz w:val="1"/>
                <w:szCs w:val="1"/>
                <w:color w:val="auto"/>
              </w:rPr>
            </w:pPr>
          </w:p>
        </w:tc>
      </w:tr>
      <w:tr>
        <w:trPr>
          <w:trHeight w:val="174"/>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Net income</w:t>
            </w:r>
          </w:p>
        </w:tc>
        <w:tc>
          <w:tcPr>
            <w:tcW w:w="15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4700" w:type="dxa"/>
            <w:vAlign w:val="bottom"/>
            <w:vMerge w:val="continue"/>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4,113</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22,100</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22,880</w:t>
            </w: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87,071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Net income per ordinary share</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7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700" w:type="dxa"/>
            <w:vAlign w:val="bottom"/>
          </w:tcPr>
          <w:p>
            <w:pPr>
              <w:spacing w:after="0"/>
              <w:rPr>
                <w:sz w:val="20"/>
                <w:szCs w:val="20"/>
                <w:color w:val="auto"/>
              </w:rPr>
            </w:pPr>
            <w:r>
              <w:rPr>
                <w:rFonts w:ascii="Arial" w:cs="Arial" w:eastAsia="Arial" w:hAnsi="Arial"/>
                <w:sz w:val="14"/>
                <w:szCs w:val="14"/>
                <w:color w:val="auto"/>
              </w:rPr>
              <w:t>Basic</w:t>
            </w:r>
          </w:p>
        </w:tc>
        <w:tc>
          <w:tcPr>
            <w:tcW w:w="1500" w:type="dxa"/>
            <w:vAlign w:val="bottom"/>
          </w:tcPr>
          <w:p>
            <w:pPr>
              <w:jc w:val="right"/>
              <w:spacing w:after="0"/>
              <w:rPr>
                <w:sz w:val="20"/>
                <w:szCs w:val="20"/>
                <w:color w:val="auto"/>
              </w:rPr>
            </w:pPr>
            <w:r>
              <w:rPr>
                <w:rFonts w:ascii="Arial" w:cs="Arial" w:eastAsia="Arial" w:hAnsi="Arial"/>
                <w:sz w:val="14"/>
                <w:szCs w:val="14"/>
                <w:color w:val="auto"/>
              </w:rPr>
              <w:t>$0.07</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$0.37</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$0.38</w:t>
            </w: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14"/>
                <w:szCs w:val="14"/>
                <w:color w:val="auto"/>
              </w:rPr>
              <w:t>Diluted</w:t>
            </w:r>
          </w:p>
        </w:tc>
        <w:tc>
          <w:tcPr>
            <w:tcW w:w="1500" w:type="dxa"/>
            <w:vAlign w:val="bottom"/>
          </w:tcPr>
          <w:p>
            <w:pPr>
              <w:jc w:val="right"/>
              <w:spacing w:after="0"/>
              <w:rPr>
                <w:sz w:val="20"/>
                <w:szCs w:val="20"/>
                <w:color w:val="auto"/>
              </w:rPr>
            </w:pPr>
            <w:r>
              <w:rPr>
                <w:rFonts w:ascii="Arial" w:cs="Arial" w:eastAsia="Arial" w:hAnsi="Arial"/>
                <w:sz w:val="14"/>
                <w:szCs w:val="14"/>
                <w:color w:val="auto"/>
              </w:rPr>
              <w:t>$0.07</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$0.36</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$0.37</w:t>
            </w: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4700" w:type="dxa"/>
            <w:vAlign w:val="bottom"/>
          </w:tcPr>
          <w:p>
            <w:pPr>
              <w:spacing w:after="0"/>
              <w:rPr>
                <w:sz w:val="20"/>
                <w:szCs w:val="20"/>
                <w:color w:val="auto"/>
              </w:rPr>
            </w:pPr>
            <w:r>
              <w:rPr>
                <w:rFonts w:ascii="Arial" w:cs="Arial" w:eastAsia="Arial" w:hAnsi="Arial"/>
                <w:sz w:val="14"/>
                <w:szCs w:val="14"/>
                <w:color w:val="auto"/>
              </w:rPr>
              <w:t>Weighted average number of ordinary shares</w:t>
            </w:r>
          </w:p>
        </w:tc>
        <w:tc>
          <w:tcPr>
            <w:tcW w:w="1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00" w:type="dxa"/>
            <w:vAlign w:val="bottom"/>
          </w:tcPr>
          <w:p>
            <w:pPr>
              <w:spacing w:after="0"/>
              <w:rPr>
                <w:sz w:val="20"/>
                <w:szCs w:val="20"/>
                <w:color w:val="auto"/>
              </w:rPr>
            </w:pPr>
            <w:r>
              <w:rPr>
                <w:rFonts w:ascii="Arial" w:cs="Arial" w:eastAsia="Arial" w:hAnsi="Arial"/>
                <w:sz w:val="14"/>
                <w:szCs w:val="14"/>
                <w:color w:val="auto"/>
              </w:rPr>
              <w:t>Basic</w:t>
            </w:r>
          </w:p>
        </w:tc>
        <w:tc>
          <w:tcPr>
            <w:tcW w:w="1500" w:type="dxa"/>
            <w:vAlign w:val="bottom"/>
          </w:tcPr>
          <w:p>
            <w:pPr>
              <w:jc w:val="right"/>
              <w:spacing w:after="0"/>
              <w:rPr>
                <w:sz w:val="20"/>
                <w:szCs w:val="20"/>
                <w:color w:val="auto"/>
              </w:rPr>
            </w:pPr>
            <w:r>
              <w:rPr>
                <w:rFonts w:ascii="Arial" w:cs="Arial" w:eastAsia="Arial" w:hAnsi="Arial"/>
                <w:sz w:val="14"/>
                <w:szCs w:val="14"/>
                <w:color w:val="auto"/>
              </w:rPr>
              <w:t>60,371,190</w:t>
            </w: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60,145,383</w:t>
            </w:r>
          </w:p>
        </w:tc>
        <w:tc>
          <w:tcPr>
            <w:tcW w:w="1540" w:type="dxa"/>
            <w:vAlign w:val="bottom"/>
          </w:tcPr>
          <w:p>
            <w:pPr>
              <w:jc w:val="right"/>
              <w:spacing w:after="0"/>
              <w:rPr>
                <w:sz w:val="20"/>
                <w:szCs w:val="20"/>
                <w:color w:val="auto"/>
              </w:rPr>
            </w:pPr>
            <w:r>
              <w:rPr>
                <w:rFonts w:ascii="Arial" w:cs="Arial" w:eastAsia="Arial" w:hAnsi="Arial"/>
                <w:sz w:val="14"/>
                <w:szCs w:val="14"/>
                <w:color w:val="auto"/>
              </w:rPr>
              <w:t>60,379,338</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59,718,934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4700" w:type="dxa"/>
            <w:vAlign w:val="bottom"/>
          </w:tcPr>
          <w:p>
            <w:pPr>
              <w:spacing w:after="0"/>
              <w:rPr>
                <w:sz w:val="20"/>
                <w:szCs w:val="20"/>
                <w:color w:val="auto"/>
              </w:rPr>
            </w:pPr>
            <w:r>
              <w:rPr>
                <w:rFonts w:ascii="Arial" w:cs="Arial" w:eastAsia="Arial" w:hAnsi="Arial"/>
                <w:sz w:val="14"/>
                <w:szCs w:val="14"/>
                <w:color w:val="auto"/>
              </w:rPr>
              <w:t>Diluted</w:t>
            </w:r>
          </w:p>
        </w:tc>
        <w:tc>
          <w:tcPr>
            <w:tcW w:w="1500" w:type="dxa"/>
            <w:vAlign w:val="bottom"/>
          </w:tcPr>
          <w:p>
            <w:pPr>
              <w:jc w:val="right"/>
              <w:spacing w:after="0"/>
              <w:rPr>
                <w:sz w:val="20"/>
                <w:szCs w:val="20"/>
                <w:color w:val="auto"/>
              </w:rPr>
            </w:pPr>
            <w:r>
              <w:rPr>
                <w:rFonts w:ascii="Arial" w:cs="Arial" w:eastAsia="Arial" w:hAnsi="Arial"/>
                <w:sz w:val="14"/>
                <w:szCs w:val="14"/>
                <w:color w:val="auto"/>
              </w:rPr>
              <w:t>60,759,588</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60,817,130</w:t>
            </w:r>
          </w:p>
        </w:tc>
        <w:tc>
          <w:tcPr>
            <w:tcW w:w="1540" w:type="dxa"/>
            <w:vAlign w:val="bottom"/>
          </w:tcPr>
          <w:p>
            <w:pPr>
              <w:jc w:val="right"/>
              <w:spacing w:after="0"/>
              <w:rPr>
                <w:sz w:val="20"/>
                <w:szCs w:val="20"/>
                <w:color w:val="auto"/>
              </w:rPr>
            </w:pPr>
            <w:r>
              <w:rPr>
                <w:rFonts w:ascii="Arial" w:cs="Arial" w:eastAsia="Arial" w:hAnsi="Arial"/>
                <w:sz w:val="14"/>
                <w:szCs w:val="14"/>
                <w:color w:val="auto"/>
              </w:rPr>
              <w:t>61,070,686</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60,637,103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47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Summary Balance Sheet Data</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2011 and December 31, 2010</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0" w:type="dxa"/>
            <w:vAlign w:val="bottom"/>
          </w:tcPr>
          <w:p>
            <w:pPr>
              <w:spacing w:after="0"/>
              <w:rPr>
                <w:sz w:val="15"/>
                <w:szCs w:val="15"/>
                <w:color w:val="auto"/>
              </w:rPr>
            </w:pPr>
          </w:p>
        </w:tc>
        <w:tc>
          <w:tcPr>
            <w:tcW w:w="4760" w:type="dxa"/>
            <w:vAlign w:val="bottom"/>
          </w:tcPr>
          <w:p>
            <w:pPr>
              <w:jc w:val="right"/>
              <w:ind w:right="928"/>
              <w:spacing w:after="0"/>
              <w:rPr>
                <w:sz w:val="20"/>
                <w:szCs w:val="20"/>
                <w:color w:val="auto"/>
              </w:rPr>
            </w:pPr>
            <w:r>
              <w:rPr>
                <w:rFonts w:ascii="Arial" w:cs="Arial" w:eastAsia="Arial" w:hAnsi="Arial"/>
                <w:sz w:val="14"/>
                <w:szCs w:val="14"/>
                <w:b w:val="1"/>
                <w:bCs w:val="1"/>
                <w:color w:val="auto"/>
              </w:rPr>
              <w:t>December 31,</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4800" w:type="dxa"/>
            <w:vAlign w:val="bottom"/>
          </w:tcPr>
          <w:p>
            <w:pPr>
              <w:spacing w:after="0"/>
              <w:rPr>
                <w:sz w:val="15"/>
                <w:szCs w:val="15"/>
                <w:color w:val="auto"/>
              </w:rPr>
            </w:pPr>
          </w:p>
        </w:tc>
        <w:tc>
          <w:tcPr>
            <w:tcW w:w="4760" w:type="dxa"/>
            <w:vAlign w:val="bottom"/>
          </w:tcPr>
          <w:p>
            <w:pPr>
              <w:jc w:val="right"/>
              <w:ind w:right="908"/>
              <w:spacing w:after="0"/>
              <w:rPr>
                <w:sz w:val="20"/>
                <w:szCs w:val="20"/>
                <w:color w:val="auto"/>
              </w:rPr>
            </w:pPr>
            <w:r>
              <w:rPr>
                <w:rFonts w:ascii="Arial" w:cs="Arial" w:eastAsia="Arial" w:hAnsi="Arial"/>
                <w:sz w:val="14"/>
                <w:szCs w:val="14"/>
                <w:b w:val="1"/>
                <w:bCs w:val="1"/>
                <w:color w:val="auto"/>
              </w:rPr>
              <w:t>2011</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r>
      <w:tr>
        <w:trPr>
          <w:trHeight w:val="180"/>
        </w:trPr>
        <w:tc>
          <w:tcPr>
            <w:tcW w:w="4800" w:type="dxa"/>
            <w:vAlign w:val="bottom"/>
          </w:tcPr>
          <w:p>
            <w:pPr>
              <w:spacing w:after="0"/>
              <w:rPr>
                <w:sz w:val="15"/>
                <w:szCs w:val="15"/>
                <w:color w:val="auto"/>
              </w:rPr>
            </w:pPr>
          </w:p>
        </w:tc>
        <w:tc>
          <w:tcPr>
            <w:tcW w:w="4760" w:type="dxa"/>
            <w:vAlign w:val="bottom"/>
          </w:tcPr>
          <w:p>
            <w:pPr>
              <w:jc w:val="right"/>
              <w:ind w:right="928"/>
              <w:spacing w:after="0"/>
              <w:rPr>
                <w:sz w:val="20"/>
                <w:szCs w:val="20"/>
                <w:color w:val="auto"/>
              </w:rPr>
            </w:pPr>
            <w:r>
              <w:rPr>
                <w:rFonts w:ascii="Arial" w:cs="Arial" w:eastAsia="Arial" w:hAnsi="Arial"/>
                <w:sz w:val="14"/>
                <w:szCs w:val="14"/>
                <w:b w:val="1"/>
                <w:bCs w:val="1"/>
                <w:color w:val="auto"/>
              </w:rPr>
              <w:t>(Unaudited)</w:t>
            </w:r>
          </w:p>
        </w:tc>
        <w:tc>
          <w:tcPr>
            <w:tcW w:w="186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r>
      <w:tr>
        <w:trPr>
          <w:trHeight w:val="176"/>
        </w:trPr>
        <w:tc>
          <w:tcPr>
            <w:tcW w:w="480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174,177</w:t>
            </w:r>
          </w:p>
        </w:tc>
        <w:tc>
          <w:tcPr>
            <w:tcW w:w="1860" w:type="dxa"/>
            <w:vAlign w:val="bottom"/>
          </w:tcPr>
          <w:p>
            <w:pPr>
              <w:jc w:val="right"/>
              <w:spacing w:after="0"/>
              <w:rPr>
                <w:sz w:val="20"/>
                <w:szCs w:val="20"/>
                <w:color w:val="auto"/>
              </w:rPr>
            </w:pPr>
            <w:r>
              <w:rPr>
                <w:rFonts w:ascii="Arial" w:cs="Arial" w:eastAsia="Arial" w:hAnsi="Arial"/>
                <w:sz w:val="14"/>
                <w:szCs w:val="14"/>
                <w:color w:val="auto"/>
              </w:rPr>
              <w:t>255,706</w:t>
            </w:r>
          </w:p>
        </w:tc>
      </w:tr>
      <w:tr>
        <w:trPr>
          <w:trHeight w:val="176"/>
        </w:trPr>
        <w:tc>
          <w:tcPr>
            <w:tcW w:w="4800" w:type="dxa"/>
            <w:vAlign w:val="bottom"/>
          </w:tcPr>
          <w:p>
            <w:pPr>
              <w:spacing w:after="0"/>
              <w:rPr>
                <w:sz w:val="20"/>
                <w:szCs w:val="20"/>
                <w:color w:val="auto"/>
              </w:rPr>
            </w:pPr>
            <w:r>
              <w:rPr>
                <w:rFonts w:ascii="Arial" w:cs="Arial" w:eastAsia="Arial" w:hAnsi="Arial"/>
                <w:sz w:val="14"/>
                <w:szCs w:val="14"/>
                <w:color w:val="auto"/>
              </w:rPr>
              <w:t>Debt</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1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Net cash</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174,117</w:t>
            </w:r>
          </w:p>
        </w:tc>
        <w:tc>
          <w:tcPr>
            <w:tcW w:w="1860" w:type="dxa"/>
            <w:vAlign w:val="bottom"/>
          </w:tcPr>
          <w:p>
            <w:pPr>
              <w:jc w:val="right"/>
              <w:spacing w:after="0"/>
              <w:rPr>
                <w:sz w:val="20"/>
                <w:szCs w:val="20"/>
                <w:color w:val="auto"/>
              </w:rPr>
            </w:pPr>
            <w:r>
              <w:rPr>
                <w:rFonts w:ascii="Arial" w:cs="Arial" w:eastAsia="Arial" w:hAnsi="Arial"/>
                <w:sz w:val="14"/>
                <w:szCs w:val="14"/>
                <w:color w:val="auto"/>
              </w:rPr>
              <w:t>255,706</w:t>
            </w:r>
          </w:p>
        </w:tc>
      </w:tr>
      <w:tr>
        <w:trPr>
          <w:trHeight w:val="344"/>
        </w:trPr>
        <w:tc>
          <w:tcPr>
            <w:tcW w:w="4800" w:type="dxa"/>
            <w:vAlign w:val="bottom"/>
          </w:tcPr>
          <w:p>
            <w:pPr>
              <w:spacing w:after="0"/>
              <w:rPr>
                <w:sz w:val="20"/>
                <w:szCs w:val="20"/>
                <w:color w:val="auto"/>
              </w:rPr>
            </w:pPr>
            <w:r>
              <w:rPr>
                <w:rFonts w:ascii="Arial" w:cs="Arial" w:eastAsia="Arial" w:hAnsi="Arial"/>
                <w:sz w:val="14"/>
                <w:szCs w:val="14"/>
                <w:color w:val="auto"/>
              </w:rPr>
              <w:t>Accounts receivable</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201,338</w:t>
            </w:r>
          </w:p>
        </w:tc>
        <w:tc>
          <w:tcPr>
            <w:tcW w:w="1860" w:type="dxa"/>
            <w:vAlign w:val="bottom"/>
          </w:tcPr>
          <w:p>
            <w:pPr>
              <w:jc w:val="right"/>
              <w:spacing w:after="0"/>
              <w:rPr>
                <w:sz w:val="20"/>
                <w:szCs w:val="20"/>
                <w:color w:val="auto"/>
              </w:rPr>
            </w:pPr>
            <w:r>
              <w:rPr>
                <w:rFonts w:ascii="Arial" w:cs="Arial" w:eastAsia="Arial" w:hAnsi="Arial"/>
                <w:sz w:val="14"/>
                <w:szCs w:val="14"/>
                <w:color w:val="auto"/>
              </w:rPr>
              <w:t>164,907</w:t>
            </w:r>
          </w:p>
        </w:tc>
      </w:tr>
      <w:tr>
        <w:trPr>
          <w:trHeight w:val="176"/>
        </w:trPr>
        <w:tc>
          <w:tcPr>
            <w:tcW w:w="4800" w:type="dxa"/>
            <w:vAlign w:val="bottom"/>
          </w:tcPr>
          <w:p>
            <w:pPr>
              <w:spacing w:after="0"/>
              <w:rPr>
                <w:sz w:val="20"/>
                <w:szCs w:val="20"/>
                <w:color w:val="auto"/>
              </w:rPr>
            </w:pPr>
            <w:r>
              <w:rPr>
                <w:rFonts w:ascii="Arial" w:cs="Arial" w:eastAsia="Arial" w:hAnsi="Arial"/>
                <w:sz w:val="14"/>
                <w:szCs w:val="14"/>
                <w:color w:val="auto"/>
              </w:rPr>
              <w:t>Unbilled revenue</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126,850</w:t>
            </w:r>
          </w:p>
        </w:tc>
        <w:tc>
          <w:tcPr>
            <w:tcW w:w="1860" w:type="dxa"/>
            <w:vAlign w:val="bottom"/>
          </w:tcPr>
          <w:p>
            <w:pPr>
              <w:jc w:val="right"/>
              <w:spacing w:after="0"/>
              <w:rPr>
                <w:sz w:val="20"/>
                <w:szCs w:val="20"/>
                <w:color w:val="auto"/>
              </w:rPr>
            </w:pPr>
            <w:r>
              <w:rPr>
                <w:rFonts w:ascii="Arial" w:cs="Arial" w:eastAsia="Arial" w:hAnsi="Arial"/>
                <w:sz w:val="14"/>
                <w:szCs w:val="14"/>
                <w:color w:val="auto"/>
              </w:rPr>
              <w:t>101,431</w:t>
            </w:r>
          </w:p>
        </w:tc>
      </w:tr>
      <w:tr>
        <w:trPr>
          <w:trHeight w:val="176"/>
        </w:trPr>
        <w:tc>
          <w:tcPr>
            <w:tcW w:w="4800" w:type="dxa"/>
            <w:vAlign w:val="bottom"/>
          </w:tcPr>
          <w:p>
            <w:pPr>
              <w:spacing w:after="0"/>
              <w:rPr>
                <w:sz w:val="20"/>
                <w:szCs w:val="20"/>
                <w:color w:val="auto"/>
              </w:rPr>
            </w:pPr>
            <w:r>
              <w:rPr>
                <w:rFonts w:ascii="Arial" w:cs="Arial" w:eastAsia="Arial" w:hAnsi="Arial"/>
                <w:sz w:val="14"/>
                <w:szCs w:val="14"/>
                <w:color w:val="auto"/>
              </w:rPr>
              <w:t>Payments on account</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(150,792)</w:t>
            </w:r>
          </w:p>
        </w:tc>
        <w:tc>
          <w:tcPr>
            <w:tcW w:w="1860" w:type="dxa"/>
            <w:vAlign w:val="bottom"/>
          </w:tcPr>
          <w:p>
            <w:pPr>
              <w:jc w:val="right"/>
              <w:spacing w:after="0"/>
              <w:rPr>
                <w:sz w:val="20"/>
                <w:szCs w:val="20"/>
                <w:color w:val="auto"/>
              </w:rPr>
            </w:pPr>
            <w:r>
              <w:rPr>
                <w:rFonts w:ascii="Arial" w:cs="Arial" w:eastAsia="Arial" w:hAnsi="Arial"/>
                <w:sz w:val="14"/>
                <w:szCs w:val="14"/>
                <w:color w:val="auto"/>
              </w:rPr>
              <w:t>(134,240)</w:t>
            </w:r>
          </w:p>
        </w:tc>
      </w:tr>
      <w:tr>
        <w:trPr>
          <w:trHeight w:val="182"/>
        </w:trPr>
        <w:tc>
          <w:tcPr>
            <w:tcW w:w="4800" w:type="dxa"/>
            <w:vAlign w:val="bottom"/>
          </w:tcPr>
          <w:p>
            <w:pPr>
              <w:spacing w:after="0"/>
              <w:rPr>
                <w:sz w:val="20"/>
                <w:szCs w:val="20"/>
                <w:color w:val="auto"/>
              </w:rPr>
            </w:pPr>
            <w:r>
              <w:rPr>
                <w:rFonts w:ascii="Arial" w:cs="Arial" w:eastAsia="Arial" w:hAnsi="Arial"/>
                <w:sz w:val="14"/>
                <w:szCs w:val="14"/>
                <w:color w:val="auto"/>
              </w:rPr>
              <w:t>Total</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177,396</w:t>
            </w:r>
          </w:p>
        </w:tc>
        <w:tc>
          <w:tcPr>
            <w:tcW w:w="1860" w:type="dxa"/>
            <w:vAlign w:val="bottom"/>
          </w:tcPr>
          <w:p>
            <w:pPr>
              <w:jc w:val="right"/>
              <w:spacing w:after="0"/>
              <w:rPr>
                <w:sz w:val="20"/>
                <w:szCs w:val="20"/>
                <w:color w:val="auto"/>
              </w:rPr>
            </w:pPr>
            <w:r>
              <w:rPr>
                <w:rFonts w:ascii="Arial" w:cs="Arial" w:eastAsia="Arial" w:hAnsi="Arial"/>
                <w:sz w:val="14"/>
                <w:szCs w:val="14"/>
                <w:color w:val="auto"/>
              </w:rPr>
              <w:t>132,098</w:t>
            </w:r>
          </w:p>
        </w:tc>
      </w:tr>
      <w:tr>
        <w:trPr>
          <w:trHeight w:val="351"/>
        </w:trPr>
        <w:tc>
          <w:tcPr>
            <w:tcW w:w="4800" w:type="dxa"/>
            <w:vAlign w:val="bottom"/>
          </w:tcPr>
          <w:p>
            <w:pPr>
              <w:spacing w:after="0"/>
              <w:rPr>
                <w:sz w:val="20"/>
                <w:szCs w:val="20"/>
                <w:color w:val="auto"/>
              </w:rPr>
            </w:pPr>
            <w:r>
              <w:rPr>
                <w:rFonts w:ascii="Arial" w:cs="Arial" w:eastAsia="Arial" w:hAnsi="Arial"/>
                <w:sz w:val="14"/>
                <w:szCs w:val="14"/>
                <w:color w:val="auto"/>
              </w:rPr>
              <w:t>Working Capital</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253,514</w:t>
            </w:r>
          </w:p>
        </w:tc>
        <w:tc>
          <w:tcPr>
            <w:tcW w:w="1860" w:type="dxa"/>
            <w:vAlign w:val="bottom"/>
          </w:tcPr>
          <w:p>
            <w:pPr>
              <w:jc w:val="right"/>
              <w:spacing w:after="0"/>
              <w:rPr>
                <w:sz w:val="20"/>
                <w:szCs w:val="20"/>
                <w:color w:val="auto"/>
              </w:rPr>
            </w:pPr>
            <w:r>
              <w:rPr>
                <w:rFonts w:ascii="Arial" w:cs="Arial" w:eastAsia="Arial" w:hAnsi="Arial"/>
                <w:sz w:val="14"/>
                <w:szCs w:val="14"/>
                <w:color w:val="auto"/>
              </w:rPr>
              <w:t>330,333</w:t>
            </w:r>
          </w:p>
        </w:tc>
      </w:tr>
      <w:tr>
        <w:trPr>
          <w:trHeight w:val="351"/>
        </w:trPr>
        <w:tc>
          <w:tcPr>
            <w:tcW w:w="4800" w:type="dxa"/>
            <w:vAlign w:val="bottom"/>
          </w:tcPr>
          <w:p>
            <w:pPr>
              <w:spacing w:after="0"/>
              <w:rPr>
                <w:sz w:val="20"/>
                <w:szCs w:val="20"/>
                <w:color w:val="auto"/>
              </w:rPr>
            </w:pPr>
            <w:r>
              <w:rPr>
                <w:rFonts w:ascii="Arial" w:cs="Arial" w:eastAsia="Arial" w:hAnsi="Arial"/>
                <w:sz w:val="14"/>
                <w:szCs w:val="14"/>
                <w:color w:val="auto"/>
              </w:rPr>
              <w:t>Total assets</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1,035,467</w:t>
            </w:r>
          </w:p>
        </w:tc>
        <w:tc>
          <w:tcPr>
            <w:tcW w:w="1860" w:type="dxa"/>
            <w:vAlign w:val="bottom"/>
          </w:tcPr>
          <w:p>
            <w:pPr>
              <w:jc w:val="right"/>
              <w:spacing w:after="0"/>
              <w:rPr>
                <w:sz w:val="20"/>
                <w:szCs w:val="20"/>
                <w:color w:val="auto"/>
              </w:rPr>
            </w:pPr>
            <w:r>
              <w:rPr>
                <w:rFonts w:ascii="Arial" w:cs="Arial" w:eastAsia="Arial" w:hAnsi="Arial"/>
                <w:sz w:val="14"/>
                <w:szCs w:val="14"/>
                <w:color w:val="auto"/>
              </w:rPr>
              <w:t>949,538</w:t>
            </w:r>
          </w:p>
        </w:tc>
      </w:tr>
      <w:tr>
        <w:trPr>
          <w:trHeight w:val="351"/>
        </w:trPr>
        <w:tc>
          <w:tcPr>
            <w:tcW w:w="4800" w:type="dxa"/>
            <w:vAlign w:val="bottom"/>
          </w:tcPr>
          <w:p>
            <w:pPr>
              <w:spacing w:after="0"/>
              <w:rPr>
                <w:sz w:val="20"/>
                <w:szCs w:val="20"/>
                <w:color w:val="auto"/>
              </w:rPr>
            </w:pPr>
            <w:r>
              <w:rPr>
                <w:rFonts w:ascii="Arial" w:cs="Arial" w:eastAsia="Arial" w:hAnsi="Arial"/>
                <w:sz w:val="14"/>
                <w:szCs w:val="14"/>
                <w:color w:val="auto"/>
              </w:rPr>
              <w:t>Shareholders’ equity</w:t>
            </w:r>
          </w:p>
        </w:tc>
        <w:tc>
          <w:tcPr>
            <w:tcW w:w="4760" w:type="dxa"/>
            <w:vAlign w:val="bottom"/>
          </w:tcPr>
          <w:p>
            <w:pPr>
              <w:jc w:val="right"/>
              <w:ind w:right="908"/>
              <w:spacing w:after="0"/>
              <w:rPr>
                <w:sz w:val="20"/>
                <w:szCs w:val="20"/>
                <w:color w:val="auto"/>
              </w:rPr>
            </w:pPr>
            <w:r>
              <w:rPr>
                <w:rFonts w:ascii="Arial" w:cs="Arial" w:eastAsia="Arial" w:hAnsi="Arial"/>
                <w:sz w:val="14"/>
                <w:szCs w:val="14"/>
                <w:color w:val="auto"/>
              </w:rPr>
              <w:t>681,544</w:t>
            </w:r>
          </w:p>
        </w:tc>
        <w:tc>
          <w:tcPr>
            <w:tcW w:w="1860" w:type="dxa"/>
            <w:vAlign w:val="bottom"/>
          </w:tcPr>
          <w:p>
            <w:pPr>
              <w:jc w:val="right"/>
              <w:spacing w:after="0"/>
              <w:rPr>
                <w:sz w:val="20"/>
                <w:szCs w:val="20"/>
                <w:color w:val="auto"/>
              </w:rPr>
            </w:pPr>
            <w:r>
              <w:rPr>
                <w:rFonts w:ascii="Arial" w:cs="Arial" w:eastAsia="Arial" w:hAnsi="Arial"/>
                <w:sz w:val="14"/>
                <w:szCs w:val="14"/>
                <w:color w:val="auto"/>
              </w:rPr>
              <w:t>669,999</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 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2"/>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 VP Investor Relations</w:t>
      </w:r>
    </w:p>
    <w:p>
      <w:pPr>
        <w:ind w:right="9320" w:firstLine="8"/>
        <w:spacing w:after="0" w:line="308" w:lineRule="auto"/>
        <w:tabs>
          <w:tab w:leader="none" w:pos="176"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353 –1-291-2000 </w:t>
      </w:r>
      <w:r>
        <w:rPr>
          <w:rFonts w:ascii="Arial" w:cs="Arial" w:eastAsia="Arial" w:hAnsi="Arial"/>
          <w:sz w:val="19"/>
          <w:szCs w:val="19"/>
          <w:u w:val="single" w:color="auto"/>
          <w:color w:val="auto"/>
        </w:rPr>
        <w:t>http://www.iconplc.com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2019-12-09T13:19:22Z</dcterms:created>
  <dcterms:modified xsi:type="dcterms:W3CDTF">2019-12-09T13:19:22Z</dcterms:modified>
</cp:coreProperties>
</file>