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00" w:lineRule="exact"/>
        <w:rPr>
          <w:sz w:val="24"/>
          <w:szCs w:val="24"/>
          <w:color w:val="auto"/>
        </w:rPr>
      </w:pPr>
    </w:p>
    <w:p>
      <w:pPr>
        <w:spacing w:after="0" w:line="296"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00" w:lineRule="exact"/>
        <w:rPr>
          <w:sz w:val="24"/>
          <w:szCs w:val="24"/>
          <w:color w:val="auto"/>
        </w:rPr>
      </w:pPr>
    </w:p>
    <w:p>
      <w:pPr>
        <w:spacing w:after="0" w:line="297"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00" w:lineRule="exact"/>
        <w:rPr>
          <w:sz w:val="24"/>
          <w:szCs w:val="24"/>
          <w:color w:val="auto"/>
        </w:rPr>
      </w:pPr>
    </w:p>
    <w:p>
      <w:pPr>
        <w:spacing w:after="0" w:line="27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July 2015</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Chief Financial Officer</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color w:val="auto"/>
        </w:rPr>
        <w:t>ICON plc Press Release issued July 27, 2015 - ICON Shareholders Vote in Favour of All Resolutions at its Annual General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680"/>
          </w:cols>
          <w:pgMar w:left="240" w:top="364" w:right="979"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860" w:type="dxa"/>
            <w:vAlign w:val="bottom"/>
          </w:tcPr>
          <w:p>
            <w:pPr>
              <w:spacing w:after="0"/>
              <w:rPr>
                <w:sz w:val="20"/>
                <w:szCs w:val="20"/>
                <w:color w:val="auto"/>
              </w:rPr>
            </w:pPr>
            <w:r>
              <w:rPr>
                <w:rFonts w:ascii="Arial" w:cs="Arial" w:eastAsia="Arial" w:hAnsi="Arial"/>
                <w:sz w:val="18"/>
                <w:szCs w:val="18"/>
                <w:color w:val="auto"/>
              </w:rPr>
              <w:t>Date:  July 27, 2015</w:t>
            </w:r>
          </w:p>
        </w:tc>
        <w:tc>
          <w:tcPr>
            <w:tcW w:w="1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88"/>
              </w:rPr>
              <w:t>/s/ Brendan Brennan</w:t>
            </w:r>
          </w:p>
        </w:tc>
        <w:tc>
          <w:tcPr>
            <w:tcW w:w="200" w:type="dxa"/>
            <w:vAlign w:val="bottom"/>
          </w:tcPr>
          <w:p>
            <w:pPr>
              <w:spacing w:after="0"/>
              <w:rPr>
                <w:sz w:val="17"/>
                <w:szCs w:val="17"/>
                <w:color w:val="auto"/>
              </w:rPr>
            </w:pPr>
          </w:p>
        </w:tc>
      </w:tr>
      <w:tr>
        <w:trPr>
          <w:trHeight w:val="264"/>
        </w:trPr>
        <w:tc>
          <w:tcPr>
            <w:tcW w:w="6860" w:type="dxa"/>
            <w:vAlign w:val="bottom"/>
          </w:tcPr>
          <w:p>
            <w:pPr>
              <w:spacing w:after="0"/>
              <w:rPr>
                <w:sz w:val="22"/>
                <w:szCs w:val="22"/>
                <w:color w:val="auto"/>
              </w:rPr>
            </w:pPr>
          </w:p>
        </w:tc>
        <w:tc>
          <w:tcPr>
            <w:tcW w:w="1680" w:type="dxa"/>
            <w:vAlign w:val="bottom"/>
            <w:gridSpan w:val="2"/>
          </w:tcPr>
          <w:p>
            <w:pPr>
              <w:spacing w:after="0"/>
              <w:rPr>
                <w:sz w:val="20"/>
                <w:szCs w:val="20"/>
                <w:color w:val="auto"/>
              </w:rPr>
            </w:pPr>
            <w:r>
              <w:rPr>
                <w:rFonts w:ascii="Arial" w:cs="Arial" w:eastAsia="Arial" w:hAnsi="Arial"/>
                <w:sz w:val="18"/>
                <w:szCs w:val="18"/>
                <w:color w:val="auto"/>
              </w:rPr>
              <w:t>Brendan Brennan</w:t>
            </w:r>
          </w:p>
        </w:tc>
      </w:tr>
      <w:tr>
        <w:trPr>
          <w:trHeight w:val="243"/>
        </w:trPr>
        <w:tc>
          <w:tcPr>
            <w:tcW w:w="6860" w:type="dxa"/>
            <w:vAlign w:val="bottom"/>
          </w:tcPr>
          <w:p>
            <w:pPr>
              <w:spacing w:after="0"/>
              <w:rPr>
                <w:sz w:val="21"/>
                <w:szCs w:val="21"/>
                <w:color w:val="auto"/>
              </w:rPr>
            </w:pPr>
          </w:p>
        </w:tc>
        <w:tc>
          <w:tcPr>
            <w:tcW w:w="1680" w:type="dxa"/>
            <w:vAlign w:val="bottom"/>
            <w:gridSpan w:val="2"/>
          </w:tcPr>
          <w:p>
            <w:pPr>
              <w:spacing w:after="0"/>
              <w:rPr>
                <w:sz w:val="20"/>
                <w:szCs w:val="20"/>
                <w:color w:val="auto"/>
              </w:rPr>
            </w:pPr>
            <w:r>
              <w:rPr>
                <w:rFonts w:ascii="Arial" w:cs="Arial" w:eastAsia="Arial" w:hAnsi="Arial"/>
                <w:sz w:val="18"/>
                <w:szCs w:val="18"/>
                <w:color w:val="auto"/>
                <w:w w:val="93"/>
              </w:rPr>
              <w:t>Chief Financial Officer</w:t>
            </w:r>
          </w:p>
        </w:tc>
      </w:tr>
    </w:tbl>
    <w:p>
      <w:pPr>
        <w:sectPr>
          <w:pgSz w:w="11900" w:h="16838" w:orient="portrait"/>
          <w:cols w:equalWidth="0" w:num="1">
            <w:col w:w="11240"/>
          </w:cols>
          <w:pgMar w:left="240" w:top="364" w:right="419" w:bottom="1440" w:gutter="0" w:footer="0" w:header="0"/>
        </w:sectPr>
      </w:pPr>
    </w:p>
    <w:bookmarkStart w:id="3" w:name="page4"/>
    <w:bookmarkEnd w:id="3"/>
    <w:p>
      <w:pPr>
        <w:ind w:left="10300"/>
        <w:spacing w:after="0"/>
        <w:rPr>
          <w:sz w:val="20"/>
          <w:szCs w:val="20"/>
          <w:color w:val="auto"/>
        </w:rPr>
      </w:pPr>
      <w:r>
        <w:rPr>
          <w:rFonts w:ascii="Arial" w:cs="Arial" w:eastAsia="Arial" w:hAnsi="Arial"/>
          <w:sz w:val="19"/>
          <w:szCs w:val="19"/>
          <w:b w:val="1"/>
          <w:bCs w:val="1"/>
          <w:color w:val="auto"/>
        </w:rPr>
        <w:t>Exhibit 99.1</w:t>
      </w: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Shareholders Vote in Favour of All Resolutions at its Annual General Meeting</w:t>
      </w:r>
    </w:p>
    <w:p>
      <w:pPr>
        <w:spacing w:after="0" w:line="206" w:lineRule="exact"/>
        <w:rPr>
          <w:sz w:val="20"/>
          <w:szCs w:val="20"/>
          <w:color w:val="auto"/>
        </w:rPr>
      </w:pPr>
    </w:p>
    <w:p>
      <w:pPr>
        <w:ind w:right="20"/>
        <w:spacing w:after="0" w:line="237" w:lineRule="auto"/>
        <w:rPr>
          <w:sz w:val="20"/>
          <w:szCs w:val="20"/>
          <w:color w:val="auto"/>
        </w:rPr>
      </w:pPr>
      <w:r>
        <w:rPr>
          <w:rFonts w:ascii="Arial" w:cs="Arial" w:eastAsia="Arial" w:hAnsi="Arial"/>
          <w:sz w:val="22"/>
          <w:szCs w:val="22"/>
          <w:color w:val="auto"/>
        </w:rPr>
        <w:t>DUBLIN--(BUSINESS WIRE)--July 27, 2015--</w:t>
      </w:r>
      <w:r>
        <w:rPr>
          <w:rFonts w:ascii="Arial" w:cs="Arial" w:eastAsia="Arial" w:hAnsi="Arial"/>
          <w:sz w:val="22"/>
          <w:szCs w:val="22"/>
          <w:b w:val="1"/>
          <w:bCs w:val="1"/>
          <w:color w:val="auto"/>
        </w:rPr>
        <w:t>ICON plc (NASDAQ: ICLR),</w:t>
      </w:r>
      <w:r>
        <w:rPr>
          <w:rFonts w:ascii="Arial" w:cs="Arial" w:eastAsia="Arial" w:hAnsi="Arial"/>
          <w:sz w:val="22"/>
          <w:szCs w:val="22"/>
          <w:color w:val="auto"/>
        </w:rPr>
        <w:t xml:space="preserve"> a global provider of drug development solutions and services to the pharmaceutical, biotechnology and medical device industries, today announced that all resolutions at the Annual General Meeting of the Company (AGM) held on July 24, 2015 (which resolutions had all been recommended by the Board) were all duly passed by shareholders. These resolutions were set out in the Notice of the AGM sent to shareholders dated June 12, 2015 and are available on the ICON plc website.</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color w:val="auto"/>
        </w:rPr>
        <w:t>The resolutions were all passed and the final results of proxy voting were:</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18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RESOLUTION NUMBER</w:t>
            </w: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RESOLUTION</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TOTAL NUMBER OF VOTES</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VOTE FOR</w:t>
            </w:r>
          </w:p>
        </w:tc>
        <w:tc>
          <w:tcPr>
            <w:tcW w:w="166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VOTE AGAINST</w:t>
            </w:r>
          </w:p>
        </w:tc>
        <w:tc>
          <w:tcPr>
            <w:tcW w:w="1760" w:type="dxa"/>
            <w:vAlign w:val="bottom"/>
            <w:tcBorders>
              <w:bottom w:val="single" w:sz="8" w:color="auto"/>
            </w:tcBorders>
          </w:tcPr>
          <w:p>
            <w:pPr>
              <w:jc w:val="center"/>
              <w:ind w:left="28"/>
              <w:spacing w:after="0"/>
              <w:rPr>
                <w:sz w:val="20"/>
                <w:szCs w:val="20"/>
                <w:color w:val="auto"/>
              </w:rPr>
            </w:pPr>
            <w:r>
              <w:rPr>
                <w:rFonts w:ascii="Arial" w:cs="Arial" w:eastAsia="Arial" w:hAnsi="Arial"/>
                <w:sz w:val="14"/>
                <w:szCs w:val="14"/>
                <w:b w:val="1"/>
                <w:bCs w:val="1"/>
                <w:color w:val="auto"/>
              </w:rPr>
              <w:t>VOTE WITHHELD</w:t>
            </w:r>
          </w:p>
        </w:tc>
        <w:tc>
          <w:tcPr>
            <w:tcW w:w="0" w:type="dxa"/>
            <w:vAlign w:val="bottom"/>
          </w:tcPr>
          <w:p>
            <w:pPr>
              <w:spacing w:after="0"/>
              <w:rPr>
                <w:sz w:val="1"/>
                <w:szCs w:val="1"/>
                <w:color w:val="auto"/>
              </w:rPr>
            </w:pPr>
          </w:p>
        </w:tc>
      </w:tr>
      <w:tr>
        <w:trPr>
          <w:trHeight w:val="137"/>
        </w:trPr>
        <w:tc>
          <w:tcPr>
            <w:tcW w:w="2180" w:type="dxa"/>
            <w:vAlign w:val="bottom"/>
            <w:vMerge w:val="restart"/>
          </w:tcPr>
          <w:p>
            <w:pPr>
              <w:jc w:val="center"/>
              <w:ind w:right="8"/>
              <w:spacing w:after="0"/>
              <w:rPr>
                <w:sz w:val="20"/>
                <w:szCs w:val="20"/>
                <w:color w:val="auto"/>
              </w:rPr>
            </w:pPr>
            <w:r>
              <w:rPr>
                <w:rFonts w:ascii="Arial" w:cs="Arial" w:eastAsia="Arial" w:hAnsi="Arial"/>
                <w:sz w:val="14"/>
                <w:szCs w:val="14"/>
                <w:b w:val="1"/>
                <w:bCs w:val="1"/>
                <w:color w:val="auto"/>
                <w:w w:val="92"/>
              </w:rPr>
              <w:t>1.1</w:t>
            </w: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3"/>
              </w:rPr>
              <w:t>To re-elect Mr. Ciaran</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vMerge w:val="continue"/>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Murray</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49,567,723</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247,632</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214,631</w:t>
            </w:r>
          </w:p>
        </w:tc>
        <w:tc>
          <w:tcPr>
            <w:tcW w:w="0" w:type="dxa"/>
            <w:vAlign w:val="bottom"/>
          </w:tcPr>
          <w:p>
            <w:pPr>
              <w:spacing w:after="0"/>
              <w:rPr>
                <w:sz w:val="1"/>
                <w:szCs w:val="1"/>
                <w:color w:val="auto"/>
              </w:rPr>
            </w:pPr>
          </w:p>
        </w:tc>
      </w:tr>
      <w:tr>
        <w:trPr>
          <w:trHeight w:val="137"/>
        </w:trPr>
        <w:tc>
          <w:tcPr>
            <w:tcW w:w="2180" w:type="dxa"/>
            <w:vAlign w:val="bottom"/>
            <w:vMerge w:val="restart"/>
          </w:tcPr>
          <w:p>
            <w:pPr>
              <w:jc w:val="center"/>
              <w:ind w:right="8"/>
              <w:spacing w:after="0"/>
              <w:rPr>
                <w:sz w:val="20"/>
                <w:szCs w:val="20"/>
                <w:color w:val="auto"/>
              </w:rPr>
            </w:pPr>
            <w:r>
              <w:rPr>
                <w:rFonts w:ascii="Arial" w:cs="Arial" w:eastAsia="Arial" w:hAnsi="Arial"/>
                <w:sz w:val="14"/>
                <w:szCs w:val="14"/>
                <w:b w:val="1"/>
                <w:bCs w:val="1"/>
                <w:color w:val="auto"/>
                <w:w w:val="92"/>
              </w:rPr>
              <w:t>1.2</w:t>
            </w: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2"/>
              </w:rPr>
              <w:t>To re-elect Dr. Ronan</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vMerge w:val="continue"/>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Lambe</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47,186,311</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2,628,744</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214,931</w:t>
            </w:r>
          </w:p>
        </w:tc>
        <w:tc>
          <w:tcPr>
            <w:tcW w:w="0" w:type="dxa"/>
            <w:vAlign w:val="bottom"/>
          </w:tcPr>
          <w:p>
            <w:pPr>
              <w:spacing w:after="0"/>
              <w:rPr>
                <w:sz w:val="1"/>
                <w:szCs w:val="1"/>
                <w:color w:val="auto"/>
              </w:rPr>
            </w:pPr>
          </w:p>
        </w:tc>
      </w:tr>
      <w:tr>
        <w:trPr>
          <w:trHeight w:val="137"/>
        </w:trPr>
        <w:tc>
          <w:tcPr>
            <w:tcW w:w="2180" w:type="dxa"/>
            <w:vAlign w:val="bottom"/>
            <w:vMerge w:val="restart"/>
          </w:tcPr>
          <w:p>
            <w:pPr>
              <w:jc w:val="center"/>
              <w:ind w:right="8"/>
              <w:spacing w:after="0"/>
              <w:rPr>
                <w:sz w:val="20"/>
                <w:szCs w:val="20"/>
                <w:color w:val="auto"/>
              </w:rPr>
            </w:pPr>
            <w:r>
              <w:rPr>
                <w:rFonts w:ascii="Arial" w:cs="Arial" w:eastAsia="Arial" w:hAnsi="Arial"/>
                <w:sz w:val="14"/>
                <w:szCs w:val="14"/>
                <w:b w:val="1"/>
                <w:bCs w:val="1"/>
                <w:color w:val="auto"/>
                <w:w w:val="92"/>
              </w:rPr>
              <w:t>1.3</w:t>
            </w: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3"/>
              </w:rPr>
              <w:t>To re-elect Mr. Declan</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vMerge w:val="continue"/>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McKeon</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48,645,702</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1,169,472</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214,812</w:t>
            </w:r>
          </w:p>
        </w:tc>
        <w:tc>
          <w:tcPr>
            <w:tcW w:w="0" w:type="dxa"/>
            <w:vAlign w:val="bottom"/>
          </w:tcPr>
          <w:p>
            <w:pPr>
              <w:spacing w:after="0"/>
              <w:rPr>
                <w:sz w:val="1"/>
                <w:szCs w:val="1"/>
                <w:color w:val="auto"/>
              </w:rPr>
            </w:pPr>
          </w:p>
        </w:tc>
      </w:tr>
      <w:tr>
        <w:trPr>
          <w:trHeight w:val="137"/>
        </w:trPr>
        <w:tc>
          <w:tcPr>
            <w:tcW w:w="218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2</w:t>
            </w: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0"/>
              </w:rPr>
              <w:t>To receive accounts</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vMerge w:val="continue"/>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and reports</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49,641,405</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3,516</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385,065</w:t>
            </w:r>
          </w:p>
        </w:tc>
        <w:tc>
          <w:tcPr>
            <w:tcW w:w="0" w:type="dxa"/>
            <w:vAlign w:val="bottom"/>
          </w:tcPr>
          <w:p>
            <w:pPr>
              <w:spacing w:after="0"/>
              <w:rPr>
                <w:sz w:val="1"/>
                <w:szCs w:val="1"/>
                <w:color w:val="auto"/>
              </w:rPr>
            </w:pPr>
          </w:p>
        </w:tc>
      </w:tr>
      <w:tr>
        <w:trPr>
          <w:trHeight w:val="137"/>
        </w:trPr>
        <w:tc>
          <w:tcPr>
            <w:tcW w:w="2180" w:type="dxa"/>
            <w:vAlign w:val="bottom"/>
          </w:tcPr>
          <w:p>
            <w:pPr>
              <w:spacing w:after="0"/>
              <w:rPr>
                <w:sz w:val="11"/>
                <w:szCs w:val="11"/>
                <w:color w:val="auto"/>
              </w:rPr>
            </w:pP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0"/>
              </w:rPr>
              <w:t>To authorise the</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18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3</w:t>
            </w:r>
          </w:p>
        </w:tc>
        <w:tc>
          <w:tcPr>
            <w:tcW w:w="1960" w:type="dxa"/>
            <w:vAlign w:val="bottom"/>
          </w:tcPr>
          <w:p>
            <w:pPr>
              <w:jc w:val="center"/>
              <w:spacing w:after="0" w:line="149" w:lineRule="exact"/>
              <w:rPr>
                <w:sz w:val="20"/>
                <w:szCs w:val="20"/>
                <w:color w:val="auto"/>
              </w:rPr>
            </w:pPr>
            <w:r>
              <w:rPr>
                <w:rFonts w:ascii="Arial" w:cs="Arial" w:eastAsia="Arial" w:hAnsi="Arial"/>
                <w:sz w:val="14"/>
                <w:szCs w:val="14"/>
                <w:color w:val="auto"/>
                <w:w w:val="98"/>
              </w:rPr>
              <w:t>fixing of the auditors’</w:t>
            </w:r>
          </w:p>
        </w:tc>
        <w:tc>
          <w:tcPr>
            <w:tcW w:w="25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vMerge w:val="continue"/>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remuneration</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45,084,310</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4,796,085</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149,591</w:t>
            </w:r>
          </w:p>
        </w:tc>
        <w:tc>
          <w:tcPr>
            <w:tcW w:w="0" w:type="dxa"/>
            <w:vAlign w:val="bottom"/>
          </w:tcPr>
          <w:p>
            <w:pPr>
              <w:spacing w:after="0"/>
              <w:rPr>
                <w:sz w:val="1"/>
                <w:szCs w:val="1"/>
                <w:color w:val="auto"/>
              </w:rPr>
            </w:pPr>
          </w:p>
        </w:tc>
      </w:tr>
      <w:tr>
        <w:trPr>
          <w:trHeight w:val="137"/>
        </w:trPr>
        <w:tc>
          <w:tcPr>
            <w:tcW w:w="218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4**</w:t>
            </w: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0"/>
              </w:rPr>
              <w:t>To authorise the</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180" w:type="dxa"/>
            <w:vAlign w:val="bottom"/>
            <w:vMerge w:val="continue"/>
          </w:tcPr>
          <w:p>
            <w:pPr>
              <w:spacing w:after="0"/>
              <w:rPr>
                <w:sz w:val="12"/>
                <w:szCs w:val="12"/>
                <w:color w:val="auto"/>
              </w:rPr>
            </w:pPr>
          </w:p>
        </w:tc>
        <w:tc>
          <w:tcPr>
            <w:tcW w:w="1960" w:type="dxa"/>
            <w:vAlign w:val="bottom"/>
          </w:tcPr>
          <w:p>
            <w:pPr>
              <w:jc w:val="center"/>
              <w:spacing w:after="0" w:line="149" w:lineRule="exact"/>
              <w:rPr>
                <w:sz w:val="20"/>
                <w:szCs w:val="20"/>
                <w:color w:val="auto"/>
              </w:rPr>
            </w:pPr>
            <w:r>
              <w:rPr>
                <w:rFonts w:ascii="Arial" w:cs="Arial" w:eastAsia="Arial" w:hAnsi="Arial"/>
                <w:sz w:val="14"/>
                <w:szCs w:val="14"/>
                <w:color w:val="auto"/>
                <w:w w:val="95"/>
              </w:rPr>
              <w:t>Company to allot</w:t>
            </w:r>
          </w:p>
        </w:tc>
        <w:tc>
          <w:tcPr>
            <w:tcW w:w="25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5"/>
              </w:rPr>
              <w:t>shares</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48,491,411</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1,379,197</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159,378</w:t>
            </w:r>
          </w:p>
        </w:tc>
        <w:tc>
          <w:tcPr>
            <w:tcW w:w="0" w:type="dxa"/>
            <w:vAlign w:val="bottom"/>
          </w:tcPr>
          <w:p>
            <w:pPr>
              <w:spacing w:after="0"/>
              <w:rPr>
                <w:sz w:val="1"/>
                <w:szCs w:val="1"/>
                <w:color w:val="auto"/>
              </w:rPr>
            </w:pPr>
          </w:p>
        </w:tc>
      </w:tr>
      <w:tr>
        <w:trPr>
          <w:trHeight w:val="137"/>
        </w:trPr>
        <w:tc>
          <w:tcPr>
            <w:tcW w:w="218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5**</w:t>
            </w: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4"/>
              </w:rPr>
              <w:t>To disapply</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180" w:type="dxa"/>
            <w:vAlign w:val="bottom"/>
            <w:vMerge w:val="continue"/>
          </w:tcPr>
          <w:p>
            <w:pPr>
              <w:spacing w:after="0"/>
              <w:rPr>
                <w:sz w:val="8"/>
                <w:szCs w:val="8"/>
                <w:color w:val="auto"/>
              </w:rPr>
            </w:pPr>
          </w:p>
        </w:tc>
        <w:tc>
          <w:tcPr>
            <w:tcW w:w="1960" w:type="dxa"/>
            <w:vAlign w:val="bottom"/>
            <w:vMerge w:val="restart"/>
          </w:tcPr>
          <w:p>
            <w:pPr>
              <w:jc w:val="center"/>
              <w:spacing w:after="0"/>
              <w:rPr>
                <w:sz w:val="20"/>
                <w:szCs w:val="20"/>
                <w:color w:val="auto"/>
              </w:rPr>
            </w:pPr>
            <w:r>
              <w:rPr>
                <w:rFonts w:ascii="Arial" w:cs="Arial" w:eastAsia="Arial" w:hAnsi="Arial"/>
                <w:sz w:val="14"/>
                <w:szCs w:val="14"/>
                <w:color w:val="auto"/>
                <w:w w:val="95"/>
              </w:rPr>
              <w:t>pre-emption rights</w:t>
            </w:r>
          </w:p>
        </w:tc>
        <w:tc>
          <w:tcPr>
            <w:tcW w:w="2560" w:type="dxa"/>
            <w:vAlign w:val="bottom"/>
            <w:vMerge w:val="restart"/>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vMerge w:val="restart"/>
          </w:tcPr>
          <w:p>
            <w:pPr>
              <w:jc w:val="center"/>
              <w:ind w:left="8"/>
              <w:spacing w:after="0"/>
              <w:rPr>
                <w:sz w:val="20"/>
                <w:szCs w:val="20"/>
                <w:color w:val="auto"/>
              </w:rPr>
            </w:pPr>
            <w:r>
              <w:rPr>
                <w:rFonts w:ascii="Arial" w:cs="Arial" w:eastAsia="Arial" w:hAnsi="Arial"/>
                <w:sz w:val="14"/>
                <w:szCs w:val="14"/>
                <w:color w:val="auto"/>
                <w:w w:val="94"/>
              </w:rPr>
              <w:t>49,701,576</w:t>
            </w:r>
          </w:p>
        </w:tc>
        <w:tc>
          <w:tcPr>
            <w:tcW w:w="1660" w:type="dxa"/>
            <w:vAlign w:val="bottom"/>
            <w:vMerge w:val="restart"/>
          </w:tcPr>
          <w:p>
            <w:pPr>
              <w:jc w:val="center"/>
              <w:spacing w:after="0"/>
              <w:rPr>
                <w:sz w:val="20"/>
                <w:szCs w:val="20"/>
                <w:color w:val="auto"/>
              </w:rPr>
            </w:pPr>
            <w:r>
              <w:rPr>
                <w:rFonts w:ascii="Arial" w:cs="Arial" w:eastAsia="Arial" w:hAnsi="Arial"/>
                <w:sz w:val="14"/>
                <w:szCs w:val="14"/>
                <w:color w:val="auto"/>
                <w:w w:val="94"/>
              </w:rPr>
              <w:t>154,711</w:t>
            </w:r>
          </w:p>
        </w:tc>
        <w:tc>
          <w:tcPr>
            <w:tcW w:w="1760" w:type="dxa"/>
            <w:vAlign w:val="bottom"/>
            <w:vMerge w:val="restart"/>
          </w:tcPr>
          <w:p>
            <w:pPr>
              <w:jc w:val="center"/>
              <w:ind w:left="48"/>
              <w:spacing w:after="0"/>
              <w:rPr>
                <w:sz w:val="20"/>
                <w:szCs w:val="20"/>
                <w:color w:val="auto"/>
              </w:rPr>
            </w:pPr>
            <w:r>
              <w:rPr>
                <w:rFonts w:ascii="Arial" w:cs="Arial" w:eastAsia="Arial" w:hAnsi="Arial"/>
                <w:sz w:val="14"/>
                <w:szCs w:val="14"/>
                <w:color w:val="auto"/>
                <w:w w:val="94"/>
              </w:rPr>
              <w:t>173,699</w:t>
            </w:r>
          </w:p>
        </w:tc>
        <w:tc>
          <w:tcPr>
            <w:tcW w:w="0" w:type="dxa"/>
            <w:vAlign w:val="bottom"/>
          </w:tcPr>
          <w:p>
            <w:pPr>
              <w:spacing w:after="0"/>
              <w:rPr>
                <w:sz w:val="1"/>
                <w:szCs w:val="1"/>
                <w:color w:val="auto"/>
              </w:rPr>
            </w:pPr>
          </w:p>
        </w:tc>
      </w:tr>
      <w:tr>
        <w:trPr>
          <w:trHeight w:val="80"/>
        </w:trPr>
        <w:tc>
          <w:tcPr>
            <w:tcW w:w="2180" w:type="dxa"/>
            <w:vAlign w:val="bottom"/>
            <w:tcBorders>
              <w:bottom w:val="single" w:sz="8" w:color="auto"/>
            </w:tcBorders>
          </w:tcPr>
          <w:p>
            <w:pPr>
              <w:spacing w:after="0"/>
              <w:rPr>
                <w:sz w:val="6"/>
                <w:szCs w:val="6"/>
                <w:color w:val="auto"/>
              </w:rPr>
            </w:pPr>
          </w:p>
        </w:tc>
        <w:tc>
          <w:tcPr>
            <w:tcW w:w="1960" w:type="dxa"/>
            <w:vAlign w:val="bottom"/>
            <w:tcBorders>
              <w:bottom w:val="single" w:sz="8" w:color="auto"/>
            </w:tcBorders>
            <w:vMerge w:val="continue"/>
          </w:tcPr>
          <w:p>
            <w:pPr>
              <w:spacing w:after="0"/>
              <w:rPr>
                <w:sz w:val="6"/>
                <w:szCs w:val="6"/>
                <w:color w:val="auto"/>
              </w:rPr>
            </w:pPr>
          </w:p>
        </w:tc>
        <w:tc>
          <w:tcPr>
            <w:tcW w:w="2560" w:type="dxa"/>
            <w:vAlign w:val="bottom"/>
            <w:tcBorders>
              <w:bottom w:val="single" w:sz="8" w:color="auto"/>
            </w:tcBorders>
            <w:vMerge w:val="continue"/>
          </w:tcPr>
          <w:p>
            <w:pPr>
              <w:spacing w:after="0"/>
              <w:rPr>
                <w:sz w:val="6"/>
                <w:szCs w:val="6"/>
                <w:color w:val="auto"/>
              </w:rPr>
            </w:pPr>
          </w:p>
        </w:tc>
        <w:tc>
          <w:tcPr>
            <w:tcW w:w="1300" w:type="dxa"/>
            <w:vAlign w:val="bottom"/>
            <w:tcBorders>
              <w:bottom w:val="single" w:sz="8" w:color="auto"/>
            </w:tcBorders>
            <w:vMerge w:val="continue"/>
          </w:tcPr>
          <w:p>
            <w:pPr>
              <w:spacing w:after="0"/>
              <w:rPr>
                <w:sz w:val="6"/>
                <w:szCs w:val="6"/>
                <w:color w:val="auto"/>
              </w:rPr>
            </w:pPr>
          </w:p>
        </w:tc>
        <w:tc>
          <w:tcPr>
            <w:tcW w:w="1660" w:type="dxa"/>
            <w:vAlign w:val="bottom"/>
            <w:tcBorders>
              <w:bottom w:val="single" w:sz="8" w:color="auto"/>
            </w:tcBorders>
            <w:vMerge w:val="continue"/>
          </w:tcPr>
          <w:p>
            <w:pPr>
              <w:spacing w:after="0"/>
              <w:rPr>
                <w:sz w:val="6"/>
                <w:szCs w:val="6"/>
                <w:color w:val="auto"/>
              </w:rPr>
            </w:pPr>
          </w:p>
        </w:tc>
        <w:tc>
          <w:tcPr>
            <w:tcW w:w="176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2180" w:type="dxa"/>
            <w:vAlign w:val="bottom"/>
          </w:tcPr>
          <w:p>
            <w:pPr>
              <w:spacing w:after="0"/>
              <w:rPr>
                <w:sz w:val="11"/>
                <w:szCs w:val="11"/>
                <w:color w:val="auto"/>
              </w:rPr>
            </w:pP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0"/>
              </w:rPr>
              <w:t>To authorise the</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18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6**</w:t>
            </w:r>
          </w:p>
        </w:tc>
        <w:tc>
          <w:tcPr>
            <w:tcW w:w="1960" w:type="dxa"/>
            <w:vAlign w:val="bottom"/>
          </w:tcPr>
          <w:p>
            <w:pPr>
              <w:jc w:val="center"/>
              <w:spacing w:after="0" w:line="149" w:lineRule="exact"/>
              <w:rPr>
                <w:sz w:val="20"/>
                <w:szCs w:val="20"/>
                <w:color w:val="auto"/>
              </w:rPr>
            </w:pPr>
            <w:r>
              <w:rPr>
                <w:rFonts w:ascii="Arial" w:cs="Arial" w:eastAsia="Arial" w:hAnsi="Arial"/>
                <w:sz w:val="14"/>
                <w:szCs w:val="14"/>
                <w:color w:val="auto"/>
                <w:w w:val="91"/>
              </w:rPr>
              <w:t>Company to make</w:t>
            </w:r>
          </w:p>
        </w:tc>
        <w:tc>
          <w:tcPr>
            <w:tcW w:w="25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2180" w:type="dxa"/>
            <w:vAlign w:val="bottom"/>
            <w:vMerge w:val="continue"/>
          </w:tcPr>
          <w:p>
            <w:pPr>
              <w:spacing w:after="0"/>
              <w:rPr>
                <w:sz w:val="8"/>
                <w:szCs w:val="8"/>
                <w:color w:val="auto"/>
              </w:rPr>
            </w:pPr>
          </w:p>
        </w:tc>
        <w:tc>
          <w:tcPr>
            <w:tcW w:w="1960" w:type="dxa"/>
            <w:vAlign w:val="bottom"/>
            <w:vMerge w:val="restart"/>
          </w:tcPr>
          <w:p>
            <w:pPr>
              <w:jc w:val="center"/>
              <w:spacing w:after="0" w:line="149" w:lineRule="exact"/>
              <w:rPr>
                <w:sz w:val="20"/>
                <w:szCs w:val="20"/>
                <w:color w:val="auto"/>
              </w:rPr>
            </w:pPr>
            <w:r>
              <w:rPr>
                <w:rFonts w:ascii="Arial" w:cs="Arial" w:eastAsia="Arial" w:hAnsi="Arial"/>
                <w:sz w:val="14"/>
                <w:szCs w:val="14"/>
                <w:color w:val="auto"/>
                <w:w w:val="91"/>
              </w:rPr>
              <w:t>market purchases of</w:t>
            </w:r>
          </w:p>
        </w:tc>
        <w:tc>
          <w:tcPr>
            <w:tcW w:w="2560" w:type="dxa"/>
            <w:vAlign w:val="bottom"/>
          </w:tcPr>
          <w:p>
            <w:pPr>
              <w:spacing w:after="0"/>
              <w:rPr>
                <w:sz w:val="8"/>
                <w:szCs w:val="8"/>
                <w:color w:val="auto"/>
              </w:rPr>
            </w:pPr>
          </w:p>
        </w:tc>
        <w:tc>
          <w:tcPr>
            <w:tcW w:w="1300" w:type="dxa"/>
            <w:vAlign w:val="bottom"/>
          </w:tcPr>
          <w:p>
            <w:pPr>
              <w:spacing w:after="0"/>
              <w:rPr>
                <w:sz w:val="8"/>
                <w:szCs w:val="8"/>
                <w:color w:val="auto"/>
              </w:rPr>
            </w:pPr>
          </w:p>
        </w:tc>
        <w:tc>
          <w:tcPr>
            <w:tcW w:w="1660" w:type="dxa"/>
            <w:vAlign w:val="bottom"/>
          </w:tcPr>
          <w:p>
            <w:pPr>
              <w:spacing w:after="0"/>
              <w:rPr>
                <w:sz w:val="8"/>
                <w:szCs w:val="8"/>
                <w:color w:val="auto"/>
              </w:rPr>
            </w:pPr>
          </w:p>
        </w:tc>
        <w:tc>
          <w:tcPr>
            <w:tcW w:w="1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2180" w:type="dxa"/>
            <w:vAlign w:val="bottom"/>
          </w:tcPr>
          <w:p>
            <w:pPr>
              <w:spacing w:after="0"/>
              <w:rPr>
                <w:sz w:val="4"/>
                <w:szCs w:val="4"/>
                <w:color w:val="auto"/>
              </w:rPr>
            </w:pPr>
          </w:p>
        </w:tc>
        <w:tc>
          <w:tcPr>
            <w:tcW w:w="1960" w:type="dxa"/>
            <w:vAlign w:val="bottom"/>
            <w:vMerge w:val="continue"/>
          </w:tcPr>
          <w:p>
            <w:pPr>
              <w:spacing w:after="0"/>
              <w:rPr>
                <w:sz w:val="4"/>
                <w:szCs w:val="4"/>
                <w:color w:val="auto"/>
              </w:rPr>
            </w:pPr>
          </w:p>
        </w:tc>
        <w:tc>
          <w:tcPr>
            <w:tcW w:w="256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660" w:type="dxa"/>
            <w:vAlign w:val="bottom"/>
          </w:tcPr>
          <w:p>
            <w:pPr>
              <w:spacing w:after="0"/>
              <w:rPr>
                <w:sz w:val="4"/>
                <w:szCs w:val="4"/>
                <w:color w:val="auto"/>
              </w:rPr>
            </w:pPr>
          </w:p>
        </w:tc>
        <w:tc>
          <w:tcPr>
            <w:tcW w:w="1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5"/>
              </w:rPr>
              <w:t>shares</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49,004,400</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149,069</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876,517</w:t>
            </w:r>
          </w:p>
        </w:tc>
        <w:tc>
          <w:tcPr>
            <w:tcW w:w="0" w:type="dxa"/>
            <w:vAlign w:val="bottom"/>
          </w:tcPr>
          <w:p>
            <w:pPr>
              <w:spacing w:after="0"/>
              <w:rPr>
                <w:sz w:val="1"/>
                <w:szCs w:val="1"/>
                <w:color w:val="auto"/>
              </w:rPr>
            </w:pPr>
          </w:p>
        </w:tc>
      </w:tr>
      <w:tr>
        <w:trPr>
          <w:trHeight w:val="137"/>
        </w:trPr>
        <w:tc>
          <w:tcPr>
            <w:tcW w:w="2180" w:type="dxa"/>
            <w:vAlign w:val="bottom"/>
          </w:tcPr>
          <w:p>
            <w:pPr>
              <w:spacing w:after="0"/>
              <w:rPr>
                <w:sz w:val="11"/>
                <w:szCs w:val="11"/>
                <w:color w:val="auto"/>
              </w:rPr>
            </w:pPr>
          </w:p>
        </w:tc>
        <w:tc>
          <w:tcPr>
            <w:tcW w:w="1960" w:type="dxa"/>
            <w:vAlign w:val="bottom"/>
          </w:tcPr>
          <w:p>
            <w:pPr>
              <w:jc w:val="center"/>
              <w:spacing w:after="0" w:line="137" w:lineRule="exact"/>
              <w:rPr>
                <w:sz w:val="20"/>
                <w:szCs w:val="20"/>
                <w:color w:val="auto"/>
              </w:rPr>
            </w:pPr>
            <w:r>
              <w:rPr>
                <w:rFonts w:ascii="Arial" w:cs="Arial" w:eastAsia="Arial" w:hAnsi="Arial"/>
                <w:sz w:val="14"/>
                <w:szCs w:val="14"/>
                <w:color w:val="auto"/>
                <w:w w:val="91"/>
              </w:rPr>
              <w:t>To authorise the price</w:t>
            </w:r>
          </w:p>
        </w:tc>
        <w:tc>
          <w:tcPr>
            <w:tcW w:w="25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180" w:type="dxa"/>
            <w:vAlign w:val="bottom"/>
          </w:tcPr>
          <w:p>
            <w:pPr>
              <w:spacing w:after="0"/>
              <w:rPr>
                <w:sz w:val="12"/>
                <w:szCs w:val="12"/>
                <w:color w:val="auto"/>
              </w:rPr>
            </w:pPr>
          </w:p>
        </w:tc>
        <w:tc>
          <w:tcPr>
            <w:tcW w:w="1960" w:type="dxa"/>
            <w:vAlign w:val="bottom"/>
          </w:tcPr>
          <w:p>
            <w:pPr>
              <w:jc w:val="center"/>
              <w:spacing w:after="0" w:line="149" w:lineRule="exact"/>
              <w:rPr>
                <w:sz w:val="20"/>
                <w:szCs w:val="20"/>
                <w:color w:val="auto"/>
              </w:rPr>
            </w:pPr>
            <w:r>
              <w:rPr>
                <w:rFonts w:ascii="Arial" w:cs="Arial" w:eastAsia="Arial" w:hAnsi="Arial"/>
                <w:sz w:val="14"/>
                <w:szCs w:val="14"/>
                <w:color w:val="auto"/>
                <w:w w:val="92"/>
              </w:rPr>
              <w:t>range at which the</w:t>
            </w:r>
          </w:p>
        </w:tc>
        <w:tc>
          <w:tcPr>
            <w:tcW w:w="25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18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7**</w:t>
            </w:r>
          </w:p>
        </w:tc>
        <w:tc>
          <w:tcPr>
            <w:tcW w:w="1960" w:type="dxa"/>
            <w:vAlign w:val="bottom"/>
          </w:tcPr>
          <w:p>
            <w:pPr>
              <w:jc w:val="center"/>
              <w:spacing w:after="0" w:line="149" w:lineRule="exact"/>
              <w:rPr>
                <w:sz w:val="20"/>
                <w:szCs w:val="20"/>
                <w:color w:val="auto"/>
              </w:rPr>
            </w:pPr>
            <w:r>
              <w:rPr>
                <w:rFonts w:ascii="Arial" w:cs="Arial" w:eastAsia="Arial" w:hAnsi="Arial"/>
                <w:sz w:val="14"/>
                <w:szCs w:val="14"/>
                <w:color w:val="auto"/>
                <w:w w:val="92"/>
              </w:rPr>
              <w:t>Company can</w:t>
            </w:r>
          </w:p>
        </w:tc>
        <w:tc>
          <w:tcPr>
            <w:tcW w:w="25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2180" w:type="dxa"/>
            <w:vAlign w:val="bottom"/>
            <w:vMerge w:val="continue"/>
          </w:tcPr>
          <w:p>
            <w:pPr>
              <w:spacing w:after="0"/>
              <w:rPr>
                <w:sz w:val="8"/>
                <w:szCs w:val="8"/>
                <w:color w:val="auto"/>
              </w:rPr>
            </w:pPr>
          </w:p>
        </w:tc>
        <w:tc>
          <w:tcPr>
            <w:tcW w:w="1960" w:type="dxa"/>
            <w:vAlign w:val="bottom"/>
            <w:vMerge w:val="restart"/>
          </w:tcPr>
          <w:p>
            <w:pPr>
              <w:jc w:val="center"/>
              <w:spacing w:after="0" w:line="149" w:lineRule="exact"/>
              <w:rPr>
                <w:sz w:val="20"/>
                <w:szCs w:val="20"/>
                <w:color w:val="auto"/>
              </w:rPr>
            </w:pPr>
            <w:r>
              <w:rPr>
                <w:rFonts w:ascii="Arial" w:cs="Arial" w:eastAsia="Arial" w:hAnsi="Arial"/>
                <w:sz w:val="14"/>
                <w:szCs w:val="14"/>
                <w:color w:val="auto"/>
                <w:w w:val="90"/>
              </w:rPr>
              <w:t>reissue shares it</w:t>
            </w:r>
          </w:p>
        </w:tc>
        <w:tc>
          <w:tcPr>
            <w:tcW w:w="2560" w:type="dxa"/>
            <w:vAlign w:val="bottom"/>
          </w:tcPr>
          <w:p>
            <w:pPr>
              <w:spacing w:after="0"/>
              <w:rPr>
                <w:sz w:val="8"/>
                <w:szCs w:val="8"/>
                <w:color w:val="auto"/>
              </w:rPr>
            </w:pPr>
          </w:p>
        </w:tc>
        <w:tc>
          <w:tcPr>
            <w:tcW w:w="1300" w:type="dxa"/>
            <w:vAlign w:val="bottom"/>
          </w:tcPr>
          <w:p>
            <w:pPr>
              <w:spacing w:after="0"/>
              <w:rPr>
                <w:sz w:val="8"/>
                <w:szCs w:val="8"/>
                <w:color w:val="auto"/>
              </w:rPr>
            </w:pPr>
          </w:p>
        </w:tc>
        <w:tc>
          <w:tcPr>
            <w:tcW w:w="1660" w:type="dxa"/>
            <w:vAlign w:val="bottom"/>
          </w:tcPr>
          <w:p>
            <w:pPr>
              <w:spacing w:after="0"/>
              <w:rPr>
                <w:sz w:val="8"/>
                <w:szCs w:val="8"/>
                <w:color w:val="auto"/>
              </w:rPr>
            </w:pPr>
          </w:p>
        </w:tc>
        <w:tc>
          <w:tcPr>
            <w:tcW w:w="1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2180" w:type="dxa"/>
            <w:vAlign w:val="bottom"/>
          </w:tcPr>
          <w:p>
            <w:pPr>
              <w:spacing w:after="0"/>
              <w:rPr>
                <w:sz w:val="4"/>
                <w:szCs w:val="4"/>
                <w:color w:val="auto"/>
              </w:rPr>
            </w:pPr>
          </w:p>
        </w:tc>
        <w:tc>
          <w:tcPr>
            <w:tcW w:w="1960" w:type="dxa"/>
            <w:vAlign w:val="bottom"/>
            <w:vMerge w:val="continue"/>
          </w:tcPr>
          <w:p>
            <w:pPr>
              <w:spacing w:after="0"/>
              <w:rPr>
                <w:sz w:val="4"/>
                <w:szCs w:val="4"/>
                <w:color w:val="auto"/>
              </w:rPr>
            </w:pPr>
          </w:p>
        </w:tc>
        <w:tc>
          <w:tcPr>
            <w:tcW w:w="256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660" w:type="dxa"/>
            <w:vAlign w:val="bottom"/>
          </w:tcPr>
          <w:p>
            <w:pPr>
              <w:spacing w:after="0"/>
              <w:rPr>
                <w:sz w:val="4"/>
                <w:szCs w:val="4"/>
                <w:color w:val="auto"/>
              </w:rPr>
            </w:pPr>
          </w:p>
        </w:tc>
        <w:tc>
          <w:tcPr>
            <w:tcW w:w="1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2180" w:type="dxa"/>
            <w:vAlign w:val="bottom"/>
          </w:tcPr>
          <w:p>
            <w:pPr>
              <w:spacing w:after="0"/>
              <w:rPr>
                <w:sz w:val="12"/>
                <w:szCs w:val="12"/>
                <w:color w:val="auto"/>
              </w:rPr>
            </w:pPr>
          </w:p>
        </w:tc>
        <w:tc>
          <w:tcPr>
            <w:tcW w:w="1960" w:type="dxa"/>
            <w:vAlign w:val="bottom"/>
          </w:tcPr>
          <w:p>
            <w:pPr>
              <w:jc w:val="center"/>
              <w:spacing w:after="0" w:line="149" w:lineRule="exact"/>
              <w:rPr>
                <w:sz w:val="20"/>
                <w:szCs w:val="20"/>
                <w:color w:val="auto"/>
              </w:rPr>
            </w:pPr>
            <w:r>
              <w:rPr>
                <w:rFonts w:ascii="Arial" w:cs="Arial" w:eastAsia="Arial" w:hAnsi="Arial"/>
                <w:sz w:val="14"/>
                <w:szCs w:val="14"/>
                <w:color w:val="auto"/>
                <w:w w:val="90"/>
              </w:rPr>
              <w:t>holds as treasury</w:t>
            </w:r>
          </w:p>
        </w:tc>
        <w:tc>
          <w:tcPr>
            <w:tcW w:w="25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218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5"/>
              </w:rPr>
              <w:t>shares</w:t>
            </w: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50,029,986</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49,842,211</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27,891</w:t>
            </w:r>
          </w:p>
        </w:tc>
        <w:tc>
          <w:tcPr>
            <w:tcW w:w="1760" w:type="dxa"/>
            <w:vAlign w:val="bottom"/>
            <w:tcBorders>
              <w:bottom w:val="single" w:sz="8" w:color="auto"/>
            </w:tcBorders>
          </w:tcPr>
          <w:p>
            <w:pPr>
              <w:jc w:val="center"/>
              <w:ind w:left="48"/>
              <w:spacing w:after="0"/>
              <w:rPr>
                <w:sz w:val="20"/>
                <w:szCs w:val="20"/>
                <w:color w:val="auto"/>
              </w:rPr>
            </w:pPr>
            <w:r>
              <w:rPr>
                <w:rFonts w:ascii="Arial" w:cs="Arial" w:eastAsia="Arial" w:hAnsi="Arial"/>
                <w:sz w:val="14"/>
                <w:szCs w:val="14"/>
                <w:color w:val="auto"/>
                <w:w w:val="94"/>
              </w:rPr>
              <w:t>159,884</w:t>
            </w:r>
          </w:p>
        </w:tc>
        <w:tc>
          <w:tcPr>
            <w:tcW w:w="0" w:type="dxa"/>
            <w:vAlign w:val="bottom"/>
          </w:tcPr>
          <w:p>
            <w:pPr>
              <w:spacing w:after="0"/>
              <w:rPr>
                <w:sz w:val="1"/>
                <w:szCs w:val="1"/>
                <w:color w:val="auto"/>
              </w:rPr>
            </w:pPr>
          </w:p>
        </w:tc>
      </w:tr>
      <w:tr>
        <w:trPr>
          <w:trHeight w:val="304"/>
        </w:trPr>
        <w:tc>
          <w:tcPr>
            <w:tcW w:w="2180" w:type="dxa"/>
            <w:vAlign w:val="bottom"/>
            <w:tcBorders>
              <w:bottom w:val="single" w:sz="8" w:color="9A9A9A"/>
            </w:tcBorders>
          </w:tcPr>
          <w:p>
            <w:pPr>
              <w:spacing w:after="0"/>
              <w:rPr>
                <w:sz w:val="24"/>
                <w:szCs w:val="24"/>
                <w:color w:val="auto"/>
              </w:rPr>
            </w:pPr>
          </w:p>
        </w:tc>
        <w:tc>
          <w:tcPr>
            <w:tcW w:w="1960" w:type="dxa"/>
            <w:vAlign w:val="bottom"/>
            <w:tcBorders>
              <w:bottom w:val="single" w:sz="8" w:color="9A9A9A"/>
            </w:tcBorders>
          </w:tcPr>
          <w:p>
            <w:pPr>
              <w:spacing w:after="0"/>
              <w:rPr>
                <w:sz w:val="24"/>
                <w:szCs w:val="24"/>
                <w:color w:val="auto"/>
              </w:rPr>
            </w:pPr>
          </w:p>
        </w:tc>
        <w:tc>
          <w:tcPr>
            <w:tcW w:w="256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660" w:type="dxa"/>
            <w:vAlign w:val="bottom"/>
            <w:tcBorders>
              <w:bottom w:val="single" w:sz="8" w:color="9A9A9A"/>
            </w:tcBorders>
          </w:tcPr>
          <w:p>
            <w:pPr>
              <w:spacing w:after="0"/>
              <w:rPr>
                <w:sz w:val="24"/>
                <w:szCs w:val="24"/>
                <w:color w:val="auto"/>
              </w:rPr>
            </w:pPr>
          </w:p>
        </w:tc>
        <w:tc>
          <w:tcPr>
            <w:tcW w:w="17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180" w:type="dxa"/>
            <w:vAlign w:val="bottom"/>
            <w:tcBorders>
              <w:bottom w:val="single" w:sz="8" w:color="EEEEEE"/>
            </w:tcBorders>
          </w:tcPr>
          <w:p>
            <w:pPr>
              <w:spacing w:after="0" w:line="20" w:lineRule="exact"/>
              <w:rPr>
                <w:sz w:val="1"/>
                <w:szCs w:val="1"/>
                <w:color w:val="auto"/>
              </w:rPr>
            </w:pPr>
          </w:p>
        </w:tc>
        <w:tc>
          <w:tcPr>
            <w:tcW w:w="1960" w:type="dxa"/>
            <w:vAlign w:val="bottom"/>
            <w:tcBorders>
              <w:bottom w:val="single" w:sz="8" w:color="EEEEEE"/>
            </w:tcBorders>
          </w:tcPr>
          <w:p>
            <w:pPr>
              <w:spacing w:after="0" w:line="20" w:lineRule="exact"/>
              <w:rPr>
                <w:sz w:val="1"/>
                <w:szCs w:val="1"/>
                <w:color w:val="auto"/>
              </w:rPr>
            </w:pPr>
          </w:p>
        </w:tc>
        <w:tc>
          <w:tcPr>
            <w:tcW w:w="2560" w:type="dxa"/>
            <w:vAlign w:val="bottom"/>
            <w:tcBorders>
              <w:bottom w:val="single" w:sz="8" w:color="EEEEEE"/>
            </w:tcBorders>
          </w:tcPr>
          <w:p>
            <w:pPr>
              <w:spacing w:after="0" w:line="20" w:lineRule="exact"/>
              <w:rPr>
                <w:sz w:val="1"/>
                <w:szCs w:val="1"/>
                <w:color w:val="auto"/>
              </w:rPr>
            </w:pPr>
          </w:p>
        </w:tc>
        <w:tc>
          <w:tcPr>
            <w:tcW w:w="1300" w:type="dxa"/>
            <w:vAlign w:val="bottom"/>
            <w:tcBorders>
              <w:bottom w:val="single" w:sz="8" w:color="EEEEEE"/>
            </w:tcBorders>
          </w:tcPr>
          <w:p>
            <w:pPr>
              <w:spacing w:after="0" w:line="20" w:lineRule="exact"/>
              <w:rPr>
                <w:sz w:val="1"/>
                <w:szCs w:val="1"/>
                <w:color w:val="auto"/>
              </w:rPr>
            </w:pPr>
          </w:p>
        </w:tc>
        <w:tc>
          <w:tcPr>
            <w:tcW w:w="1660" w:type="dxa"/>
            <w:vAlign w:val="bottom"/>
            <w:tcBorders>
              <w:bottom w:val="single" w:sz="8" w:color="EEEEEE"/>
            </w:tcBorders>
          </w:tcPr>
          <w:p>
            <w:pPr>
              <w:spacing w:after="0" w:line="20" w:lineRule="exact"/>
              <w:rPr>
                <w:sz w:val="1"/>
                <w:szCs w:val="1"/>
                <w:color w:val="auto"/>
              </w:rPr>
            </w:pPr>
          </w:p>
        </w:tc>
        <w:tc>
          <w:tcPr>
            <w:tcW w:w="176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 Special Resolution. All resolutions are ordinary resolutions unless otherwise stated.</w:t>
      </w:r>
    </w:p>
    <w:p>
      <w:pPr>
        <w:spacing w:after="0" w:line="207"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5"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81 locations in 37 countries and has approximately 11,300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All at ICON</w:t>
      </w:r>
    </w:p>
    <w:p>
      <w:pPr>
        <w:spacing w:after="0" w:line="230" w:lineRule="auto"/>
        <w:rPr>
          <w:sz w:val="20"/>
          <w:szCs w:val="20"/>
          <w:color w:val="auto"/>
        </w:rPr>
      </w:pPr>
      <w:r>
        <w:rPr>
          <w:rFonts w:ascii="Arial" w:cs="Arial" w:eastAsia="Arial" w:hAnsi="Arial"/>
          <w:sz w:val="22"/>
          <w:szCs w:val="22"/>
          <w:color w:val="auto"/>
        </w:rPr>
        <w:t>Investor Relations, 1-888-381-7923</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Brendan Brennan, + 353 –1-291-2000</w:t>
      </w:r>
    </w:p>
    <w:p>
      <w:pPr>
        <w:spacing w:after="0" w:line="230" w:lineRule="auto"/>
        <w:rPr>
          <w:sz w:val="20"/>
          <w:szCs w:val="20"/>
          <w:color w:val="auto"/>
        </w:rPr>
      </w:pPr>
      <w:r>
        <w:rPr>
          <w:rFonts w:ascii="Arial" w:cs="Arial" w:eastAsia="Arial" w:hAnsi="Arial"/>
          <w:sz w:val="22"/>
          <w:szCs w:val="22"/>
          <w:color w:val="auto"/>
        </w:rPr>
        <w:t>Chief Financial Officer</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Simon Holmes, + 353 –1-291-2000</w:t>
      </w:r>
    </w:p>
    <w:p>
      <w:pPr>
        <w:spacing w:after="0"/>
        <w:rPr>
          <w:sz w:val="20"/>
          <w:szCs w:val="20"/>
          <w:color w:val="auto"/>
        </w:rPr>
      </w:pPr>
      <w:r>
        <w:rPr>
          <w:rFonts w:ascii="Arial" w:cs="Arial" w:eastAsia="Arial" w:hAnsi="Arial"/>
          <w:sz w:val="22"/>
          <w:szCs w:val="22"/>
          <w:color w:val="auto"/>
        </w:rPr>
        <w:t>EVP Investor Relations and Corporate Development</w:t>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2019-12-07T04:11:50Z</dcterms:created>
  <dcterms:modified xsi:type="dcterms:W3CDTF">2019-12-07T04:11:50Z</dcterms:modified>
</cp:coreProperties>
</file>