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SECURITIES AND EXCHANGE COMMISSION</w:t>
      </w:r>
    </w:p>
    <w:p>
      <w:pPr>
        <w:spacing w:after="0" w:line="282" w:lineRule="exact"/>
        <w:rPr>
          <w:sz w:val="24"/>
          <w:szCs w:val="24"/>
          <w:color w:val="auto"/>
        </w:rPr>
      </w:pPr>
    </w:p>
    <w:p>
      <w:pPr>
        <w:ind w:left="4720"/>
        <w:spacing w:after="0"/>
        <w:rPr>
          <w:sz w:val="20"/>
          <w:szCs w:val="20"/>
          <w:color w:val="auto"/>
        </w:rPr>
      </w:pPr>
      <w:r>
        <w:rPr>
          <w:rFonts w:ascii="Arial" w:cs="Arial" w:eastAsia="Arial" w:hAnsi="Arial"/>
          <w:sz w:val="16"/>
          <w:szCs w:val="16"/>
          <w:color w:val="auto"/>
        </w:rPr>
        <w:t>Washington, D.C. 20549</w:t>
      </w:r>
    </w:p>
    <w:p>
      <w:pPr>
        <w:spacing w:after="0" w:line="289" w:lineRule="exact"/>
        <w:rPr>
          <w:sz w:val="24"/>
          <w:szCs w:val="24"/>
          <w:color w:val="auto"/>
        </w:rPr>
      </w:pPr>
    </w:p>
    <w:p>
      <w:pPr>
        <w:ind w:left="5220"/>
        <w:spacing w:after="0"/>
        <w:rPr>
          <w:sz w:val="20"/>
          <w:szCs w:val="20"/>
          <w:color w:val="auto"/>
        </w:rPr>
      </w:pPr>
      <w:r>
        <w:rPr>
          <w:rFonts w:ascii="Arial" w:cs="Arial" w:eastAsia="Arial" w:hAnsi="Arial"/>
          <w:sz w:val="16"/>
          <w:szCs w:val="16"/>
          <w:b w:val="1"/>
          <w:bCs w:val="1"/>
          <w:color w:val="auto"/>
        </w:rPr>
        <w:t>FORM 6-K</w:t>
      </w:r>
    </w:p>
    <w:p>
      <w:pPr>
        <w:spacing w:after="0" w:line="275"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Report of Foreign Private Issuer</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318"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For the month of June 2025</w:t>
      </w:r>
    </w:p>
    <w:p>
      <w:pPr>
        <w:spacing w:after="0" w:line="200" w:lineRule="exact"/>
        <w:rPr>
          <w:sz w:val="24"/>
          <w:szCs w:val="24"/>
          <w:color w:val="auto"/>
        </w:rPr>
      </w:pPr>
    </w:p>
    <w:p>
      <w:pPr>
        <w:spacing w:after="0" w:line="332"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333-08704</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318"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ICON plc</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332"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32"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31" w:lineRule="exact"/>
        <w:rPr>
          <w:sz w:val="24"/>
          <w:szCs w:val="24"/>
          <w:color w:val="auto"/>
        </w:rPr>
      </w:pPr>
    </w:p>
    <w:p>
      <w:pPr>
        <w:ind w:left="4380"/>
        <w:spacing w:after="0"/>
        <w:tabs>
          <w:tab w:leader="none" w:pos="652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24"/>
          <w:szCs w:val="24"/>
          <w:color w:val="auto"/>
          <w:vertAlign w:val="subscript"/>
        </w:rPr>
        <w:t>Form 40-F______</w:t>
      </w:r>
    </w:p>
    <w:p>
      <w:pPr>
        <w:sectPr>
          <w:pgSz w:w="11900" w:h="16838" w:orient="portrait"/>
          <w:cols w:equalWidth="0" w:num="1">
            <w:col w:w="10119"/>
          </w:cols>
          <w:pgMar w:left="340" w:top="1259" w:right="1440" w:bottom="1440" w:gutter="0" w:footer="0" w:header="0"/>
        </w:sectPr>
      </w:pPr>
    </w:p>
    <w:bookmarkStart w:id="1" w:name="page2"/>
    <w:bookmarkEnd w:id="1"/>
    <w:p>
      <w:pPr>
        <w:spacing w:after="0"/>
        <w:tabs>
          <w:tab w:leader="none" w:pos="652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652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652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5080"/>
        <w:spacing w:after="0"/>
        <w:rPr>
          <w:sz w:val="20"/>
          <w:szCs w:val="20"/>
          <w:color w:val="auto"/>
        </w:rPr>
      </w:pPr>
      <w:r>
        <w:rPr>
          <w:rFonts w:ascii="Arial" w:cs="Arial" w:eastAsia="Arial" w:hAnsi="Arial"/>
          <w:sz w:val="16"/>
          <w:szCs w:val="16"/>
          <w:b w:val="1"/>
          <w:bCs w:val="1"/>
          <w:u w:val="single" w:color="auto"/>
          <w:color w:val="auto"/>
        </w:rPr>
        <w:t>EXHIBIT LIST</w:t>
      </w:r>
    </w:p>
    <w:p>
      <w:pPr>
        <w:spacing w:after="0" w:line="200" w:lineRule="exact"/>
        <w:rPr>
          <w:sz w:val="20"/>
          <w:szCs w:val="20"/>
          <w:color w:val="auto"/>
        </w:rPr>
      </w:pPr>
    </w:p>
    <w:p>
      <w:pPr>
        <w:spacing w:after="0" w:line="291"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auto"/>
        </w:rPr>
        <w:t>Exhibit</w:t>
      </w:r>
      <w:r>
        <w:rPr>
          <w:sz w:val="20"/>
          <w:szCs w:val="20"/>
          <w:color w:val="auto"/>
        </w:rPr>
        <w:tab/>
      </w:r>
      <w:r>
        <w:rPr>
          <w:rFonts w:ascii="Arial" w:cs="Arial" w:eastAsia="Arial" w:hAnsi="Arial"/>
          <w:sz w:val="16"/>
          <w:szCs w:val="16"/>
          <w:u w:val="single" w:color="auto"/>
          <w:color w:val="auto"/>
        </w:rPr>
        <w:t>Description</w:t>
      </w:r>
    </w:p>
    <w:p>
      <w:pPr>
        <w:spacing w:after="0" w:line="200" w:lineRule="exact"/>
        <w:rPr>
          <w:sz w:val="20"/>
          <w:szCs w:val="20"/>
          <w:color w:val="auto"/>
        </w:rPr>
      </w:pPr>
    </w:p>
    <w:p>
      <w:pPr>
        <w:spacing w:after="0" w:line="318"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0000FF"/>
        </w:rPr>
        <w:t>99.1</w:t>
      </w:r>
      <w:r>
        <w:rPr>
          <w:sz w:val="20"/>
          <w:szCs w:val="20"/>
          <w:color w:val="auto"/>
        </w:rPr>
        <w:tab/>
      </w:r>
      <w:r>
        <w:rPr>
          <w:rFonts w:ascii="Arial" w:cs="Arial" w:eastAsia="Arial" w:hAnsi="Arial"/>
          <w:sz w:val="16"/>
          <w:szCs w:val="16"/>
          <w:u w:val="single" w:color="auto"/>
          <w:color w:val="0000FF"/>
        </w:rPr>
        <w:t>ICON plc Schedules Second Quarter 2025 Earnings Conference Call</w:t>
      </w:r>
    </w:p>
    <w:p>
      <w:pPr>
        <w:sectPr>
          <w:pgSz w:w="11900" w:h="16838" w:orient="portrait"/>
          <w:cols w:equalWidth="0" w:num="1">
            <w:col w:w="10119"/>
          </w:cols>
          <w:pgMar w:left="340" w:top="89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ICON plc</w:t>
            </w:r>
          </w:p>
        </w:tc>
      </w:tr>
      <w:tr>
        <w:trPr>
          <w:trHeight w:val="717"/>
        </w:trPr>
        <w:tc>
          <w:tcPr>
            <w:tcW w:w="74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Nigel Clerkin</w:t>
            </w:r>
          </w:p>
        </w:tc>
      </w:tr>
      <w:tr>
        <w:trPr>
          <w:trHeight w:val="445"/>
        </w:trPr>
        <w:tc>
          <w:tcPr>
            <w:tcW w:w="7480" w:type="dxa"/>
            <w:vAlign w:val="bottom"/>
          </w:tcPr>
          <w:p>
            <w:pPr>
              <w:spacing w:after="0"/>
              <w:rPr>
                <w:sz w:val="20"/>
                <w:szCs w:val="20"/>
                <w:color w:val="auto"/>
              </w:rPr>
            </w:pPr>
            <w:r>
              <w:rPr>
                <w:rFonts w:ascii="Arial" w:cs="Arial" w:eastAsia="Arial" w:hAnsi="Arial"/>
                <w:sz w:val="16"/>
                <w:szCs w:val="16"/>
                <w:color w:val="auto"/>
              </w:rPr>
              <w:t>Date: June 23, 2025</w:t>
            </w:r>
          </w:p>
        </w:tc>
        <w:tc>
          <w:tcPr>
            <w:tcW w:w="3740" w:type="dxa"/>
            <w:vAlign w:val="bottom"/>
          </w:tcPr>
          <w:p>
            <w:pPr>
              <w:ind w:left="20"/>
              <w:spacing w:after="0"/>
              <w:rPr>
                <w:sz w:val="20"/>
                <w:szCs w:val="20"/>
                <w:color w:val="auto"/>
              </w:rPr>
            </w:pPr>
            <w:r>
              <w:rPr>
                <w:rFonts w:ascii="Arial" w:cs="Arial" w:eastAsia="Arial" w:hAnsi="Arial"/>
                <w:sz w:val="16"/>
                <w:szCs w:val="16"/>
                <w:color w:val="auto"/>
              </w:rPr>
              <w:t>Nigel Clerkin</w:t>
            </w:r>
          </w:p>
        </w:tc>
      </w:tr>
      <w:tr>
        <w:trPr>
          <w:trHeight w:val="215"/>
        </w:trPr>
        <w:tc>
          <w:tcPr>
            <w:tcW w:w="748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895"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387350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Schedules Second Quarter 2025 Earnings Conference Call</w:t>
      </w:r>
    </w:p>
    <w:p>
      <w:pPr>
        <w:spacing w:after="0" w:line="2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Dublin, Ireland, June 23, 2025 </w:t>
      </w:r>
      <w:r>
        <w:rPr>
          <w:rFonts w:ascii="Times New Roman" w:cs="Times New Roman" w:eastAsia="Times New Roman" w:hAnsi="Times New Roman"/>
          <w:sz w:val="18"/>
          <w:szCs w:val="18"/>
          <w:color w:val="auto"/>
        </w:rPr>
        <w:t>– ICON plc, (NASDAQ: ICLR) a world-leading clinical research organisation powered by healthcare intelligence,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will release its financial results for the second quarter 2025 after the market closes on Wednesday, July 23, 2025. The company will hold a conference call and webcast to discuss its financial results and performance on Thursday, July 24, 2025 at 8:00am ET.</w:t>
      </w:r>
    </w:p>
    <w:p>
      <w:pPr>
        <w:spacing w:after="0" w:line="2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Any changes to this event and links to the live webcast will be posted on the Investor section of our website under “Events”. A webcast replay of the conference call will be available approximately one hour following the conclusion of the call.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plc is a world-leading clinical research organisation powered by healthcare intelligence.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41,250 employees in 97 locations in 55 countries as at March 31, 2025. For further information about ICON, visit: www.iconplc.com.</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2025-06-23T06:37:03Z</dcterms:created>
  <dcterms:modified xsi:type="dcterms:W3CDTF">2025-06-23T06:37:03Z</dcterms:modified>
</cp:coreProperties>
</file>