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January,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January 5, 2016 - ICON secures Investment Grade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January 5,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Secures Investment Grade Credit Ratings</w:t>
      </w:r>
    </w:p>
    <w:p>
      <w:pPr>
        <w:spacing w:after="0" w:line="206"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DUBLIN--(BUSINESS WIRE)--January 5, 2016--</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that Moody's Investors Service has assigned ICON a corporate credit rating of Baa3 and Standard &amp; Poor’s, has assigned ICON a corporate credit rating of BBB-, both with a stable outlook.</w:t>
      </w:r>
    </w:p>
    <w:p>
      <w:pPr>
        <w:spacing w:after="0" w:line="187" w:lineRule="exact"/>
        <w:rPr>
          <w:sz w:val="20"/>
          <w:szCs w:val="20"/>
          <w:color w:val="auto"/>
        </w:rPr>
      </w:pPr>
    </w:p>
    <w:p>
      <w:pPr>
        <w:ind w:right="220"/>
        <w:spacing w:after="0" w:line="258" w:lineRule="auto"/>
        <w:rPr>
          <w:sz w:val="20"/>
          <w:szCs w:val="20"/>
          <w:color w:val="auto"/>
        </w:rPr>
      </w:pPr>
      <w:r>
        <w:rPr>
          <w:rFonts w:ascii="Arial" w:cs="Arial" w:eastAsia="Arial" w:hAnsi="Arial"/>
          <w:sz w:val="21"/>
          <w:szCs w:val="21"/>
          <w:color w:val="auto"/>
        </w:rPr>
        <w:t xml:space="preserve">Commenting on the investment grade ratings, Brendan Brennan, ICON’s Chief Financial Officer said: </w:t>
      </w:r>
      <w:r>
        <w:rPr>
          <w:rFonts w:ascii="Arial" w:cs="Arial" w:eastAsia="Arial" w:hAnsi="Arial"/>
          <w:sz w:val="21"/>
          <w:szCs w:val="21"/>
          <w:i w:val="1"/>
          <w:iCs w:val="1"/>
          <w:color w:val="auto"/>
        </w:rPr>
        <w:t>“We are delighted with the</w:t>
      </w:r>
      <w:r>
        <w:rPr>
          <w:rFonts w:ascii="Arial" w:cs="Arial" w:eastAsia="Arial" w:hAnsi="Arial"/>
          <w:sz w:val="21"/>
          <w:szCs w:val="21"/>
          <w:color w:val="auto"/>
        </w:rPr>
        <w:t xml:space="preserve"> </w:t>
      </w:r>
      <w:r>
        <w:rPr>
          <w:rFonts w:ascii="Arial" w:cs="Arial" w:eastAsia="Arial" w:hAnsi="Arial"/>
          <w:sz w:val="21"/>
          <w:szCs w:val="21"/>
          <w:i w:val="1"/>
          <w:iCs w:val="1"/>
          <w:color w:val="auto"/>
        </w:rPr>
        <w:t>investment grade credit ratings assigned by both rating agencies, which reflects the quality of ICON’s business, the strong track record of growth and profitability, high levels of cash generation, and very strong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89 locations in 38 countries and has approximately 11,900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 –1-291-2000</w:t>
      </w:r>
    </w:p>
    <w:p>
      <w:pPr>
        <w:spacing w:after="0"/>
        <w:rPr>
          <w:sz w:val="20"/>
          <w:szCs w:val="20"/>
          <w:color w:val="auto"/>
        </w:rPr>
      </w:pPr>
      <w:r>
        <w:rPr>
          <w:rFonts w:ascii="Arial" w:cs="Arial" w:eastAsia="Arial" w:hAnsi="Arial"/>
          <w:sz w:val="22"/>
          <w:szCs w:val="22"/>
          <w:color w:val="auto"/>
        </w:rPr>
        <w:t>EVP Investor Relations and Corporate Development</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2019-12-06T22:10:50Z</dcterms:created>
  <dcterms:modified xsi:type="dcterms:W3CDTF">2019-12-06T22:10:50Z</dcterms:modified>
</cp:coreProperties>
</file>