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6"/>
          <w:szCs w:val="16"/>
          <w:b w:val="1"/>
          <w:bCs w:val="1"/>
          <w:color w:val="auto"/>
        </w:rPr>
        <w:t>FORM 6-K</w:t>
      </w:r>
    </w:p>
    <w:p>
      <w:pPr>
        <w:spacing w:after="0" w:line="200"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SECURITIES AND EXCHANGE COMMISSION</w:t>
      </w:r>
    </w:p>
    <w:p>
      <w:pPr>
        <w:spacing w:after="0" w:line="22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Washington, D.C. 20549</w:t>
      </w:r>
    </w:p>
    <w:p>
      <w:pPr>
        <w:spacing w:after="0" w:line="220"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Pursuant to Rule 13a-16 under</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t</w:t>
      </w:r>
      <w:r>
        <w:rPr>
          <w:rFonts w:ascii="Arial" w:cs="Arial" w:eastAsia="Arial" w:hAnsi="Arial"/>
          <w:sz w:val="16"/>
          <w:szCs w:val="16"/>
          <w:b w:val="1"/>
          <w:bCs w:val="1"/>
          <w:color w:val="auto"/>
        </w:rPr>
        <w: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For the month ended June, 2017</w:t>
      </w:r>
    </w:p>
    <w:p>
      <w:pPr>
        <w:spacing w:after="0" w:line="200" w:lineRule="exact"/>
        <w:rPr>
          <w:sz w:val="24"/>
          <w:szCs w:val="24"/>
          <w:color w:val="auto"/>
        </w:rPr>
      </w:pPr>
    </w:p>
    <w:p>
      <w:pPr>
        <w:spacing w:after="0" w:line="237"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24"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333-08704</w:t>
      </w:r>
    </w:p>
    <w:p>
      <w:pPr>
        <w:spacing w:after="0" w:line="25" w:lineRule="exact"/>
        <w:rPr>
          <w:sz w:val="24"/>
          <w:szCs w:val="24"/>
          <w:color w:val="auto"/>
        </w:rPr>
      </w:pPr>
    </w:p>
    <w:p>
      <w:pPr>
        <w:jc w:val="center"/>
        <w:ind w:right="-4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2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2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Brendan Brennan, CFO</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Brendan.Brennan@iconplc.com</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00-353-1-291-2000</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6"/>
          <w:szCs w:val="16"/>
          <w:color w:val="auto"/>
        </w:rPr>
        <w:t>Yes___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2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2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186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040"/>
          </w:cols>
          <w:pgMar w:left="240" w:top="219" w:right="6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t>EXHIBIT LIST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986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400"/>
        </w:trPr>
        <w:tc>
          <w:tcPr>
            <w:tcW w:w="460" w:type="dxa"/>
            <w:vAlign w:val="bottom"/>
          </w:tcPr>
          <w:p>
            <w:pPr>
              <w:spacing w:after="0"/>
              <w:rPr>
                <w:sz w:val="20"/>
                <w:szCs w:val="20"/>
                <w:color w:val="auto"/>
              </w:rPr>
            </w:pPr>
            <w:r>
              <w:rPr>
                <w:rFonts w:ascii="Arial" w:cs="Arial" w:eastAsia="Arial" w:hAnsi="Arial"/>
                <w:sz w:val="16"/>
                <w:szCs w:val="16"/>
                <w:color w:val="auto"/>
              </w:rPr>
              <w:t>99.1</w:t>
            </w:r>
          </w:p>
        </w:tc>
        <w:tc>
          <w:tcPr>
            <w:tcW w:w="11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6"/>
                <w:szCs w:val="16"/>
                <w:color w:val="auto"/>
              </w:rPr>
              <w:t>Notice of Annual General Meeting</w:t>
            </w:r>
          </w:p>
        </w:tc>
      </w:tr>
      <w:tr>
        <w:trPr>
          <w:trHeight w:val="384"/>
        </w:trPr>
        <w:tc>
          <w:tcPr>
            <w:tcW w:w="460" w:type="dxa"/>
            <w:vAlign w:val="bottom"/>
          </w:tcPr>
          <w:p>
            <w:pPr>
              <w:spacing w:after="0"/>
              <w:rPr>
                <w:sz w:val="20"/>
                <w:szCs w:val="20"/>
                <w:color w:val="auto"/>
              </w:rPr>
            </w:pPr>
            <w:r>
              <w:rPr>
                <w:rFonts w:ascii="Arial" w:cs="Arial" w:eastAsia="Arial" w:hAnsi="Arial"/>
                <w:sz w:val="16"/>
                <w:szCs w:val="16"/>
                <w:color w:val="auto"/>
              </w:rPr>
              <w:t>99.2</w:t>
            </w:r>
          </w:p>
        </w:tc>
        <w:tc>
          <w:tcPr>
            <w:tcW w:w="11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6"/>
                <w:szCs w:val="16"/>
                <w:color w:val="auto"/>
              </w:rPr>
              <w:t>Proxy Card</w:t>
            </w:r>
          </w:p>
        </w:tc>
      </w:tr>
      <w:tr>
        <w:trPr>
          <w:trHeight w:val="384"/>
        </w:trPr>
        <w:tc>
          <w:tcPr>
            <w:tcW w:w="460" w:type="dxa"/>
            <w:vAlign w:val="bottom"/>
          </w:tcPr>
          <w:p>
            <w:pPr>
              <w:spacing w:after="0"/>
              <w:rPr>
                <w:sz w:val="20"/>
                <w:szCs w:val="20"/>
                <w:color w:val="auto"/>
              </w:rPr>
            </w:pPr>
            <w:r>
              <w:rPr>
                <w:rFonts w:ascii="Arial" w:cs="Arial" w:eastAsia="Arial" w:hAnsi="Arial"/>
                <w:sz w:val="16"/>
                <w:szCs w:val="16"/>
                <w:color w:val="auto"/>
              </w:rPr>
              <w:t>99.3</w:t>
            </w:r>
          </w:p>
        </w:tc>
        <w:tc>
          <w:tcPr>
            <w:tcW w:w="11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6"/>
                <w:szCs w:val="16"/>
                <w:color w:val="auto"/>
              </w:rPr>
              <w:t>ICON plc Annual Report</w:t>
            </w:r>
          </w:p>
        </w:tc>
      </w:tr>
      <w:tr>
        <w:trPr>
          <w:trHeight w:val="869"/>
        </w:trPr>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r>
        <w:trPr>
          <w:trHeight w:val="473"/>
        </w:trPr>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18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6"/>
                <w:szCs w:val="16"/>
                <w:b w:val="1"/>
                <w:bCs w:val="1"/>
                <w:color w:val="auto"/>
              </w:rPr>
              <w:t>ICON plc</w:t>
            </w:r>
          </w:p>
        </w:tc>
        <w:tc>
          <w:tcPr>
            <w:tcW w:w="0" w:type="dxa"/>
            <w:vAlign w:val="bottom"/>
          </w:tcPr>
          <w:p>
            <w:pPr>
              <w:spacing w:after="0"/>
              <w:rPr>
                <w:sz w:val="1"/>
                <w:szCs w:val="1"/>
                <w:color w:val="auto"/>
              </w:rPr>
            </w:pPr>
          </w:p>
        </w:tc>
      </w:tr>
      <w:tr>
        <w:trPr>
          <w:trHeight w:val="773"/>
        </w:trPr>
        <w:tc>
          <w:tcPr>
            <w:tcW w:w="7620" w:type="dxa"/>
            <w:vAlign w:val="bottom"/>
            <w:vMerge w:val="restart"/>
          </w:tcPr>
          <w:p>
            <w:pPr>
              <w:spacing w:after="0"/>
              <w:rPr>
                <w:sz w:val="20"/>
                <w:szCs w:val="20"/>
                <w:color w:val="auto"/>
              </w:rPr>
            </w:pPr>
            <w:r>
              <w:rPr>
                <w:rFonts w:ascii="Arial" w:cs="Arial" w:eastAsia="Arial" w:hAnsi="Arial"/>
                <w:sz w:val="16"/>
                <w:szCs w:val="16"/>
                <w:color w:val="auto"/>
              </w:rPr>
              <w:t>Date: June 23, 2017</w:t>
            </w: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Brendan Brennan</w:t>
            </w:r>
          </w:p>
        </w:tc>
        <w:tc>
          <w:tcPr>
            <w:tcW w:w="0" w:type="dxa"/>
            <w:vAlign w:val="bottom"/>
          </w:tcPr>
          <w:p>
            <w:pPr>
              <w:spacing w:after="0"/>
              <w:rPr>
                <w:sz w:val="1"/>
                <w:szCs w:val="1"/>
                <w:color w:val="auto"/>
              </w:rPr>
            </w:pPr>
          </w:p>
        </w:tc>
      </w:tr>
      <w:tr>
        <w:trPr>
          <w:trHeight w:val="180"/>
        </w:trPr>
        <w:tc>
          <w:tcPr>
            <w:tcW w:w="7620" w:type="dxa"/>
            <w:vAlign w:val="bottom"/>
            <w:vMerge w:val="continue"/>
          </w:tcPr>
          <w:p>
            <w:pPr>
              <w:spacing w:after="0"/>
              <w:rPr>
                <w:sz w:val="15"/>
                <w:szCs w:val="15"/>
                <w:color w:val="auto"/>
              </w:rPr>
            </w:pPr>
          </w:p>
        </w:tc>
        <w:tc>
          <w:tcPr>
            <w:tcW w:w="3820" w:type="dxa"/>
            <w:vAlign w:val="bottom"/>
          </w:tcPr>
          <w:p>
            <w:pPr>
              <w:spacing w:after="0" w:line="180" w:lineRule="exact"/>
              <w:rPr>
                <w:sz w:val="20"/>
                <w:szCs w:val="20"/>
                <w:color w:val="auto"/>
              </w:rPr>
            </w:pPr>
            <w:r>
              <w:rPr>
                <w:rFonts w:ascii="Arial" w:cs="Arial" w:eastAsia="Arial" w:hAnsi="Arial"/>
                <w:sz w:val="16"/>
                <w:szCs w:val="16"/>
                <w:color w:val="auto"/>
              </w:rPr>
              <w:t>Brendan Brennan</w:t>
            </w:r>
          </w:p>
        </w:tc>
        <w:tc>
          <w:tcPr>
            <w:tcW w:w="0" w:type="dxa"/>
            <w:vAlign w:val="bottom"/>
          </w:tcPr>
          <w:p>
            <w:pPr>
              <w:spacing w:after="0"/>
              <w:rPr>
                <w:sz w:val="1"/>
                <w:szCs w:val="1"/>
                <w:color w:val="auto"/>
              </w:rPr>
            </w:pPr>
          </w:p>
        </w:tc>
      </w:tr>
      <w:tr>
        <w:trPr>
          <w:trHeight w:val="205"/>
        </w:trPr>
        <w:tc>
          <w:tcPr>
            <w:tcW w:w="76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339"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25 July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829310</wp:posOffset>
            </wp:positionV>
            <wp:extent cx="2319020" cy="976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9020" cy="97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THIS DOCUMENT IS IMPORTANT AND REQUIRES YOUR IMMEDIATE ATTENTION.</w:t>
      </w:r>
    </w:p>
    <w:p>
      <w:pPr>
        <w:spacing w:after="0" w:line="22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r>
        <w:rPr>
          <w:rFonts w:ascii="Arial" w:cs="Arial" w:eastAsia="Arial" w:hAnsi="Arial"/>
          <w:sz w:val="15"/>
          <w:szCs w:val="15"/>
          <w:b w:val="1"/>
          <w:bCs w:val="1"/>
          <w:color w:val="auto"/>
        </w:rPr>
        <w:t>.</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color w:val="auto"/>
        </w:rPr>
        <w:t>23 June,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All ICON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GENERAL MEETING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22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The Annual General Meeting of ICON plc (the </w:t>
      </w:r>
      <w:r>
        <w:rPr>
          <w:rFonts w:ascii="Arial" w:cs="Arial" w:eastAsia="Arial" w:hAnsi="Arial"/>
          <w:sz w:val="16"/>
          <w:szCs w:val="16"/>
          <w:b w:val="1"/>
          <w:bCs w:val="1"/>
          <w:color w:val="auto"/>
        </w:rPr>
        <w:t>AGM</w:t>
      </w:r>
      <w:r>
        <w:rPr>
          <w:rFonts w:ascii="Arial" w:cs="Arial" w:eastAsia="Arial" w:hAnsi="Arial"/>
          <w:sz w:val="16"/>
          <w:szCs w:val="16"/>
          <w:color w:val="auto"/>
        </w:rPr>
        <w:t>) will be held at 9.00am (Dublin time) on 25 July 2017 at ICON’s global headquarters in South County Business Park, Leopardstown, Dublin 18, Ireland.</w:t>
      </w:r>
    </w:p>
    <w:p>
      <w:pPr>
        <w:sectPr>
          <w:pgSz w:w="11900" w:h="16838" w:orient="portrait"/>
          <w:cols w:equalWidth="0" w:num="1">
            <w:col w:w="11440"/>
          </w:cols>
          <w:pgMar w:left="240" w:top="120" w:right="2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this letter is to outline the background to and summarise the resolutions to be proposed at the AGM.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separately enclosed) and the notes on pages 8 to 9 for details on how to vote your shares and return your form of proxy.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pages 5 to 7 which sets out the matters to be considered at the AGM.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 w:hanging="23"/>
        <w:spacing w:after="0" w:line="351" w:lineRule="auto"/>
        <w:rPr>
          <w:sz w:val="20"/>
          <w:szCs w:val="20"/>
          <w:color w:val="auto"/>
        </w:rPr>
      </w:pPr>
      <w:r>
        <w:rPr>
          <w:rFonts w:ascii="Arial" w:cs="Arial" w:eastAsia="Arial" w:hAnsi="Arial"/>
          <w:sz w:val="14"/>
          <w:szCs w:val="14"/>
          <w:color w:val="auto"/>
        </w:rPr>
        <w:t>Please refer to the form of proxy for the AGM (which is Your attention is also drawn to the notice of the AGM on</w:t>
      </w:r>
    </w:p>
    <w:p>
      <w:pPr>
        <w:spacing w:after="0" w:line="309" w:lineRule="exact"/>
        <w:rPr>
          <w:sz w:val="20"/>
          <w:szCs w:val="20"/>
          <w:color w:val="auto"/>
        </w:rPr>
      </w:pPr>
    </w:p>
    <w:p>
      <w:pPr>
        <w:sectPr>
          <w:pgSz w:w="11900" w:h="16838" w:orient="portrait"/>
          <w:cols w:equalWidth="0" w:num="2">
            <w:col w:w="7680" w:space="80"/>
            <w:col w:w="3680"/>
          </w:cols>
          <w:pgMar w:left="240" w:top="120" w:right="2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Re-election of Directors (ordinary resolutions 1.1 to 1.4)</w:t>
      </w:r>
    </w:p>
    <w:p>
      <w:pPr>
        <w:spacing w:after="0" w:line="2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accordance with our Articles of Association (by-laws), one third of the Board who are subject to retirement by rotation shall retire from office and may stand for re-election at the AGM. Professor Dermot Kelleher, Professor Hugh Brady and Ms. Mary Pendergast will stand for re-election. Mr. Ronan Murphy, who was appointed since the 2016 Annual General Meeting, will also offer himself for re-election. Professor Dermot Kelleher, Professor Hugh Brady, Ms. Mary Pendergast and Mr. Ronan Murphy are all independent non-executive Directors (in accordance with NASDAQ rules).</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Directors is available from the Annual Report and/or Form 20-F at </w:t>
      </w:r>
      <w:r>
        <w:rPr>
          <w:rFonts w:ascii="Arial" w:cs="Arial" w:eastAsia="Arial" w:hAnsi="Arial"/>
          <w:sz w:val="16"/>
          <w:szCs w:val="16"/>
          <w:u w:val="single" w:color="auto"/>
          <w:color w:val="auto"/>
        </w:rPr>
        <w:t>http://investor.iconplc.com/annuals.cfm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ICON’s 2016 Accounts (ordinary resolution 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This resolution is to receive and consider ICON’s 2016 accounts which have been audited by KPMG, ICON’s independent auditors.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Remuneration of Auditors (ordinary resolution 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This resolution authorises the Directors to fix the remuneration of the auditors.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issue shares up to 20% of share capital (ordinary resolution 4)</w:t>
      </w:r>
    </w:p>
    <w:p>
      <w:pPr>
        <w:spacing w:after="0" w:line="25"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This resolution authorises the Directors to issue shares until the earlier of the next Annual General Meeting of the Company or 24 January 2019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u w:val="single" w:color="auto"/>
          <w:color w:val="auto"/>
        </w:rPr>
        <w:t>Authority to issue shares up to 5% of share capital without offering to existing shareholders, with an additional 5% for funding capital investment or acquisitions (special resolution 5 and special resolution 6)</w:t>
      </w:r>
    </w:p>
    <w:p>
      <w:pPr>
        <w:spacing w:after="0" w:line="172"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Resolution 5 authorises the Directors to issue shares for cash, subject to resolution 4, until the earlier of the next Annual General Meeting of the Company or 24 January 2019 up to an aggregate of 5% of the share capital of the Company without having to offer the shares to existing shareholders on a pro rata basis. Resolution 6 authorises the Directors to issue an additional 5%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5" w:name="page6"/>
    <w:bookmarkEnd w:id="5"/>
    <w:p>
      <w:pPr>
        <w:jc w:val="both"/>
        <w:ind w:right="20"/>
        <w:spacing w:after="0" w:line="312" w:lineRule="auto"/>
        <w:rPr>
          <w:sz w:val="20"/>
          <w:szCs w:val="20"/>
          <w:color w:val="auto"/>
        </w:rPr>
      </w:pPr>
      <w:r>
        <w:rPr>
          <w:rFonts w:ascii="Arial" w:cs="Arial" w:eastAsia="Arial" w:hAnsi="Arial"/>
          <w:sz w:val="15"/>
          <w:szCs w:val="15"/>
          <w:color w:val="auto"/>
        </w:rPr>
        <w:t>A resolution authorising the issuance of shares for cash without such offer round is a requirement of Irish law and there is no such requirement under the NASDAQ rules. As above, this year the authorities under these resolutions expire on the earlier of the next Annual General Meeting of the Company or 24 January 2019.</w:t>
      </w:r>
    </w:p>
    <w:p>
      <w:pPr>
        <w:spacing w:after="0" w:line="152"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The caps on resolutions 4, 5 and 6 are different but complementary and they give shareholders significant anti-dilution protection which is far in excess of the protection that the shareholders of numerous NASDAQ companies would have. Every year since the Company was listed (apart from 2014 as resolutions with 5 year authority were passed in 2013), the Directors have put resolutions to authorise the issue of shares and to disapply offer round to the shareholders and each such resolution has been passed.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buy back shares up to 10% of share capital (special resolution 7)</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This resolution authorises the Company to purchase in the market (buy-back) up to 10% of the outstanding shares in the Company. It is important both for the Company and shareholders that the Company has this flexibility to implement a buy-back (without having to seek further shareholder approval) if the market conditions favour a buy-back.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24 January 2019.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reissue shares held as treasury shares (special resolution 8)</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vesting of equity awards triggers the requirement to issue shares to employees.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are renewing the authorisation approved at the 2016 Annual General Meeting and we expect to propose renewal of this authorisation at subsequent annual general meetings.</w:t>
      </w:r>
    </w:p>
    <w:p>
      <w:pPr>
        <w:spacing w:after="0" w:line="191"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will also be a review of the affairs of the Company at the AGM.</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There is no resolution dealing with executive compensation as ICON, being a foreign private issuer, is not obliged to provide a “say on pay” shareholder resolution on executive compensation. Details of ICON’s executive officers compensation for 2016 are available in the Annual Report and Form 20-F for 2016 which are available at </w:t>
      </w:r>
      <w:r>
        <w:rPr>
          <w:rFonts w:ascii="Arial" w:cs="Arial" w:eastAsia="Arial" w:hAnsi="Arial"/>
          <w:sz w:val="16"/>
          <w:szCs w:val="16"/>
          <w:u w:val="single" w:color="auto"/>
          <w:color w:val="auto"/>
        </w:rPr>
        <w:t>http://investor.iconplc.com/annuals.cfm</w:t>
      </w:r>
      <w:r>
        <w:rPr>
          <w:rFonts w:ascii="Arial" w:cs="Arial" w:eastAsia="Arial" w:hAnsi="Arial"/>
          <w:sz w:val="16"/>
          <w:szCs w:val="16"/>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Approval of Resolutions</w:t>
      </w:r>
    </w:p>
    <w:p>
      <w:pPr>
        <w:spacing w:after="0" w:line="2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Resolutions 1.1 to 1.4, 2, 3 and 4 are ordinary resolutions which require approval of a simple majority of the votes cast in person or by proxy and resolutions 5 to 8 are special resolutions which require approval of 75% of the votes cast in person or by proxy.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Recommendation of Directors</w:t>
      </w:r>
    </w:p>
    <w:p>
      <w:pPr>
        <w:spacing w:after="0" w:line="2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21 June 2017, the directors held 861,585 Ordinary Shares representing approximately 1.6% of the issued ordinary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541655</wp:posOffset>
            </wp:positionV>
            <wp:extent cx="1197610" cy="412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761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Yours sincerely,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Ciaran Murray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Chairman</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6"/>
          <w:szCs w:val="16"/>
          <w:b w:val="1"/>
          <w:bCs w:val="1"/>
          <w:color w:val="auto"/>
        </w:rPr>
        <w:t>NOTICE OF ANNUAL GENERAL MEETING</w:t>
      </w:r>
    </w:p>
    <w:p>
      <w:pPr>
        <w:spacing w:after="0" w:line="224" w:lineRule="exact"/>
        <w:rPr>
          <w:sz w:val="20"/>
          <w:szCs w:val="20"/>
          <w:color w:val="auto"/>
        </w:rPr>
      </w:pPr>
    </w:p>
    <w:p>
      <w:pPr>
        <w:ind w:left="4"/>
        <w:spacing w:after="0" w:line="282"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is hereby given that the Annual General Meeting of the Company will be held at ICON plc Headquarters, South County Business Park, Leopardstown, Dublin 18,</w:t>
      </w:r>
      <w:r>
        <w:rPr>
          <w:rFonts w:ascii="Arial" w:cs="Arial" w:eastAsia="Arial" w:hAnsi="Arial"/>
          <w:sz w:val="16"/>
          <w:szCs w:val="16"/>
          <w:b w:val="1"/>
          <w:bCs w:val="1"/>
          <w:color w:val="auto"/>
        </w:rPr>
        <w:t xml:space="preserve"> </w:t>
      </w:r>
      <w:r>
        <w:rPr>
          <w:rFonts w:ascii="Arial" w:cs="Arial" w:eastAsia="Arial" w:hAnsi="Arial"/>
          <w:sz w:val="16"/>
          <w:szCs w:val="16"/>
          <w:color w:val="auto"/>
        </w:rPr>
        <w:t>Ireland on 25 July 2017 at 9.00 a.m.</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ORDINARY BUSINESS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consider and, if thought fit, pass the following ordinary resolutions:</w:t>
      </w:r>
    </w:p>
    <w:p>
      <w:pPr>
        <w:spacing w:after="0" w:line="224" w:lineRule="exact"/>
        <w:rPr>
          <w:sz w:val="20"/>
          <w:szCs w:val="20"/>
          <w:color w:val="auto"/>
        </w:rPr>
      </w:pPr>
    </w:p>
    <w:p>
      <w:pPr>
        <w:ind w:left="584" w:right="20" w:hanging="584"/>
        <w:spacing w:after="0" w:line="277" w:lineRule="auto"/>
        <w:tabs>
          <w:tab w:leader="none" w:pos="58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re-elect, by separate resolutions, the following individuals who retire as Directors in accordance with the Articles of Association of the Company and, being eligible, offer themselves for re-election:</w:t>
      </w:r>
    </w:p>
    <w:p>
      <w:pPr>
        <w:spacing w:after="0" w:line="175"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1.1  Professor Dermot Kelleher;</w:t>
      </w:r>
    </w:p>
    <w:p>
      <w:pPr>
        <w:spacing w:after="0" w:line="20"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1.2  Professor Hugh Brady;</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1.3  Ms. Mary Pendergast; and</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1.4  Mr. Ronan Murphy.</w:t>
      </w:r>
    </w:p>
    <w:p>
      <w:pPr>
        <w:spacing w:after="0" w:line="201" w:lineRule="exact"/>
        <w:rPr>
          <w:rFonts w:ascii="Arial" w:cs="Arial" w:eastAsia="Arial" w:hAnsi="Arial"/>
          <w:sz w:val="16"/>
          <w:szCs w:val="16"/>
          <w:color w:val="auto"/>
        </w:rPr>
      </w:pPr>
    </w:p>
    <w:p>
      <w:pPr>
        <w:ind w:left="564" w:hanging="564"/>
        <w:spacing w:after="0"/>
        <w:tabs>
          <w:tab w:leader="none" w:pos="56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receive and consider the accounts for the year ended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December 2016 and the reports of the Directors and auditors thereon.</w:t>
      </w:r>
    </w:p>
    <w:p>
      <w:pPr>
        <w:spacing w:after="0" w:line="119" w:lineRule="exact"/>
        <w:rPr>
          <w:rFonts w:ascii="Arial" w:cs="Arial" w:eastAsia="Arial" w:hAnsi="Arial"/>
          <w:sz w:val="16"/>
          <w:szCs w:val="16"/>
          <w:color w:val="auto"/>
        </w:rPr>
      </w:pPr>
    </w:p>
    <w:p>
      <w:pPr>
        <w:ind w:left="564" w:hanging="564"/>
        <w:spacing w:after="0"/>
        <w:tabs>
          <w:tab w:leader="none" w:pos="56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authorise the Directors to fix the remuneration of the auditors.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SPECIAL BUSINESS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consider and, if thought fit, pass the following ordinary resolution:</w:t>
      </w:r>
    </w:p>
    <w:p>
      <w:pPr>
        <w:spacing w:after="0" w:line="224" w:lineRule="exact"/>
        <w:rPr>
          <w:sz w:val="20"/>
          <w:szCs w:val="20"/>
          <w:color w:val="auto"/>
        </w:rPr>
      </w:pPr>
    </w:p>
    <w:p>
      <w:pPr>
        <w:jc w:val="both"/>
        <w:ind w:left="564" w:hanging="564"/>
        <w:spacing w:after="0" w:line="274" w:lineRule="auto"/>
        <w:tabs>
          <w:tab w:leader="none" w:pos="564" w:val="left"/>
        </w:tabs>
        <w:numPr>
          <w:ilvl w:val="0"/>
          <w:numId w:val="2"/>
        </w:numPr>
        <w:rPr>
          <w:rFonts w:ascii="Arial" w:cs="Arial" w:eastAsia="Arial" w:hAnsi="Arial"/>
          <w:sz w:val="15"/>
          <w:szCs w:val="15"/>
          <w:color w:val="auto"/>
        </w:rPr>
      </w:pPr>
      <w:r>
        <w:rPr>
          <w:rFonts w:ascii="Arial" w:cs="Arial" w:eastAsia="Arial" w:hAnsi="Arial"/>
          <w:sz w:val="15"/>
          <w:szCs w:val="15"/>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€648,496.61 representing approximately 20% of the aggregate nominal value of the issued ordinary share capital of the Company as at 21 June 2017 and the authority conferred by this resolution shall expire on the earlier of the date of the next Annual General Meeting of the Company or 24 January 2019,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consider and, if thought fit, pass the following special resolutions:</w:t>
      </w:r>
    </w:p>
    <w:p>
      <w:pPr>
        <w:spacing w:after="0" w:line="224" w:lineRule="exact"/>
        <w:rPr>
          <w:sz w:val="20"/>
          <w:szCs w:val="20"/>
          <w:color w:val="auto"/>
        </w:rPr>
      </w:pPr>
    </w:p>
    <w:p>
      <w:pPr>
        <w:jc w:val="both"/>
        <w:ind w:left="564" w:hanging="564"/>
        <w:spacing w:after="0" w:line="297" w:lineRule="auto"/>
        <w:tabs>
          <w:tab w:leader="none" w:pos="56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€162,124.15 representing approximately 5% of the aggregate nominal value of the issued ordinary share capital of the Company as at 21 June 2017 and the authority conferred by this Resolution shall expire on the earlier of the date of the next Annual General Meeting of the Company or 24 January 2019,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9"/>
          <w:szCs w:val="19"/>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18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55" w:right="219" w:bottom="1440" w:gutter="0" w:footer="0" w:header="0"/>
        </w:sectPr>
      </w:pPr>
    </w:p>
    <w:bookmarkStart w:id="8" w:name="page9"/>
    <w:bookmarkEnd w:id="8"/>
    <w:p>
      <w:pPr>
        <w:jc w:val="both"/>
        <w:ind w:left="564" w:hanging="564"/>
        <w:spacing w:after="0" w:line="264" w:lineRule="auto"/>
        <w:tabs>
          <w:tab w:leader="none" w:pos="5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61" w:lineRule="exact"/>
        <w:rPr>
          <w:rFonts w:ascii="Arial" w:cs="Arial" w:eastAsia="Arial" w:hAnsi="Arial"/>
          <w:sz w:val="16"/>
          <w:szCs w:val="16"/>
          <w:color w:val="auto"/>
        </w:rPr>
      </w:pPr>
    </w:p>
    <w:p>
      <w:pPr>
        <w:ind w:left="844" w:right="20" w:hanging="279"/>
        <w:spacing w:after="0" w:line="277" w:lineRule="auto"/>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51" w:lineRule="exact"/>
        <w:rPr>
          <w:rFonts w:ascii="Arial" w:cs="Arial" w:eastAsia="Arial" w:hAnsi="Arial"/>
          <w:sz w:val="16"/>
          <w:szCs w:val="16"/>
          <w:color w:val="auto"/>
        </w:rPr>
      </w:pPr>
    </w:p>
    <w:p>
      <w:pPr>
        <w:jc w:val="both"/>
        <w:ind w:left="844" w:right="20" w:hanging="279"/>
        <w:spacing w:after="0" w:line="264" w:lineRule="auto"/>
        <w:tabs>
          <w:tab w:leader="none" w:pos="844"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nominal value of all equity securities allotted pursuant to this authority together with the nominal value of all treasury shares (as defined in Section 106 of the Companies Act 2014) re-issued pursuant to Resolution 8 not exceed €162,124.15 representing approximately 5% of the nominal value of the issued share capital as at 21 June 2017.</w:t>
      </w:r>
    </w:p>
    <w:p>
      <w:pPr>
        <w:spacing w:after="0" w:line="186" w:lineRule="exact"/>
        <w:rPr>
          <w:sz w:val="20"/>
          <w:szCs w:val="20"/>
          <w:color w:val="auto"/>
        </w:rPr>
      </w:pPr>
    </w:p>
    <w:p>
      <w:pPr>
        <w:jc w:val="both"/>
        <w:ind w:left="564" w:firstLine="12"/>
        <w:spacing w:after="0" w:line="259" w:lineRule="auto"/>
        <w:rPr>
          <w:sz w:val="20"/>
          <w:szCs w:val="20"/>
          <w:color w:val="auto"/>
        </w:rPr>
      </w:pPr>
      <w:r>
        <w:rPr>
          <w:rFonts w:ascii="Arial" w:cs="Arial" w:eastAsia="Arial" w:hAnsi="Arial"/>
          <w:sz w:val="16"/>
          <w:szCs w:val="16"/>
          <w:color w:val="auto"/>
        </w:rPr>
        <w:t>The authority conferred by this resolution shall expire on the earlier of the date of the next Annual General Meeting of the Company or 24 January 2019,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91" w:lineRule="exact"/>
        <w:rPr>
          <w:sz w:val="20"/>
          <w:szCs w:val="20"/>
          <w:color w:val="auto"/>
        </w:rPr>
      </w:pPr>
    </w:p>
    <w:p>
      <w:pPr>
        <w:jc w:val="both"/>
        <w:ind w:left="564" w:right="20" w:hanging="564"/>
        <w:spacing w:after="0" w:line="259" w:lineRule="auto"/>
        <w:tabs>
          <w:tab w:leader="none" w:pos="5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90" w:lineRule="exact"/>
        <w:rPr>
          <w:rFonts w:ascii="Arial" w:cs="Arial" w:eastAsia="Arial" w:hAnsi="Arial"/>
          <w:sz w:val="16"/>
          <w:szCs w:val="16"/>
          <w:color w:val="auto"/>
        </w:rPr>
      </w:pPr>
    </w:p>
    <w:p>
      <w:pPr>
        <w:ind w:left="1144" w:right="20" w:hanging="567"/>
        <w:spacing w:after="0" w:line="277" w:lineRule="auto"/>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75" w:lineRule="exact"/>
        <w:rPr>
          <w:rFonts w:ascii="Arial" w:cs="Arial" w:eastAsia="Arial" w:hAnsi="Arial"/>
          <w:sz w:val="16"/>
          <w:szCs w:val="16"/>
          <w:color w:val="auto"/>
        </w:rPr>
      </w:pPr>
    </w:p>
    <w:p>
      <w:pPr>
        <w:ind w:left="1144" w:hanging="567"/>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w:t>
      </w:r>
    </w:p>
    <w:p>
      <w:pPr>
        <w:spacing w:after="0" w:line="224" w:lineRule="exact"/>
        <w:rPr>
          <w:rFonts w:ascii="Arial" w:cs="Arial" w:eastAsia="Arial" w:hAnsi="Arial"/>
          <w:sz w:val="16"/>
          <w:szCs w:val="16"/>
          <w:color w:val="auto"/>
        </w:rPr>
      </w:pPr>
    </w:p>
    <w:p>
      <w:pPr>
        <w:jc w:val="both"/>
        <w:ind w:left="1144" w:hanging="567"/>
        <w:spacing w:after="0" w:line="264" w:lineRule="auto"/>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186" w:lineRule="exact"/>
        <w:rPr>
          <w:sz w:val="20"/>
          <w:szCs w:val="20"/>
          <w:color w:val="auto"/>
        </w:rPr>
      </w:pPr>
    </w:p>
    <w:p>
      <w:pPr>
        <w:jc w:val="both"/>
        <w:ind w:left="564"/>
        <w:spacing w:after="0" w:line="259" w:lineRule="auto"/>
        <w:rPr>
          <w:sz w:val="20"/>
          <w:szCs w:val="20"/>
          <w:color w:val="auto"/>
        </w:rPr>
      </w:pPr>
      <w:r>
        <w:rPr>
          <w:rFonts w:ascii="Arial" w:cs="Arial" w:eastAsia="Arial" w:hAnsi="Arial"/>
          <w:sz w:val="16"/>
          <w:szCs w:val="16"/>
          <w:color w:val="auto"/>
        </w:rPr>
        <w:t>The authority hereby conferred shall expire on the earlier of the date of the next Annual General Meeting of the Company or 24 January 2019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191" w:lineRule="exact"/>
        <w:rPr>
          <w:sz w:val="20"/>
          <w:szCs w:val="20"/>
          <w:color w:val="auto"/>
        </w:rPr>
      </w:pPr>
    </w:p>
    <w:p>
      <w:pPr>
        <w:ind w:left="564" w:hanging="564"/>
        <w:spacing w:after="0"/>
        <w:tabs>
          <w:tab w:leader="none" w:pos="5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reissue price range at which any treasury shares held by the Company may be reissued off-market shall be as follows: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9"/>
          <w:szCs w:val="19"/>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7" w:right="219" w:bottom="1440" w:gutter="0" w:footer="0" w:header="0"/>
        </w:sectPr>
      </w:pPr>
    </w:p>
    <w:bookmarkStart w:id="9" w:name="page10"/>
    <w:bookmarkEnd w:id="9"/>
    <w:p>
      <w:pPr>
        <w:ind w:left="1140" w:hanging="567"/>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maximum price at which such treasury share may be reissued off-market shall be an amount equal to 120% of the "market price"; and</w:t>
      </w:r>
    </w:p>
    <w:p>
      <w:pPr>
        <w:spacing w:after="0" w:line="224" w:lineRule="exact"/>
        <w:rPr>
          <w:rFonts w:ascii="Arial" w:cs="Arial" w:eastAsia="Arial" w:hAnsi="Arial"/>
          <w:sz w:val="16"/>
          <w:szCs w:val="16"/>
          <w:color w:val="auto"/>
        </w:rPr>
      </w:pPr>
    </w:p>
    <w:p>
      <w:pPr>
        <w:ind w:left="1140" w:hanging="567"/>
        <w:spacing w:after="0" w:line="312" w:lineRule="auto"/>
        <w:tabs>
          <w:tab w:leader="none" w:pos="11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52" w:lineRule="exact"/>
        <w:rPr>
          <w:rFonts w:ascii="Arial" w:cs="Arial" w:eastAsia="Arial" w:hAnsi="Arial"/>
          <w:sz w:val="15"/>
          <w:szCs w:val="15"/>
          <w:color w:val="auto"/>
        </w:rPr>
      </w:pPr>
    </w:p>
    <w:p>
      <w:pPr>
        <w:ind w:left="1140" w:hanging="567"/>
        <w:spacing w:after="0" w:line="277"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76" w:lineRule="exact"/>
        <w:rPr>
          <w:sz w:val="20"/>
          <w:szCs w:val="20"/>
          <w:color w:val="auto"/>
        </w:rPr>
      </w:pPr>
    </w:p>
    <w:p>
      <w:pPr>
        <w:ind w:left="580"/>
        <w:spacing w:after="0" w:line="277" w:lineRule="auto"/>
        <w:rPr>
          <w:sz w:val="20"/>
          <w:szCs w:val="20"/>
          <w:color w:val="auto"/>
        </w:rPr>
      </w:pPr>
      <w:r>
        <w:rPr>
          <w:rFonts w:ascii="Arial" w:cs="Arial" w:eastAsia="Arial" w:hAnsi="Arial"/>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342390" cy="480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2390" cy="48069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Diarmaid Cunningham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auto"/>
        </w:rPr>
        <w:t>23 June, 2017</w:t>
      </w:r>
    </w:p>
    <w:p>
      <w:pPr>
        <w:spacing w:after="0" w:line="439" w:lineRule="exact"/>
        <w:rPr>
          <w:sz w:val="20"/>
          <w:szCs w:val="20"/>
          <w:color w:val="auto"/>
        </w:rPr>
      </w:pPr>
    </w:p>
    <w:p>
      <w:pPr>
        <w:sectPr>
          <w:pgSz w:w="11900" w:h="16838" w:orient="portrait"/>
          <w:cols w:equalWidth="0" w:num="2">
            <w:col w:w="8560" w:space="720"/>
            <w:col w:w="2140"/>
          </w:cols>
          <w:pgMar w:left="240" w:top="127"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Registered Office: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South County Business Park,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Leopardstown,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Dublin 18</w:t>
      </w:r>
    </w:p>
    <w:p>
      <w:pPr>
        <w:spacing w:after="0" w:line="200" w:lineRule="exact"/>
        <w:rPr>
          <w:sz w:val="20"/>
          <w:szCs w:val="20"/>
          <w:color w:val="auto"/>
        </w:rPr>
      </w:pPr>
    </w:p>
    <w:p>
      <w:pPr>
        <w:spacing w:after="0" w:line="222"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7</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0" w:name="page11"/>
    <w:bookmarkEnd w:id="10"/>
    <w:p>
      <w:pPr>
        <w:ind w:left="4"/>
        <w:spacing w:after="0"/>
        <w:rPr>
          <w:sz w:val="20"/>
          <w:szCs w:val="20"/>
          <w:color w:val="auto"/>
        </w:rPr>
      </w:pPr>
      <w:r>
        <w:rPr>
          <w:rFonts w:ascii="Arial" w:cs="Arial" w:eastAsia="Arial" w:hAnsi="Arial"/>
          <w:sz w:val="16"/>
          <w:szCs w:val="16"/>
          <w:b w:val="1"/>
          <w:bCs w:val="1"/>
          <w:color w:val="auto"/>
        </w:rPr>
        <w:t>NOTES:</w:t>
      </w:r>
    </w:p>
    <w:p>
      <w:pPr>
        <w:spacing w:after="0" w:line="224" w:lineRule="exact"/>
        <w:rPr>
          <w:sz w:val="20"/>
          <w:szCs w:val="20"/>
          <w:color w:val="auto"/>
        </w:rPr>
      </w:pPr>
    </w:p>
    <w:p>
      <w:pPr>
        <w:ind w:left="504" w:hanging="504"/>
        <w:spacing w:after="0"/>
        <w:tabs>
          <w:tab w:leader="none" w:pos="50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and Documentation</w:t>
      </w:r>
    </w:p>
    <w:p>
      <w:pPr>
        <w:spacing w:after="0" w:line="25" w:lineRule="exact"/>
        <w:rPr>
          <w:sz w:val="20"/>
          <w:szCs w:val="20"/>
          <w:color w:val="auto"/>
        </w:rPr>
      </w:pPr>
    </w:p>
    <w:p>
      <w:pPr>
        <w:ind w:left="564" w:right="20" w:firstLine="9"/>
        <w:spacing w:after="0" w:line="261" w:lineRule="auto"/>
        <w:rPr>
          <w:sz w:val="20"/>
          <w:szCs w:val="20"/>
          <w:color w:val="auto"/>
        </w:rPr>
      </w:pPr>
      <w:r>
        <w:rPr>
          <w:rFonts w:ascii="Arial" w:cs="Arial" w:eastAsia="Arial" w:hAnsi="Arial"/>
          <w:sz w:val="16"/>
          <w:szCs w:val="16"/>
          <w:color w:val="auto"/>
        </w:rPr>
        <w:t xml:space="preserve">Information regarding the Annual General Meeting is available on the Company’s website </w:t>
      </w:r>
      <w:r>
        <w:rPr>
          <w:rFonts w:ascii="Arial" w:cs="Arial" w:eastAsia="Arial" w:hAnsi="Arial"/>
          <w:sz w:val="16"/>
          <w:szCs w:val="16"/>
          <w:u w:val="single" w:color="auto"/>
          <w:color w:val="auto"/>
        </w:rPr>
        <w:t>www.iconplc.com</w:t>
      </w:r>
      <w:r>
        <w:rPr>
          <w:rFonts w:ascii="Arial" w:cs="Arial" w:eastAsia="Arial" w:hAnsi="Arial"/>
          <w:sz w:val="16"/>
          <w:szCs w:val="16"/>
          <w:color w:val="auto"/>
        </w:rPr>
        <w:t xml:space="preserve"> and from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require a paper copy of the Form 20-F or Annual Report please contact Investor Relations at 1-888-381-7923 or IR@iconplc.com.</w:t>
      </w:r>
    </w:p>
    <w:p>
      <w:pPr>
        <w:spacing w:after="0" w:line="184" w:lineRule="exact"/>
        <w:rPr>
          <w:sz w:val="20"/>
          <w:szCs w:val="20"/>
          <w:color w:val="auto"/>
        </w:rPr>
      </w:pPr>
    </w:p>
    <w:p>
      <w:pPr>
        <w:ind w:left="564" w:hanging="564"/>
        <w:spacing w:after="0"/>
        <w:tabs>
          <w:tab w:leader="none" w:pos="56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Who is eligible to vote and how?</w:t>
      </w:r>
    </w:p>
    <w:p>
      <w:pPr>
        <w:spacing w:after="0" w:line="24" w:lineRule="exact"/>
        <w:rPr>
          <w:rFonts w:ascii="Arial" w:cs="Arial" w:eastAsia="Arial" w:hAnsi="Arial"/>
          <w:sz w:val="16"/>
          <w:szCs w:val="16"/>
          <w:b w:val="1"/>
          <w:bCs w:val="1"/>
          <w:color w:val="auto"/>
        </w:rPr>
      </w:pPr>
    </w:p>
    <w:p>
      <w:pPr>
        <w:ind w:left="564"/>
        <w:spacing w:after="0"/>
        <w:rPr>
          <w:rFonts w:ascii="Arial" w:cs="Arial" w:eastAsia="Arial" w:hAnsi="Arial"/>
          <w:sz w:val="16"/>
          <w:szCs w:val="16"/>
          <w:b w:val="1"/>
          <w:bCs w:val="1"/>
          <w:color w:val="auto"/>
        </w:rPr>
      </w:pPr>
      <w:r>
        <w:rPr>
          <w:rFonts w:ascii="Arial" w:cs="Arial" w:eastAsia="Arial" w:hAnsi="Arial"/>
          <w:sz w:val="16"/>
          <w:szCs w:val="16"/>
          <w:color w:val="auto"/>
        </w:rPr>
        <w:t>The record date for the Annual General Meeting is 30 May 2017.</w:t>
      </w:r>
    </w:p>
    <w:p>
      <w:pPr>
        <w:spacing w:after="0" w:line="211" w:lineRule="exact"/>
        <w:rPr>
          <w:rFonts w:ascii="Arial" w:cs="Arial" w:eastAsia="Arial" w:hAnsi="Arial"/>
          <w:sz w:val="16"/>
          <w:szCs w:val="16"/>
          <w:b w:val="1"/>
          <w:bCs w:val="1"/>
          <w:color w:val="auto"/>
        </w:rPr>
      </w:pPr>
    </w:p>
    <w:p>
      <w:pPr>
        <w:jc w:val="both"/>
        <w:ind w:left="564" w:right="2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If your shares are registered in your name, you are a shareholder of record. Shareholders of record who are entered in the Register of Members of the Company on 30 May 2017 shall be entitled to attend, speak, ask questions and vote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69" w:lineRule="exact"/>
        <w:rPr>
          <w:rFonts w:ascii="Arial" w:cs="Arial" w:eastAsia="Arial" w:hAnsi="Arial"/>
          <w:sz w:val="16"/>
          <w:szCs w:val="16"/>
          <w:b w:val="1"/>
          <w:bCs w:val="1"/>
          <w:color w:val="auto"/>
        </w:rPr>
      </w:pPr>
    </w:p>
    <w:p>
      <w:pPr>
        <w:ind w:left="564"/>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For those shareholders whose shares are not held in their name, but rather in an account at a brokerage firm, bank, dealer or other similar organisation, who in turn hold through The Depository Trust Company (“DTC”), then their entitlement to vote is determined as at 30 May 2017.</w:t>
      </w:r>
    </w:p>
    <w:p>
      <w:pPr>
        <w:spacing w:after="0" w:line="175" w:lineRule="exact"/>
        <w:rPr>
          <w:rFonts w:ascii="Arial" w:cs="Arial" w:eastAsia="Arial" w:hAnsi="Arial"/>
          <w:sz w:val="16"/>
          <w:szCs w:val="16"/>
          <w:b w:val="1"/>
          <w:bCs w:val="1"/>
          <w:color w:val="auto"/>
        </w:rPr>
      </w:pPr>
    </w:p>
    <w:p>
      <w:pPr>
        <w:ind w:left="564"/>
        <w:spacing w:after="0"/>
        <w:rPr>
          <w:rFonts w:ascii="Arial" w:cs="Arial" w:eastAsia="Arial" w:hAnsi="Arial"/>
          <w:sz w:val="16"/>
          <w:szCs w:val="16"/>
          <w:b w:val="1"/>
          <w:bCs w:val="1"/>
          <w:color w:val="auto"/>
        </w:rPr>
      </w:pPr>
      <w:r>
        <w:rPr>
          <w:rFonts w:ascii="Arial" w:cs="Arial" w:eastAsia="Arial" w:hAnsi="Arial"/>
          <w:sz w:val="16"/>
          <w:szCs w:val="16"/>
          <w:color w:val="auto"/>
        </w:rPr>
        <w:t>Depending on whether your shares are registered in your name or whether your shares are held in a "street name" the arrangements are as follows:</w:t>
      </w:r>
    </w:p>
    <w:p>
      <w:pPr>
        <w:spacing w:after="0" w:line="224" w:lineRule="exact"/>
        <w:rPr>
          <w:rFonts w:ascii="Arial" w:cs="Arial" w:eastAsia="Arial" w:hAnsi="Arial"/>
          <w:sz w:val="16"/>
          <w:szCs w:val="16"/>
          <w:b w:val="1"/>
          <w:bCs w:val="1"/>
          <w:color w:val="auto"/>
        </w:rPr>
      </w:pPr>
    </w:p>
    <w:p>
      <w:pPr>
        <w:ind w:left="584"/>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Shareholder of Record: Shares Registered in Your Name</w:t>
      </w:r>
    </w:p>
    <w:p>
      <w:pPr>
        <w:spacing w:after="0" w:line="224" w:lineRule="exact"/>
        <w:rPr>
          <w:rFonts w:ascii="Arial" w:cs="Arial" w:eastAsia="Arial" w:hAnsi="Arial"/>
          <w:sz w:val="16"/>
          <w:szCs w:val="16"/>
          <w:b w:val="1"/>
          <w:bCs w:val="1"/>
          <w:color w:val="auto"/>
        </w:rPr>
      </w:pPr>
    </w:p>
    <w:p>
      <w:pPr>
        <w:jc w:val="both"/>
        <w:ind w:left="564"/>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191" w:lineRule="exact"/>
        <w:rPr>
          <w:rFonts w:ascii="Arial" w:cs="Arial" w:eastAsia="Arial" w:hAnsi="Arial"/>
          <w:sz w:val="16"/>
          <w:szCs w:val="16"/>
          <w:b w:val="1"/>
          <w:bCs w:val="1"/>
          <w:color w:val="auto"/>
        </w:rPr>
      </w:pPr>
    </w:p>
    <w:p>
      <w:pPr>
        <w:jc w:val="both"/>
        <w:ind w:left="564" w:right="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on 24 July 2017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192" w:lineRule="exact"/>
        <w:rPr>
          <w:rFonts w:ascii="Arial" w:cs="Arial" w:eastAsia="Arial" w:hAnsi="Arial"/>
          <w:sz w:val="16"/>
          <w:szCs w:val="16"/>
          <w:b w:val="1"/>
          <w:bCs w:val="1"/>
          <w:color w:val="auto"/>
        </w:rPr>
      </w:pPr>
    </w:p>
    <w:p>
      <w:pPr>
        <w:jc w:val="both"/>
        <w:ind w:left="564"/>
        <w:spacing w:after="0" w:line="278" w:lineRule="auto"/>
        <w:rPr>
          <w:rFonts w:ascii="Arial" w:cs="Arial" w:eastAsia="Arial" w:hAnsi="Arial"/>
          <w:sz w:val="16"/>
          <w:szCs w:val="16"/>
          <w:b w:val="1"/>
          <w:bCs w:val="1"/>
          <w:color w:val="auto"/>
        </w:rPr>
      </w:pPr>
      <w:r>
        <w:rPr>
          <w:rFonts w:ascii="Arial" w:cs="Arial" w:eastAsia="Arial" w:hAnsi="Arial"/>
          <w:sz w:val="15"/>
          <w:szCs w:val="15"/>
          <w:color w:val="auto"/>
        </w:rPr>
        <w:t xml:space="preserve">Alternatively, provided it is received by 11.59pm ET on 23 July 2017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electronically, subject to the applicable terms and conditions, via the Internet by accessing Broadridge’s website </w:t>
      </w:r>
      <w:r>
        <w:rPr>
          <w:rFonts w:ascii="Arial" w:cs="Arial" w:eastAsia="Arial" w:hAnsi="Arial"/>
          <w:sz w:val="15"/>
          <w:szCs w:val="15"/>
          <w:b w:val="1"/>
          <w:bCs w:val="1"/>
          <w:color w:val="auto"/>
        </w:rPr>
        <w:t>www.proxyvote.com</w:t>
      </w:r>
      <w:r>
        <w:rPr>
          <w:rFonts w:ascii="Arial" w:cs="Arial" w:eastAsia="Arial" w:hAnsi="Arial"/>
          <w:sz w:val="15"/>
          <w:szCs w:val="15"/>
          <w:color w:val="auto"/>
        </w:rPr>
        <w:t xml:space="preserve"> and, when you follow the instructions on the website, the information you need to appoint your proxy electronically is included on the top of your Form of Proxy.</w:t>
      </w:r>
    </w:p>
    <w:p>
      <w:pPr>
        <w:spacing w:after="0" w:line="178" w:lineRule="exact"/>
        <w:rPr>
          <w:rFonts w:ascii="Arial" w:cs="Arial" w:eastAsia="Arial" w:hAnsi="Arial"/>
          <w:sz w:val="16"/>
          <w:szCs w:val="16"/>
          <w:b w:val="1"/>
          <w:bCs w:val="1"/>
          <w:color w:val="auto"/>
        </w:rPr>
      </w:pPr>
    </w:p>
    <w:p>
      <w:pPr>
        <w:ind w:left="584"/>
        <w:spacing w:after="0"/>
        <w:rPr>
          <w:rFonts w:ascii="Arial" w:cs="Arial" w:eastAsia="Arial" w:hAnsi="Arial"/>
          <w:sz w:val="16"/>
          <w:szCs w:val="16"/>
          <w:b w:val="1"/>
          <w:bCs w:val="1"/>
          <w:color w:val="auto"/>
        </w:rPr>
      </w:pPr>
      <w:r>
        <w:rPr>
          <w:rFonts w:ascii="Arial" w:cs="Arial" w:eastAsia="Arial" w:hAnsi="Arial"/>
          <w:sz w:val="16"/>
          <w:szCs w:val="16"/>
          <w:color w:val="auto"/>
        </w:rPr>
        <w:t>In the case of a corporation, the Form of Proxy must be either executed under seal or signed on its behalf by a duly authorised officer or attorney.</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9"/>
          <w:szCs w:val="19"/>
          <w:color w:val="auto"/>
        </w:rPr>
        <w:t>ICON plc – Notice of Annual General Meeting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11" w:name="page12"/>
    <w:bookmarkEnd w:id="11"/>
    <w:p>
      <w:pPr>
        <w:ind w:left="564"/>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spacing w:after="0" w:line="224" w:lineRule="exact"/>
        <w:rPr>
          <w:sz w:val="20"/>
          <w:szCs w:val="20"/>
          <w:color w:val="auto"/>
        </w:rPr>
      </w:pPr>
    </w:p>
    <w:p>
      <w:pPr>
        <w:jc w:val="both"/>
        <w:ind w:left="564"/>
        <w:spacing w:after="0" w:line="259" w:lineRule="auto"/>
        <w:rPr>
          <w:sz w:val="20"/>
          <w:szCs w:val="20"/>
          <w:color w:val="auto"/>
        </w:rPr>
      </w:pPr>
      <w:r>
        <w:rPr>
          <w:rFonts w:ascii="Arial" w:cs="Arial" w:eastAsia="Arial" w:hAnsi="Arial"/>
          <w:sz w:val="16"/>
          <w:szCs w:val="16"/>
          <w:color w:val="auto"/>
        </w:rPr>
        <w:t xml:space="preserve">If, as at 30 May 2017,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Arial" w:cs="Arial" w:eastAsia="Arial" w:hAnsi="Arial"/>
          <w:sz w:val="16"/>
          <w:szCs w:val="16"/>
          <w:b w:val="1"/>
          <w:bCs w:val="1"/>
          <w:color w:val="auto"/>
        </w:rPr>
        <w:t>You will need to carefully follow the instructions from your broker, bank or other agent or contact</w:t>
      </w:r>
      <w:r>
        <w:rPr>
          <w:rFonts w:ascii="Arial" w:cs="Arial" w:eastAsia="Arial" w:hAnsi="Arial"/>
          <w:sz w:val="16"/>
          <w:szCs w:val="16"/>
          <w:color w:val="auto"/>
        </w:rPr>
        <w:t xml:space="preserve"> </w:t>
      </w:r>
      <w:r>
        <w:rPr>
          <w:rFonts w:ascii="Arial" w:cs="Arial" w:eastAsia="Arial" w:hAnsi="Arial"/>
          <w:sz w:val="16"/>
          <w:szCs w:val="16"/>
          <w:b w:val="1"/>
          <w:bCs w:val="1"/>
          <w:color w:val="auto"/>
        </w:rPr>
        <w:t>your broker, bank or other agent if you have any queries.</w:t>
      </w:r>
    </w:p>
    <w:p>
      <w:pPr>
        <w:spacing w:after="0" w:line="191" w:lineRule="exact"/>
        <w:rPr>
          <w:sz w:val="20"/>
          <w:szCs w:val="20"/>
          <w:color w:val="auto"/>
        </w:rPr>
      </w:pPr>
    </w:p>
    <w:p>
      <w:pPr>
        <w:jc w:val="both"/>
        <w:ind w:left="564" w:right="20"/>
        <w:spacing w:after="0" w:line="264" w:lineRule="auto"/>
        <w:rPr>
          <w:sz w:val="20"/>
          <w:szCs w:val="20"/>
          <w:color w:val="auto"/>
        </w:rPr>
      </w:pPr>
      <w:r>
        <w:rPr>
          <w:rFonts w:ascii="Arial" w:cs="Arial" w:eastAsia="Arial" w:hAnsi="Arial"/>
          <w:sz w:val="16"/>
          <w:szCs w:val="16"/>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186" w:lineRule="exact"/>
        <w:rPr>
          <w:sz w:val="20"/>
          <w:szCs w:val="20"/>
          <w:color w:val="auto"/>
        </w:rPr>
      </w:pPr>
    </w:p>
    <w:p>
      <w:pPr>
        <w:jc w:val="both"/>
        <w:ind w:left="564" w:right="20"/>
        <w:spacing w:after="0" w:line="264" w:lineRule="auto"/>
        <w:rPr>
          <w:sz w:val="20"/>
          <w:szCs w:val="20"/>
          <w:color w:val="auto"/>
        </w:rPr>
      </w:pPr>
      <w:r>
        <w:rPr>
          <w:rFonts w:ascii="Arial" w:cs="Arial" w:eastAsia="Arial" w:hAnsi="Arial"/>
          <w:sz w:val="16"/>
          <w:szCs w:val="16"/>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182" w:lineRule="exact"/>
        <w:rPr>
          <w:sz w:val="20"/>
          <w:szCs w:val="20"/>
          <w:color w:val="auto"/>
        </w:rPr>
      </w:pPr>
    </w:p>
    <w:p>
      <w:pPr>
        <w:ind w:left="564" w:hanging="564"/>
        <w:spacing w:after="0"/>
        <w:tabs>
          <w:tab w:leader="none" w:pos="56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do you have?</w:t>
      </w:r>
    </w:p>
    <w:p>
      <w:pPr>
        <w:spacing w:after="0" w:line="24" w:lineRule="exact"/>
        <w:rPr>
          <w:rFonts w:ascii="Arial" w:cs="Arial" w:eastAsia="Arial" w:hAnsi="Arial"/>
          <w:sz w:val="16"/>
          <w:szCs w:val="16"/>
          <w:b w:val="1"/>
          <w:bCs w:val="1"/>
          <w:color w:val="auto"/>
        </w:rPr>
      </w:pPr>
    </w:p>
    <w:p>
      <w:pPr>
        <w:jc w:val="both"/>
        <w:ind w:left="564" w:right="20"/>
        <w:spacing w:after="0" w:line="276" w:lineRule="auto"/>
        <w:rPr>
          <w:rFonts w:ascii="Arial" w:cs="Arial" w:eastAsia="Arial" w:hAnsi="Arial"/>
          <w:sz w:val="16"/>
          <w:szCs w:val="16"/>
          <w:b w:val="1"/>
          <w:bCs w:val="1"/>
          <w:color w:val="auto"/>
        </w:rPr>
      </w:pPr>
      <w:r>
        <w:rPr>
          <w:rFonts w:ascii="Arial" w:cs="Arial" w:eastAsia="Arial" w:hAnsi="Arial"/>
          <w:sz w:val="15"/>
          <w:szCs w:val="15"/>
          <w:color w:val="auto"/>
        </w:rPr>
        <w:t>The total number of issued ordinary shares on the record date, 30 May 2017, was 54,015,288.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75" w:lineRule="exact"/>
        <w:rPr>
          <w:rFonts w:ascii="Arial" w:cs="Arial" w:eastAsia="Arial" w:hAnsi="Arial"/>
          <w:sz w:val="16"/>
          <w:szCs w:val="16"/>
          <w:b w:val="1"/>
          <w:bCs w:val="1"/>
          <w:color w:val="auto"/>
        </w:rPr>
      </w:pPr>
    </w:p>
    <w:p>
      <w:pPr>
        <w:ind w:left="484" w:hanging="484"/>
        <w:spacing w:after="0"/>
        <w:tabs>
          <w:tab w:leader="none" w:pos="48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Broker Voting</w:t>
      </w:r>
    </w:p>
    <w:p>
      <w:pPr>
        <w:spacing w:after="0" w:line="25" w:lineRule="exact"/>
        <w:rPr>
          <w:sz w:val="20"/>
          <w:szCs w:val="20"/>
          <w:color w:val="auto"/>
        </w:rPr>
      </w:pPr>
    </w:p>
    <w:p>
      <w:pPr>
        <w:jc w:val="both"/>
        <w:ind w:left="584" w:right="20"/>
        <w:spacing w:after="0" w:line="256" w:lineRule="auto"/>
        <w:rPr>
          <w:sz w:val="20"/>
          <w:szCs w:val="20"/>
          <w:color w:val="auto"/>
        </w:rPr>
      </w:pPr>
      <w:r>
        <w:rPr>
          <w:rFonts w:ascii="Arial" w:cs="Arial" w:eastAsia="Arial" w:hAnsi="Arial"/>
          <w:sz w:val="16"/>
          <w:szCs w:val="16"/>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Arial" w:cs="Arial" w:eastAsia="Arial" w:hAnsi="Arial"/>
          <w:sz w:val="16"/>
          <w:szCs w:val="16"/>
          <w:b w:val="1"/>
          <w:bCs w:val="1"/>
          <w:color w:val="auto"/>
        </w:rPr>
        <w:t>Please instruct your bank or broker so your vote can be counted</w:t>
      </w:r>
      <w:r>
        <w:rPr>
          <w:rFonts w:ascii="Arial" w:cs="Arial" w:eastAsia="Arial" w:hAnsi="Arial"/>
          <w:sz w:val="16"/>
          <w:szCs w:val="16"/>
          <w:color w:val="auto"/>
        </w:rPr>
        <w:t>.</w:t>
      </w:r>
    </w:p>
    <w:p>
      <w:pPr>
        <w:spacing w:after="0" w:line="188" w:lineRule="exact"/>
        <w:rPr>
          <w:sz w:val="20"/>
          <w:szCs w:val="20"/>
          <w:color w:val="auto"/>
        </w:rPr>
      </w:pPr>
    </w:p>
    <w:p>
      <w:pPr>
        <w:ind w:left="564" w:right="7140" w:hanging="564"/>
        <w:spacing w:after="0" w:line="321" w:lineRule="auto"/>
        <w:tabs>
          <w:tab w:leader="none" w:pos="486"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Can I change my vote after submitting my proxy? </w:t>
      </w:r>
      <w:r>
        <w:rPr>
          <w:rFonts w:ascii="Arial" w:cs="Arial" w:eastAsia="Arial" w:hAnsi="Arial"/>
          <w:sz w:val="13"/>
          <w:szCs w:val="13"/>
          <w:b w:val="1"/>
          <w:bCs w:val="1"/>
          <w:i w:val="1"/>
          <w:iCs w:val="1"/>
          <w:color w:val="auto"/>
        </w:rPr>
        <w:t>Shareholder of Record: Shares Registered in Your Name</w:t>
      </w:r>
    </w:p>
    <w:p>
      <w:pPr>
        <w:ind w:left="564"/>
        <w:spacing w:after="0" w:line="261" w:lineRule="auto"/>
        <w:rPr>
          <w:rFonts w:ascii="Arial" w:cs="Arial" w:eastAsia="Arial" w:hAnsi="Arial"/>
          <w:sz w:val="13"/>
          <w:szCs w:val="13"/>
          <w:b w:val="1"/>
          <w:bCs w:val="1"/>
          <w:color w:val="auto"/>
        </w:rPr>
      </w:pPr>
      <w:r>
        <w:rPr>
          <w:rFonts w:ascii="Arial" w:cs="Arial" w:eastAsia="Arial" w:hAnsi="Arial"/>
          <w:sz w:val="16"/>
          <w:szCs w:val="16"/>
          <w:color w:val="auto"/>
        </w:rPr>
        <w:t>Yes. You can revoke your proxy at any time before the final vote at the Annual General Meeting. If you are the record holder of your shares, you may revoke your proxy in any one of three ways:</w:t>
      </w:r>
    </w:p>
    <w:p>
      <w:pPr>
        <w:spacing w:after="0" w:line="163" w:lineRule="exact"/>
        <w:rPr>
          <w:rFonts w:ascii="Arial" w:cs="Arial" w:eastAsia="Arial" w:hAnsi="Arial"/>
          <w:sz w:val="13"/>
          <w:szCs w:val="13"/>
          <w:b w:val="1"/>
          <w:bCs w:val="1"/>
          <w:color w:val="auto"/>
        </w:rPr>
      </w:pPr>
    </w:p>
    <w:p>
      <w:pPr>
        <w:ind w:left="1144" w:right="20" w:hanging="290"/>
        <w:spacing w:after="0" w:line="351" w:lineRule="auto"/>
        <w:tabs>
          <w:tab w:leader="none" w:pos="1144" w:val="left"/>
        </w:tabs>
        <w:numPr>
          <w:ilvl w:val="1"/>
          <w:numId w:val="11"/>
        </w:numPr>
        <w:rPr>
          <w:rFonts w:ascii="Arial" w:cs="Arial" w:eastAsia="Arial" w:hAnsi="Arial"/>
          <w:sz w:val="14"/>
          <w:szCs w:val="14"/>
          <w:color w:val="auto"/>
        </w:rPr>
      </w:pPr>
      <w:r>
        <w:rPr>
          <w:rFonts w:ascii="Arial" w:cs="Arial" w:eastAsia="Arial" w:hAnsi="Arial"/>
          <w:sz w:val="14"/>
          <w:szCs w:val="14"/>
          <w:color w:val="auto"/>
        </w:rPr>
        <w:t>You may submit another properly completed proxy with a later date. Your revised proxy must be received before the commencement of the Annual General Meeting at 9.00am Dublin time on 25 July 2017 or if the Annual General Meeting is adjourned, before the commencement of the adjourned meeting;</w:t>
      </w:r>
    </w:p>
    <w:p>
      <w:pPr>
        <w:spacing w:after="0" w:line="129" w:lineRule="exact"/>
        <w:rPr>
          <w:rFonts w:ascii="Arial" w:cs="Arial" w:eastAsia="Arial" w:hAnsi="Arial"/>
          <w:sz w:val="14"/>
          <w:szCs w:val="14"/>
          <w:color w:val="auto"/>
        </w:rPr>
      </w:pPr>
    </w:p>
    <w:p>
      <w:pPr>
        <w:jc w:val="both"/>
        <w:ind w:left="1144" w:hanging="290"/>
        <w:spacing w:after="0" w:line="259" w:lineRule="auto"/>
        <w:tabs>
          <w:tab w:leader="none" w:pos="1144" w:val="left"/>
        </w:tabs>
        <w:numPr>
          <w:ilvl w:val="1"/>
          <w:numId w:val="11"/>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Erina Fox, Assistant Company Secretary, ICON plc at the registered office of the Company (being South County Business Park, Leopardstown, Dublin 18, Ireland) or by email to IR@iconplc.com. Your notice must be received before the commencement of the Annual General Meeting at 9.00am Dublin time on 25 July 2017 or if the Annual General Meeting is adjourned, before the commencement of the adjourned meeting; or</w:t>
      </w:r>
    </w:p>
    <w:p>
      <w:pPr>
        <w:spacing w:after="0" w:line="190" w:lineRule="exact"/>
        <w:rPr>
          <w:rFonts w:ascii="Arial" w:cs="Arial" w:eastAsia="Arial" w:hAnsi="Arial"/>
          <w:sz w:val="16"/>
          <w:szCs w:val="16"/>
          <w:color w:val="auto"/>
        </w:rPr>
      </w:pPr>
    </w:p>
    <w:p>
      <w:pPr>
        <w:ind w:left="1144" w:hanging="290"/>
        <w:spacing w:after="0"/>
        <w:tabs>
          <w:tab w:leader="none" w:pos="1144" w:val="left"/>
        </w:tabs>
        <w:numPr>
          <w:ilvl w:val="1"/>
          <w:numId w:val="11"/>
        </w:numPr>
        <w:rPr>
          <w:rFonts w:ascii="Arial" w:cs="Arial" w:eastAsia="Arial" w:hAnsi="Arial"/>
          <w:sz w:val="16"/>
          <w:szCs w:val="16"/>
          <w:color w:val="auto"/>
        </w:rPr>
      </w:pPr>
      <w:r>
        <w:rPr>
          <w:rFonts w:ascii="Arial" w:cs="Arial" w:eastAsia="Arial" w:hAnsi="Arial"/>
          <w:sz w:val="16"/>
          <w:szCs w:val="16"/>
          <w:color w:val="auto"/>
        </w:rPr>
        <w:t>You may attend the Annual General Meeting and vote in person.</w:t>
      </w:r>
    </w:p>
    <w:p>
      <w:pPr>
        <w:spacing w:after="0" w:line="224" w:lineRule="exact"/>
        <w:rPr>
          <w:sz w:val="20"/>
          <w:szCs w:val="20"/>
          <w:color w:val="auto"/>
        </w:rPr>
      </w:pPr>
    </w:p>
    <w:p>
      <w:pPr>
        <w:ind w:left="584"/>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your shares are held by your broker, bank or other agent, you should follow the instructions provided by them.</w:t>
      </w:r>
    </w:p>
    <w:p>
      <w:pPr>
        <w:spacing w:after="0" w:line="208" w:lineRule="exact"/>
        <w:rPr>
          <w:sz w:val="20"/>
          <w:szCs w:val="20"/>
          <w:color w:val="auto"/>
        </w:rPr>
      </w:pPr>
    </w:p>
    <w:p>
      <w:pPr>
        <w:ind w:left="484" w:hanging="484"/>
        <w:spacing w:after="0"/>
        <w:tabs>
          <w:tab w:leader="none" w:pos="48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What does it mean if I receive more than one set of materials?</w:t>
      </w:r>
    </w:p>
    <w:p>
      <w:pPr>
        <w:spacing w:after="0" w:line="25" w:lineRule="exact"/>
        <w:rPr>
          <w:sz w:val="20"/>
          <w:szCs w:val="20"/>
          <w:color w:val="auto"/>
        </w:rPr>
      </w:pPr>
    </w:p>
    <w:p>
      <w:pPr>
        <w:ind w:left="584"/>
        <w:spacing w:after="0" w:line="333" w:lineRule="auto"/>
        <w:rPr>
          <w:sz w:val="20"/>
          <w:szCs w:val="20"/>
          <w:color w:val="auto"/>
        </w:rPr>
      </w:pPr>
      <w:r>
        <w:rPr>
          <w:rFonts w:ascii="Arial" w:cs="Arial" w:eastAsia="Arial" w:hAnsi="Arial"/>
          <w:sz w:val="14"/>
          <w:szCs w:val="14"/>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ICON plc – Notice of Annual General Meeting 2017</w:t>
      </w:r>
    </w:p>
    <w:p>
      <w:pPr>
        <w:sectPr>
          <w:pgSz w:w="11900" w:h="16838" w:orient="portrait"/>
          <w:cols w:equalWidth="0" w:num="1">
            <w:col w:w="11444"/>
          </w:cols>
          <w:pgMar w:left="236" w:top="127" w:right="219" w:bottom="1440" w:gutter="0" w:footer="0" w:header="0"/>
        </w:sectPr>
      </w:pPr>
    </w:p>
    <w:bookmarkStart w:id="12" w:name="page13"/>
    <w:bookmarkEnd w:id="12"/>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302895</wp:posOffset>
            </wp:positionV>
            <wp:extent cx="7317740" cy="9725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972566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9473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19"/>
          <w:szCs w:val="19"/>
          <w:b w:val="1"/>
          <w:bCs w:val="1"/>
          <w:color w:val="auto"/>
        </w:rPr>
        <w:t>Exhibit 99.3</w:t>
      </w:r>
    </w:p>
    <w:p>
      <w:pPr>
        <w:spacing w:after="0" w:line="210" w:lineRule="exact"/>
        <w:rPr>
          <w:sz w:val="20"/>
          <w:szCs w:val="20"/>
          <w:color w:val="auto"/>
        </w:rPr>
      </w:pPr>
    </w:p>
    <w:p>
      <w:pPr>
        <w:ind w:left="2240"/>
        <w:spacing w:after="0"/>
        <w:rPr>
          <w:sz w:val="20"/>
          <w:szCs w:val="20"/>
          <w:color w:val="auto"/>
        </w:rPr>
      </w:pPr>
      <w:r>
        <w:rPr>
          <w:rFonts w:ascii="Arial" w:cs="Arial" w:eastAsia="Arial" w:hAnsi="Arial"/>
          <w:sz w:val="26"/>
          <w:szCs w:val="26"/>
          <w:b w:val="1"/>
          <w:bCs w:val="1"/>
          <w:color w:val="auto"/>
        </w:rPr>
        <w:t>ICON plc and Subsidiaries</w:t>
      </w:r>
    </w:p>
    <w:p>
      <w:pPr>
        <w:spacing w:after="0" w:line="20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Consolidated Financial Statements</w:t>
      </w:r>
    </w:p>
    <w:p>
      <w:pPr>
        <w:spacing w:after="0" w:line="200"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Year ended 31 December 2016</w:t>
      </w:r>
    </w:p>
    <w:p>
      <w:pPr>
        <w:spacing w:after="0" w:line="397"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Registered number 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249555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20"/>
                <w:szCs w:val="20"/>
                <w:color w:val="auto"/>
              </w:rPr>
            </w:pPr>
            <w:r>
              <w:rPr>
                <w:rFonts w:ascii="Arial" w:cs="Arial" w:eastAsia="Arial" w:hAnsi="Arial"/>
                <w:sz w:val="16"/>
                <w:szCs w:val="16"/>
                <w:b w:val="1"/>
                <w:bCs w:val="1"/>
                <w:color w:val="auto"/>
              </w:rPr>
              <w:t>Directors’ Report and Consolidated Financial Statements</w:t>
            </w:r>
          </w:p>
        </w:tc>
        <w:tc>
          <w:tcPr>
            <w:tcW w:w="2600" w:type="dxa"/>
            <w:vAlign w:val="bottom"/>
          </w:tcPr>
          <w:p>
            <w:pPr>
              <w:spacing w:after="0"/>
              <w:rPr>
                <w:sz w:val="18"/>
                <w:szCs w:val="18"/>
                <w:color w:val="auto"/>
              </w:rPr>
            </w:pPr>
          </w:p>
        </w:tc>
      </w:tr>
      <w:tr>
        <w:trPr>
          <w:trHeight w:val="408"/>
        </w:trPr>
        <w:tc>
          <w:tcPr>
            <w:tcW w:w="8840" w:type="dxa"/>
            <w:vAlign w:val="bottom"/>
          </w:tcPr>
          <w:p>
            <w:pPr>
              <w:spacing w:after="0"/>
              <w:rPr>
                <w:sz w:val="20"/>
                <w:szCs w:val="20"/>
                <w:color w:val="auto"/>
              </w:rPr>
            </w:pPr>
            <w:r>
              <w:rPr>
                <w:rFonts w:ascii="Arial" w:cs="Arial" w:eastAsia="Arial" w:hAnsi="Arial"/>
                <w:sz w:val="16"/>
                <w:szCs w:val="16"/>
                <w:i w:val="1"/>
                <w:iCs w:val="1"/>
                <w:color w:val="auto"/>
              </w:rPr>
              <w:t>Contents</w:t>
            </w:r>
          </w:p>
        </w:tc>
        <w:tc>
          <w:tcPr>
            <w:tcW w:w="2600" w:type="dxa"/>
            <w:vAlign w:val="bottom"/>
          </w:tcPr>
          <w:p>
            <w:pPr>
              <w:jc w:val="right"/>
              <w:spacing w:after="0"/>
              <w:rPr>
                <w:sz w:val="20"/>
                <w:szCs w:val="20"/>
                <w:color w:val="auto"/>
              </w:rPr>
            </w:pPr>
            <w:r>
              <w:rPr>
                <w:rFonts w:ascii="Arial" w:cs="Arial" w:eastAsia="Arial" w:hAnsi="Arial"/>
                <w:sz w:val="16"/>
                <w:szCs w:val="16"/>
                <w:i w:val="1"/>
                <w:iCs w:val="1"/>
                <w:color w:val="auto"/>
              </w:rPr>
              <w:t>Page</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Directors and Other Information</w:t>
            </w:r>
          </w:p>
        </w:tc>
        <w:tc>
          <w:tcPr>
            <w:tcW w:w="2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Directors’ Report</w:t>
            </w:r>
          </w:p>
        </w:tc>
        <w:tc>
          <w:tcPr>
            <w:tcW w:w="2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Statement of Directors’ Responsibilities in respect of the Directors’ report and the financial statements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Independent Auditor’s Report to the members of ICON plc</w:t>
            </w:r>
          </w:p>
        </w:tc>
        <w:tc>
          <w:tcPr>
            <w:tcW w:w="2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Consolidated Statement of Profit and Loss</w:t>
            </w: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Consolidated Statement of Comprehensive Income</w:t>
            </w:r>
          </w:p>
        </w:tc>
        <w:tc>
          <w:tcPr>
            <w:tcW w:w="26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Consolidated Statement of Financial Position</w:t>
            </w:r>
          </w:p>
        </w:tc>
        <w:tc>
          <w:tcPr>
            <w:tcW w:w="26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Consolidated Statement of Changes in Equity</w:t>
            </w:r>
          </w:p>
        </w:tc>
        <w:tc>
          <w:tcPr>
            <w:tcW w:w="26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Consolidated Statement of Cash Flows</w:t>
            </w:r>
          </w:p>
        </w:tc>
        <w:tc>
          <w:tcPr>
            <w:tcW w:w="26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Company Statement of Financial Position</w:t>
            </w:r>
          </w:p>
        </w:tc>
        <w:tc>
          <w:tcPr>
            <w:tcW w:w="26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Company Statement of Changes in Equity</w:t>
            </w:r>
          </w:p>
        </w:tc>
        <w:tc>
          <w:tcPr>
            <w:tcW w:w="26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Company Statement of Cash Flows</w:t>
            </w:r>
          </w:p>
        </w:tc>
        <w:tc>
          <w:tcPr>
            <w:tcW w:w="26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Notes to Company Financial Statements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Reconciliation from IFRS to US Accounting Polices</w:t>
            </w:r>
          </w:p>
        </w:tc>
        <w:tc>
          <w:tcPr>
            <w:tcW w:w="26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84"/>
        </w:trPr>
        <w:tc>
          <w:tcPr>
            <w:tcW w:w="8840" w:type="dxa"/>
            <w:vAlign w:val="bottom"/>
          </w:tcPr>
          <w:p>
            <w:pPr>
              <w:spacing w:after="0"/>
              <w:rPr>
                <w:sz w:val="20"/>
                <w:szCs w:val="20"/>
                <w:color w:val="auto"/>
              </w:rPr>
            </w:pPr>
            <w:r>
              <w:rPr>
                <w:rFonts w:ascii="Arial" w:cs="Arial" w:eastAsia="Arial" w:hAnsi="Arial"/>
                <w:sz w:val="16"/>
                <w:szCs w:val="16"/>
                <w:color w:val="auto"/>
              </w:rPr>
              <w:t>Appendix A: Risk Factors</w:t>
            </w:r>
          </w:p>
        </w:tc>
        <w:tc>
          <w:tcPr>
            <w:tcW w:w="26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565"/>
        </w:trPr>
        <w:tc>
          <w:tcPr>
            <w:tcW w:w="8840" w:type="dxa"/>
            <w:vAlign w:val="bottom"/>
          </w:tcPr>
          <w:p>
            <w:pPr>
              <w:ind w:left="5680"/>
              <w:spacing w:after="0"/>
              <w:rPr>
                <w:sz w:val="20"/>
                <w:szCs w:val="20"/>
                <w:color w:val="auto"/>
              </w:rPr>
            </w:pPr>
            <w:r>
              <w:rPr>
                <w:rFonts w:ascii="Arial" w:cs="Arial" w:eastAsia="Arial" w:hAnsi="Arial"/>
                <w:sz w:val="16"/>
                <w:szCs w:val="16"/>
                <w:color w:val="auto"/>
              </w:rPr>
              <w:t>1</w:t>
            </w:r>
          </w:p>
        </w:tc>
        <w:tc>
          <w:tcPr>
            <w:tcW w:w="2600" w:type="dxa"/>
            <w:vAlign w:val="bottom"/>
          </w:tcPr>
          <w:p>
            <w:pPr>
              <w:spacing w:after="0"/>
              <w:rPr>
                <w:sz w:val="24"/>
                <w:szCs w:val="24"/>
                <w:color w:val="auto"/>
              </w:rPr>
            </w:pPr>
          </w:p>
        </w:tc>
      </w:tr>
      <w:tr>
        <w:trPr>
          <w:trHeight w:val="52"/>
        </w:trPr>
        <w:tc>
          <w:tcPr>
            <w:tcW w:w="88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Pr>
          <w:p>
            <w:pPr>
              <w:spacing w:after="0"/>
              <w:rPr>
                <w:sz w:val="20"/>
                <w:szCs w:val="20"/>
                <w:color w:val="auto"/>
              </w:rPr>
            </w:pPr>
            <w:r>
              <w:rPr>
                <w:rFonts w:ascii="Arial" w:cs="Arial" w:eastAsia="Arial" w:hAnsi="Arial"/>
                <w:sz w:val="16"/>
                <w:szCs w:val="16"/>
                <w:b w:val="1"/>
                <w:bCs w:val="1"/>
                <w:color w:val="auto"/>
              </w:rPr>
              <w:t>Directors’ and Other Information</w:t>
            </w:r>
          </w:p>
        </w:tc>
        <w:tc>
          <w:tcPr>
            <w:tcW w:w="7440" w:type="dxa"/>
            <w:vAlign w:val="bottom"/>
          </w:tcPr>
          <w:p>
            <w:pPr>
              <w:spacing w:after="0"/>
              <w:rPr>
                <w:sz w:val="18"/>
                <w:szCs w:val="18"/>
                <w:color w:val="auto"/>
              </w:rPr>
            </w:pP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Directors</w:t>
            </w:r>
          </w:p>
        </w:tc>
        <w:tc>
          <w:tcPr>
            <w:tcW w:w="7440" w:type="dxa"/>
            <w:vAlign w:val="bottom"/>
          </w:tcPr>
          <w:p>
            <w:pPr>
              <w:ind w:left="1720"/>
              <w:spacing w:after="0"/>
              <w:rPr>
                <w:sz w:val="20"/>
                <w:szCs w:val="20"/>
                <w:color w:val="auto"/>
              </w:rPr>
            </w:pPr>
            <w:r>
              <w:rPr>
                <w:rFonts w:ascii="Arial" w:cs="Arial" w:eastAsia="Arial" w:hAnsi="Arial"/>
                <w:sz w:val="16"/>
                <w:szCs w:val="16"/>
                <w:color w:val="auto"/>
              </w:rPr>
              <w:t>Ciaran Murray (Irish – Executive Chairman)</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Dr. Steve Cutler (Australian – Chief Executive Officer)</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Prof. Hugh Brady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Dr. John Climax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Prof. William Hall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Prof. Dermot Kelleher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Dr. Ronan Lambe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Declan McKeon (Irish – Non-Executive)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Ronan Murphy (Irish – Non-Executive)</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Mary Pendergast (American – Non-Executive)</w:t>
            </w:r>
          </w:p>
        </w:tc>
      </w:tr>
      <w:tr>
        <w:trPr>
          <w:trHeight w:val="384"/>
        </w:trPr>
        <w:tc>
          <w:tcPr>
            <w:tcW w:w="4000" w:type="dxa"/>
            <w:vAlign w:val="bottom"/>
          </w:tcPr>
          <w:p>
            <w:pPr>
              <w:spacing w:after="0"/>
              <w:rPr>
                <w:sz w:val="20"/>
                <w:szCs w:val="20"/>
                <w:color w:val="auto"/>
              </w:rPr>
            </w:pPr>
            <w:r>
              <w:rPr>
                <w:rFonts w:ascii="Arial" w:cs="Arial" w:eastAsia="Arial" w:hAnsi="Arial"/>
                <w:sz w:val="16"/>
                <w:szCs w:val="16"/>
                <w:b w:val="1"/>
                <w:bCs w:val="1"/>
                <w:color w:val="auto"/>
              </w:rPr>
              <w:t>Company secretary</w:t>
            </w:r>
          </w:p>
        </w:tc>
        <w:tc>
          <w:tcPr>
            <w:tcW w:w="7440" w:type="dxa"/>
            <w:vAlign w:val="bottom"/>
          </w:tcPr>
          <w:p>
            <w:pPr>
              <w:ind w:left="1720"/>
              <w:spacing w:after="0"/>
              <w:rPr>
                <w:sz w:val="20"/>
                <w:szCs w:val="20"/>
                <w:color w:val="auto"/>
              </w:rPr>
            </w:pPr>
            <w:r>
              <w:rPr>
                <w:rFonts w:ascii="Arial" w:cs="Arial" w:eastAsia="Arial" w:hAnsi="Arial"/>
                <w:sz w:val="16"/>
                <w:szCs w:val="16"/>
                <w:color w:val="auto"/>
              </w:rPr>
              <w:t>Diarmaid Cunningham</w:t>
            </w: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Registered office</w:t>
            </w:r>
          </w:p>
        </w:tc>
        <w:tc>
          <w:tcPr>
            <w:tcW w:w="7440" w:type="dxa"/>
            <w:vAlign w:val="bottom"/>
          </w:tcPr>
          <w:p>
            <w:pPr>
              <w:ind w:left="1720"/>
              <w:spacing w:after="0"/>
              <w:rPr>
                <w:sz w:val="20"/>
                <w:szCs w:val="20"/>
                <w:color w:val="auto"/>
              </w:rPr>
            </w:pPr>
            <w:r>
              <w:rPr>
                <w:rFonts w:ascii="Arial" w:cs="Arial" w:eastAsia="Arial" w:hAnsi="Arial"/>
                <w:sz w:val="16"/>
                <w:szCs w:val="16"/>
                <w:color w:val="auto"/>
              </w:rPr>
              <w:t>South County Business Park</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Leopardstown</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Dublin 18</w:t>
            </w: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Auditor</w:t>
            </w:r>
          </w:p>
        </w:tc>
        <w:tc>
          <w:tcPr>
            <w:tcW w:w="7440" w:type="dxa"/>
            <w:vAlign w:val="bottom"/>
          </w:tcPr>
          <w:p>
            <w:pPr>
              <w:ind w:left="1720"/>
              <w:spacing w:after="0"/>
              <w:rPr>
                <w:sz w:val="20"/>
                <w:szCs w:val="20"/>
                <w:color w:val="auto"/>
              </w:rPr>
            </w:pPr>
            <w:r>
              <w:rPr>
                <w:rFonts w:ascii="Arial" w:cs="Arial" w:eastAsia="Arial" w:hAnsi="Arial"/>
                <w:sz w:val="16"/>
                <w:szCs w:val="16"/>
                <w:color w:val="auto"/>
              </w:rPr>
              <w:t>KPMG</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Chartered Accountants</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1 Stokes Place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St. Stephen’s Green</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Dublin 2</w:t>
            </w: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Solicitors</w:t>
            </w:r>
          </w:p>
        </w:tc>
        <w:tc>
          <w:tcPr>
            <w:tcW w:w="7440" w:type="dxa"/>
            <w:vAlign w:val="bottom"/>
          </w:tcPr>
          <w:p>
            <w:pPr>
              <w:ind w:left="1720"/>
              <w:spacing w:after="0"/>
              <w:rPr>
                <w:sz w:val="20"/>
                <w:szCs w:val="20"/>
                <w:color w:val="auto"/>
              </w:rPr>
            </w:pPr>
            <w:r>
              <w:rPr>
                <w:rFonts w:ascii="Arial" w:cs="Arial" w:eastAsia="Arial" w:hAnsi="Arial"/>
                <w:sz w:val="16"/>
                <w:szCs w:val="16"/>
                <w:color w:val="auto"/>
              </w:rPr>
              <w:t>A &amp; L Goodbody</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International Financial Services Centre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North Wall Quay</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Dublin 1</w:t>
            </w:r>
          </w:p>
        </w:tc>
      </w:tr>
      <w:tr>
        <w:trPr>
          <w:trHeight w:val="372"/>
        </w:trPr>
        <w:tc>
          <w:tcPr>
            <w:tcW w:w="4000" w:type="dxa"/>
            <w:vAlign w:val="bottom"/>
          </w:tcPr>
          <w:p>
            <w:pPr>
              <w:spacing w:after="0"/>
              <w:rPr>
                <w:sz w:val="24"/>
                <w:szCs w:val="24"/>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Cahill Gordon Reindel LLP</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80 Pine Street</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NY 10005</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USA</w:t>
            </w: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Registrars</w:t>
            </w:r>
          </w:p>
        </w:tc>
        <w:tc>
          <w:tcPr>
            <w:tcW w:w="7440" w:type="dxa"/>
            <w:vAlign w:val="bottom"/>
          </w:tcPr>
          <w:p>
            <w:pPr>
              <w:ind w:left="1720"/>
              <w:spacing w:after="0"/>
              <w:rPr>
                <w:sz w:val="20"/>
                <w:szCs w:val="20"/>
                <w:color w:val="auto"/>
              </w:rPr>
            </w:pPr>
            <w:r>
              <w:rPr>
                <w:rFonts w:ascii="Arial" w:cs="Arial" w:eastAsia="Arial" w:hAnsi="Arial"/>
                <w:sz w:val="16"/>
                <w:szCs w:val="16"/>
                <w:color w:val="auto"/>
              </w:rPr>
              <w:t>Computershare Investor Services (Ireland) Limited</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Herron House</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Corrig Road</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Sandyford Industrial Estate</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Dublin 18</w:t>
            </w:r>
          </w:p>
        </w:tc>
      </w:tr>
      <w:tr>
        <w:trPr>
          <w:trHeight w:val="372"/>
        </w:trPr>
        <w:tc>
          <w:tcPr>
            <w:tcW w:w="4000" w:type="dxa"/>
            <w:vAlign w:val="bottom"/>
          </w:tcPr>
          <w:p>
            <w:pPr>
              <w:spacing w:after="0"/>
              <w:rPr>
                <w:sz w:val="20"/>
                <w:szCs w:val="20"/>
                <w:color w:val="auto"/>
              </w:rPr>
            </w:pPr>
            <w:r>
              <w:rPr>
                <w:rFonts w:ascii="Arial" w:cs="Arial" w:eastAsia="Arial" w:hAnsi="Arial"/>
                <w:sz w:val="16"/>
                <w:szCs w:val="16"/>
                <w:b w:val="1"/>
                <w:bCs w:val="1"/>
                <w:color w:val="auto"/>
              </w:rPr>
              <w:t>Bankers</w:t>
            </w:r>
          </w:p>
        </w:tc>
        <w:tc>
          <w:tcPr>
            <w:tcW w:w="7440" w:type="dxa"/>
            <w:vAlign w:val="bottom"/>
          </w:tcPr>
          <w:p>
            <w:pPr>
              <w:ind w:left="1720"/>
              <w:spacing w:after="0"/>
              <w:rPr>
                <w:sz w:val="20"/>
                <w:szCs w:val="20"/>
                <w:color w:val="auto"/>
              </w:rPr>
            </w:pPr>
            <w:r>
              <w:rPr>
                <w:rFonts w:ascii="Arial" w:cs="Arial" w:eastAsia="Arial" w:hAnsi="Arial"/>
                <w:sz w:val="16"/>
                <w:szCs w:val="16"/>
                <w:color w:val="auto"/>
              </w:rPr>
              <w:t>Citibank</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Canada Square Canary Warf</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London E14 5LB</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United Kingdom</w:t>
            </w:r>
          </w:p>
        </w:tc>
      </w:tr>
      <w:tr>
        <w:trPr>
          <w:trHeight w:val="372"/>
        </w:trPr>
        <w:tc>
          <w:tcPr>
            <w:tcW w:w="4000" w:type="dxa"/>
            <w:vAlign w:val="bottom"/>
          </w:tcPr>
          <w:p>
            <w:pPr>
              <w:spacing w:after="0"/>
              <w:rPr>
                <w:sz w:val="24"/>
                <w:szCs w:val="24"/>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JP Morgan Chase Bank N.A.</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4 New York Plaza</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New York</w:t>
            </w:r>
          </w:p>
        </w:tc>
      </w:tr>
      <w:tr>
        <w:trPr>
          <w:trHeight w:val="192"/>
        </w:trPr>
        <w:tc>
          <w:tcPr>
            <w:tcW w:w="4000" w:type="dxa"/>
            <w:vAlign w:val="bottom"/>
          </w:tcPr>
          <w:p>
            <w:pPr>
              <w:spacing w:after="0"/>
              <w:rPr>
                <w:sz w:val="16"/>
                <w:szCs w:val="16"/>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NY 10004</w:t>
            </w:r>
          </w:p>
        </w:tc>
      </w:tr>
      <w:tr>
        <w:trPr>
          <w:trHeight w:val="205"/>
        </w:trPr>
        <w:tc>
          <w:tcPr>
            <w:tcW w:w="4000" w:type="dxa"/>
            <w:vAlign w:val="bottom"/>
          </w:tcPr>
          <w:p>
            <w:pPr>
              <w:spacing w:after="0"/>
              <w:rPr>
                <w:sz w:val="17"/>
                <w:szCs w:val="17"/>
                <w:color w:val="auto"/>
              </w:rPr>
            </w:pPr>
          </w:p>
        </w:tc>
        <w:tc>
          <w:tcPr>
            <w:tcW w:w="7440" w:type="dxa"/>
            <w:vAlign w:val="bottom"/>
          </w:tcPr>
          <w:p>
            <w:pPr>
              <w:ind w:left="1720"/>
              <w:spacing w:after="0"/>
              <w:rPr>
                <w:sz w:val="20"/>
                <w:szCs w:val="20"/>
                <w:color w:val="auto"/>
              </w:rPr>
            </w:pPr>
            <w:r>
              <w:rPr>
                <w:rFonts w:ascii="Arial" w:cs="Arial" w:eastAsia="Arial" w:hAnsi="Arial"/>
                <w:sz w:val="16"/>
                <w:szCs w:val="16"/>
                <w:color w:val="auto"/>
              </w:rPr>
              <w:t>USA</w:t>
            </w:r>
          </w:p>
        </w:tc>
      </w:tr>
      <w:tr>
        <w:trPr>
          <w:trHeight w:val="348"/>
        </w:trPr>
        <w:tc>
          <w:tcPr>
            <w:tcW w:w="4000" w:type="dxa"/>
            <w:vAlign w:val="bottom"/>
          </w:tcPr>
          <w:p>
            <w:pPr>
              <w:spacing w:after="0"/>
              <w:rPr>
                <w:sz w:val="24"/>
                <w:szCs w:val="24"/>
                <w:color w:val="auto"/>
              </w:rPr>
            </w:pPr>
          </w:p>
        </w:tc>
        <w:tc>
          <w:tcPr>
            <w:tcW w:w="7440" w:type="dxa"/>
            <w:vAlign w:val="bottom"/>
          </w:tcPr>
          <w:p>
            <w:pPr>
              <w:ind w:left="1680"/>
              <w:spacing w:after="0"/>
              <w:rPr>
                <w:sz w:val="20"/>
                <w:szCs w:val="20"/>
                <w:color w:val="auto"/>
              </w:rPr>
            </w:pPr>
            <w:r>
              <w:rPr>
                <w:rFonts w:ascii="Arial" w:cs="Arial" w:eastAsia="Arial" w:hAnsi="Arial"/>
                <w:sz w:val="16"/>
                <w:szCs w:val="16"/>
                <w:color w:val="auto"/>
              </w:rPr>
              <w:t>2</w:t>
            </w:r>
          </w:p>
        </w:tc>
      </w:tr>
      <w:tr>
        <w:trPr>
          <w:trHeight w:val="52"/>
        </w:trPr>
        <w:tc>
          <w:tcPr>
            <w:tcW w:w="4000" w:type="dxa"/>
            <w:vAlign w:val="bottom"/>
            <w:tcBorders>
              <w:bottom w:val="single" w:sz="8" w:color="auto"/>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Directors’ Report</w:t>
      </w:r>
    </w:p>
    <w:p>
      <w:pPr>
        <w:spacing w:after="0" w:line="222"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2016.</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76"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These consolidated and Company financial statements (together “the financial statements”) for the year ended 31 December 2016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121 to 124 of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activities, business review and future developments</w:t>
      </w:r>
    </w:p>
    <w:p>
      <w:pPr>
        <w:spacing w:after="0" w:line="228"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Group’s mission is to accelerate the development of drugs and devices that save lives and improve the quality of life. Our vision is to be the Global CRO partner of choice for the Biopharma industry by delivering best in class information, solutions and performance in clinical and outcomes research.</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2016, the Group had approximately 12,500 employees, in 87 locations in 38 countries. During the year ended 31 December 2016, the Group derived approximately 45.8%, 43.4% and 10.8% of its net revenue in the United States, Europe and Rest of World, respectively.</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meet the evolving needs of our clients we continue to enhance our capabilities through both organic service development and targeted acquisitions. During 2016 we established a dedicated global group focused on development services in the growing medical device market. We also continued to enhance our scientific and therapeutic expertise to support our customers in the overall formation of their development strategies for new products. Some examples of the enhancements made during 2016 include the development of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specialized Oncology sites whilst also extending our internal oncology expertise within our consulting and project management groups.</w:t>
      </w:r>
    </w:p>
    <w:p>
      <w:pPr>
        <w:spacing w:after="0" w:line="193"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We also continue to build our positions in emerging markets and have expanded our presence in regions such as Asia-Pacific, in particular in China and Japan, as is evident from recent acquisitions of Niphix, the Japanese subsidiary of Aptiv Solutions and BeijingWits Medical Limited, a leading Chinese CRO. We also added scale and capabilities to our commercialisation and outcomes service offering in the US through the acquisition of Medimedia Pharma Solutions on 27 February 2015.</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activity</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15 September 2016, a subsidiary of the Company, ICON US Holdings Inc. acquired Clinical Research Management, Inc. (“ClinicalRM”) which resulted in initial net cash outflows of $52.4 million (including certain payments made on behalf of ClinicalRM totaling $9.2 million). Further consideration of up to $12 million is payable if certain performance milestones are met in respect of the periods to December 2017. ClinicalRM is a full-service CRO specialising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4 December 2015, Inclinix-PMG Holdings, Inc. (“PMG”) was acquired by ICON Clinical Research LLC a subsidiary of the Company, resulting in net cash outflows of $65.4 million. PMG is an integrated network of clinical research sites operating from 12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 care systems and community physician practices.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27 February 2015, a subsidiary of the Company; ICON Holdings Unlimited Company (formerly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programme</w:t>
      </w:r>
    </w:p>
    <w:p>
      <w:pPr>
        <w:spacing w:after="0" w:line="22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At 31 December 2016 a total of 1,429,187 ordinary shares were redeemed by the Company under this buyback programme for a total consideration of $110 million. All ordinary shares that were redeemed under the buyback programme were cancelled in accordance with the constitutional documents of the Company and the nominal value of these shares transferred to other undenominated capital as required under Irish Company Law.</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The second share buyback programme was completed in December 2015. During the year ended 31 December 2015, the Company redeemed a total of 6,198,481 ordinary shares under these programmes for total consideration of $457.9 million.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w:t>
      </w:r>
    </w:p>
    <w:p>
      <w:pPr>
        <w:spacing w:after="0" w:line="224"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On 27 July 2015, the Company entered into a 364 day bridge facility for $350 million with two financial institutions. The facility bore interest at LIBOR plus a margin and included certain guarantees and indemnities in favor of the financial institutions. As of 31 December 2015, the full amount of this facilityhad been repaid.</w:t>
      </w:r>
    </w:p>
    <w:p>
      <w:pPr>
        <w:spacing w:after="0" w:line="15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On 15 December 2015, the Company issued through its subsidiary ICON Investments Five Unlimited Company (the "Issuer") Senior Notes for aggregate gross proceeds of $350 million through a private placement. The Senior Notes will mature on 15 December 2020. Interest payable is fixed at 3.64% and is payable semi-annually on the Senior Notes on each 15 June and 15 December commencing on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w:t>
      </w:r>
    </w:p>
    <w:p>
      <w:pPr>
        <w:spacing w:after="0" w:line="192"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15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Company entered into an interest rate hedge in respect of the planned issuance of the Senior Notes in December 2015. The interest rate hedge matured in November 2015 when the interest rate on the Senior Notes was fixed. During the year ended 31 December 2015, cash proceeds of $4.6 million representing the realised gain on the interest rate hedge was received on maturity in November 2015 and recorded within Other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Future developments</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2017,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and dividends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year are as shown on page 15 of these financial statements. The Directors do not propose the payment of a dividend for the year ended 31 December 2016.</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172" w:lineRule="exact"/>
        <w:rPr>
          <w:sz w:val="20"/>
          <w:szCs w:val="20"/>
          <w:color w:val="auto"/>
        </w:rPr>
      </w:pPr>
    </w:p>
    <w:tbl>
      <w:tblPr>
        <w:tblLayout w:type="fixed"/>
        <w:tblInd w:w="7640" w:type="dxa"/>
        <w:tblCellMar>
          <w:top w:w="0" w:type="dxa"/>
          <w:left w:w="0" w:type="dxa"/>
          <w:bottom w:w="0" w:type="dxa"/>
          <w:right w:w="0" w:type="dxa"/>
        </w:tblCellMar>
      </w:tblPr>
      <w:tr>
        <w:trPr>
          <w:trHeight w:val="192"/>
        </w:trPr>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192"/>
        </w:trPr>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w w:val="86"/>
              </w:rPr>
              <w:t>31 December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31 December</w:t>
            </w:r>
          </w:p>
        </w:tc>
      </w:tr>
      <w:tr>
        <w:trPr>
          <w:trHeight w:val="209"/>
        </w:trPr>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jc w:val="center"/>
              <w:ind w:right="120"/>
              <w:spacing w:after="0" w:line="176" w:lineRule="exact"/>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As a percentage of net revenue</w:t>
            </w:r>
          </w:p>
        </w:tc>
        <w:tc>
          <w:tcPr>
            <w:tcW w:w="1240" w:type="dxa"/>
            <w:vAlign w:val="bottom"/>
          </w:tcPr>
          <w:p>
            <w:pPr>
              <w:jc w:val="center"/>
              <w:ind w:right="120"/>
              <w:spacing w:after="0"/>
              <w:rPr>
                <w:sz w:val="20"/>
                <w:szCs w:val="20"/>
                <w:color w:val="auto"/>
              </w:rPr>
            </w:pPr>
            <w:r>
              <w:rPr>
                <w:rFonts w:ascii="Arial" w:cs="Arial" w:eastAsia="Arial" w:hAnsi="Arial"/>
                <w:sz w:val="16"/>
                <w:szCs w:val="16"/>
                <w:b w:val="1"/>
                <w:bCs w:val="1"/>
                <w:color w:val="auto"/>
                <w:w w:val="85"/>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jc w:val="center"/>
              <w:ind w:right="100"/>
              <w:spacing w:after="0"/>
              <w:rPr>
                <w:sz w:val="20"/>
                <w:szCs w:val="20"/>
                <w:color w:val="auto"/>
              </w:rPr>
            </w:pPr>
            <w:r>
              <w:rPr>
                <w:rFonts w:ascii="Arial" w:cs="Arial" w:eastAsia="Arial" w:hAnsi="Arial"/>
                <w:sz w:val="16"/>
                <w:szCs w:val="16"/>
                <w:b w:val="1"/>
                <w:bCs w:val="1"/>
                <w:color w:val="auto"/>
                <w:w w:val="91"/>
              </w:rPr>
              <w:t>in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Direct costs (excluding exceptional items)</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57.7%</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operating expenses (excluding exceptional items)</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23.1%</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profit (excluding exceptional items)</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19.2%</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Exceptional items (before taxation)</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profit (including exceptional items)</w:t>
            </w:r>
          </w:p>
        </w:tc>
        <w:tc>
          <w:tcPr>
            <w:tcW w:w="45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18.7%</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520" w:type="dxa"/>
            <w:vAlign w:val="bottom"/>
          </w:tcPr>
          <w:p>
            <w:pPr>
              <w:jc w:val="right"/>
              <w:ind w:right="3300"/>
              <w:spacing w:after="0"/>
              <w:rPr>
                <w:sz w:val="20"/>
                <w:szCs w:val="20"/>
                <w:color w:val="auto"/>
              </w:rPr>
            </w:pPr>
            <w:r>
              <w:rPr>
                <w:rFonts w:ascii="Arial" w:cs="Arial" w:eastAsia="Arial" w:hAnsi="Arial"/>
                <w:sz w:val="16"/>
                <w:szCs w:val="16"/>
                <w:color w:val="auto"/>
              </w:rPr>
              <w:t>5</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Results and dividends </w:t>
      </w:r>
      <w:r>
        <w:rPr>
          <w:rFonts w:ascii="Arial" w:cs="Arial" w:eastAsia="Arial" w:hAnsi="Arial"/>
          <w:sz w:val="16"/>
          <w:szCs w:val="16"/>
          <w:b w:val="1"/>
          <w:bCs w:val="1"/>
          <w:i w:val="1"/>
          <w:iCs w:val="1"/>
          <w:color w:val="auto"/>
        </w:rPr>
        <w:t>(continued)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Twelve months ended 31 December 2016 compared to twelve months ended 31 December 2015</w:t>
      </w:r>
    </w:p>
    <w:p>
      <w:pPr>
        <w:spacing w:after="0" w:line="228"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Net revenue for the year increased by $91.5 million, or 5.8%, from $1,575.0 million for the year ended 31 December 2015 to $1,666.5 million for the year ended 31 December 2016. For the year ended 31 December 2016 we derived approximately 45.8%, 43.4% and 10.8% of our net revenue in the United States, Europe and Rest of World, respectively.</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Direct costs for the year ended 31 December 2016 increased by $52.6 million, or 5.8%, from $909.0 million for the year ended 31 December 2015 to $961.6 million for the year ended 31 December 2016 (excluding exceptional items). Direct costs consist primarily of compensation, associated fringe benefits and share based compensation expense for project-related employees and other direct project driven costs. The increase in direct costs during the period arose due to an increase in headcount and a corresponding increase in personnel related expenditure of $59.5 million combined with an increase in laboratory costs of $4.8 million. These were offset by a decrease in other direct project related costs of $8.2 million and a decrease in travel related costs of $3.8 million. As a percentage of net revenue, direct costs have remained at 57.7% for the year ended 31 December 2015 and for the year ended 31 December 2016.</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operating expenses for the year ended 31 December 2016 increased by $0.8 million, or 0.2%, from $384.0 million for the year ended 31 December 2015 to $384.8 million for the year ended 31 December 2016 (excluding exceptional items). Other operating costs are primarily comprised of compensation, related fringe benefits, share compensation for non project related employees, recruitment expenses, professional service costs and advertising costs. The movement arose primarily from an increase in personnel related expenditure of $8.3 million, a decrease in facilities and related costs of $2.9 million and a decrease in general and administrative expenses net of foreign exchange movements of $6.5 million. As a percentage of net revenue, other operating expenses, decreased from 24.4% for the year ended 31 December 2015 to 23.1% for the year ended 31 December 2016 (excluding exceptional items).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During the year ended 31 December 2016 a restructuring plan was implemented to improve operating efficiencies resulting in recognition of an exceptional charge of $8.2 million (pre-tax). The restructuring plan includes the cost of resource rationalisations in certain areas of the business to improve utilisation (resulting in a charge of $6.2 million), and office consolidation (resulting in the recognition of an onerous lease obligation of $2.0 million).</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Operating profit increased by $29.8 million, or 10.6%, from $282.1 million for the year ended 31 December 2015 to $311.9 million for the year ended 31 December 2016 ($320.1 million, or 13.5% excluding exceptional items). As a percentage of net revenue, income from operations increased from 17.9% of net revenues for year ended 31 December 2015 to 18.7% of net revenues for year ended 31 December 2016 (19.2% excluding exceptional items).</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Financing expense for the period increased from $4.0 million for the year ended 31 December 2015 to $13.0 million for the year ended 31 December 2016. This increase primarily reflects the drawdown of the Senior Notes of $350 million issued in December 2015 resulting in a full year’s interest expense in 2016. Financing income for the year increased from $1.3 million for the year ended 31 December 2015 to $1.5 million for the year ended 31 December 2016.</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Income tax expense for the period decreased to $32.4 million for the year ended 31 December 2016 from $39.4 million for the year ended 31 December 2015. The Company’s effective tax rate for the year ended 31 December 2016 was 10.8% (10.8% excluding the effect of exceptional items) compared with 14.1% for the year ended 31 December 2015. The Company’s effective tax rate is principally a function of the distribution of pre-tax profits in the territories in which it operates.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and uncertainties</w:t>
      </w:r>
    </w:p>
    <w:p>
      <w:pPr>
        <w:spacing w:after="0" w:line="228"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Under Irish Company Law (Section 327 of the Companies Act 2014 ‘the Companies Act’), the Directors are required to give a description of the principal risks and uncertainties which it faces. Details of the principal risks and uncertainties facing the Group are set out in Appendix A of this annual report and form an integral part of the Directors’ Report.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 w:name="page22"/>
    <w:bookmarkEnd w:id="21"/>
    <w:p>
      <w:pPr>
        <w:ind w:left="4"/>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Financial risk management</w:t>
      </w:r>
    </w:p>
    <w:p>
      <w:pPr>
        <w:spacing w:after="0" w:line="228" w:lineRule="exact"/>
        <w:rPr>
          <w:sz w:val="20"/>
          <w:szCs w:val="20"/>
          <w:color w:val="auto"/>
        </w:rPr>
      </w:pPr>
    </w:p>
    <w:p>
      <w:pPr>
        <w:jc w:val="both"/>
        <w:ind w:left="4" w:right="20"/>
        <w:spacing w:after="0" w:line="274" w:lineRule="auto"/>
        <w:rPr>
          <w:sz w:val="20"/>
          <w:szCs w:val="20"/>
          <w:color w:val="auto"/>
        </w:rPr>
      </w:pPr>
      <w:r>
        <w:rPr>
          <w:rFonts w:ascii="Arial" w:cs="Arial" w:eastAsia="Arial" w:hAnsi="Arial"/>
          <w:sz w:val="15"/>
          <w:szCs w:val="15"/>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principal financial risks facing the Group include currency rate risk, interest rate risk, credit risk and liquidity risk. Further details of which are set out in note 26 to the Consolidated financial statements and note 11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83"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The Group maintains a strong balance sheet. The Group maintains both committed and uncommitted credit lines with its relationship banks. On 15 December 2015, the Group entered into a Note Purchase Agreement in respect of an aggregate gross proceeds of $350 million. The interest rate on the Senior Notes was fixed at 3.64%. The Group entered into an interest rate hedge in anticipation of the drawdown of the Senior Notes the proceeds of which were received in November 2015. This interest rate hedge qualified for hedge accounting under IAS 39. The gain on the hedge is being amortised in the Income Statement over the term of the Senior Notes, resulting in an offset to the interest payable cost on the notes. The effective rate on our 5 year Senior Notes is fixed at 3.37%.</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Subsequent events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Details of subsequent events are set out in note 31 to the financial statements.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Directors and Secretary</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members of the Board of Directors during the year are included in note 9 to the Consolidated financial statements.</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Mr. Ronan Murphy was appointed as a Director of the Company on 18 October 2016. Mr. Thomas Lynch retired as Chairman of the Board on 31 March 2016 and retired as a Director of the Board on 22 July 2016.</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information concerning the composition of the Company’s Board committees as of 31 December 2016:</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82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Position</w:t>
            </w:r>
          </w:p>
        </w:tc>
      </w:tr>
      <w:tr>
        <w:trPr>
          <w:trHeight w:val="180"/>
        </w:trPr>
        <w:tc>
          <w:tcPr>
            <w:tcW w:w="3180" w:type="dxa"/>
            <w:vAlign w:val="bottom"/>
          </w:tcPr>
          <w:p>
            <w:pPr>
              <w:spacing w:after="0" w:line="180" w:lineRule="exact"/>
              <w:rPr>
                <w:sz w:val="20"/>
                <w:szCs w:val="20"/>
                <w:color w:val="auto"/>
              </w:rPr>
            </w:pPr>
            <w:r>
              <w:rPr>
                <w:rFonts w:ascii="Arial" w:cs="Arial" w:eastAsia="Arial" w:hAnsi="Arial"/>
                <w:sz w:val="16"/>
                <w:szCs w:val="16"/>
                <w:color w:val="auto"/>
              </w:rPr>
              <w:t>Ciaran Murray (1)(5)</w:t>
            </w:r>
          </w:p>
        </w:tc>
        <w:tc>
          <w:tcPr>
            <w:tcW w:w="8260" w:type="dxa"/>
            <w:vAlign w:val="bottom"/>
          </w:tcPr>
          <w:p>
            <w:pPr>
              <w:ind w:left="940"/>
              <w:spacing w:after="0" w:line="180" w:lineRule="exact"/>
              <w:rPr>
                <w:sz w:val="20"/>
                <w:szCs w:val="20"/>
                <w:color w:val="auto"/>
              </w:rPr>
            </w:pPr>
            <w:r>
              <w:rPr>
                <w:rFonts w:ascii="Arial" w:cs="Arial" w:eastAsia="Arial" w:hAnsi="Arial"/>
                <w:sz w:val="16"/>
                <w:szCs w:val="16"/>
                <w:color w:val="auto"/>
              </w:rPr>
              <w:t>Chief Executive Officer, Director and Executive Chairman designate</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Dr. Steve Cutler (1)</w:t>
            </w:r>
          </w:p>
        </w:tc>
        <w:tc>
          <w:tcPr>
            <w:tcW w:w="8260" w:type="dxa"/>
            <w:vAlign w:val="bottom"/>
          </w:tcPr>
          <w:p>
            <w:pPr>
              <w:ind w:left="940"/>
              <w:spacing w:after="0"/>
              <w:rPr>
                <w:sz w:val="20"/>
                <w:szCs w:val="20"/>
                <w:color w:val="auto"/>
              </w:rPr>
            </w:pPr>
            <w:r>
              <w:rPr>
                <w:rFonts w:ascii="Arial" w:cs="Arial" w:eastAsia="Arial" w:hAnsi="Arial"/>
                <w:sz w:val="16"/>
                <w:szCs w:val="16"/>
                <w:color w:val="auto"/>
              </w:rPr>
              <w:t>Chief Operating Officer, Director and Chief Executive Officer designate</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Professor Hugh Brady</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Dr. John Climax (6)</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Professor William Hall (2)(3)(4)(6)</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Professor Dermot Kelleher (3)(6)</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Dr. Ronan Lambe (6)</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Declan McKeon (2)(3)(4)(5)</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 and Acting Chairman</w:t>
            </w: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Ronan Murphy (2)(3)(4)</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r>
        <w:trPr>
          <w:trHeight w:val="205"/>
        </w:trPr>
        <w:tc>
          <w:tcPr>
            <w:tcW w:w="3180" w:type="dxa"/>
            <w:vAlign w:val="bottom"/>
          </w:tcPr>
          <w:p>
            <w:pPr>
              <w:spacing w:after="0"/>
              <w:rPr>
                <w:sz w:val="20"/>
                <w:szCs w:val="20"/>
                <w:color w:val="auto"/>
              </w:rPr>
            </w:pPr>
            <w:r>
              <w:rPr>
                <w:rFonts w:ascii="Arial" w:cs="Arial" w:eastAsia="Arial" w:hAnsi="Arial"/>
                <w:sz w:val="16"/>
                <w:szCs w:val="16"/>
                <w:color w:val="auto"/>
              </w:rPr>
              <w:t>Mary Pendergast (2)(6)</w:t>
            </w:r>
          </w:p>
        </w:tc>
        <w:tc>
          <w:tcPr>
            <w:tcW w:w="8260" w:type="dxa"/>
            <w:vAlign w:val="bottom"/>
          </w:tcPr>
          <w:p>
            <w:pPr>
              <w:ind w:left="940"/>
              <w:spacing w:after="0"/>
              <w:rPr>
                <w:sz w:val="20"/>
                <w:szCs w:val="20"/>
                <w:color w:val="auto"/>
              </w:rPr>
            </w:pPr>
            <w:r>
              <w:rPr>
                <w:rFonts w:ascii="Arial" w:cs="Arial" w:eastAsia="Arial" w:hAnsi="Arial"/>
                <w:sz w:val="16"/>
                <w:szCs w:val="16"/>
                <w:color w:val="auto"/>
              </w:rPr>
              <w:t>Director</w:t>
            </w:r>
          </w:p>
        </w:tc>
      </w:tr>
    </w:tbl>
    <w:p>
      <w:pPr>
        <w:spacing w:after="0" w:line="180" w:lineRule="exact"/>
        <w:rPr>
          <w:sz w:val="20"/>
          <w:szCs w:val="20"/>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Executive Officer of the Company.</w:t>
      </w:r>
    </w:p>
    <w:p>
      <w:pPr>
        <w:spacing w:after="0" w:line="20"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8"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8"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Nominating and Governance Committee.</w:t>
      </w:r>
    </w:p>
    <w:p>
      <w:pPr>
        <w:spacing w:after="0" w:line="8"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8"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Quality Committee.</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Details required by Companies Act 2014, section 329, of Directors’ interests in the Group’s shares are set out in note 9 to the financial statements. Mr Tom Lynch resigned as a Director on 22 July 2016. Mr Ronan Murphy was appointed to the Board on 18 October 2016. All other Directors served for the entire year.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remuneration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Directors’ remuneration and interests are set out in note 3 and 9 to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power to purchase and allot company shares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19 September 2014 the Company announced that it had completed a $40 million redemption of the Company’s ordinary shares and that it had entered into a further programme under which the Company can acquire up to an additional $100 million of its outstanding ordinary shares (by way of redemption), in accordance with United States securities laws through open market share acquisitions.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Further details of the above share repurchase programmes can be found in note 24 to the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and Obligations attaching to the Company’s shares</w:t>
      </w:r>
    </w:p>
    <w:p>
      <w:pPr>
        <w:spacing w:after="0" w:line="228"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 authorised share capital of the Company is €6,000,000 divided into 100,000,000 ordinary shares of €0.06 at 31 December 2016.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of control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Certain of the Group’s customer contracts allow the customer to terminate the contract in the event of a change in control of the Company.</w:t>
      </w:r>
    </w:p>
    <w:p>
      <w:pPr>
        <w:spacing w:after="0" w:line="200"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The Group has negotiated a banking facility with a number of financial institutions, details of which are set out in note 23 to the financial statements. This facility requires repayment in the event that the Company becomes controlled by any person or persons acting in concert by whom it was not controlled at the date the facility was entered into.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28"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224" w:lineRule="exact"/>
        <w:rPr>
          <w:sz w:val="20"/>
          <w:szCs w:val="20"/>
          <w:color w:val="auto"/>
        </w:rPr>
      </w:pPr>
    </w:p>
    <w:p>
      <w:pPr>
        <w:jc w:val="both"/>
        <w:ind w:left="860" w:hanging="287"/>
        <w:spacing w:after="0" w:line="282" w:lineRule="auto"/>
        <w:tabs>
          <w:tab w:leader="none" w:pos="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74" w:lineRule="exact"/>
        <w:rPr>
          <w:rFonts w:ascii="Arial" w:cs="Arial" w:eastAsia="Arial" w:hAnsi="Arial"/>
          <w:sz w:val="15"/>
          <w:szCs w:val="15"/>
          <w:color w:val="auto"/>
        </w:rPr>
      </w:pPr>
    </w:p>
    <w:p>
      <w:pPr>
        <w:jc w:val="both"/>
        <w:ind w:left="860" w:hanging="287"/>
        <w:spacing w:after="0" w:line="308" w:lineRule="auto"/>
        <w:tabs>
          <w:tab w:leader="none" w:pos="8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158" w:lineRule="exact"/>
        <w:rPr>
          <w:rFonts w:ascii="Arial" w:cs="Arial" w:eastAsia="Arial" w:hAnsi="Arial"/>
          <w:sz w:val="14"/>
          <w:szCs w:val="14"/>
          <w:color w:val="auto"/>
        </w:rPr>
      </w:pPr>
    </w:p>
    <w:p>
      <w:pPr>
        <w:jc w:val="both"/>
        <w:ind w:left="860" w:right="20" w:hanging="287"/>
        <w:spacing w:after="0" w:line="264"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practices with regard to these requirements are not prohibited by Irish law.</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currently comprises of the following four independent Directors: Declan McKeon (Chairman), Professor Dermot Kelleher, Professor William Hall, and Ronan Murphy. Thomas Lynch served as a member of the Committee during 2016 until his retirement from the Board on 22 July 2016. Ronan Murphy joined the Committee on 18 October 2016.</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4" w:name="page25"/>
    <w:bookmarkEnd w:id="24"/>
    <w:p>
      <w:pPr>
        <w:ind w:left="4"/>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Significant shareholdings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has been notified of the following shareholdings in excess of 3% of the issued share capital of the Company as at 31 December 2016:</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88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40"/>
              <w:spacing w:after="0"/>
              <w:rPr>
                <w:sz w:val="20"/>
                <w:szCs w:val="20"/>
                <w:color w:val="auto"/>
              </w:rPr>
            </w:pPr>
            <w:r>
              <w:rPr>
                <w:rFonts w:ascii="Arial" w:cs="Arial" w:eastAsia="Arial" w:hAnsi="Arial"/>
                <w:sz w:val="16"/>
                <w:szCs w:val="16"/>
                <w:b w:val="1"/>
                <w:bCs w:val="1"/>
                <w:color w:val="auto"/>
              </w:rPr>
              <w:t>Number of Shares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Neuberger Berman LLC</w:t>
            </w:r>
          </w:p>
        </w:tc>
        <w:tc>
          <w:tcPr>
            <w:tcW w:w="3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6.43</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3,506,496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Wellington Management Company LLP</w:t>
            </w:r>
          </w:p>
        </w:tc>
        <w:tc>
          <w:tcPr>
            <w:tcW w:w="3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6.42</w:t>
            </w: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3,502,108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WCM Investment Management</w:t>
            </w:r>
          </w:p>
        </w:tc>
        <w:tc>
          <w:tcPr>
            <w:tcW w:w="3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6.31</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3,439,710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EARNEST Partners LLC</w:t>
            </w:r>
          </w:p>
        </w:tc>
        <w:tc>
          <w:tcPr>
            <w:tcW w:w="3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6.10</w:t>
            </w: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3,328,111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All Directors and Officers as a group (1)</w:t>
            </w:r>
          </w:p>
        </w:tc>
        <w:tc>
          <w:tcPr>
            <w:tcW w:w="3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4.69</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2,559,954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AllianceBernstein LP</w:t>
            </w:r>
          </w:p>
        </w:tc>
        <w:tc>
          <w:tcPr>
            <w:tcW w:w="3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4.45</w:t>
            </w: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2,428,154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Acadian Asset Management LLC</w:t>
            </w:r>
          </w:p>
        </w:tc>
        <w:tc>
          <w:tcPr>
            <w:tcW w:w="3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4.19</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2,282,150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Wasatch Advisors Inc</w:t>
            </w:r>
          </w:p>
        </w:tc>
        <w:tc>
          <w:tcPr>
            <w:tcW w:w="3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3.31</w:t>
            </w: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1,805,776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Boston Partners</w:t>
            </w:r>
          </w:p>
        </w:tc>
        <w:tc>
          <w:tcPr>
            <w:tcW w:w="38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3.02</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1,644,720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888,015 ordinary shares issuable upon the exercise of stock options granted by the Company, 80,560 restricted stock units (“RSUs”) awarded by the Company to directors, officers and other key employees and 540,670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Subsidiary undertakings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information required by the Companies Act in relation to subsidiary undertakings is presented in note 32 to the financial statements.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Political donations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Group made no disclosable political donations in the period.</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Going concern</w:t>
      </w:r>
    </w:p>
    <w:p>
      <w:pPr>
        <w:spacing w:after="0" w:line="228"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Accounting records</w:t>
      </w:r>
    </w:p>
    <w:p>
      <w:pPr>
        <w:spacing w:after="0" w:line="228"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registerd office at Leopardstown, Dublin 18.</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Statement of relevant audit information</w:t>
      </w:r>
    </w:p>
    <w:p>
      <w:pPr>
        <w:spacing w:after="0" w:line="228" w:lineRule="exact"/>
        <w:rPr>
          <w:sz w:val="20"/>
          <w:szCs w:val="20"/>
          <w:color w:val="auto"/>
        </w:rPr>
      </w:pPr>
    </w:p>
    <w:p>
      <w:pPr>
        <w:jc w:val="both"/>
        <w:ind w:left="4" w:right="20"/>
        <w:spacing w:after="0" w:line="312" w:lineRule="auto"/>
        <w:rPr>
          <w:sz w:val="20"/>
          <w:szCs w:val="20"/>
          <w:color w:val="auto"/>
        </w:rPr>
      </w:pPr>
      <w:r>
        <w:rPr>
          <w:rFonts w:ascii="Arial" w:cs="Arial" w:eastAsia="Arial" w:hAnsi="Arial"/>
          <w:sz w:val="15"/>
          <w:szCs w:val="15"/>
          <w:color w:val="auto"/>
        </w:rPr>
        <w:t>The Directors believe that they have taken all steps necessary to make themselves aware of any releveant audit information and have established that the Company's statutory auditors are aware of that information. In so far as they are aware, there is no relevant audit information of which the Company's statutory auditors are unaware.</w:t>
      </w:r>
    </w:p>
    <w:p>
      <w:pPr>
        <w:spacing w:after="0" w:line="30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 xml:space="preserve">Directors’ Report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compliance statement</w:t>
      </w: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Directors confirm that:</w:t>
      </w:r>
    </w:p>
    <w:p>
      <w:pPr>
        <w:spacing w:after="0" w:line="224"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compliance policy statement has been drawn up setting out the Company’s policies with regard to such compliance;</w:t>
      </w:r>
    </w:p>
    <w:p>
      <w:pPr>
        <w:spacing w:after="0" w:line="20" w:lineRule="exact"/>
        <w:rPr>
          <w:rFonts w:ascii="Arial" w:cs="Arial" w:eastAsia="Arial" w:hAnsi="Arial"/>
          <w:sz w:val="16"/>
          <w:szCs w:val="16"/>
          <w:color w:val="auto"/>
        </w:rPr>
      </w:pPr>
    </w:p>
    <w:p>
      <w:pPr>
        <w:ind w:left="580" w:right="20" w:hanging="296"/>
        <w:spacing w:after="0" w:line="250"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appropriate arrangements and structures that, in their opinion, are designed to secure material compliance with the Company’s relevant obligations, have been put in place; and</w:t>
      </w:r>
    </w:p>
    <w:p>
      <w:pPr>
        <w:spacing w:after="0" w:line="1" w:lineRule="exact"/>
        <w:rPr>
          <w:rFonts w:ascii="Arial" w:cs="Arial" w:eastAsia="Arial" w:hAnsi="Arial"/>
          <w:sz w:val="16"/>
          <w:szCs w:val="16"/>
          <w:color w:val="auto"/>
        </w:rPr>
      </w:pPr>
    </w:p>
    <w:p>
      <w:pPr>
        <w:ind w:left="580" w:right="20" w:hanging="296"/>
        <w:spacing w:after="0" w:line="26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review has been conducted, during the financial year, of the arrangements and structures that have been put in place to secure the Company’s compliance with the relevant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Section 383(2) of the Companies Act 2014, KPMG, Chartered Accountants, will continue in office.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 behalf of the Board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20"/>
                <w:szCs w:val="20"/>
                <w:color w:val="auto"/>
              </w:rPr>
            </w:pPr>
            <w:r>
              <w:rPr>
                <w:rFonts w:ascii="Arial" w:cs="Arial" w:eastAsia="Arial" w:hAnsi="Arial"/>
                <w:sz w:val="16"/>
                <w:szCs w:val="16"/>
                <w:color w:val="auto"/>
              </w:rPr>
              <w:t>Ciaran Murray</w:t>
            </w:r>
          </w:p>
        </w:tc>
        <w:tc>
          <w:tcPr>
            <w:tcW w:w="2700" w:type="dxa"/>
            <w:vAlign w:val="bottom"/>
          </w:tcPr>
          <w:p>
            <w:pPr>
              <w:ind w:left="500"/>
              <w:spacing w:after="0"/>
              <w:rPr>
                <w:sz w:val="20"/>
                <w:szCs w:val="20"/>
                <w:color w:val="auto"/>
              </w:rPr>
            </w:pPr>
            <w:r>
              <w:rPr>
                <w:rFonts w:ascii="Arial" w:cs="Arial" w:eastAsia="Arial" w:hAnsi="Arial"/>
                <w:sz w:val="16"/>
                <w:szCs w:val="16"/>
                <w:color w:val="auto"/>
              </w:rPr>
              <w:t>Declan McKeon</w:t>
            </w:r>
          </w:p>
        </w:tc>
        <w:tc>
          <w:tcPr>
            <w:tcW w:w="6940" w:type="dxa"/>
            <w:vAlign w:val="bottom"/>
          </w:tcPr>
          <w:p>
            <w:pPr>
              <w:jc w:val="right"/>
              <w:spacing w:after="0"/>
              <w:rPr>
                <w:sz w:val="20"/>
                <w:szCs w:val="20"/>
                <w:color w:val="auto"/>
              </w:rPr>
            </w:pPr>
            <w:r>
              <w:rPr>
                <w:rFonts w:ascii="Arial" w:cs="Arial" w:eastAsia="Arial" w:hAnsi="Arial"/>
                <w:sz w:val="16"/>
                <w:szCs w:val="16"/>
                <w:color w:val="auto"/>
              </w:rPr>
              <w:t>25 April, 2017</w:t>
            </w:r>
          </w:p>
        </w:tc>
      </w:tr>
      <w:tr>
        <w:trPr>
          <w:trHeight w:val="205"/>
        </w:trPr>
        <w:tc>
          <w:tcPr>
            <w:tcW w:w="1800" w:type="dxa"/>
            <w:vAlign w:val="bottom"/>
          </w:tcPr>
          <w:p>
            <w:pPr>
              <w:spacing w:after="0"/>
              <w:rPr>
                <w:sz w:val="20"/>
                <w:szCs w:val="20"/>
                <w:color w:val="auto"/>
              </w:rPr>
            </w:pPr>
            <w:r>
              <w:rPr>
                <w:rFonts w:ascii="Arial" w:cs="Arial" w:eastAsia="Arial" w:hAnsi="Arial"/>
                <w:sz w:val="16"/>
                <w:szCs w:val="16"/>
                <w:color w:val="auto"/>
              </w:rPr>
              <w:t>Executive Chairman</w:t>
            </w:r>
          </w:p>
        </w:tc>
        <w:tc>
          <w:tcPr>
            <w:tcW w:w="2700" w:type="dxa"/>
            <w:vAlign w:val="bottom"/>
          </w:tcPr>
          <w:p>
            <w:pPr>
              <w:ind w:left="500"/>
              <w:spacing w:after="0"/>
              <w:rPr>
                <w:sz w:val="20"/>
                <w:szCs w:val="20"/>
                <w:color w:val="auto"/>
              </w:rPr>
            </w:pPr>
            <w:r>
              <w:rPr>
                <w:rFonts w:ascii="Arial" w:cs="Arial" w:eastAsia="Arial" w:hAnsi="Arial"/>
                <w:sz w:val="16"/>
                <w:szCs w:val="16"/>
                <w:color w:val="auto"/>
              </w:rPr>
              <w:t>Director</w:t>
            </w:r>
          </w:p>
        </w:tc>
        <w:tc>
          <w:tcPr>
            <w:tcW w:w="6940" w:type="dxa"/>
            <w:vAlign w:val="bottom"/>
          </w:tcPr>
          <w:p>
            <w:pPr>
              <w:spacing w:after="0"/>
              <w:rPr>
                <w:sz w:val="17"/>
                <w:szCs w:val="17"/>
                <w:color w:val="auto"/>
              </w:rPr>
            </w:pPr>
          </w:p>
        </w:tc>
      </w:tr>
      <w:tr>
        <w:trPr>
          <w:trHeight w:val="565"/>
        </w:trPr>
        <w:tc>
          <w:tcPr>
            <w:tcW w:w="1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940" w:type="dxa"/>
            <w:vAlign w:val="bottom"/>
          </w:tcPr>
          <w:p>
            <w:pPr>
              <w:jc w:val="right"/>
              <w:ind w:right="5560"/>
              <w:spacing w:after="0"/>
              <w:rPr>
                <w:sz w:val="20"/>
                <w:szCs w:val="20"/>
                <w:color w:val="auto"/>
              </w:rPr>
            </w:pPr>
            <w:r>
              <w:rPr>
                <w:rFonts w:ascii="Arial" w:cs="Arial" w:eastAsia="Arial" w:hAnsi="Arial"/>
                <w:sz w:val="16"/>
                <w:szCs w:val="16"/>
                <w:color w:val="auto"/>
              </w:rPr>
              <w:t>11</w:t>
            </w:r>
          </w:p>
        </w:tc>
      </w:tr>
      <w:tr>
        <w:trPr>
          <w:trHeight w:val="52"/>
        </w:trPr>
        <w:tc>
          <w:tcPr>
            <w:tcW w:w="18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26" w:name="page27"/>
    <w:bookmarkEnd w:id="26"/>
    <w:p>
      <w:pPr>
        <w:ind w:left="4"/>
        <w:spacing w:after="0"/>
        <w:rPr>
          <w:sz w:val="20"/>
          <w:szCs w:val="20"/>
          <w:color w:val="auto"/>
        </w:rPr>
      </w:pPr>
      <w:r>
        <w:rPr>
          <w:rFonts w:ascii="Arial" w:cs="Arial" w:eastAsia="Arial" w:hAnsi="Arial"/>
          <w:sz w:val="16"/>
          <w:szCs w:val="16"/>
          <w:b w:val="1"/>
          <w:bCs w:val="1"/>
          <w:color w:val="auto"/>
        </w:rPr>
        <w:t>Statement of Directors’ Responsibilities in respect of the Directors’ report and the financial statements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Directors are responsible for preparing the Directors' Report and the financial statements in accordance with applicable law and regulations.</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Company law requires the Directors to prepare financial statements for each financial year. Under that law they have elected to prepare the Group and Company financial statements in accordance with International Financial Reporting Standards (IFRS) as adopted by the EU and applicable law.</w:t>
      </w:r>
    </w:p>
    <w:p>
      <w:pPr>
        <w:spacing w:after="0" w:line="176"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each of the Group and Company financial statements, the Directors are required to:</w:t>
      </w:r>
    </w:p>
    <w:p>
      <w:pPr>
        <w:spacing w:after="0" w:line="186" w:lineRule="exact"/>
        <w:rPr>
          <w:sz w:val="20"/>
          <w:szCs w:val="20"/>
          <w:color w:val="auto"/>
        </w:rPr>
      </w:pPr>
    </w:p>
    <w:p>
      <w:pPr>
        <w:ind w:left="264" w:hanging="264"/>
        <w:spacing w:after="0"/>
        <w:tabs>
          <w:tab w:leader="none" w:pos="2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select suitable accounting policies and then apply them consistently;</w:t>
      </w:r>
    </w:p>
    <w:p>
      <w:pPr>
        <w:spacing w:after="0" w:line="20" w:lineRule="exact"/>
        <w:rPr>
          <w:rFonts w:ascii="Arial" w:cs="Arial" w:eastAsia="Arial" w:hAnsi="Arial"/>
          <w:sz w:val="16"/>
          <w:szCs w:val="16"/>
          <w:color w:val="auto"/>
        </w:rPr>
      </w:pPr>
    </w:p>
    <w:p>
      <w:pPr>
        <w:ind w:left="264" w:hanging="264"/>
        <w:spacing w:after="0"/>
        <w:tabs>
          <w:tab w:leader="none" w:pos="2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judgements and estimates that are reasonable and prudent;</w:t>
      </w:r>
    </w:p>
    <w:p>
      <w:pPr>
        <w:spacing w:after="0" w:line="8" w:lineRule="exact"/>
        <w:rPr>
          <w:rFonts w:ascii="Arial" w:cs="Arial" w:eastAsia="Arial" w:hAnsi="Arial"/>
          <w:sz w:val="16"/>
          <w:szCs w:val="16"/>
          <w:color w:val="auto"/>
        </w:rPr>
      </w:pPr>
    </w:p>
    <w:p>
      <w:pPr>
        <w:ind w:left="264" w:hanging="264"/>
        <w:spacing w:after="0"/>
        <w:tabs>
          <w:tab w:leader="none" w:pos="2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state whether they have been prepared in accordance with IFRS as adopted by the EU; and</w:t>
      </w:r>
    </w:p>
    <w:p>
      <w:pPr>
        <w:spacing w:after="0" w:line="8" w:lineRule="exact"/>
        <w:rPr>
          <w:rFonts w:ascii="Arial" w:cs="Arial" w:eastAsia="Arial" w:hAnsi="Arial"/>
          <w:sz w:val="16"/>
          <w:szCs w:val="16"/>
          <w:color w:val="auto"/>
        </w:rPr>
      </w:pPr>
    </w:p>
    <w:p>
      <w:pPr>
        <w:ind w:left="264" w:hanging="264"/>
        <w:spacing w:after="0"/>
        <w:tabs>
          <w:tab w:leader="none" w:pos="2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prepare the financial statements on the going concern basis unless it is inappropriate to presume that the Group and Company will continue in business.</w:t>
      </w:r>
    </w:p>
    <w:p>
      <w:pPr>
        <w:spacing w:after="0" w:line="212"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The Directors are responsible for keeping adequate accounting records which disclose with reasonable accuracy at any time the assets, liabilities, financial position and profit or loss of the Company and which enable them to ensure that the financial statements of the Group are prepared in accordance with applicable IFRS, as adopted by the EU and comply with the provisions of the Companies Act 2014. They have general responsibility for taking such steps as are reasonably open to them to safeguard the assets of the Group and the Company and to prevent and detect fraud and other irregularities. The Directors are also responsible for preparing a Directors’ Report that complies with the requirements of the Companies Act 2014.</w:t>
      </w:r>
    </w:p>
    <w:p>
      <w:pPr>
        <w:spacing w:after="0" w:line="192"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On behalf of the Board</w:t>
      </w:r>
    </w:p>
    <w:p>
      <w:pPr>
        <w:sectPr>
          <w:pgSz w:w="11900" w:h="16838" w:orient="portrait"/>
          <w:cols w:equalWidth="0" w:num="1">
            <w:col w:w="11444"/>
          </w:cols>
          <w:pgMar w:left="236" w:top="123" w:right="219" w:bottom="1440" w:gutter="0" w:footer="0" w:header="0"/>
        </w:sectPr>
      </w:pP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Ciaran Murray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Executive Chairman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Declan McKeon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w:t>
      </w:r>
    </w:p>
    <w:p>
      <w:pPr>
        <w:spacing w:after="0" w:line="152" w:lineRule="exact"/>
        <w:rPr>
          <w:sz w:val="20"/>
          <w:szCs w:val="20"/>
          <w:color w:val="auto"/>
        </w:rPr>
      </w:pPr>
    </w:p>
    <w:p>
      <w:pPr>
        <w:sectPr>
          <w:pgSz w:w="11900" w:h="16838" w:orient="portrait"/>
          <w:cols w:equalWidth="0" w:num="2">
            <w:col w:w="2144" w:space="720"/>
            <w:col w:w="8580"/>
          </w:cols>
          <w:pgMar w:left="236" w:top="123" w:right="219" w:bottom="1440" w:gutter="0" w:footer="0" w:header="0"/>
          <w:type w:val="continuous"/>
        </w:sectPr>
      </w:pPr>
    </w:p>
    <w:p>
      <w:pPr>
        <w:jc w:val="center"/>
        <w:ind w:right="-3"/>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2618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Independent Auditor’s Report to the members of ICON plc</w:t>
      </w:r>
    </w:p>
    <w:p>
      <w:pPr>
        <w:spacing w:after="0" w:line="22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We have audited the Group and Company financial statements (“financial statements”) of ICON plc for the year ended 31 December 2016 which comprise the Consolidated Income Statement, the Consolidated Statement of Comprehensive Income, the Consolidated and Company Statements of Financial Position, the Consolidated and Company Statements of Cash Flows, the Consolidated and Company Statements of Changes in Equity and the related notes. The financial reporting framework that has been applied in their preparation is Irish law and International Financial Reporting Standards (IFRS) as adopted by the European Union, and, as regards the Company financial statements, as applied in accordance with the provisions of the Companies Act 2014. Our audit was conducted in accordance with International Standards on Auditing (ISAs) (UK &amp; Ireland).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and conclusions arising from our audit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 Our opinion on the financial statements is unmodified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our opinion:</w:t>
      </w:r>
    </w:p>
    <w:p>
      <w:pPr>
        <w:spacing w:after="0" w:line="224" w:lineRule="exact"/>
        <w:rPr>
          <w:sz w:val="20"/>
          <w:szCs w:val="20"/>
          <w:color w:val="auto"/>
        </w:rPr>
      </w:pPr>
    </w:p>
    <w:p>
      <w:pPr>
        <w:ind w:left="580" w:right="80" w:hanging="296"/>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Group financial statements give a true and fair view of the assets, liabilities and financial position of the Group as at 31 December 2016 and of its profit for the year then ended;</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Company statement of financial position gives a true and fair view of the assets, liabilities and financial position of the Company as at 31 December 2016;</w:t>
      </w:r>
    </w:p>
    <w:p>
      <w:pPr>
        <w:spacing w:after="0" w:line="211" w:lineRule="exact"/>
        <w:rPr>
          <w:rFonts w:ascii="Arial" w:cs="Arial" w:eastAsia="Arial" w:hAnsi="Arial"/>
          <w:sz w:val="15"/>
          <w:szCs w:val="15"/>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Group financial statements have been properly prepared in accordance with IFRS as adopted by the European Union;</w:t>
      </w:r>
    </w:p>
    <w:p>
      <w:pPr>
        <w:spacing w:after="0" w:line="200" w:lineRule="exact"/>
        <w:rPr>
          <w:rFonts w:ascii="Arial" w:cs="Arial" w:eastAsia="Arial" w:hAnsi="Arial"/>
          <w:sz w:val="16"/>
          <w:szCs w:val="16"/>
          <w:color w:val="auto"/>
        </w:rPr>
      </w:pPr>
    </w:p>
    <w:p>
      <w:pPr>
        <w:ind w:left="580" w:right="700" w:hanging="296"/>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financial statements have been properly prepared in accordance with IFRS as adopted by the European Union, as applied in accordance with the provisions of the Companies Act 2014; and</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Group financial statements and Company financial statements have been properly prepared in accordance with the requirements of the Companies Act 2014.</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 Our conclusions on other matters on which we are required to report by the Companies Act 2014 are set out below</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have obtained all the information and explanations which we consider necessary for the purposes of our audit.</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our opinion the accounting records of the Company were sufficient to permit the financial statements to be readily and properly audited and the financial statements are in agreement with the accounting records.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information given in the Directors’ Report is consistent with the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We have nothing to report in respect of matters on which we are required to report by exception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ISAs (UK &amp; Ireland) require that we report to you if, based on the knowledge we acquired during our audit, we have identified information in the annual report that contains a material inconsistency with either that knowledge or the financial statements, a material misstatement of fact, or that is otherwise misleading.</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addition, the Companies Act 2014 requires us to report to you if, in our opinion, the disclosures of directors’ remuneration and transactions required by sections 305 to 312 of the Act are not made.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our report, responsibilities and restrictions on use</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As explained more fully in the Statement of Directors’ Responsibilities set out on page 12, the Directors are responsible for the preparation of the financial statements and for being satisfied that they give a true and fair view and otherwise comply with the Companies Act 2014. Our responsibility is to audit and express an opinion on the financial statements in accordance with Irish law and International Standards on Auditing (UK and Ireland). Those standards require us to comply with the Financial Reporting Council’s Ethical Standards for Auditors.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Independent Auditor’s Report to the members of ICON plc</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An audit undertaken in accordance with ISAs (UK &amp; Ireland) involves obtaining evidence about the amounts and disclosures in the financial statements sufficient to give reasonable assurance that the financial statements are free from material misstatement, whether caused by fraud or error. This includes an assessment of: whether the accounting policies are appropriate to the Group and Company’s circumstances and have been consistently applied and adequately disclosed; the reasonableness of significant accounting estimates made by the directors; and the overall presentation of the financial statements.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we read all the financial and non-financial information in the Annual Report to identify material inconsistencies with the audited financial statements and to identify any information that is apparently materially incorrect based on, or materially inconsistent with, the knowledge acquired by us in the course of performing the audit. If we become aware of any apparent material misstatements or inconsistencies we consider the implications for our report.</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Whilst an audit conducted in accordance with ISAs (UK &amp; Ireland) is designed to provide reasonable assurance of identifying material misstatements or omissions it is not guaranteed to do so. Rather the auditor plans the audit to determine the extent of testing needed to reduce to an appropriately low level the probability that the aggregate of uncorrected and undetected misstatements does not exceed materiality for the financial statements as a whole. This testing requires us to conduct significant audit work on a broad range of assets, liabilities, income and expense as well as devoting significant time of the most experienced members of the audit team, in particular the engagement partner responsible for the audit, to subjective areas of the accounting and reporting.</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Emer McGrath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and on behalf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KPMG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Chartered Accountants, Statutory Audit Firm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25 April 2017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Stokes Place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 Stephen’s Green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Dublin 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Ireland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Consolidated Statement of Profit and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w w:val="98"/>
              </w:rPr>
              <w:t>31 December</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1400" w:type="dxa"/>
            <w:vAlign w:val="bottom"/>
            <w:tcBorders>
              <w:top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 December</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31 December</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31 December</w:t>
            </w:r>
          </w:p>
        </w:tc>
        <w:tc>
          <w:tcPr>
            <w:tcW w:w="1360" w:type="dxa"/>
            <w:vAlign w:val="bottom"/>
            <w:tcBorders>
              <w:top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20" w:type="dxa"/>
            <w:vAlign w:val="bottom"/>
          </w:tcPr>
          <w:p>
            <w:pPr>
              <w:jc w:val="right"/>
              <w:ind w:right="320"/>
              <w:spacing w:after="0"/>
              <w:rPr>
                <w:sz w:val="20"/>
                <w:szCs w:val="20"/>
                <w:color w:val="auto"/>
              </w:rPr>
            </w:pPr>
            <w:r>
              <w:rPr>
                <w:rFonts w:ascii="Arial" w:cs="Arial" w:eastAsia="Arial" w:hAnsi="Arial"/>
                <w:sz w:val="16"/>
                <w:szCs w:val="16"/>
                <w:b w:val="1"/>
                <w:bCs w:val="1"/>
                <w:i w:val="1"/>
                <w:iCs w:val="1"/>
                <w:color w:val="auto"/>
              </w:rPr>
              <w:t>Note</w:t>
            </w: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2015</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2015</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Excluding</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(Note 8)</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Including</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Excluding</w:t>
            </w:r>
          </w:p>
        </w:tc>
        <w:tc>
          <w:tcPr>
            <w:tcW w:w="11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Including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Exceptional</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Exceptional</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Exceptional</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Exceptional</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Exceptional</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Exceptional</w:t>
            </w:r>
          </w:p>
        </w:tc>
        <w:tc>
          <w:tcPr>
            <w:tcW w:w="0" w:type="dxa"/>
            <w:vAlign w:val="bottom"/>
          </w:tcPr>
          <w:p>
            <w:pPr>
              <w:spacing w:after="0"/>
              <w:rPr>
                <w:sz w:val="1"/>
                <w:szCs w:val="1"/>
                <w:color w:val="auto"/>
              </w:rPr>
            </w:pPr>
          </w:p>
        </w:tc>
      </w:tr>
      <w:tr>
        <w:trPr>
          <w:trHeight w:val="192"/>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Continuing</w:t>
            </w:r>
          </w:p>
        </w:tc>
        <w:tc>
          <w:tcPr>
            <w:tcW w:w="1320" w:type="dxa"/>
            <w:vAlign w:val="bottom"/>
          </w:tcPr>
          <w:p>
            <w:pPr>
              <w:spacing w:after="0"/>
              <w:rPr>
                <w:sz w:val="16"/>
                <w:szCs w:val="16"/>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items</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items</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items</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items</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items</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items</w:t>
            </w:r>
          </w:p>
        </w:tc>
        <w:tc>
          <w:tcPr>
            <w:tcW w:w="0" w:type="dxa"/>
            <w:vAlign w:val="bottom"/>
          </w:tcPr>
          <w:p>
            <w:pPr>
              <w:spacing w:after="0"/>
              <w:rPr>
                <w:sz w:val="1"/>
                <w:szCs w:val="1"/>
                <w:color w:val="auto"/>
              </w:rPr>
            </w:pPr>
          </w:p>
        </w:tc>
      </w:tr>
      <w:tr>
        <w:trPr>
          <w:trHeight w:val="209"/>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Operations</w:t>
            </w:r>
          </w:p>
        </w:tc>
        <w:tc>
          <w:tcPr>
            <w:tcW w:w="1320" w:type="dxa"/>
            <w:vAlign w:val="bottom"/>
          </w:tcPr>
          <w:p>
            <w:pPr>
              <w:spacing w:after="0"/>
              <w:rPr>
                <w:sz w:val="18"/>
                <w:szCs w:val="18"/>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$’000</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84"/>
        </w:trPr>
        <w:tc>
          <w:tcPr>
            <w:tcW w:w="2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revenue</w:t>
            </w: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2,364,956</w:t>
            </w:r>
          </w:p>
        </w:tc>
        <w:tc>
          <w:tcPr>
            <w:tcW w:w="124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2,364,956</w:t>
            </w:r>
          </w:p>
        </w:tc>
        <w:tc>
          <w:tcPr>
            <w:tcW w:w="14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2,161,618</w:t>
            </w:r>
          </w:p>
        </w:tc>
        <w:tc>
          <w:tcPr>
            <w:tcW w:w="11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2,161,618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60" w:type="dxa"/>
            <w:vAlign w:val="bottom"/>
          </w:tcPr>
          <w:p>
            <w:pPr>
              <w:spacing w:after="0" w:line="180" w:lineRule="exact"/>
              <w:rPr>
                <w:sz w:val="20"/>
                <w:szCs w:val="20"/>
                <w:color w:val="auto"/>
              </w:rPr>
            </w:pPr>
            <w:r>
              <w:rPr>
                <w:rFonts w:ascii="Arial" w:cs="Arial" w:eastAsia="Arial" w:hAnsi="Arial"/>
                <w:sz w:val="16"/>
                <w:szCs w:val="16"/>
                <w:color w:val="auto"/>
              </w:rPr>
              <w:t>Reimbursable</w:t>
            </w:r>
          </w:p>
        </w:tc>
        <w:tc>
          <w:tcPr>
            <w:tcW w:w="1320" w:type="dxa"/>
            <w:vAlign w:val="bottom"/>
          </w:tcPr>
          <w:p>
            <w:pPr>
              <w:spacing w:after="0"/>
              <w:rPr>
                <w:sz w:val="15"/>
                <w:szCs w:val="15"/>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(698,469)</w:t>
            </w:r>
          </w:p>
        </w:tc>
        <w:tc>
          <w:tcPr>
            <w:tcW w:w="12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(698,469)</w:t>
            </w:r>
          </w:p>
        </w:tc>
        <w:tc>
          <w:tcPr>
            <w:tcW w:w="1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expenses</w:t>
            </w: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(586,640)</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(586,640)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320" w:type="dxa"/>
            <w:vAlign w:val="bottom"/>
            <w:shd w:val="clear" w:color="auto" w:fill="CCEEFF"/>
          </w:tcPr>
          <w:p>
            <w:pPr>
              <w:jc w:val="right"/>
              <w:ind w:right="320"/>
              <w:spacing w:after="0"/>
              <w:rPr>
                <w:sz w:val="20"/>
                <w:szCs w:val="20"/>
                <w:color w:val="auto"/>
              </w:rPr>
            </w:pPr>
            <w:r>
              <w:rPr>
                <w:rFonts w:ascii="Arial" w:cs="Arial" w:eastAsia="Arial" w:hAnsi="Arial"/>
                <w:sz w:val="16"/>
                <w:szCs w:val="16"/>
                <w:i w:val="1"/>
                <w:iCs w:val="1"/>
                <w:color w:val="auto"/>
              </w:rPr>
              <w:t>2</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1,666,487</w:t>
            </w:r>
          </w:p>
        </w:tc>
        <w:tc>
          <w:tcPr>
            <w:tcW w:w="124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1,666,487</w:t>
            </w:r>
          </w:p>
        </w:tc>
        <w:tc>
          <w:tcPr>
            <w:tcW w:w="14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1,574,978</w:t>
            </w:r>
          </w:p>
        </w:tc>
        <w:tc>
          <w:tcPr>
            <w:tcW w:w="11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1,574,978</w:t>
            </w:r>
          </w:p>
        </w:tc>
        <w:tc>
          <w:tcPr>
            <w:tcW w:w="0" w:type="dxa"/>
            <w:vAlign w:val="bottom"/>
          </w:tcPr>
          <w:p>
            <w:pPr>
              <w:spacing w:after="0"/>
              <w:rPr>
                <w:sz w:val="1"/>
                <w:szCs w:val="1"/>
                <w:color w:val="auto"/>
              </w:rPr>
            </w:pPr>
          </w:p>
        </w:tc>
      </w:tr>
      <w:tr>
        <w:trPr>
          <w:trHeight w:val="192"/>
        </w:trPr>
        <w:tc>
          <w:tcPr>
            <w:tcW w:w="2180" w:type="dxa"/>
            <w:vAlign w:val="bottom"/>
            <w:gridSpan w:val="2"/>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400" w:type="dxa"/>
            <w:vAlign w:val="bottom"/>
            <w:tcBorders>
              <w:right w:val="single" w:sz="8" w:color="auto"/>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Direct costs</w:t>
            </w:r>
          </w:p>
        </w:tc>
        <w:tc>
          <w:tcPr>
            <w:tcW w:w="1320" w:type="dxa"/>
            <w:vAlign w:val="bottom"/>
          </w:tcPr>
          <w:p>
            <w:pPr>
              <w:spacing w:after="0"/>
              <w:rPr>
                <w:sz w:val="16"/>
                <w:szCs w:val="16"/>
                <w:color w:val="auto"/>
              </w:rPr>
            </w:pPr>
          </w:p>
        </w:tc>
        <w:tc>
          <w:tcPr>
            <w:tcW w:w="1280" w:type="dxa"/>
            <w:vAlign w:val="bottom"/>
          </w:tcPr>
          <w:p>
            <w:pPr>
              <w:jc w:val="right"/>
              <w:ind w:right="140"/>
              <w:spacing w:after="0"/>
              <w:rPr>
                <w:sz w:val="20"/>
                <w:szCs w:val="20"/>
                <w:color w:val="auto"/>
              </w:rPr>
            </w:pPr>
            <w:r>
              <w:rPr>
                <w:rFonts w:ascii="Arial" w:cs="Arial" w:eastAsia="Arial" w:hAnsi="Arial"/>
                <w:sz w:val="16"/>
                <w:szCs w:val="16"/>
                <w:b w:val="1"/>
                <w:bCs w:val="1"/>
                <w:color w:val="auto"/>
              </w:rPr>
              <w:t>(961,641)</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(2,273)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(963,914)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(908,907)</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(908,907)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Other operating</w:t>
            </w:r>
          </w:p>
        </w:tc>
        <w:tc>
          <w:tcPr>
            <w:tcW w:w="13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(384,774)</w:t>
            </w:r>
          </w:p>
        </w:tc>
        <w:tc>
          <w:tcPr>
            <w:tcW w:w="12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(5,886)</w:t>
            </w: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(390,660)</w:t>
            </w:r>
          </w:p>
        </w:tc>
        <w:tc>
          <w:tcPr>
            <w:tcW w:w="148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expenses</w:t>
            </w:r>
          </w:p>
        </w:tc>
        <w:tc>
          <w:tcPr>
            <w:tcW w:w="1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(383,951)</w:t>
            </w:r>
          </w:p>
        </w:tc>
        <w:tc>
          <w:tcPr>
            <w:tcW w:w="11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(383,951)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1320" w:type="dxa"/>
            <w:vAlign w:val="bottom"/>
          </w:tcPr>
          <w:p>
            <w:pPr>
              <w:spacing w:after="0"/>
              <w:rPr>
                <w:sz w:val="16"/>
                <w:szCs w:val="16"/>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b w:val="1"/>
                <w:bCs w:val="1"/>
                <w:color w:val="auto"/>
              </w:rPr>
              <w:t>320,072</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(8,159)</w:t>
            </w:r>
          </w:p>
        </w:tc>
        <w:tc>
          <w:tcPr>
            <w:tcW w:w="14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311,913</w:t>
            </w: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282,120</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282,120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400" w:type="dxa"/>
            <w:vAlign w:val="bottom"/>
            <w:tcBorders>
              <w:right w:val="single" w:sz="8" w:color="auto"/>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spacing w:after="0" w:line="180" w:lineRule="exact"/>
              <w:rPr>
                <w:sz w:val="20"/>
                <w:szCs w:val="20"/>
                <w:color w:val="auto"/>
              </w:rPr>
            </w:pPr>
            <w:r>
              <w:rPr>
                <w:rFonts w:ascii="Arial" w:cs="Arial" w:eastAsia="Arial" w:hAnsi="Arial"/>
                <w:sz w:val="16"/>
                <w:szCs w:val="16"/>
                <w:color w:val="auto"/>
              </w:rPr>
              <w:t>Financing</w:t>
            </w:r>
          </w:p>
        </w:tc>
        <w:tc>
          <w:tcPr>
            <w:tcW w:w="1320" w:type="dxa"/>
            <w:vAlign w:val="bottom"/>
          </w:tcPr>
          <w:p>
            <w:pPr>
              <w:spacing w:after="0"/>
              <w:rPr>
                <w:sz w:val="15"/>
                <w:szCs w:val="15"/>
                <w:color w:val="auto"/>
              </w:rPr>
            </w:pPr>
          </w:p>
        </w:tc>
        <w:tc>
          <w:tcPr>
            <w:tcW w:w="12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1,484</w:t>
            </w:r>
          </w:p>
        </w:tc>
        <w:tc>
          <w:tcPr>
            <w:tcW w:w="12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auto"/>
              </w:rPr>
              <w:t>1,484</w:t>
            </w:r>
          </w:p>
        </w:tc>
        <w:tc>
          <w:tcPr>
            <w:tcW w:w="1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80" w:type="dxa"/>
            <w:vAlign w:val="bottom"/>
            <w:gridSpan w:val="2"/>
          </w:tcPr>
          <w:p>
            <w:pPr>
              <w:spacing w:after="0"/>
              <w:rPr>
                <w:sz w:val="20"/>
                <w:szCs w:val="20"/>
                <w:color w:val="auto"/>
              </w:rPr>
            </w:pPr>
            <w:r>
              <w:rPr>
                <w:rFonts w:ascii="Arial" w:cs="Arial" w:eastAsia="Arial" w:hAnsi="Arial"/>
                <w:sz w:val="16"/>
                <w:szCs w:val="16"/>
                <w:color w:val="auto"/>
              </w:rPr>
              <w:t>income</w:t>
            </w:r>
          </w:p>
        </w:tc>
        <w:tc>
          <w:tcPr>
            <w:tcW w:w="1320" w:type="dxa"/>
            <w:vAlign w:val="bottom"/>
          </w:tcPr>
          <w:p>
            <w:pPr>
              <w:jc w:val="right"/>
              <w:ind w:right="320"/>
              <w:spacing w:after="0"/>
              <w:rPr>
                <w:sz w:val="20"/>
                <w:szCs w:val="20"/>
                <w:color w:val="auto"/>
              </w:rPr>
            </w:pPr>
            <w:r>
              <w:rPr>
                <w:rFonts w:ascii="Arial" w:cs="Arial" w:eastAsia="Arial" w:hAnsi="Arial"/>
                <w:sz w:val="16"/>
                <w:szCs w:val="16"/>
                <w:i w:val="1"/>
                <w:iCs w:val="1"/>
                <w:color w:val="auto"/>
              </w:rPr>
              <w:t>4</w:t>
            </w:r>
          </w:p>
        </w:tc>
        <w:tc>
          <w:tcPr>
            <w:tcW w:w="1280" w:type="dxa"/>
            <w:vAlign w:val="bottom"/>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1480" w:type="dxa"/>
            <w:vAlign w:val="bottom"/>
          </w:tcPr>
          <w:p>
            <w:pPr>
              <w:jc w:val="right"/>
              <w:ind w:right="180"/>
              <w:spacing w:after="0"/>
              <w:rPr>
                <w:sz w:val="20"/>
                <w:szCs w:val="20"/>
                <w:color w:val="auto"/>
              </w:rPr>
            </w:pPr>
            <w:r>
              <w:rPr>
                <w:rFonts w:ascii="Arial" w:cs="Arial" w:eastAsia="Arial" w:hAnsi="Arial"/>
                <w:sz w:val="16"/>
                <w:szCs w:val="16"/>
                <w:color w:val="auto"/>
              </w:rPr>
              <w:t>1,306</w:t>
            </w:r>
          </w:p>
        </w:tc>
        <w:tc>
          <w:tcPr>
            <w:tcW w:w="11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Financing</w:t>
            </w:r>
          </w:p>
        </w:tc>
        <w:tc>
          <w:tcPr>
            <w:tcW w:w="13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(13,006)</w:t>
            </w:r>
          </w:p>
        </w:tc>
        <w:tc>
          <w:tcPr>
            <w:tcW w:w="1240" w:type="dxa"/>
            <w:vAlign w:val="bottom"/>
            <w:tcBorders>
              <w:right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(13,006)</w:t>
            </w:r>
          </w:p>
        </w:tc>
        <w:tc>
          <w:tcPr>
            <w:tcW w:w="148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expense</w:t>
            </w:r>
          </w:p>
        </w:tc>
        <w:tc>
          <w:tcPr>
            <w:tcW w:w="13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i w:val="1"/>
                <w:iCs w:val="1"/>
                <w:color w:val="auto"/>
              </w:rPr>
              <w:t>5</w:t>
            </w: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(3,992)</w:t>
            </w:r>
          </w:p>
        </w:tc>
        <w:tc>
          <w:tcPr>
            <w:tcW w:w="11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Profit before</w:t>
            </w: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taxation</w:t>
            </w:r>
          </w:p>
        </w:tc>
        <w:tc>
          <w:tcPr>
            <w:tcW w:w="1320" w:type="dxa"/>
            <w:vAlign w:val="bottom"/>
            <w:shd w:val="clear" w:color="auto" w:fill="CCEEFF"/>
          </w:tcPr>
          <w:p>
            <w:pPr>
              <w:jc w:val="right"/>
              <w:ind w:right="320"/>
              <w:spacing w:after="0"/>
              <w:rPr>
                <w:sz w:val="20"/>
                <w:szCs w:val="20"/>
                <w:color w:val="auto"/>
              </w:rPr>
            </w:pPr>
            <w:r>
              <w:rPr>
                <w:rFonts w:ascii="Arial" w:cs="Arial" w:eastAsia="Arial" w:hAnsi="Arial"/>
                <w:sz w:val="16"/>
                <w:szCs w:val="16"/>
                <w:i w:val="1"/>
                <w:iCs w:val="1"/>
                <w:color w:val="auto"/>
              </w:rPr>
              <w:t>3</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308,550</w:t>
            </w:r>
          </w:p>
        </w:tc>
        <w:tc>
          <w:tcPr>
            <w:tcW w:w="124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300,391</w:t>
            </w:r>
          </w:p>
        </w:tc>
        <w:tc>
          <w:tcPr>
            <w:tcW w:w="14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279,434</w:t>
            </w:r>
          </w:p>
        </w:tc>
        <w:tc>
          <w:tcPr>
            <w:tcW w:w="11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279,434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60" w:type="dxa"/>
            <w:vAlign w:val="bottom"/>
          </w:tcPr>
          <w:p>
            <w:pPr>
              <w:spacing w:after="0" w:line="180" w:lineRule="exact"/>
              <w:rPr>
                <w:sz w:val="20"/>
                <w:szCs w:val="20"/>
                <w:color w:val="auto"/>
              </w:rPr>
            </w:pPr>
            <w:r>
              <w:rPr>
                <w:rFonts w:ascii="Arial" w:cs="Arial" w:eastAsia="Arial" w:hAnsi="Arial"/>
                <w:sz w:val="16"/>
                <w:szCs w:val="16"/>
                <w:color w:val="auto"/>
              </w:rPr>
              <w:t>Income tax</w:t>
            </w:r>
          </w:p>
        </w:tc>
        <w:tc>
          <w:tcPr>
            <w:tcW w:w="1320" w:type="dxa"/>
            <w:vAlign w:val="bottom"/>
          </w:tcPr>
          <w:p>
            <w:pPr>
              <w:spacing w:after="0"/>
              <w:rPr>
                <w:sz w:val="15"/>
                <w:szCs w:val="15"/>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(33,451)</w:t>
            </w:r>
          </w:p>
        </w:tc>
        <w:tc>
          <w:tcPr>
            <w:tcW w:w="12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1,020</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(32,431)</w:t>
            </w:r>
          </w:p>
        </w:tc>
        <w:tc>
          <w:tcPr>
            <w:tcW w:w="1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expense</w:t>
            </w: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i w:val="1"/>
                <w:iCs w:val="1"/>
                <w:color w:val="auto"/>
              </w:rPr>
              <w:t>6</w:t>
            </w:r>
          </w:p>
        </w:tc>
        <w:tc>
          <w:tcPr>
            <w:tcW w:w="1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(39,410)</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(39,410)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400" w:type="dxa"/>
            <w:vAlign w:val="bottom"/>
            <w:tcBorders>
              <w:right w:val="single" w:sz="8" w:color="auto"/>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tcPr>
          <w:p>
            <w:pPr>
              <w:spacing w:after="0" w:line="176" w:lineRule="exact"/>
              <w:rPr>
                <w:sz w:val="20"/>
                <w:szCs w:val="20"/>
                <w:color w:val="auto"/>
              </w:rPr>
            </w:pPr>
            <w:r>
              <w:rPr>
                <w:rFonts w:ascii="Arial" w:cs="Arial" w:eastAsia="Arial" w:hAnsi="Arial"/>
                <w:sz w:val="16"/>
                <w:szCs w:val="16"/>
                <w:b w:val="1"/>
                <w:bCs w:val="1"/>
                <w:color w:val="auto"/>
              </w:rPr>
              <w:t>Profit for the</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financial year</w:t>
            </w: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275,099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(7,139)</w:t>
            </w:r>
          </w:p>
        </w:tc>
        <w:tc>
          <w:tcPr>
            <w:tcW w:w="14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267,960</w:t>
            </w: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240,024</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right w:val="single" w:sz="8" w:color="auto"/>
            </w:tcBorders>
            <w:shd w:val="clear" w:color="auto" w:fill="CCEEFF"/>
          </w:tcPr>
          <w:p>
            <w:pPr>
              <w:spacing w:after="0"/>
              <w:rPr>
                <w:sz w:val="15"/>
                <w:szCs w:val="15"/>
                <w:color w:val="auto"/>
              </w:rPr>
            </w:pPr>
          </w:p>
        </w:tc>
        <w:tc>
          <w:tcPr>
            <w:tcW w:w="1400" w:type="dxa"/>
            <w:vAlign w:val="bottom"/>
            <w:tcBorders>
              <w:top w:val="single" w:sz="8" w:color="auto"/>
              <w:right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right w:val="single" w:sz="8" w:color="auto"/>
            </w:tcBorders>
            <w:shd w:val="clear" w:color="auto" w:fill="CCEEFF"/>
          </w:tcPr>
          <w:p>
            <w:pPr>
              <w:spacing w:after="0"/>
              <w:rPr>
                <w:sz w:val="15"/>
                <w:szCs w:val="15"/>
                <w:color w:val="auto"/>
              </w:rPr>
            </w:pPr>
          </w:p>
        </w:tc>
        <w:tc>
          <w:tcPr>
            <w:tcW w:w="13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400" w:type="dxa"/>
            <w:vAlign w:val="bottom"/>
            <w:tcBorders>
              <w:right w:val="single" w:sz="8" w:color="auto"/>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spacing w:after="0" w:line="180" w:lineRule="exact"/>
              <w:rPr>
                <w:sz w:val="20"/>
                <w:szCs w:val="20"/>
                <w:color w:val="auto"/>
              </w:rPr>
            </w:pPr>
            <w:r>
              <w:rPr>
                <w:rFonts w:ascii="Arial" w:cs="Arial" w:eastAsia="Arial" w:hAnsi="Arial"/>
                <w:sz w:val="16"/>
                <w:szCs w:val="16"/>
                <w:color w:val="auto"/>
              </w:rPr>
              <w:t>Owners of the</w:t>
            </w:r>
          </w:p>
        </w:tc>
        <w:tc>
          <w:tcPr>
            <w:tcW w:w="1320" w:type="dxa"/>
            <w:vAlign w:val="bottom"/>
          </w:tcPr>
          <w:p>
            <w:pPr>
              <w:spacing w:after="0"/>
              <w:rPr>
                <w:sz w:val="15"/>
                <w:szCs w:val="15"/>
                <w:color w:val="auto"/>
              </w:rPr>
            </w:pPr>
          </w:p>
        </w:tc>
        <w:tc>
          <w:tcPr>
            <w:tcW w:w="12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275,099</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(7,139)</w:t>
            </w:r>
          </w:p>
        </w:tc>
        <w:tc>
          <w:tcPr>
            <w:tcW w:w="1400" w:type="dxa"/>
            <w:vAlign w:val="bottom"/>
            <w:tcBorders>
              <w:right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auto"/>
              </w:rPr>
              <w:t>267,960</w:t>
            </w:r>
          </w:p>
        </w:tc>
        <w:tc>
          <w:tcPr>
            <w:tcW w:w="1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Company</w:t>
            </w: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i w:val="1"/>
                <w:iCs w:val="1"/>
                <w:color w:val="auto"/>
              </w:rPr>
              <w:t>25</w:t>
            </w:r>
          </w:p>
        </w:tc>
        <w:tc>
          <w:tcPr>
            <w:tcW w:w="12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240,024</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Earnings per</w:t>
            </w: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ordinary share</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Basic</w:t>
            </w: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i w:val="1"/>
                <w:iCs w:val="1"/>
                <w:color w:val="auto"/>
              </w:rPr>
              <w:t>7</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4.85</w:t>
            </w: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right w:val="single" w:sz="8" w:color="auto"/>
            </w:tcBorders>
            <w:shd w:val="clear" w:color="auto" w:fill="CCEEFF"/>
          </w:tcPr>
          <w:p>
            <w:pPr>
              <w:spacing w:after="0"/>
              <w:rPr>
                <w:sz w:val="15"/>
                <w:szCs w:val="15"/>
                <w:color w:val="auto"/>
              </w:rPr>
            </w:pPr>
          </w:p>
        </w:tc>
        <w:tc>
          <w:tcPr>
            <w:tcW w:w="1400" w:type="dxa"/>
            <w:vAlign w:val="bottom"/>
            <w:tcBorders>
              <w:top w:val="single" w:sz="8" w:color="auto"/>
              <w:right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right w:val="single" w:sz="8" w:color="auto"/>
            </w:tcBorders>
            <w:shd w:val="clear" w:color="auto" w:fill="CCEEFF"/>
          </w:tcPr>
          <w:p>
            <w:pPr>
              <w:spacing w:after="0"/>
              <w:rPr>
                <w:sz w:val="15"/>
                <w:szCs w:val="15"/>
                <w:color w:val="auto"/>
              </w:rPr>
            </w:pPr>
          </w:p>
        </w:tc>
        <w:tc>
          <w:tcPr>
            <w:tcW w:w="13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w:t>
            </w: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i w:val="1"/>
                <w:iCs w:val="1"/>
                <w:color w:val="auto"/>
              </w:rPr>
              <w:t>7</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4.74</w:t>
            </w: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On behalf of the Board</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180" w:type="dxa"/>
            <w:vAlign w:val="bottom"/>
            <w:gridSpan w:val="2"/>
          </w:tcPr>
          <w:p>
            <w:pPr>
              <w:spacing w:after="0"/>
              <w:rPr>
                <w:sz w:val="20"/>
                <w:szCs w:val="20"/>
                <w:color w:val="auto"/>
              </w:rPr>
            </w:pPr>
            <w:r>
              <w:rPr>
                <w:rFonts w:ascii="Arial" w:cs="Arial" w:eastAsia="Arial" w:hAnsi="Arial"/>
                <w:sz w:val="16"/>
                <w:szCs w:val="16"/>
                <w:color w:val="auto"/>
              </w:rPr>
              <w:t>Ciaran Murray</w:t>
            </w:r>
          </w:p>
        </w:tc>
        <w:tc>
          <w:tcPr>
            <w:tcW w:w="2600" w:type="dxa"/>
            <w:vAlign w:val="bottom"/>
            <w:gridSpan w:val="2"/>
          </w:tcPr>
          <w:p>
            <w:pPr>
              <w:ind w:left="680"/>
              <w:spacing w:after="0"/>
              <w:rPr>
                <w:sz w:val="20"/>
                <w:szCs w:val="20"/>
                <w:color w:val="auto"/>
              </w:rPr>
            </w:pPr>
            <w:r>
              <w:rPr>
                <w:rFonts w:ascii="Arial" w:cs="Arial" w:eastAsia="Arial" w:hAnsi="Arial"/>
                <w:sz w:val="16"/>
                <w:szCs w:val="16"/>
                <w:color w:val="auto"/>
              </w:rPr>
              <w:t>Declan McKeon</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180" w:type="dxa"/>
            <w:vAlign w:val="bottom"/>
            <w:gridSpan w:val="2"/>
          </w:tcPr>
          <w:p>
            <w:pPr>
              <w:spacing w:after="0"/>
              <w:rPr>
                <w:sz w:val="20"/>
                <w:szCs w:val="20"/>
                <w:color w:val="auto"/>
              </w:rPr>
            </w:pPr>
            <w:r>
              <w:rPr>
                <w:rFonts w:ascii="Arial" w:cs="Arial" w:eastAsia="Arial" w:hAnsi="Arial"/>
                <w:sz w:val="16"/>
                <w:szCs w:val="16"/>
                <w:i w:val="1"/>
                <w:iCs w:val="1"/>
                <w:color w:val="auto"/>
              </w:rPr>
              <w:t>Executive Chairman</w:t>
            </w:r>
          </w:p>
        </w:tc>
        <w:tc>
          <w:tcPr>
            <w:tcW w:w="1320" w:type="dxa"/>
            <w:vAlign w:val="bottom"/>
          </w:tcPr>
          <w:p>
            <w:pPr>
              <w:ind w:left="680"/>
              <w:spacing w:after="0"/>
              <w:rPr>
                <w:sz w:val="20"/>
                <w:szCs w:val="20"/>
                <w:color w:val="auto"/>
              </w:rPr>
            </w:pPr>
            <w:r>
              <w:rPr>
                <w:rFonts w:ascii="Arial" w:cs="Arial" w:eastAsia="Arial" w:hAnsi="Arial"/>
                <w:sz w:val="16"/>
                <w:szCs w:val="16"/>
                <w:i w:val="1"/>
                <w:iCs w:val="1"/>
                <w:color w:val="auto"/>
              </w:rPr>
              <w:t>Director</w:t>
            </w: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jc w:val="right"/>
              <w:ind w:right="160"/>
              <w:spacing w:after="0"/>
              <w:rPr>
                <w:sz w:val="20"/>
                <w:szCs w:val="20"/>
                <w:color w:val="auto"/>
              </w:rPr>
            </w:pPr>
            <w:r>
              <w:rPr>
                <w:rFonts w:ascii="Arial" w:cs="Arial" w:eastAsia="Arial" w:hAnsi="Arial"/>
                <w:sz w:val="16"/>
                <w:szCs w:val="16"/>
                <w:b w:val="1"/>
                <w:bCs w:val="1"/>
                <w:i w:val="1"/>
                <w:iCs w:val="1"/>
                <w:color w:val="auto"/>
              </w:rPr>
              <w:t>Note</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577"/>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Other Comprehensive Income</w:t>
            </w:r>
          </w:p>
        </w:tc>
        <w:tc>
          <w:tcPr>
            <w:tcW w:w="2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420" w:type="dxa"/>
            <w:vAlign w:val="bottom"/>
            <w:gridSpan w:val="3"/>
          </w:tcPr>
          <w:p>
            <w:pPr>
              <w:spacing w:after="0"/>
              <w:rPr>
                <w:sz w:val="20"/>
                <w:szCs w:val="20"/>
                <w:color w:val="auto"/>
              </w:rPr>
            </w:pPr>
            <w:r>
              <w:rPr>
                <w:rFonts w:ascii="Arial" w:cs="Arial" w:eastAsia="Arial" w:hAnsi="Arial"/>
                <w:sz w:val="16"/>
                <w:szCs w:val="16"/>
                <w:b w:val="1"/>
                <w:bCs w:val="1"/>
                <w:color w:val="auto"/>
              </w:rPr>
              <w:t>Items that will not be reclassified to profit or loss: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Re-measurement of post-employment benefit obligations</w:t>
            </w:r>
          </w:p>
        </w:tc>
        <w:tc>
          <w:tcPr>
            <w:tcW w:w="3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(2,675)</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items that will not be reclassified to profit or loss</w:t>
            </w:r>
          </w:p>
        </w:tc>
        <w:tc>
          <w:tcPr>
            <w:tcW w:w="3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(2,675)</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Items that are or may be reclassified subsequently to profit or loss net of tax:</w:t>
            </w:r>
          </w:p>
        </w:tc>
        <w:tc>
          <w:tcPr>
            <w:tcW w:w="3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differences</w:t>
            </w:r>
          </w:p>
        </w:tc>
        <w:tc>
          <w:tcPr>
            <w:tcW w:w="2880" w:type="dxa"/>
            <w:vAlign w:val="bottom"/>
            <w:shd w:val="clear" w:color="auto" w:fill="CCEEFF"/>
          </w:tcPr>
          <w:p>
            <w:pPr>
              <w:spacing w:after="0"/>
              <w:rPr>
                <w:sz w:val="16"/>
                <w:szCs w:val="16"/>
                <w:color w:val="auto"/>
              </w:rPr>
            </w:pP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(12,839)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Currency impact on long-term intercompany funding</w:t>
            </w: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(8,824)</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on currency impact on long-term funding</w:t>
            </w: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Unrealised capital gain/(loss) on investments</w:t>
            </w: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interest rate hedge</w:t>
            </w:r>
          </w:p>
        </w:tc>
        <w:tc>
          <w:tcPr>
            <w:tcW w:w="2880" w:type="dxa"/>
            <w:vAlign w:val="bottom"/>
            <w:shd w:val="clear" w:color="auto" w:fill="CCEEFF"/>
          </w:tcPr>
          <w:p>
            <w:pPr>
              <w:spacing w:after="0"/>
              <w:rPr>
                <w:sz w:val="16"/>
                <w:szCs w:val="16"/>
                <w:color w:val="auto"/>
              </w:rPr>
            </w:pP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(923)</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Gain on interest rate hedge</w:t>
            </w:r>
          </w:p>
        </w:tc>
        <w:tc>
          <w:tcPr>
            <w:tcW w:w="2880" w:type="dxa"/>
            <w:vAlign w:val="bottom"/>
            <w:shd w:val="clear" w:color="auto" w:fill="CCEEFF"/>
          </w:tcPr>
          <w:p>
            <w:pPr>
              <w:spacing w:after="0"/>
              <w:rPr>
                <w:sz w:val="16"/>
                <w:szCs w:val="16"/>
                <w:color w:val="auto"/>
              </w:rPr>
            </w:pPr>
          </w:p>
        </w:tc>
        <w:tc>
          <w:tcPr>
            <w:tcW w:w="342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25</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196"/>
        </w:trPr>
        <w:tc>
          <w:tcPr>
            <w:tcW w:w="5420" w:type="dxa"/>
            <w:vAlign w:val="bottom"/>
            <w:gridSpan w:val="3"/>
          </w:tcPr>
          <w:p>
            <w:pPr>
              <w:spacing w:after="0"/>
              <w:rPr>
                <w:sz w:val="17"/>
                <w:szCs w:val="17"/>
                <w:color w:val="auto"/>
              </w:rPr>
            </w:pP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tcBorders>
              <w:top w:val="single" w:sz="8" w:color="auto"/>
            </w:tcBorders>
            <w:gridSpan w:val="2"/>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items that are or may be reclassified to profit or loss</w:t>
            </w:r>
          </w:p>
        </w:tc>
        <w:tc>
          <w:tcPr>
            <w:tcW w:w="3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(22,179)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Other comprehensive loss for the year, net of tax</w:t>
            </w:r>
          </w:p>
        </w:tc>
        <w:tc>
          <w:tcPr>
            <w:tcW w:w="342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(24,854)</w:t>
            </w:r>
          </w:p>
        </w:tc>
        <w:tc>
          <w:tcPr>
            <w:tcW w:w="1200" w:type="dxa"/>
            <w:vAlign w:val="bottom"/>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Profit for the financial year</w:t>
            </w:r>
          </w:p>
        </w:tc>
        <w:tc>
          <w:tcPr>
            <w:tcW w:w="28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267,960</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gridSpan w:val="2"/>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comprehensive income for the financial year</w:t>
            </w:r>
          </w:p>
        </w:tc>
        <w:tc>
          <w:tcPr>
            <w:tcW w:w="3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243,106</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215,486</w:t>
            </w: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15"/>
                <w:szCs w:val="15"/>
                <w:color w:val="auto"/>
              </w:rPr>
            </w:pPr>
          </w:p>
        </w:tc>
        <w:tc>
          <w:tcPr>
            <w:tcW w:w="2880" w:type="dxa"/>
            <w:vAlign w:val="bottom"/>
            <w:tcBorders>
              <w:top w:val="single" w:sz="8" w:color="auto"/>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2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Equity holders of the Company</w:t>
            </w:r>
          </w:p>
        </w:tc>
        <w:tc>
          <w:tcPr>
            <w:tcW w:w="2880" w:type="dxa"/>
            <w:vAlign w:val="bottom"/>
            <w:tcBorders>
              <w:bottom w:val="single" w:sz="8" w:color="auto"/>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243,106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215,486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400" w:type="dxa"/>
            <w:vAlign w:val="bottom"/>
            <w:gridSpan w:val="2"/>
          </w:tcPr>
          <w:p>
            <w:pPr>
              <w:spacing w:after="0"/>
              <w:rPr>
                <w:sz w:val="15"/>
                <w:szCs w:val="15"/>
                <w:color w:val="auto"/>
              </w:rPr>
            </w:pPr>
          </w:p>
        </w:tc>
        <w:tc>
          <w:tcPr>
            <w:tcW w:w="3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for the financial year</w:t>
            </w:r>
          </w:p>
        </w:tc>
        <w:tc>
          <w:tcPr>
            <w:tcW w:w="3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243,106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215,486</w:t>
            </w:r>
          </w:p>
        </w:tc>
        <w:tc>
          <w:tcPr>
            <w:tcW w:w="0" w:type="dxa"/>
            <w:vAlign w:val="bottom"/>
          </w:tcPr>
          <w:p>
            <w:pPr>
              <w:spacing w:after="0"/>
              <w:rPr>
                <w:sz w:val="1"/>
                <w:szCs w:val="1"/>
                <w:color w:val="auto"/>
              </w:rPr>
            </w:pPr>
          </w:p>
        </w:tc>
      </w:tr>
      <w:tr>
        <w:trPr>
          <w:trHeight w:val="430"/>
        </w:trPr>
        <w:tc>
          <w:tcPr>
            <w:tcW w:w="2540" w:type="dxa"/>
            <w:vAlign w:val="bottom"/>
            <w:gridSpan w:val="2"/>
          </w:tcPr>
          <w:p>
            <w:pPr>
              <w:spacing w:after="0"/>
              <w:rPr>
                <w:sz w:val="20"/>
                <w:szCs w:val="20"/>
                <w:color w:val="auto"/>
              </w:rPr>
            </w:pPr>
            <w:r>
              <w:rPr>
                <w:rFonts w:ascii="Arial" w:cs="Arial" w:eastAsia="Arial" w:hAnsi="Arial"/>
                <w:sz w:val="19"/>
                <w:szCs w:val="19"/>
                <w:b w:val="1"/>
                <w:bCs w:val="1"/>
                <w:color w:val="auto"/>
              </w:rPr>
              <w:t>On behalf of the Board</w:t>
            </w:r>
          </w:p>
        </w:tc>
        <w:tc>
          <w:tcPr>
            <w:tcW w:w="2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4"/>
        </w:trPr>
        <w:tc>
          <w:tcPr>
            <w:tcW w:w="2540" w:type="dxa"/>
            <w:vAlign w:val="bottom"/>
            <w:gridSpan w:val="2"/>
          </w:tcPr>
          <w:p>
            <w:pPr>
              <w:spacing w:after="0"/>
              <w:rPr>
                <w:sz w:val="20"/>
                <w:szCs w:val="20"/>
                <w:color w:val="auto"/>
              </w:rPr>
            </w:pPr>
            <w:r>
              <w:rPr>
                <w:rFonts w:ascii="Arial" w:cs="Arial" w:eastAsia="Arial" w:hAnsi="Arial"/>
                <w:sz w:val="16"/>
                <w:szCs w:val="16"/>
                <w:color w:val="auto"/>
              </w:rPr>
              <w:t>Ciaran Murray</w:t>
            </w:r>
          </w:p>
        </w:tc>
        <w:tc>
          <w:tcPr>
            <w:tcW w:w="2880" w:type="dxa"/>
            <w:vAlign w:val="bottom"/>
          </w:tcPr>
          <w:p>
            <w:pPr>
              <w:ind w:left="320"/>
              <w:spacing w:after="0"/>
              <w:rPr>
                <w:sz w:val="20"/>
                <w:szCs w:val="20"/>
                <w:color w:val="auto"/>
              </w:rPr>
            </w:pPr>
            <w:r>
              <w:rPr>
                <w:rFonts w:ascii="Arial" w:cs="Arial" w:eastAsia="Arial" w:hAnsi="Arial"/>
                <w:sz w:val="16"/>
                <w:szCs w:val="16"/>
                <w:color w:val="auto"/>
              </w:rPr>
              <w:t>Declan McKeon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6"/>
                <w:szCs w:val="16"/>
                <w:i w:val="1"/>
                <w:iCs w:val="1"/>
                <w:color w:val="auto"/>
              </w:rPr>
              <w:t>Executive Chairman</w:t>
            </w:r>
          </w:p>
        </w:tc>
        <w:tc>
          <w:tcPr>
            <w:tcW w:w="2880" w:type="dxa"/>
            <w:vAlign w:val="bottom"/>
          </w:tcPr>
          <w:p>
            <w:pPr>
              <w:ind w:left="320"/>
              <w:spacing w:after="0"/>
              <w:rPr>
                <w:sz w:val="20"/>
                <w:szCs w:val="20"/>
                <w:color w:val="auto"/>
              </w:rPr>
            </w:pPr>
            <w:r>
              <w:rPr>
                <w:rFonts w:ascii="Arial" w:cs="Arial" w:eastAsia="Arial" w:hAnsi="Arial"/>
                <w:sz w:val="16"/>
                <w:szCs w:val="16"/>
                <w:i w:val="1"/>
                <w:iCs w:val="1"/>
                <w:color w:val="auto"/>
              </w:rPr>
              <w:t>Director</w:t>
            </w: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20" w:type="dxa"/>
            <w:vAlign w:val="bottom"/>
          </w:tcPr>
          <w:p>
            <w:pPr>
              <w:jc w:val="right"/>
              <w:ind w:right="2960"/>
              <w:spacing w:after="0"/>
              <w:rPr>
                <w:sz w:val="20"/>
                <w:szCs w:val="20"/>
                <w:color w:val="auto"/>
              </w:rPr>
            </w:pPr>
            <w:r>
              <w:rPr>
                <w:rFonts w:ascii="Arial" w:cs="Arial" w:eastAsia="Arial" w:hAnsi="Arial"/>
                <w:sz w:val="16"/>
                <w:szCs w:val="16"/>
                <w:color w:val="auto"/>
              </w:rPr>
              <w:t>16</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w w:val="96"/>
              </w:rPr>
              <w:t>31 December</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w w:val="95"/>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b w:val="1"/>
                <w:bCs w:val="1"/>
                <w:i w:val="1"/>
                <w:iCs w:val="1"/>
                <w:color w:val="auto"/>
              </w:rPr>
              <w:t>Note</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2016</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 xml:space="preserve">’000   </w:t>
            </w: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9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12</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93,482</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98,389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Intangible assets – goodwill and other</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13</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742,192</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720,399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17</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20,054</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17,049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assets</w:t>
            </w:r>
          </w:p>
        </w:tc>
        <w:tc>
          <w:tcPr>
            <w:tcW w:w="19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6</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37,985</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46,768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9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893,713</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882,605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Inventories</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15</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2,419</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16</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416,229</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409,165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Unbilled revenue</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192,687</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173,649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17</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58,562</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59,780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Current taxes receivable</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33,939</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34,323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Current asset investments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18</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68,046</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85,990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w:t>
            </w:r>
          </w:p>
        </w:tc>
        <w:tc>
          <w:tcPr>
            <w:tcW w:w="19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19</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192,541</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103,911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9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964,423</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868,638</w:t>
            </w:r>
          </w:p>
        </w:tc>
        <w:tc>
          <w:tcPr>
            <w:tcW w:w="0" w:type="dxa"/>
            <w:vAlign w:val="bottom"/>
          </w:tcPr>
          <w:p>
            <w:pPr>
              <w:spacing w:after="0"/>
              <w:rPr>
                <w:sz w:val="1"/>
                <w:szCs w:val="1"/>
                <w:color w:val="auto"/>
              </w:rPr>
            </w:pPr>
          </w:p>
        </w:tc>
      </w:tr>
      <w:tr>
        <w:trPr>
          <w:trHeight w:val="388"/>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19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1,858,136</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1,751,243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24</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4,692</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 premium</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252,977</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242,864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 reserve</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141,890</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108,397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Other undenominated capital</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809</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10,348</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Foreign currency translation reserve</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tcPr>
          <w:p>
            <w:pPr>
              <w:spacing w:after="0"/>
              <w:rPr>
                <w:sz w:val="16"/>
                <w:szCs w:val="16"/>
                <w:color w:val="auto"/>
              </w:rPr>
            </w:pP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(83,809)</w:t>
            </w:r>
          </w:p>
        </w:tc>
        <w:tc>
          <w:tcPr>
            <w:tcW w:w="1060" w:type="dxa"/>
            <w:vAlign w:val="bottom"/>
          </w:tcPr>
          <w:p>
            <w:pPr>
              <w:jc w:val="right"/>
              <w:spacing w:after="0"/>
              <w:rPr>
                <w:sz w:val="20"/>
                <w:szCs w:val="20"/>
                <w:color w:val="auto"/>
              </w:rPr>
            </w:pPr>
            <w:r>
              <w:rPr>
                <w:rFonts w:ascii="Arial" w:cs="Arial" w:eastAsia="Arial" w:hAnsi="Arial"/>
                <w:sz w:val="16"/>
                <w:szCs w:val="16"/>
                <w:color w:val="auto"/>
              </w:rPr>
              <w:t>(62,542)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88"/>
              </w:rPr>
              <w:t>Current asset investment - fair value reserve</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19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25</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650,583</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491,671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equity attributable to the owners of the company</w:t>
            </w: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977,467</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797,130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bank credit lines and loan facilities</w:t>
            </w: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23</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348,511</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348,304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Non-current other liabilities</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20</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18,639</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Non-current provisions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21</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7,083</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liabilities</w:t>
            </w:r>
          </w:p>
        </w:tc>
        <w:tc>
          <w:tcPr>
            <w:tcW w:w="19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6</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4,631</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9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378,864</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367,648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Accounts payable</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8,696</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Payments on account</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272,757</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318,697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Accrued and other liabilities</w:t>
            </w:r>
          </w:p>
        </w:tc>
        <w:tc>
          <w:tcPr>
            <w:tcW w:w="1940" w:type="dxa"/>
            <w:vAlign w:val="bottom"/>
          </w:tcPr>
          <w:p>
            <w:pPr>
              <w:spacing w:after="0"/>
              <w:rPr>
                <w:sz w:val="16"/>
                <w:szCs w:val="16"/>
                <w:color w:val="auto"/>
              </w:rPr>
            </w:pPr>
          </w:p>
        </w:tc>
        <w:tc>
          <w:tcPr>
            <w:tcW w:w="3940" w:type="dxa"/>
            <w:vAlign w:val="bottom"/>
          </w:tcPr>
          <w:p>
            <w:pPr>
              <w:jc w:val="right"/>
              <w:ind w:right="40"/>
              <w:spacing w:after="0"/>
              <w:rPr>
                <w:sz w:val="20"/>
                <w:szCs w:val="20"/>
                <w:color w:val="auto"/>
              </w:rPr>
            </w:pPr>
            <w:r>
              <w:rPr>
                <w:rFonts w:ascii="Arial" w:cs="Arial" w:eastAsia="Arial" w:hAnsi="Arial"/>
                <w:sz w:val="16"/>
                <w:szCs w:val="16"/>
                <w:i w:val="1"/>
                <w:iCs w:val="1"/>
                <w:color w:val="auto"/>
              </w:rPr>
              <w:t>20</w:t>
            </w:r>
          </w:p>
        </w:tc>
        <w:tc>
          <w:tcPr>
            <w:tcW w:w="280" w:type="dxa"/>
            <w:vAlign w:val="bottom"/>
          </w:tcPr>
          <w:p>
            <w:pPr>
              <w:spacing w:after="0"/>
              <w:rPr>
                <w:sz w:val="16"/>
                <w:szCs w:val="16"/>
                <w:color w:val="auto"/>
              </w:rPr>
            </w:pP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188,295</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229,764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Provisions</w:t>
            </w:r>
          </w:p>
        </w:tc>
        <w:tc>
          <w:tcPr>
            <w:tcW w:w="1940" w:type="dxa"/>
            <w:vAlign w:val="bottom"/>
            <w:shd w:val="clear" w:color="auto" w:fill="CCEEFF"/>
          </w:tcPr>
          <w:p>
            <w:pPr>
              <w:spacing w:after="0"/>
              <w:rPr>
                <w:sz w:val="16"/>
                <w:szCs w:val="16"/>
                <w:color w:val="auto"/>
              </w:rPr>
            </w:pPr>
          </w:p>
        </w:tc>
        <w:tc>
          <w:tcPr>
            <w:tcW w:w="3940" w:type="dxa"/>
            <w:vAlign w:val="bottom"/>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21</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1,349</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tax payable</w:t>
            </w:r>
          </w:p>
        </w:tc>
        <w:tc>
          <w:tcPr>
            <w:tcW w:w="19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30,708</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9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501,805</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586,465</w:t>
            </w:r>
          </w:p>
        </w:tc>
        <w:tc>
          <w:tcPr>
            <w:tcW w:w="0" w:type="dxa"/>
            <w:vAlign w:val="bottom"/>
          </w:tcPr>
          <w:p>
            <w:pPr>
              <w:spacing w:after="0"/>
              <w:rPr>
                <w:sz w:val="1"/>
                <w:szCs w:val="1"/>
                <w:color w:val="auto"/>
              </w:rPr>
            </w:pPr>
          </w:p>
        </w:tc>
      </w:tr>
      <w:tr>
        <w:trPr>
          <w:trHeight w:val="196"/>
        </w:trPr>
        <w:tc>
          <w:tcPr>
            <w:tcW w:w="2840" w:type="dxa"/>
            <w:vAlign w:val="bottom"/>
            <w:gridSpan w:val="2"/>
          </w:tcPr>
          <w:p>
            <w:pPr>
              <w:spacing w:after="0"/>
              <w:rPr>
                <w:sz w:val="17"/>
                <w:szCs w:val="17"/>
                <w:color w:val="auto"/>
              </w:rPr>
            </w:pPr>
          </w:p>
        </w:tc>
        <w:tc>
          <w:tcPr>
            <w:tcW w:w="19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940" w:type="dxa"/>
            <w:vAlign w:val="bottom"/>
            <w:tcBorders>
              <w:top w:val="single" w:sz="8" w:color="auto"/>
              <w:bottom w:val="single" w:sz="8" w:color="auto"/>
            </w:tcBorders>
            <w:shd w:val="clear" w:color="auto" w:fill="CCEEFF"/>
          </w:tcPr>
          <w:p>
            <w:pPr>
              <w:spacing w:after="0"/>
              <w:rPr>
                <w:sz w:val="17"/>
                <w:szCs w:val="17"/>
                <w:color w:val="auto"/>
              </w:rPr>
            </w:pPr>
          </w:p>
        </w:tc>
        <w:tc>
          <w:tcPr>
            <w:tcW w:w="394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880,669</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954,113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1940" w:type="dxa"/>
            <w:vAlign w:val="bottom"/>
            <w:tcBorders>
              <w:bottom w:val="single" w:sz="8" w:color="auto"/>
            </w:tcBorders>
            <w:shd w:val="clear" w:color="auto" w:fill="CCEEFF"/>
          </w:tcPr>
          <w:p>
            <w:pPr>
              <w:spacing w:after="0"/>
              <w:rPr>
                <w:sz w:val="20"/>
                <w:szCs w:val="20"/>
                <w:color w:val="auto"/>
              </w:rPr>
            </w:pPr>
          </w:p>
        </w:tc>
        <w:tc>
          <w:tcPr>
            <w:tcW w:w="39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1,858,136</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1,751,243</w:t>
            </w:r>
          </w:p>
        </w:tc>
        <w:tc>
          <w:tcPr>
            <w:tcW w:w="0" w:type="dxa"/>
            <w:vAlign w:val="bottom"/>
          </w:tcPr>
          <w:p>
            <w:pPr>
              <w:spacing w:after="0"/>
              <w:rPr>
                <w:sz w:val="1"/>
                <w:szCs w:val="1"/>
                <w:color w:val="auto"/>
              </w:rPr>
            </w:pPr>
          </w:p>
        </w:tc>
      </w:tr>
      <w:tr>
        <w:trPr>
          <w:trHeight w:val="396"/>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On behalf of the Board</w:t>
            </w:r>
          </w:p>
        </w:tc>
        <w:tc>
          <w:tcPr>
            <w:tcW w:w="19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2840" w:type="dxa"/>
            <w:vAlign w:val="bottom"/>
            <w:gridSpan w:val="2"/>
          </w:tcPr>
          <w:p>
            <w:pPr>
              <w:spacing w:after="0"/>
              <w:rPr>
                <w:sz w:val="20"/>
                <w:szCs w:val="20"/>
                <w:color w:val="auto"/>
              </w:rPr>
            </w:pPr>
            <w:r>
              <w:rPr>
                <w:rFonts w:ascii="Arial" w:cs="Arial" w:eastAsia="Arial" w:hAnsi="Arial"/>
                <w:sz w:val="16"/>
                <w:szCs w:val="16"/>
                <w:color w:val="auto"/>
              </w:rPr>
              <w:t>Ciaran Murray</w:t>
            </w:r>
          </w:p>
        </w:tc>
        <w:tc>
          <w:tcPr>
            <w:tcW w:w="1940" w:type="dxa"/>
            <w:vAlign w:val="bottom"/>
          </w:tcPr>
          <w:p>
            <w:pPr>
              <w:ind w:left="20"/>
              <w:spacing w:after="0"/>
              <w:rPr>
                <w:sz w:val="20"/>
                <w:szCs w:val="20"/>
                <w:color w:val="auto"/>
              </w:rPr>
            </w:pPr>
            <w:r>
              <w:rPr>
                <w:rFonts w:ascii="Arial" w:cs="Arial" w:eastAsia="Arial" w:hAnsi="Arial"/>
                <w:sz w:val="16"/>
                <w:szCs w:val="16"/>
                <w:color w:val="auto"/>
              </w:rPr>
              <w:t>Declan McKeon</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40" w:type="dxa"/>
            <w:vAlign w:val="bottom"/>
            <w:gridSpan w:val="2"/>
          </w:tcPr>
          <w:p>
            <w:pPr>
              <w:spacing w:after="0"/>
              <w:rPr>
                <w:sz w:val="20"/>
                <w:szCs w:val="20"/>
                <w:color w:val="auto"/>
              </w:rPr>
            </w:pPr>
            <w:r>
              <w:rPr>
                <w:rFonts w:ascii="Arial" w:cs="Arial" w:eastAsia="Arial" w:hAnsi="Arial"/>
                <w:sz w:val="16"/>
                <w:szCs w:val="16"/>
                <w:i w:val="1"/>
                <w:iCs w:val="1"/>
                <w:color w:val="auto"/>
              </w:rPr>
              <w:t>Executive Chairman</w:t>
            </w:r>
          </w:p>
        </w:tc>
        <w:tc>
          <w:tcPr>
            <w:tcW w:w="1940" w:type="dxa"/>
            <w:vAlign w:val="bottom"/>
          </w:tcPr>
          <w:p>
            <w:pPr>
              <w:ind w:left="20"/>
              <w:spacing w:after="0"/>
              <w:rPr>
                <w:sz w:val="20"/>
                <w:szCs w:val="20"/>
                <w:color w:val="auto"/>
              </w:rPr>
            </w:pPr>
            <w:r>
              <w:rPr>
                <w:rFonts w:ascii="Arial" w:cs="Arial" w:eastAsia="Arial" w:hAnsi="Arial"/>
                <w:sz w:val="16"/>
                <w:szCs w:val="16"/>
                <w:i w:val="1"/>
                <w:iCs w:val="1"/>
                <w:color w:val="auto"/>
              </w:rPr>
              <w:t>Director</w:t>
            </w:r>
          </w:p>
        </w:tc>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40" w:type="dxa"/>
            <w:vAlign w:val="bottom"/>
          </w:tcPr>
          <w:p>
            <w:pPr>
              <w:jc w:val="right"/>
              <w:ind w:right="2840"/>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Current</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Asset</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Share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Share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w w:val="90"/>
              </w:rPr>
              <w:t>Share Based</w:t>
            </w: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w w:val="93"/>
              </w:rPr>
              <w:t>Currency</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w w:val="97"/>
              </w:rPr>
              <w:t>Investment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w w:val="97"/>
              </w:rPr>
              <w:t>Retained</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of shares</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Capital</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3"/>
              </w:rPr>
              <w:t>Premium</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2"/>
              </w:rPr>
              <w:t>Undenominated</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Payment</w:t>
            </w: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Reserves</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Reserve</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Fair value</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w w:val="96"/>
              </w:rPr>
              <w:t>Earnings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Reserve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Reserve</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$’000</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8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Balance at 1 January 2016</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54,958,912</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242,864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108,397</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11,340</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(62,542)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491,671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797,130</w:t>
            </w:r>
          </w:p>
        </w:tc>
        <w:tc>
          <w:tcPr>
            <w:tcW w:w="0" w:type="dxa"/>
            <w:vAlign w:val="bottom"/>
          </w:tcPr>
          <w:p>
            <w:pPr>
              <w:spacing w:after="0"/>
              <w:rPr>
                <w:sz w:val="1"/>
                <w:szCs w:val="1"/>
                <w:color w:val="auto"/>
              </w:rPr>
            </w:pPr>
          </w:p>
        </w:tc>
      </w:tr>
      <w:tr>
        <w:trPr>
          <w:trHeight w:val="176"/>
        </w:trPr>
        <w:tc>
          <w:tcPr>
            <w:tcW w:w="27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w w:val="99"/>
              </w:rPr>
              <w:t>Total comprehensive income for the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267,960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(12,839)</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Currency impact on long-term funding</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(8,824)</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Tax on currency impact of long term</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gridSpan w:val="2"/>
          </w:tcPr>
          <w:p>
            <w:pPr>
              <w:spacing w:after="0"/>
              <w:rPr>
                <w:sz w:val="20"/>
                <w:szCs w:val="20"/>
                <w:color w:val="auto"/>
              </w:rPr>
            </w:pPr>
            <w:r>
              <w:rPr>
                <w:rFonts w:ascii="Arial" w:cs="Arial" w:eastAsia="Arial" w:hAnsi="Arial"/>
                <w:sz w:val="16"/>
                <w:szCs w:val="16"/>
                <w:color w:val="auto"/>
              </w:rPr>
              <w:t>funding</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396</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Unrealised fair value movements on</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gridSpan w:val="2"/>
          </w:tcPr>
          <w:p>
            <w:pPr>
              <w:spacing w:after="0"/>
              <w:rPr>
                <w:sz w:val="20"/>
                <w:szCs w:val="20"/>
                <w:color w:val="auto"/>
              </w:rPr>
            </w:pPr>
            <w:r>
              <w:rPr>
                <w:rFonts w:ascii="Arial" w:cs="Arial" w:eastAsia="Arial" w:hAnsi="Arial"/>
                <w:sz w:val="16"/>
                <w:szCs w:val="16"/>
                <w:color w:val="auto"/>
              </w:rPr>
              <w:t>investments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Employee benefits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(2,675)</w:t>
            </w:r>
          </w:p>
        </w:tc>
        <w:tc>
          <w:tcPr>
            <w:tcW w:w="720" w:type="dxa"/>
            <w:vAlign w:val="bottom"/>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Amortisation of interest rate hedge</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comprehensive income</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(21,267)</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3"/>
              </w:rPr>
              <w:t>Total comprehensive income for the year</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(21,267)</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265,285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9"/>
              </w:rPr>
              <w:t>Transactions with owners, recorded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directly in equity</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40,310</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Exercise of share 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393,240</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3"/>
              </w:rPr>
              <w:t>Transfer of exercised and expired share–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based awards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3,850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Issue of Restricted Share Units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607,878</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 issue costs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(1,429,187)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(110,000)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 costs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2"/>
              </w:rPr>
              <w:t>Tax benefit excess on exercise of 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6,403</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7"/>
              </w:rPr>
              <w:t>Deferred tax movement on unexercised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Non-distributable reserves</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9"/>
              </w:rPr>
              <w:t>Total contributions by and distributions</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(428,069)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33,493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(106,373)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transactions with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(428,069)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33,493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(106,373)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at 31 December 2016</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54,530,843</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4,692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252,977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809</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141,890</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10,348</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(83,809)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650,583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977,467</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jc w:val="right"/>
              <w:ind w:right="440"/>
              <w:spacing w:after="0"/>
              <w:rPr>
                <w:sz w:val="20"/>
                <w:szCs w:val="20"/>
                <w:color w:val="auto"/>
              </w:rPr>
            </w:pPr>
            <w:r>
              <w:rPr>
                <w:rFonts w:ascii="Arial" w:cs="Arial" w:eastAsia="Arial" w:hAnsi="Arial"/>
                <w:sz w:val="16"/>
                <w:szCs w:val="16"/>
                <w:color w:val="auto"/>
              </w:rPr>
              <w:t>18</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Current</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Asset</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Share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Share</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w w:val="90"/>
              </w:rPr>
              <w:t>Share Based</w:t>
            </w: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w w:val="93"/>
              </w:rPr>
              <w:t>Currency</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w w:val="97"/>
              </w:rPr>
              <w:t>Investment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w w:val="97"/>
              </w:rPr>
              <w:t>Retained</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of shares</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Capital</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3"/>
              </w:rPr>
              <w:t>Premium</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0"/>
              </w:rPr>
              <w:t>Undenominated</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Payment</w:t>
            </w: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Reserves</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Reserve</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Fair value</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w w:val="96"/>
              </w:rPr>
              <w:t>Earnings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Reserve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Reserve</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$’000</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1 January 2015</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60,106,780</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5,059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221,943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70,178</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6,741</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(31,205)</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700,154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973,195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6"/>
                <w:szCs w:val="16"/>
                <w:b w:val="1"/>
                <w:bCs w:val="1"/>
                <w:color w:val="auto"/>
                <w:w w:val="98"/>
              </w:rPr>
              <w:t>Total comprehensive income for the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240,024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(35,105)</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Currency impact on long-term funding</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7,342</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Tax on currency impact of long term</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gridSpan w:val="2"/>
          </w:tcPr>
          <w:p>
            <w:pPr>
              <w:spacing w:after="0"/>
              <w:rPr>
                <w:sz w:val="20"/>
                <w:szCs w:val="20"/>
                <w:color w:val="auto"/>
              </w:rPr>
            </w:pPr>
            <w:r>
              <w:rPr>
                <w:rFonts w:ascii="Arial" w:cs="Arial" w:eastAsia="Arial" w:hAnsi="Arial"/>
                <w:sz w:val="16"/>
                <w:szCs w:val="16"/>
                <w:color w:val="auto"/>
              </w:rPr>
              <w:t>funding</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(3,574)</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Unrealised fair value movements on</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gridSpan w:val="2"/>
          </w:tcPr>
          <w:p>
            <w:pPr>
              <w:spacing w:after="0"/>
              <w:rPr>
                <w:sz w:val="20"/>
                <w:szCs w:val="20"/>
                <w:color w:val="auto"/>
              </w:rPr>
            </w:pPr>
            <w:r>
              <w:rPr>
                <w:rFonts w:ascii="Arial" w:cs="Arial" w:eastAsia="Arial" w:hAnsi="Arial"/>
                <w:sz w:val="16"/>
                <w:szCs w:val="16"/>
                <w:color w:val="auto"/>
              </w:rPr>
              <w:t>investments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Employee benefits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2,236</w:t>
            </w:r>
          </w:p>
        </w:tc>
        <w:tc>
          <w:tcPr>
            <w:tcW w:w="720" w:type="dxa"/>
            <w:vAlign w:val="bottom"/>
          </w:tcPr>
          <w:p>
            <w:pPr>
              <w:jc w:val="right"/>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on interest rate hedge</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4,617</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comprehensive income</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4,617</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(31,337)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2,236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3"/>
              </w:rPr>
              <w:t>Total comprehensive income for the year</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4,617</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(31,337)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242,260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9"/>
              </w:rPr>
              <w:t>Transactions with owners, recorded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directly in equity</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33,187</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Exercise of share 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773,753</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3"/>
              </w:rPr>
              <w:t>Transfer of exercised and expired share–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based awards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8,020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Issue of Restricted Share Units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276,860</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 issue costs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(6,198,481)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(457,892)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(457,892)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 costs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2"/>
              </w:rPr>
              <w:t>Tax benefit excess on exercise of 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1,905</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7"/>
              </w:rPr>
              <w:t>Deferred tax movement on unexercised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11,147</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Non-distributable reserves</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9"/>
              </w:rPr>
              <w:t>Total contributions by and distributions</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(5,147,868)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38,219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(450,743)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(391,551)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transactions with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(5,147,868)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38,219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(450,743)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(391,551)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at 31 December 2015</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54,958,912</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242,864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108,397</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11,340</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(62,542)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491,671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797,130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60" w:type="dxa"/>
            <w:vAlign w:val="bottom"/>
            <w:gridSpan w:val="3"/>
          </w:tcPr>
          <w:p>
            <w:pPr>
              <w:jc w:val="right"/>
              <w:ind w:right="320"/>
              <w:spacing w:after="0"/>
              <w:rPr>
                <w:sz w:val="20"/>
                <w:szCs w:val="20"/>
                <w:color w:val="auto"/>
              </w:rPr>
            </w:pPr>
            <w:r>
              <w:rPr>
                <w:rFonts w:ascii="Arial" w:cs="Arial" w:eastAsia="Arial" w:hAnsi="Arial"/>
                <w:sz w:val="16"/>
                <w:szCs w:val="16"/>
                <w:i w:val="1"/>
                <w:iCs w:val="1"/>
                <w:color w:val="auto"/>
                <w:w w:val="93"/>
              </w:rPr>
              <w:t>Further details of the reserves above are detailed in note 25</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color w:val="auto"/>
              </w:rPr>
              <w:t>19</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800" w:type="dxa"/>
            <w:vAlign w:val="bottom"/>
          </w:tcPr>
          <w:p>
            <w:pPr>
              <w:jc w:val="right"/>
              <w:ind w:right="160"/>
              <w:spacing w:after="0"/>
              <w:rPr>
                <w:sz w:val="20"/>
                <w:szCs w:val="20"/>
                <w:color w:val="auto"/>
              </w:rPr>
            </w:pPr>
            <w:r>
              <w:rPr>
                <w:rFonts w:ascii="Arial" w:cs="Arial" w:eastAsia="Arial" w:hAnsi="Arial"/>
                <w:sz w:val="16"/>
                <w:szCs w:val="16"/>
                <w:b w:val="1"/>
                <w:bCs w:val="1"/>
                <w:i w:val="1"/>
                <w:iCs w:val="1"/>
                <w:color w:val="auto"/>
              </w:rPr>
              <w:t>Note</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r>
      <w:tr>
        <w:trPr>
          <w:trHeight w:val="209"/>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for the financial year</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267,960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240,024</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b w:val="1"/>
                <w:bCs w:val="1"/>
                <w:color w:val="auto"/>
              </w:rPr>
              <w:t>Adjustments to reconcile net income to net cash generated from operating activities</w:t>
            </w:r>
          </w:p>
        </w:tc>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property, plant and equipment</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151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Depreciation</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12</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19,614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21,887</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intangible assets</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13</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39,961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35,790</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Amortisation of grants</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22</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(44)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53</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Interest on short term investments</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18</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Realised (gain)/loss on sale of short term investments</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18</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(50)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113</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gain on interest rate hedge</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Amortisation of deferred financing costs</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566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11</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40,310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33,187</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Financing income</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4</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(1,484)</w:t>
            </w:r>
          </w:p>
        </w:tc>
        <w:tc>
          <w:tcPr>
            <w:tcW w:w="120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Financing expense</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5</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13,006</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3,992</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Defined benefit pension service costs</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480</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pension finance costs</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182</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Defined benefit past service cost</w:t>
            </w:r>
          </w:p>
        </w:tc>
        <w:tc>
          <w:tcPr>
            <w:tcW w:w="1800" w:type="dxa"/>
            <w:vAlign w:val="bottom"/>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(88)</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expenses</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expense</w:t>
            </w:r>
          </w:p>
        </w:tc>
        <w:tc>
          <w:tcPr>
            <w:tcW w:w="1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i w:val="1"/>
                <w:iCs w:val="1"/>
                <w:color w:val="auto"/>
              </w:rPr>
              <w:t>6</w:t>
            </w: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32,431</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39,410</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cash inflow before changes in working capital</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411,204</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373,406</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Decrease/(increase) in accounts receivable</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2,526</w:t>
            </w:r>
          </w:p>
        </w:tc>
        <w:tc>
          <w:tcPr>
            <w:tcW w:w="1200" w:type="dxa"/>
            <w:vAlign w:val="bottom"/>
          </w:tcPr>
          <w:p>
            <w:pPr>
              <w:jc w:val="right"/>
              <w:spacing w:after="0"/>
              <w:rPr>
                <w:sz w:val="20"/>
                <w:szCs w:val="20"/>
                <w:color w:val="auto"/>
              </w:rPr>
            </w:pPr>
            <w:r>
              <w:rPr>
                <w:rFonts w:ascii="Arial" w:cs="Arial" w:eastAsia="Arial" w:hAnsi="Arial"/>
                <w:sz w:val="16"/>
                <w:szCs w:val="16"/>
                <w:color w:val="auto"/>
              </w:rPr>
              <w:t>(18,671)</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Increase in unbilled revenue</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(16,753)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(29,281)</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Decrease/(increase) in other current assets</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645</w:t>
            </w:r>
          </w:p>
        </w:tc>
        <w:tc>
          <w:tcPr>
            <w:tcW w:w="1200" w:type="dxa"/>
            <w:vAlign w:val="bottom"/>
          </w:tcPr>
          <w:p>
            <w:pPr>
              <w:jc w:val="right"/>
              <w:spacing w:after="0"/>
              <w:rPr>
                <w:sz w:val="20"/>
                <w:szCs w:val="20"/>
                <w:color w:val="auto"/>
              </w:rPr>
            </w:pPr>
            <w:r>
              <w:rPr>
                <w:rFonts w:ascii="Arial" w:cs="Arial" w:eastAsia="Arial" w:hAnsi="Arial"/>
                <w:sz w:val="16"/>
                <w:szCs w:val="16"/>
                <w:color w:val="auto"/>
              </w:rPr>
              <w:t>(21,313)</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Increase in other non current assets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(2,157)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Increase in inventory</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(599)</w:t>
            </w: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Increase in accounts payable</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1,175</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3,124</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(Decrease)/ increase in payments on account</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(45,754)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34,644</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Decrease in accrued and other liabilities and provisions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(70,791)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(52,189)</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Increase in non current other liabilities and provisions</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2,683</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5,833</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provided by operations</w:t>
            </w:r>
          </w:p>
        </w:tc>
        <w:tc>
          <w:tcPr>
            <w:tcW w:w="1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282,179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295,344</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Income taxes paid</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(10,205)</w:t>
            </w:r>
          </w:p>
        </w:tc>
        <w:tc>
          <w:tcPr>
            <w:tcW w:w="120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Employer contribution defined benefit pension scheme</w:t>
            </w:r>
          </w:p>
        </w:tc>
        <w:tc>
          <w:tcPr>
            <w:tcW w:w="180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Interest received</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1,147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1,041</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(13,615)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inflow from operating activities</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259,203</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279,073</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Purchase of property, plant and equipment</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(16,957)</w:t>
            </w:r>
          </w:p>
        </w:tc>
        <w:tc>
          <w:tcPr>
            <w:tcW w:w="1200" w:type="dxa"/>
            <w:vAlign w:val="bottom"/>
          </w:tcPr>
          <w:p>
            <w:pPr>
              <w:jc w:val="right"/>
              <w:spacing w:after="0"/>
              <w:rPr>
                <w:sz w:val="20"/>
                <w:szCs w:val="20"/>
                <w:color w:val="auto"/>
              </w:rPr>
            </w:pPr>
            <w:r>
              <w:rPr>
                <w:rFonts w:ascii="Arial" w:cs="Arial" w:eastAsia="Arial" w:hAnsi="Arial"/>
                <w:sz w:val="16"/>
                <w:szCs w:val="16"/>
                <w:color w:val="auto"/>
              </w:rPr>
              <w:t>(18,433)</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(25,644)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(31,297)</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Purchase of subsidiary undertakings</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(54,209)</w:t>
            </w:r>
          </w:p>
        </w:tc>
        <w:tc>
          <w:tcPr>
            <w:tcW w:w="1200" w:type="dxa"/>
            <w:vAlign w:val="bottom"/>
          </w:tcPr>
          <w:p>
            <w:pPr>
              <w:jc w:val="right"/>
              <w:spacing w:after="0"/>
              <w:rPr>
                <w:sz w:val="20"/>
                <w:szCs w:val="20"/>
                <w:color w:val="auto"/>
              </w:rPr>
            </w:pPr>
            <w:r>
              <w:rPr>
                <w:rFonts w:ascii="Arial" w:cs="Arial" w:eastAsia="Arial" w:hAnsi="Arial"/>
                <w:sz w:val="16"/>
                <w:szCs w:val="16"/>
                <w:color w:val="auto"/>
              </w:rPr>
              <w:t>(166,292)</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acquired with subsidiary undertakings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3,168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Sale/maturity of current asset investments</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40,858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25,708</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Purchase of current asset investments</w:t>
            </w:r>
          </w:p>
        </w:tc>
        <w:tc>
          <w:tcPr>
            <w:tcW w:w="1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(22,030)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(14,194)</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(74,814)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(204,314)</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Drawdown of credit lines and facilities</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73,000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851,500</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Repayment of credit lines and facilities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(501,500)</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Tax benefit from the exercise of share options</w:t>
            </w:r>
          </w:p>
        </w:tc>
        <w:tc>
          <w:tcPr>
            <w:tcW w:w="18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6,403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1,905</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 RSUs and PSUs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10,180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20,999</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Share issuance costs</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(17)</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ordinary shares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(457,892)</w:t>
            </w: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Share repurchase costs</w:t>
            </w:r>
          </w:p>
        </w:tc>
        <w:tc>
          <w:tcPr>
            <w:tcW w:w="18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(275)</w:t>
            </w:r>
          </w:p>
        </w:tc>
        <w:tc>
          <w:tcPr>
            <w:tcW w:w="120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interest rate hedge</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4,658</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Repayment of government grant</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96"/>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(93,709)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(81,386)</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90,680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(6,627)</w:t>
            </w: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w:t>
            </w:r>
          </w:p>
        </w:tc>
        <w:tc>
          <w:tcPr>
            <w:tcW w:w="18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start of year</w:t>
            </w:r>
          </w:p>
        </w:tc>
        <w:tc>
          <w:tcPr>
            <w:tcW w:w="1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103,911</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118,900</w:t>
            </w:r>
          </w:p>
        </w:tc>
      </w:tr>
      <w:tr>
        <w:trPr>
          <w:trHeight w:val="232"/>
        </w:trPr>
        <w:tc>
          <w:tcPr>
            <w:tcW w:w="20" w:type="dxa"/>
            <w:vAlign w:val="bottom"/>
          </w:tcPr>
          <w:p>
            <w:pPr>
              <w:spacing w:after="0"/>
              <w:rPr>
                <w:sz w:val="20"/>
                <w:szCs w:val="20"/>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18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192,541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103,911</w:t>
            </w:r>
          </w:p>
        </w:tc>
      </w:tr>
      <w:tr>
        <w:trPr>
          <w:trHeight w:val="336"/>
        </w:trPr>
        <w:tc>
          <w:tcPr>
            <w:tcW w:w="7040" w:type="dxa"/>
            <w:vAlign w:val="bottom"/>
            <w:gridSpan w:val="2"/>
          </w:tcPr>
          <w:p>
            <w:pPr>
              <w:jc w:val="right"/>
              <w:ind w:right="1160"/>
              <w:spacing w:after="0"/>
              <w:rPr>
                <w:sz w:val="20"/>
                <w:szCs w:val="20"/>
                <w:color w:val="auto"/>
              </w:rPr>
            </w:pPr>
            <w:r>
              <w:rPr>
                <w:rFonts w:ascii="Arial" w:cs="Arial" w:eastAsia="Arial" w:hAnsi="Arial"/>
                <w:sz w:val="16"/>
                <w:szCs w:val="16"/>
                <w:color w:val="auto"/>
              </w:rPr>
              <w:t>20</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2"/>
        </w:trPr>
        <w:tc>
          <w:tcPr>
            <w:tcW w:w="20" w:type="dxa"/>
            <w:vAlign w:val="bottom"/>
          </w:tcPr>
          <w:p>
            <w:pPr>
              <w:spacing w:after="0"/>
              <w:rPr>
                <w:sz w:val="4"/>
                <w:szCs w:val="4"/>
                <w:color w:val="auto"/>
              </w:rPr>
            </w:pPr>
          </w:p>
        </w:tc>
        <w:tc>
          <w:tcPr>
            <w:tcW w:w="70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35" w:name="page36"/>
    <w:bookmarkEnd w:id="35"/>
    <w:p>
      <w:pPr>
        <w:ind w:left="4"/>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ind w:left="4" w:right="7380" w:hanging="4"/>
        <w:spacing w:after="0" w:line="535" w:lineRule="auto"/>
        <w:tabs>
          <w:tab w:leader="none" w:pos="16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preparation and statement of accounting policies Statement of compliance</w:t>
      </w:r>
    </w:p>
    <w:p>
      <w:pPr>
        <w:spacing w:after="0" w:line="1"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2016. The Company financial statements have been prepared in accordance with IFRS as adopted by the EU and those parts of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504 of the Companies Act 2014 from presenting to its members a Company Income Statement and Company Statement of Comprehensive Income and related notes.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Basis of preparation</w:t>
      </w:r>
    </w:p>
    <w:p>
      <w:pPr>
        <w:spacing w:after="0" w:line="228"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These Group and Company financial statements are presented in U.S. dollars and all values are rounded to the nearest thousand ($‘000), except where otherwise indicated. They are prepared on the historical cost basis, except for the measurement at fair value on date of grant of share options, the pension plan assets and available for sale financial assets. Accounting policies are applied consistently with the prior year.</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Key accounting policies which involve significant estimates and judgments</w:t>
      </w:r>
    </w:p>
    <w:p>
      <w:pPr>
        <w:spacing w:after="0" w:line="228"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76"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Revenue Recognition</w:t>
      </w:r>
    </w:p>
    <w:p>
      <w:pPr>
        <w:spacing w:after="0" w:line="224"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 is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19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Customers are invoiced on completion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w:t>
      </w:r>
    </w:p>
    <w:p>
      <w:pPr>
        <w:spacing w:after="0" w:line="13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 accounting policies which involve significant estimates and judgments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Goodwill is reviewed for impairment annually or more frequently if facts or circumstances warrant such a review. Goodwill is evaluated for impairment by comparing the recoverable amount of the single cash-generating unit to the carrying amount of the single cash-generating unit to which the goodwill relates. If the recoverable amount is less than the carrying amount an impairment charge is determined.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Growth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Taxation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Deferred tax assets and liabilities are determined using enacted tax rates for the effects of net operating losses and temporary differences between the book and tax bases of assets and liabilities. In assessing the recoverability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 accounting policies which involve significant estimates and judgments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Combinations</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Group has concluded a number of business combinations in recent years. Business combinations are accounted for using the acquisition method when control is transferred to the Group. The consideration transferred is generally measured at fair value, as are the identifiable assets acquired and liabilities assumed. The fair value of the consideration of a business combination may include a portion which is contingent upon the delivery of certain future events, such as the achievement of a particular revenue or earnings target. Where a business combination agreement provides for such additional consideration, the amount of the estimated consideration is recognised on the acquisition date at fair value. The accounting treatment of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 will be accounted for through the consolidated income statement.</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and amended standards and interpretations effective for 2016</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There are a number of changes to IFRS which became effective for years ending on or before 31 December 2016, however, they either did not have an effect on the Consolidated Financial Statements or they are not currently relevant for the Group.</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and amended standards and interpretations effective after 2016</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Directors have reviewed recent changes in accounting standards and have set out below details of changes which may have an impact on the Group. All of the items below await E.U. endorsement.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is the standard which will replace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xml:space="preserve"> It has been completed in a number of phases with the final version issued by the IASB in July 2014. The Standard includes requirements for recognition, measurement, impairment and derecognition of financial instruments, and general hedge accounting. IFRS 9 is effective for accounting periods beginning on or after 1 January 2018, and subject to EU endorsement, the Group will apply IFRS 9 from its effective date. The Group is currently assessing the impact of IFRS 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28"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 xml:space="preserve">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replaces IAS 18,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and IAS 11, </w:t>
      </w:r>
      <w:r>
        <w:rPr>
          <w:rFonts w:ascii="Arial" w:cs="Arial" w:eastAsia="Arial" w:hAnsi="Arial"/>
          <w:sz w:val="14"/>
          <w:szCs w:val="14"/>
          <w:i w:val="1"/>
          <w:iCs w:val="1"/>
          <w:color w:val="auto"/>
        </w:rPr>
        <w:t>Construction contracts and related interpretations</w:t>
      </w:r>
      <w:r>
        <w:rPr>
          <w:rFonts w:ascii="Arial" w:cs="Arial" w:eastAsia="Arial" w:hAnsi="Arial"/>
          <w:sz w:val="14"/>
          <w:szCs w:val="14"/>
          <w:color w:val="auto"/>
        </w:rPr>
        <w:t>. IFRS 15 establishes principles for reporting the nature, amount, timing and uncertainty of revenue and cash flows arising from contracts with customers. It specifies how and when revenue should be recognised as well as requiring enhanced disclosures. Revenue is recognised when an identified performance obligation has been met and the customer can direct the use of and obtain substantially all the remaining benefits from a good or service as a result of obtaining control of that good or service. IFRS 15 is effective for annual periods beginning on or after 1 January 2018. The updated standard is effective for us in the first quarter of the year ended 31 December 2018. We are continuing to evaluate a method of transition and are currently evaluating the effect that the updated standard will have on our consolidated financial statements and related disclosures. While we are continuing to assess all potential impacts of the new standard, we currently believe the most significant impact relates to our assessment of measurement of performance and percentage of completion. Under current GAAP, the revenue attributable to performance is determined based on both input and output methods of measurement.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i w:val="1"/>
          <w:iCs w:val="1"/>
          <w:color w:val="auto"/>
        </w:rPr>
        <w:t>(continued)</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Due to the complexity of certain of our contracts, the actual revenue recognition treatment required under the new standard for these arrangements may be dependent on contract-specific terms and vary in some instances. Our preparatory work is also focused on the increased disclosure obligations (including in respect of retrospective revenue and backlog).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2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 xml:space="preserve">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issued in January 2016 by the IASB replaces IAS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related interpretations. IFRS 16 sets out the principles for the recognition, measurement, presentation and disclosure of leases for both the lessee and the lessor. For lessees, IFRS 16 eliminates the classification of leases as either operating leases or finance leases and introduces a single lessee accounting model whereby all leases are accounted for as finance leases, with some exemptions. For lessors, IFRS 16 substantially carried forward the accounting requirement in IAS 17. IFRS 16 is effective for annual periods beginning on or after 1 January 2019, and subject to EU endorsement, the Group will apply IFRS 16 from its effective date. We are currently evaluating the effect that the updated standard will have on our consolidated financial statements and related disclosures.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Other changes to IFRS have been issued; however, they are either not expected to have a material effect on the Consolidated Financial Statements or they are not currently relevant for the Group.</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accounting policies have been applied consistently in dealing with items which are considered material in relation to the Group’s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consolidation</w:t>
      </w:r>
    </w:p>
    <w:p>
      <w:pPr>
        <w:spacing w:after="0" w:line="22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presentation currency of the Group and Company is US dollars ($). The functional currency of the Company changed from Euro (€) to US dollars ($) on 1 August 2015.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taken to the income statement. Translation differences on long term intercompany balances, in the Consolidated Financial Statements, where repayment is not foreseen are treated as other comprehensive income in the Statement of Comprehensive Income.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exchange rates used for the translation of results, cash flows and statements of financial position into US dollars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5100" w:type="dxa"/>
            <w:vAlign w:val="bottom"/>
            <w:gridSpan w:val="2"/>
          </w:tcPr>
          <w:p>
            <w:pPr>
              <w:jc w:val="right"/>
              <w:ind w:right="1080"/>
              <w:spacing w:after="0"/>
              <w:rPr>
                <w:sz w:val="20"/>
                <w:szCs w:val="20"/>
                <w:color w:val="auto"/>
              </w:rPr>
            </w:pPr>
            <w:r>
              <w:rPr>
                <w:rFonts w:ascii="Arial" w:cs="Arial" w:eastAsia="Arial" w:hAnsi="Arial"/>
                <w:sz w:val="16"/>
                <w:szCs w:val="16"/>
                <w:b w:val="1"/>
                <w:bCs w:val="1"/>
                <w:color w:val="auto"/>
              </w:rPr>
              <w:t>Average</w:t>
            </w:r>
          </w:p>
        </w:tc>
        <w:tc>
          <w:tcPr>
            <w:tcW w:w="2660" w:type="dxa"/>
            <w:vAlign w:val="bottom"/>
            <w:gridSpan w:val="2"/>
          </w:tcPr>
          <w:p>
            <w:pPr>
              <w:jc w:val="right"/>
              <w:ind w:right="960"/>
              <w:spacing w:after="0"/>
              <w:rPr>
                <w:sz w:val="20"/>
                <w:szCs w:val="20"/>
                <w:color w:val="auto"/>
              </w:rPr>
            </w:pPr>
            <w:r>
              <w:rPr>
                <w:rFonts w:ascii="Arial" w:cs="Arial" w:eastAsia="Arial" w:hAnsi="Arial"/>
                <w:sz w:val="16"/>
                <w:szCs w:val="16"/>
                <w:b w:val="1"/>
                <w:bCs w:val="1"/>
                <w:color w:val="auto"/>
              </w:rPr>
              <w:t>Year end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740" w:type="dxa"/>
            <w:vAlign w:val="bottom"/>
          </w:tcPr>
          <w:p>
            <w:pPr>
              <w:jc w:val="right"/>
              <w:ind w:right="120"/>
              <w:spacing w:after="0"/>
              <w:rPr>
                <w:sz w:val="20"/>
                <w:szCs w:val="20"/>
                <w:color w:val="auto"/>
              </w:rPr>
            </w:pPr>
            <w:r>
              <w:rPr>
                <w:rFonts w:ascii="Arial" w:cs="Arial" w:eastAsia="Arial" w:hAnsi="Arial"/>
                <w:sz w:val="16"/>
                <w:szCs w:val="16"/>
                <w:b w:val="1"/>
                <w:bCs w:val="1"/>
                <w:color w:val="auto"/>
              </w:rPr>
              <w:t>Year to 31</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Year to 31</w:t>
            </w:r>
          </w:p>
        </w:tc>
        <w:tc>
          <w:tcPr>
            <w:tcW w:w="1360" w:type="dxa"/>
            <w:vAlign w:val="bottom"/>
          </w:tcPr>
          <w:p>
            <w:pPr>
              <w:jc w:val="right"/>
              <w:ind w:right="80"/>
              <w:spacing w:after="0"/>
              <w:rPr>
                <w:sz w:val="20"/>
                <w:szCs w:val="20"/>
                <w:color w:val="auto"/>
              </w:rPr>
            </w:pPr>
            <w:r>
              <w:rPr>
                <w:rFonts w:ascii="Arial" w:cs="Arial" w:eastAsia="Arial" w:hAnsi="Arial"/>
                <w:sz w:val="16"/>
                <w:szCs w:val="16"/>
                <w:b w:val="1"/>
                <w:bCs w:val="1"/>
                <w:color w:val="auto"/>
              </w:rPr>
              <w:t>Year to 31</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Year to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740" w:type="dxa"/>
            <w:vAlign w:val="bottom"/>
          </w:tcPr>
          <w:p>
            <w:pPr>
              <w:jc w:val="right"/>
              <w:ind w:right="120"/>
              <w:spacing w:after="0"/>
              <w:rPr>
                <w:sz w:val="20"/>
                <w:szCs w:val="20"/>
                <w:color w:val="auto"/>
              </w:rPr>
            </w:pPr>
            <w:r>
              <w:rPr>
                <w:rFonts w:ascii="Arial" w:cs="Arial" w:eastAsia="Arial" w:hAnsi="Arial"/>
                <w:sz w:val="16"/>
                <w:szCs w:val="16"/>
                <w:b w:val="1"/>
                <w:bCs w:val="1"/>
                <w:color w:val="auto"/>
              </w:rPr>
              <w:t>December 2016</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December 2015</w:t>
            </w:r>
          </w:p>
        </w:tc>
        <w:tc>
          <w:tcPr>
            <w:tcW w:w="1360" w:type="dxa"/>
            <w:vAlign w:val="bottom"/>
          </w:tcPr>
          <w:p>
            <w:pPr>
              <w:jc w:val="right"/>
              <w:ind w:right="80"/>
              <w:spacing w:after="0"/>
              <w:rPr>
                <w:sz w:val="20"/>
                <w:szCs w:val="20"/>
                <w:color w:val="auto"/>
              </w:rPr>
            </w:pPr>
            <w:r>
              <w:rPr>
                <w:rFonts w:ascii="Arial" w:cs="Arial" w:eastAsia="Arial" w:hAnsi="Arial"/>
                <w:sz w:val="16"/>
                <w:szCs w:val="16"/>
                <w:b w:val="1"/>
                <w:bCs w:val="1"/>
                <w:color w:val="auto"/>
              </w:rPr>
              <w:t>December 2016</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December 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Euro 1:$</w:t>
            </w:r>
          </w:p>
        </w:tc>
        <w:tc>
          <w:tcPr>
            <w:tcW w:w="37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1.1060</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1.1123</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1.0517</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1.0862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Pound Sterling 1:$</w:t>
            </w:r>
          </w:p>
        </w:tc>
        <w:tc>
          <w:tcPr>
            <w:tcW w:w="37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1.3684</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1.5307</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1.2340</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to IFRS have been set to zero for the purposes of ascertaining the gain or loss on disposal of a foreign operation subsequent to 1 June 2004.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Items of property, plant and equipment are stated at cost less accumulated depreciation and any provisions for impairment losses.</w:t>
      </w:r>
    </w:p>
    <w:p>
      <w:pPr>
        <w:spacing w:after="0" w:line="224"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00" w:type="dxa"/>
            <w:vAlign w:val="bottom"/>
            <w:gridSpan w:val="2"/>
          </w:tcPr>
          <w:p>
            <w:pPr>
              <w:ind w:left="3060"/>
              <w:spacing w:after="0"/>
              <w:rPr>
                <w:sz w:val="20"/>
                <w:szCs w:val="20"/>
                <w:color w:val="auto"/>
              </w:rPr>
            </w:pPr>
            <w:r>
              <w:rPr>
                <w:rFonts w:ascii="Arial" w:cs="Arial" w:eastAsia="Arial" w:hAnsi="Arial"/>
                <w:sz w:val="16"/>
                <w:szCs w:val="16"/>
                <w:b w:val="1"/>
                <w:bCs w:val="1"/>
                <w:color w:val="auto"/>
              </w:rPr>
              <w:t>Years</w:t>
            </w:r>
          </w:p>
        </w:tc>
      </w:tr>
      <w:tr>
        <w:trPr>
          <w:trHeight w:val="192"/>
        </w:trPr>
        <w:tc>
          <w:tcPr>
            <w:tcW w:w="2860" w:type="dxa"/>
            <w:vAlign w:val="bottom"/>
          </w:tcPr>
          <w:p>
            <w:pPr>
              <w:spacing w:after="0"/>
              <w:rPr>
                <w:sz w:val="16"/>
                <w:szCs w:val="16"/>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86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Computer equipment</w:t>
            </w:r>
          </w:p>
        </w:tc>
        <w:tc>
          <w:tcPr>
            <w:tcW w:w="3440" w:type="dxa"/>
            <w:vAlign w:val="bottom"/>
          </w:tcPr>
          <w:p>
            <w:pPr>
              <w:jc w:val="right"/>
              <w:spacing w:after="0"/>
              <w:rPr>
                <w:sz w:val="20"/>
                <w:szCs w:val="20"/>
                <w:color w:val="auto"/>
              </w:rPr>
            </w:pPr>
            <w:r>
              <w:rPr>
                <w:rFonts w:ascii="Arial" w:cs="Arial" w:eastAsia="Arial" w:hAnsi="Arial"/>
                <w:sz w:val="16"/>
                <w:szCs w:val="16"/>
                <w:color w:val="auto"/>
              </w:rPr>
              <w:t>2-8</w:t>
            </w:r>
          </w:p>
        </w:tc>
        <w:tc>
          <w:tcPr>
            <w:tcW w:w="286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fixtures</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6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Laboratory equipment</w:t>
            </w:r>
          </w:p>
        </w:tc>
        <w:tc>
          <w:tcPr>
            <w:tcW w:w="3440" w:type="dxa"/>
            <w:vAlign w:val="bottom"/>
          </w:tcPr>
          <w:p>
            <w:pPr>
              <w:jc w:val="right"/>
              <w:spacing w:after="0"/>
              <w:rPr>
                <w:sz w:val="20"/>
                <w:szCs w:val="20"/>
                <w:color w:val="auto"/>
              </w:rPr>
            </w:pPr>
            <w:r>
              <w:rPr>
                <w:rFonts w:ascii="Arial" w:cs="Arial" w:eastAsia="Arial" w:hAnsi="Arial"/>
                <w:sz w:val="16"/>
                <w:szCs w:val="16"/>
                <w:color w:val="auto"/>
              </w:rPr>
              <w:t>5</w:t>
            </w:r>
          </w:p>
        </w:tc>
        <w:tc>
          <w:tcPr>
            <w:tcW w:w="286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Motor vehicles</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860" w:type="dxa"/>
            <w:vAlign w:val="bottom"/>
          </w:tcPr>
          <w:p>
            <w:pPr>
              <w:spacing w:after="0"/>
              <w:rPr>
                <w:sz w:val="16"/>
                <w:szCs w:val="16"/>
                <w:color w:val="auto"/>
              </w:rPr>
            </w:pPr>
          </w:p>
        </w:tc>
      </w:tr>
      <w:tr>
        <w:trPr>
          <w:trHeight w:val="348"/>
        </w:trPr>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40" w:type="dxa"/>
            <w:vAlign w:val="bottom"/>
          </w:tcPr>
          <w:p>
            <w:pPr>
              <w:jc w:val="right"/>
              <w:ind w:right="2700"/>
              <w:spacing w:after="0"/>
              <w:rPr>
                <w:sz w:val="20"/>
                <w:szCs w:val="20"/>
                <w:color w:val="auto"/>
              </w:rPr>
            </w:pPr>
            <w:r>
              <w:rPr>
                <w:rFonts w:ascii="Arial" w:cs="Arial" w:eastAsia="Arial" w:hAnsi="Arial"/>
                <w:sz w:val="16"/>
                <w:szCs w:val="16"/>
                <w:color w:val="auto"/>
              </w:rPr>
              <w:t>25</w:t>
            </w:r>
          </w:p>
        </w:tc>
        <w:tc>
          <w:tcPr>
            <w:tcW w:w="2860" w:type="dxa"/>
            <w:vAlign w:val="bottom"/>
          </w:tcPr>
          <w:p>
            <w:pPr>
              <w:spacing w:after="0"/>
              <w:rPr>
                <w:sz w:val="24"/>
                <w:szCs w:val="24"/>
                <w:color w:val="auto"/>
              </w:rPr>
            </w:pPr>
          </w:p>
        </w:tc>
      </w:tr>
      <w:tr>
        <w:trPr>
          <w:trHeight w:val="52"/>
        </w:trPr>
        <w:tc>
          <w:tcPr>
            <w:tcW w:w="286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Leased assets – as lessee</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Finance leases, where the Group has substantially all the risks and benefits of ownership of the leased asset, are capitalised at the inception of the lease at the lower of the fair value of the leased asset or the present value of the minimum lease payments. The corresponding liability to the lessor is included in the statement of financial position as a finance lease obligation. Lease payments are allocated between the lease obligation and the finance charges resulting in a reduction of the lease obligation to ensure a constant rate of interest on the remaining balance of the liability. Finance charges are charged to the income statement as part of finance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Capitalised leased assets are depreciated over the shorter of the estimated useful life of the asset or the lease term.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subsidiaries - Company</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income statement, as the liability is measured at fair value at each reporting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Group measures goodwill at the acquisition date as the fair value of the consideration transferred plus the recognised amount of any non-controlling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Years</w:t>
            </w:r>
          </w:p>
        </w:tc>
      </w:tr>
      <w:tr>
        <w:trPr>
          <w:trHeight w:val="19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Computer software</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35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18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19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Order backlog</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2"/>
        </w:trPr>
        <w:tc>
          <w:tcPr>
            <w:tcW w:w="3540" w:type="dxa"/>
            <w:vAlign w:val="bottom"/>
          </w:tcPr>
          <w:p>
            <w:pPr>
              <w:spacing w:after="0"/>
              <w:rPr>
                <w:sz w:val="20"/>
                <w:szCs w:val="20"/>
                <w:color w:val="auto"/>
              </w:rPr>
            </w:pPr>
            <w:r>
              <w:rPr>
                <w:rFonts w:ascii="Arial" w:cs="Arial" w:eastAsia="Arial" w:hAnsi="Arial"/>
                <w:sz w:val="16"/>
                <w:szCs w:val="16"/>
                <w:color w:val="auto"/>
              </w:rPr>
              <w:t>Technology Asset</w:t>
            </w:r>
          </w:p>
        </w:tc>
        <w:tc>
          <w:tcPr>
            <w:tcW w:w="2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Non-compete arrangements</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non-financial assets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carrying amounts of the Group’s non-financial assets, other than deferred tax assets and inventories,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Impairment of non-financial assets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recoverable value of non-financial assets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and other receivables</w:t>
      </w:r>
    </w:p>
    <w:p>
      <w:pPr>
        <w:spacing w:after="0" w:line="228"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recoverable amount of receivables carried at amortised cost is calculated by discounting the estimated future cash flows of the asset to their present value, discounted at the original effective interest rate. Receivables with a short duration of less than six months are not discounted.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asset investments – available for sale</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Financial instruments held are classified as current assets and are stated at fair value, with any resultant gain or loss recognised as other comprehensive income in the statement of comprehensive income until disposed of or impaired. The fair value of financial instruments classified as available-for-sale is the price that would be received to sell an asset in an orderly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28"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Cash and cash equivalents include cash and highly liquid investments with original maturities of three months or less and are stated at amortised cost, which approximates fair value.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payables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Trade payables are recognised initially at fair value and subsequently measured at amortised cost using the effective interest rate method.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grants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Grants that compensate the Group for expenses incurred are recognised in the income statement in the same periods in which the expenditure to which they relate is charged.</w:t>
      </w:r>
    </w:p>
    <w:p>
      <w:pPr>
        <w:spacing w:after="0" w:line="24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bearing loans and borrowings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Interest bearing borrowings are recognised initially at fair value, net of transaction costs incurred.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Borrowings are classified as current liabilities unless the Group has an unconditional right to defer settlement of the liability for at least 12 months after the reporting date.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financial instruments and hedging</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the purposes of hedge accounting, hedges are designated either as fair value hedges (which hedge the exposure to movements in the fair value of recognised assets or liabilities or firm commitments that are attributable to hedge risks) or cash flow hedges (which hedge exposures to fluctuations in future cash flows derived from a particular risk associated with recognised assets or liabilities or highly probable forecast transactions).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entering into a hedging instrument, the Group documents, at inception of the transaction, the relationship between the hedging instrument and the hedged item, as well as its risk management objectives and strategy for undertaking the hedging transaction. The Group also documents its assessment, at the inception of the hedge transaction, whether the derivative used is highly effective in offsetting the change in fair value or cash flows of the hedged item.</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effective in accordance with IAS 39. The cash proceeds, representing the realised gain on the interest rate hedge were received on maturity in November 2015. The gain, representing the instrument’s fair value at maturity was recorded in Other Comprehensive Income and is being amortised to the Consolidated Income Statement over the term of the Senior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provision for onerous contracts is recognised when the expected benefits to be derived by the Group from a contract are lower than the unavoidable cost of meeting its obligations under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Ordinary shares are classified as equity. Incremental costs directly attributable to the issue of new shares or options are shown in equity as a deduction, net of tax, from the proceeds.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Where ordinary shares are repurchased by the Company they are cancelled and the nominal value of the shares is transferred to other undenominated capital within equity.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Pension and other post-employment benefits</w:t>
      </w:r>
    </w:p>
    <w:p>
      <w:pPr>
        <w:spacing w:after="0" w:line="21"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Income Statement.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All actuarial gains and losses as at 1 June 2004, the date of transition to IFRS, were recognised and adjusted against retained earnings. Actuarial gains and losses arising after this date are recognised as other comprehensive income immediately in the Statement of Comprehensive Income.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Share-based payments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2016 in relation to options, RSUs or PSUs that are expected to vest. The amount recognised as an expense is adjusted to reflect the actual number of share options, RSUs or PSUs that vest.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Forfeitures are estimated on the date of grant and revised if actual or expected forfeiture activity differs materially from original estimates.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Share-based payment expense is recognised over the requisite service period for awards of equity instruments to employees based on the grant date fair value of those awards expected to ultimately vest.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payments – Company</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Company operates a number of share-based payment plans the details of which are presented in note 11 ‘Share-Based Payments’ to the Consolidated Financial Statements. The share-based payment expense associated with the share-based payment plans is recognised by the entity which receives services in exchange for the share-based compensation.</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Income Statement of the Company is charged with the expense related to the services received by the Company. The remaining portions of the share-based payments represent a contribution to Company’s subsidiaries and are added to the carrying amount of those investments. Under an agreement, the subsidiaries pay on date of exercise to the Company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Please see note 3, Investment in subsidiaries, in the Company only financial statements below.</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28"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Revenue is measured at the fair value of the consideration received or receivable. The Group recognises revenue when it is probable that future economic benefits will flow to the entity; and when specific criteria have been met for each of the Group’s activities, as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Revenue is recognised according to the type of service provided as follows: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Contract revenue is the product of the aggregated labour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Group may routinely adjust time estimates, estimates and assumptions historically have been accurate in all material respects. Where revenue is recognised on the unit of delivery method, the basis applied is the number of units completed as a percentage of the total number of contractual units.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the event of contract termination, if the value of work performed and recognised as revenue is greater than aggregate milestone billings at the date of termination, cancellation clauses provide that the Group is paid for work performed to the termination date.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Biometrics revenue is recognised on a fee-for-service method as each unit of data is prepared on the basis of the number of units completed in a period as a percentage of the total number of contracted units. Imaging revenue is recognised on a fee-for-service basis recognising revenue for each image completed. Consulting revenue is recognised on a fee-for-service basis as each hour of the related service is performed. Contract staffing revenue is recognised on a fee-for-service basis, over the time the related service is performed, or in the case of permanent placement, once the candidate has been placed with the client. Informatics revenue is recognised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184"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17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difference between the amount of revenue recognised and the amount billed on a particular contract is included in the balance sheet as unbilled revenue or payments on account.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Reimbursable expenses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costs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Direct costs consist of compensation, associated employee benefits and share-based payments for project-related employees and other direct project-related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expenses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 depreciation expense and the amortisation of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Exceptional items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credits</w:t>
      </w:r>
    </w:p>
    <w:p>
      <w:pPr>
        <w:spacing w:after="0" w:line="228"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 to is charged as a deduction against the related expense.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expense</w:t>
      </w:r>
    </w:p>
    <w:p>
      <w:pPr>
        <w:spacing w:after="0" w:line="228" w:lineRule="exact"/>
        <w:rPr>
          <w:sz w:val="20"/>
          <w:szCs w:val="20"/>
          <w:color w:val="auto"/>
        </w:rPr>
      </w:pPr>
    </w:p>
    <w:p>
      <w:pPr>
        <w:jc w:val="both"/>
        <w:spacing w:after="0" w:line="351" w:lineRule="auto"/>
        <w:rPr>
          <w:sz w:val="20"/>
          <w:szCs w:val="20"/>
          <w:color w:val="auto"/>
        </w:rPr>
      </w:pPr>
      <w:r>
        <w:rPr>
          <w:rFonts w:ascii="Arial" w:cs="Arial" w:eastAsia="Arial" w:hAnsi="Arial"/>
          <w:sz w:val="14"/>
          <w:szCs w:val="14"/>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income statement.</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income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is recognised in the income statement as it accrues using the effective interest rate method and includes interest receivable on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in the income statement represents the sum of income tax currently payable and deferred income tax.</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Income 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income statement except to the extent that it relates to items recognised directly in equity.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assets and liabilities are measured at the tax rates that are expected to apply in the year when the asset is expected to be realised or the liability to be settled.</w:t>
      </w:r>
    </w:p>
    <w:p>
      <w:pPr>
        <w:spacing w:after="0" w:line="24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ordinary share</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2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the ‘CODM’. An operating segment’s operating results are reviewed regularly by the CEO, CFO and COO to make decisions about resources to be allocated to the segment and assess its performance, and for which discrete financial information is available.</w:t>
      </w:r>
    </w:p>
    <w:p>
      <w:pPr>
        <w:spacing w:after="0" w:line="192"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Segment results that are reported to the CEO, CFO and COO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Segmental information</w:t>
      </w:r>
    </w:p>
    <w:p>
      <w:pPr>
        <w:spacing w:after="0" w:line="22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The Group determines and presents operating segments in accordance with IFRS 8 </w:t>
      </w:r>
      <w:r>
        <w:rPr>
          <w:rFonts w:ascii="Arial" w:cs="Arial" w:eastAsia="Arial" w:hAnsi="Arial"/>
          <w:sz w:val="16"/>
          <w:szCs w:val="16"/>
          <w:i w:val="1"/>
          <w:iCs w:val="1"/>
          <w:color w:val="auto"/>
        </w:rPr>
        <w:t>Operating Segments</w:t>
      </w:r>
      <w:r>
        <w:rPr>
          <w:rFonts w:ascii="Arial" w:cs="Arial" w:eastAsia="Arial" w:hAnsi="Arial"/>
          <w:sz w:val="16"/>
          <w:szCs w:val="16"/>
          <w:color w:val="auto"/>
        </w:rPr>
        <w:t xml:space="preserve"> based on the information that internally is provided to the Chief Executive Officer (CEO), Chief Financial Officer (CFO) and Chief Operating Officer (COO) who together are considered the Group’s chief operating decision makers. The Group has determined that it has one operating segment - Clinical Research.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Segmental information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123 to 124 of this report. 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gridSpan w:val="4"/>
          </w:tcPr>
          <w:p>
            <w:pPr>
              <w:spacing w:after="0"/>
              <w:rPr>
                <w:sz w:val="20"/>
                <w:szCs w:val="20"/>
                <w:color w:val="auto"/>
              </w:rPr>
            </w:pPr>
            <w:r>
              <w:rPr>
                <w:rFonts w:ascii="Arial" w:cs="Arial" w:eastAsia="Arial" w:hAnsi="Arial"/>
                <w:sz w:val="16"/>
                <w:szCs w:val="16"/>
                <w:i w:val="1"/>
                <w:iCs w:val="1"/>
                <w:color w:val="auto"/>
              </w:rPr>
              <w:t>Geographical segment information</w:t>
            </w: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6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External revenue</w:t>
            </w: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56"/>
        </w:trPr>
        <w:tc>
          <w:tcPr>
            <w:tcW w:w="5660" w:type="dxa"/>
            <w:vAlign w:val="bottom"/>
            <w:gridSpan w:val="4"/>
            <w:vMerge w:val="continue"/>
          </w:tcPr>
          <w:p>
            <w:pPr>
              <w:spacing w:after="0"/>
              <w:rPr>
                <w:sz w:val="13"/>
                <w:szCs w:val="13"/>
                <w:color w:val="auto"/>
              </w:rPr>
            </w:pPr>
          </w:p>
        </w:tc>
        <w:tc>
          <w:tcPr>
            <w:tcW w:w="4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Ireland</w:t>
            </w:r>
          </w:p>
        </w:tc>
        <w:tc>
          <w:tcPr>
            <w:tcW w:w="4480" w:type="dxa"/>
            <w:vAlign w:val="bottom"/>
            <w:gridSpan w:val="2"/>
            <w:shd w:val="clear" w:color="auto" w:fill="CCEEFF"/>
          </w:tcPr>
          <w:p>
            <w:pPr>
              <w:spacing w:after="0"/>
              <w:rPr>
                <w:sz w:val="18"/>
                <w:szCs w:val="18"/>
                <w:color w:val="auto"/>
              </w:rPr>
            </w:pPr>
          </w:p>
        </w:tc>
        <w:tc>
          <w:tcPr>
            <w:tcW w:w="45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410,572</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429,631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Rest of Europe</w:t>
            </w: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313,185</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330,487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5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763,821</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650,941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Rest of World</w:t>
            </w:r>
          </w:p>
        </w:tc>
        <w:tc>
          <w:tcPr>
            <w:tcW w:w="4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178,909</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163,919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4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1,666,487</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1,574,978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6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Non-current assets</w:t>
            </w: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56"/>
        </w:trPr>
        <w:tc>
          <w:tcPr>
            <w:tcW w:w="5660" w:type="dxa"/>
            <w:vAlign w:val="bottom"/>
            <w:gridSpan w:val="4"/>
            <w:vMerge w:val="continue"/>
          </w:tcPr>
          <w:p>
            <w:pPr>
              <w:spacing w:after="0"/>
              <w:rPr>
                <w:sz w:val="13"/>
                <w:szCs w:val="13"/>
                <w:color w:val="auto"/>
              </w:rPr>
            </w:pPr>
          </w:p>
        </w:tc>
        <w:tc>
          <w:tcPr>
            <w:tcW w:w="4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Ireland</w:t>
            </w:r>
          </w:p>
        </w:tc>
        <w:tc>
          <w:tcPr>
            <w:tcW w:w="4380" w:type="dxa"/>
            <w:vAlign w:val="bottom"/>
            <w:shd w:val="clear" w:color="auto" w:fill="CCEEFF"/>
          </w:tcPr>
          <w:p>
            <w:pPr>
              <w:spacing w:after="0"/>
              <w:rPr>
                <w:sz w:val="18"/>
                <w:szCs w:val="18"/>
                <w:color w:val="auto"/>
              </w:rPr>
            </w:pPr>
          </w:p>
        </w:tc>
        <w:tc>
          <w:tcPr>
            <w:tcW w:w="45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234,388</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154,398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Europe</w:t>
            </w:r>
          </w:p>
        </w:tc>
        <w:tc>
          <w:tcPr>
            <w:tcW w:w="4560" w:type="dxa"/>
            <w:vAlign w:val="bottom"/>
          </w:tcPr>
          <w:p>
            <w:pPr>
              <w:jc w:val="right"/>
              <w:ind w:right="180"/>
              <w:spacing w:after="0"/>
              <w:rPr>
                <w:sz w:val="20"/>
                <w:szCs w:val="20"/>
                <w:color w:val="auto"/>
              </w:rPr>
            </w:pPr>
            <w:r>
              <w:rPr>
                <w:rFonts w:ascii="Arial" w:cs="Arial" w:eastAsia="Arial" w:hAnsi="Arial"/>
                <w:sz w:val="16"/>
                <w:szCs w:val="16"/>
                <w:b w:val="1"/>
                <w:bCs w:val="1"/>
                <w:color w:val="auto"/>
              </w:rPr>
              <w:t>163,082</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124,804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5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457,548</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574,213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Rest of World</w:t>
            </w:r>
          </w:p>
        </w:tc>
        <w:tc>
          <w:tcPr>
            <w:tcW w:w="4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38,695</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29,190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4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893,713</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882,605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Major customers</w:t>
      </w:r>
    </w:p>
    <w:p>
      <w:pPr>
        <w:spacing w:after="0" w:line="21"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During the year ended 31 December 2016, 26% (2015: 31%) of the Group’s net revenues were derived from its top customer which is the only customer which represents in excess of 10% of the Group’s net revenue.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0" w:name="page51"/>
    <w:bookmarkEnd w:id="50"/>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 Profit before taxation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Profit before taxation is stated after charging the following:</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Year ended 31 December 2016</w:t>
            </w:r>
          </w:p>
        </w:tc>
        <w:tc>
          <w:tcPr>
            <w:tcW w:w="1060" w:type="dxa"/>
            <w:vAlign w:val="bottom"/>
          </w:tcPr>
          <w:p>
            <w:pPr>
              <w:spacing w:after="0"/>
              <w:rPr>
                <w:sz w:val="16"/>
                <w:szCs w:val="16"/>
                <w:color w:val="auto"/>
              </w:rPr>
            </w:pPr>
          </w:p>
        </w:tc>
        <w:tc>
          <w:tcPr>
            <w:tcW w:w="3020" w:type="dxa"/>
            <w:vAlign w:val="bottom"/>
            <w:gridSpan w:val="2"/>
          </w:tcPr>
          <w:p>
            <w:pPr>
              <w:jc w:val="right"/>
              <w:ind w:right="200"/>
              <w:spacing w:after="0"/>
              <w:rPr>
                <w:sz w:val="20"/>
                <w:szCs w:val="20"/>
                <w:color w:val="auto"/>
              </w:rPr>
            </w:pPr>
            <w:r>
              <w:rPr>
                <w:rFonts w:ascii="Arial" w:cs="Arial" w:eastAsia="Arial" w:hAnsi="Arial"/>
                <w:sz w:val="16"/>
                <w:szCs w:val="16"/>
                <w:color w:val="auto"/>
              </w:rPr>
              <w:t>Year ended 31 December 2015</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080" w:type="dxa"/>
            <w:vAlign w:val="bottom"/>
          </w:tcPr>
          <w:p>
            <w:pPr>
              <w:jc w:val="right"/>
              <w:ind w:right="280"/>
              <w:spacing w:after="0"/>
              <w:rPr>
                <w:sz w:val="20"/>
                <w:szCs w:val="20"/>
                <w:color w:val="auto"/>
              </w:rPr>
            </w:pPr>
            <w:r>
              <w:rPr>
                <w:rFonts w:ascii="Arial" w:cs="Arial" w:eastAsia="Arial" w:hAnsi="Arial"/>
                <w:sz w:val="16"/>
                <w:szCs w:val="16"/>
                <w:b w:val="1"/>
                <w:bCs w:val="1"/>
                <w:color w:val="auto"/>
              </w:rPr>
              <w:t>Statutory</w:t>
            </w:r>
          </w:p>
        </w:tc>
        <w:tc>
          <w:tcPr>
            <w:tcW w:w="1760" w:type="dxa"/>
            <w:vAlign w:val="bottom"/>
          </w:tcPr>
          <w:p>
            <w:pPr>
              <w:jc w:val="right"/>
              <w:ind w:right="640"/>
              <w:spacing w:after="0"/>
              <w:rPr>
                <w:sz w:val="20"/>
                <w:szCs w:val="20"/>
                <w:color w:val="auto"/>
              </w:rPr>
            </w:pPr>
            <w:r>
              <w:rPr>
                <w:rFonts w:ascii="Arial" w:cs="Arial" w:eastAsia="Arial" w:hAnsi="Arial"/>
                <w:sz w:val="16"/>
                <w:szCs w:val="16"/>
                <w:b w:val="1"/>
                <w:bCs w:val="1"/>
                <w:color w:val="auto"/>
              </w:rPr>
              <w:t>Affiliated</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Statutory</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Affiliated</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080" w:type="dxa"/>
            <w:vAlign w:val="bottom"/>
          </w:tcPr>
          <w:p>
            <w:pPr>
              <w:jc w:val="right"/>
              <w:ind w:right="280"/>
              <w:spacing w:after="0"/>
              <w:rPr>
                <w:sz w:val="20"/>
                <w:szCs w:val="20"/>
                <w:color w:val="auto"/>
              </w:rPr>
            </w:pPr>
            <w:r>
              <w:rPr>
                <w:rFonts w:ascii="Arial" w:cs="Arial" w:eastAsia="Arial" w:hAnsi="Arial"/>
                <w:sz w:val="16"/>
                <w:szCs w:val="16"/>
                <w:b w:val="1"/>
                <w:bCs w:val="1"/>
                <w:color w:val="auto"/>
              </w:rPr>
              <w:t>auditor</w:t>
            </w:r>
          </w:p>
        </w:tc>
        <w:tc>
          <w:tcPr>
            <w:tcW w:w="1760" w:type="dxa"/>
            <w:vAlign w:val="bottom"/>
          </w:tcPr>
          <w:p>
            <w:pPr>
              <w:jc w:val="right"/>
              <w:ind w:right="640"/>
              <w:spacing w:after="0"/>
              <w:rPr>
                <w:sz w:val="20"/>
                <w:szCs w:val="20"/>
                <w:color w:val="auto"/>
              </w:rPr>
            </w:pPr>
            <w:r>
              <w:rPr>
                <w:rFonts w:ascii="Arial" w:cs="Arial" w:eastAsia="Arial" w:hAnsi="Arial"/>
                <w:sz w:val="16"/>
                <w:szCs w:val="16"/>
                <w:b w:val="1"/>
                <w:bCs w:val="1"/>
                <w:color w:val="auto"/>
              </w:rPr>
              <w:t>firms</w:t>
            </w:r>
          </w:p>
        </w:tc>
        <w:tc>
          <w:tcPr>
            <w:tcW w:w="106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auditor</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firms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vMerge w:val="restart"/>
          </w:tcPr>
          <w:p>
            <w:pPr>
              <w:spacing w:after="0"/>
              <w:rPr>
                <w:sz w:val="20"/>
                <w:szCs w:val="20"/>
                <w:color w:val="auto"/>
              </w:rPr>
            </w:pPr>
            <w:r>
              <w:rPr>
                <w:rFonts w:ascii="Arial" w:cs="Arial" w:eastAsia="Arial" w:hAnsi="Arial"/>
                <w:sz w:val="16"/>
                <w:szCs w:val="16"/>
                <w:b w:val="1"/>
                <w:bCs w:val="1"/>
                <w:color w:val="auto"/>
              </w:rPr>
              <w:t>Auditors’ remuneration:</w:t>
            </w:r>
          </w:p>
        </w:tc>
        <w:tc>
          <w:tcPr>
            <w:tcW w:w="208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760" w:type="dxa"/>
            <w:vAlign w:val="bottom"/>
          </w:tcPr>
          <w:p>
            <w:pPr>
              <w:jc w:val="right"/>
              <w:ind w:right="64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$’000</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$’000</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Audit fees (1) (2)</w:t>
            </w:r>
          </w:p>
        </w:tc>
        <w:tc>
          <w:tcPr>
            <w:tcW w:w="208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1,315</w:t>
            </w:r>
          </w:p>
        </w:tc>
        <w:tc>
          <w:tcPr>
            <w:tcW w:w="176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1,315</w:t>
            </w:r>
          </w:p>
        </w:tc>
        <w:tc>
          <w:tcPr>
            <w:tcW w:w="13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1,555</w:t>
            </w:r>
          </w:p>
        </w:tc>
        <w:tc>
          <w:tcPr>
            <w:tcW w:w="16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58</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20"/>
                <w:szCs w:val="20"/>
                <w:color w:val="auto"/>
              </w:rPr>
            </w:pPr>
            <w:r>
              <w:rPr>
                <w:rFonts w:ascii="Arial" w:cs="Arial" w:eastAsia="Arial" w:hAnsi="Arial"/>
                <w:sz w:val="16"/>
                <w:szCs w:val="16"/>
                <w:color w:val="auto"/>
              </w:rPr>
              <w:t>Other assurance fees (3)</w:t>
            </w:r>
          </w:p>
        </w:tc>
        <w:tc>
          <w:tcPr>
            <w:tcW w:w="2080" w:type="dxa"/>
            <w:vAlign w:val="bottom"/>
          </w:tcPr>
          <w:p>
            <w:pPr>
              <w:jc w:val="right"/>
              <w:ind w:right="280"/>
              <w:spacing w:after="0"/>
              <w:rPr>
                <w:sz w:val="20"/>
                <w:szCs w:val="20"/>
                <w:color w:val="auto"/>
              </w:rPr>
            </w:pPr>
            <w:r>
              <w:rPr>
                <w:rFonts w:ascii="Arial" w:cs="Arial" w:eastAsia="Arial" w:hAnsi="Arial"/>
                <w:sz w:val="16"/>
                <w:szCs w:val="16"/>
                <w:b w:val="1"/>
                <w:bCs w:val="1"/>
                <w:color w:val="auto"/>
              </w:rPr>
              <w:t>49</w:t>
            </w:r>
          </w:p>
        </w:tc>
        <w:tc>
          <w:tcPr>
            <w:tcW w:w="1760" w:type="dxa"/>
            <w:vAlign w:val="bottom"/>
          </w:tcPr>
          <w:p>
            <w:pPr>
              <w:jc w:val="right"/>
              <w:ind w:right="640"/>
              <w:spacing w:after="0"/>
              <w:rPr>
                <w:sz w:val="20"/>
                <w:szCs w:val="20"/>
                <w:color w:val="auto"/>
              </w:rPr>
            </w:pPr>
            <w:r>
              <w:rPr>
                <w:rFonts w:ascii="Arial" w:cs="Arial" w:eastAsia="Arial" w:hAnsi="Arial"/>
                <w:sz w:val="16"/>
                <w:szCs w:val="16"/>
                <w:b w:val="1"/>
                <w:bCs w:val="1"/>
                <w:color w:val="auto"/>
              </w:rPr>
              <w:t>73</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rPr>
              <w:t>122</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43</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10</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Tax advisory fees (4)</w:t>
            </w:r>
          </w:p>
        </w:tc>
        <w:tc>
          <w:tcPr>
            <w:tcW w:w="208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673</w:t>
            </w:r>
          </w:p>
        </w:tc>
        <w:tc>
          <w:tcPr>
            <w:tcW w:w="176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319</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992</w:t>
            </w:r>
          </w:p>
        </w:tc>
        <w:tc>
          <w:tcPr>
            <w:tcW w:w="13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1,096</w:t>
            </w:r>
          </w:p>
        </w:tc>
        <w:tc>
          <w:tcPr>
            <w:tcW w:w="16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198</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non-audit fees (5)</w:t>
            </w:r>
          </w:p>
        </w:tc>
        <w:tc>
          <w:tcPr>
            <w:tcW w:w="20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97</w:t>
            </w:r>
          </w:p>
        </w:tc>
        <w:tc>
          <w:tcPr>
            <w:tcW w:w="176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56</w:t>
            </w: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153</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181</w:t>
            </w:r>
          </w:p>
        </w:tc>
        <w:tc>
          <w:tcPr>
            <w:tcW w:w="16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2"/>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fees</w:t>
            </w:r>
          </w:p>
        </w:tc>
        <w:tc>
          <w:tcPr>
            <w:tcW w:w="20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2,134</w:t>
            </w:r>
          </w:p>
        </w:tc>
        <w:tc>
          <w:tcPr>
            <w:tcW w:w="176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448</w:t>
            </w:r>
          </w:p>
        </w:tc>
        <w:tc>
          <w:tcPr>
            <w:tcW w:w="10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2,582</w:t>
            </w:r>
          </w:p>
        </w:tc>
        <w:tc>
          <w:tcPr>
            <w:tcW w:w="13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2,875</w:t>
            </w:r>
          </w:p>
        </w:tc>
        <w:tc>
          <w:tcPr>
            <w:tcW w:w="16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266</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3,141</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4" w:hanging="264"/>
        <w:spacing w:after="0"/>
        <w:tabs>
          <w:tab w:leader="none" w:pos="26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include annual audit fees for ICON plc.</w:t>
      </w:r>
    </w:p>
    <w:p>
      <w:pPr>
        <w:spacing w:after="0" w:line="20" w:lineRule="exact"/>
        <w:rPr>
          <w:rFonts w:ascii="Arial" w:cs="Arial" w:eastAsia="Arial" w:hAnsi="Arial"/>
          <w:sz w:val="16"/>
          <w:szCs w:val="16"/>
          <w:i w:val="1"/>
          <w:iCs w:val="1"/>
          <w:color w:val="auto"/>
        </w:rPr>
      </w:pPr>
    </w:p>
    <w:p>
      <w:pPr>
        <w:ind w:left="264" w:hanging="264"/>
        <w:spacing w:after="0"/>
        <w:tabs>
          <w:tab w:leader="none" w:pos="26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for the Company for the year are set at $30,000 (2015: $30,000)</w:t>
      </w:r>
    </w:p>
    <w:p>
      <w:pPr>
        <w:spacing w:after="0" w:line="8" w:lineRule="exact"/>
        <w:rPr>
          <w:rFonts w:ascii="Arial" w:cs="Arial" w:eastAsia="Arial" w:hAnsi="Arial"/>
          <w:sz w:val="16"/>
          <w:szCs w:val="16"/>
          <w:i w:val="1"/>
          <w:iCs w:val="1"/>
          <w:color w:val="auto"/>
        </w:rPr>
      </w:pPr>
    </w:p>
    <w:p>
      <w:pPr>
        <w:ind w:left="244" w:hanging="244"/>
        <w:spacing w:after="0"/>
        <w:tabs>
          <w:tab w:leader="none" w:pos="244"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Other assurance fees principally consist of fees for the audit of remaining subsidiaries and fees for the audit of the financial statements of employee benefit plans.</w:t>
      </w:r>
    </w:p>
    <w:p>
      <w:pPr>
        <w:spacing w:after="0" w:line="19" w:lineRule="exact"/>
        <w:rPr>
          <w:rFonts w:ascii="Arial" w:cs="Arial" w:eastAsia="Arial" w:hAnsi="Arial"/>
          <w:sz w:val="15"/>
          <w:szCs w:val="15"/>
          <w:i w:val="1"/>
          <w:iCs w:val="1"/>
          <w:color w:val="auto"/>
        </w:rPr>
      </w:pPr>
    </w:p>
    <w:p>
      <w:pPr>
        <w:ind w:left="264" w:hanging="264"/>
        <w:spacing w:after="0"/>
        <w:tabs>
          <w:tab w:leader="none" w:pos="26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Tax advisory fees are for tax compliance and tax advisory services.</w:t>
      </w:r>
    </w:p>
    <w:p>
      <w:pPr>
        <w:spacing w:after="0" w:line="8" w:lineRule="exact"/>
        <w:rPr>
          <w:rFonts w:ascii="Arial" w:cs="Arial" w:eastAsia="Arial" w:hAnsi="Arial"/>
          <w:sz w:val="16"/>
          <w:szCs w:val="16"/>
          <w:i w:val="1"/>
          <w:iCs w:val="1"/>
          <w:color w:val="auto"/>
        </w:rPr>
      </w:pPr>
    </w:p>
    <w:p>
      <w:pPr>
        <w:ind w:left="284" w:hanging="284"/>
        <w:spacing w:after="0"/>
        <w:tabs>
          <w:tab w:leader="none" w:pos="28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Other non-audit fees principally consist of fees for financial due diligence.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Directors’ remuneration disclosures as required by Section 305 of the Companies Act 2014 are set out below;</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Directors’ emoluments</w:t>
            </w: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6220" w:type="dxa"/>
            <w:vAlign w:val="bottom"/>
            <w:vMerge w:val="continue"/>
          </w:tcPr>
          <w:p>
            <w:pPr>
              <w:spacing w:after="0"/>
              <w:rPr>
                <w:sz w:val="16"/>
                <w:szCs w:val="16"/>
                <w:color w:val="auto"/>
              </w:rPr>
            </w:pPr>
          </w:p>
        </w:tc>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Emoluments</w:t>
            </w:r>
          </w:p>
        </w:tc>
        <w:tc>
          <w:tcPr>
            <w:tcW w:w="40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4,287</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20"/>
                <w:szCs w:val="20"/>
                <w:color w:val="auto"/>
              </w:rPr>
            </w:pPr>
            <w:r>
              <w:rPr>
                <w:rFonts w:ascii="Arial" w:cs="Arial" w:eastAsia="Arial" w:hAnsi="Arial"/>
                <w:sz w:val="16"/>
                <w:szCs w:val="16"/>
                <w:color w:val="auto"/>
              </w:rPr>
              <w:t>Benefits under long-term incentive schemes</w:t>
            </w: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11,630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8,563</w:t>
            </w:r>
          </w:p>
        </w:tc>
        <w:tc>
          <w:tcPr>
            <w:tcW w:w="0" w:type="dxa"/>
            <w:vAlign w:val="bottom"/>
          </w:tcPr>
          <w:p>
            <w:pPr>
              <w:spacing w:after="0"/>
              <w:rPr>
                <w:sz w:val="1"/>
                <w:szCs w:val="1"/>
                <w:color w:val="auto"/>
              </w:rPr>
            </w:pPr>
          </w:p>
        </w:tc>
      </w:tr>
      <w:tr>
        <w:trPr>
          <w:trHeight w:val="192"/>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Gain on exercise of share options</w:t>
            </w:r>
          </w:p>
        </w:tc>
        <w:tc>
          <w:tcPr>
            <w:tcW w:w="40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1,923</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7,314</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6"/>
                <w:szCs w:val="16"/>
                <w:color w:val="auto"/>
              </w:rPr>
              <w:t>Pension contributions (defined contribution)</w:t>
            </w:r>
          </w:p>
        </w:tc>
        <w:tc>
          <w:tcPr>
            <w:tcW w:w="4000" w:type="dxa"/>
            <w:vAlign w:val="bottom"/>
          </w:tcPr>
          <w:p>
            <w:pPr>
              <w:jc w:val="right"/>
              <w:ind w:right="180"/>
              <w:spacing w:after="0"/>
              <w:rPr>
                <w:sz w:val="20"/>
                <w:szCs w:val="20"/>
                <w:color w:val="auto"/>
              </w:rPr>
            </w:pPr>
            <w:r>
              <w:rPr>
                <w:rFonts w:ascii="Arial" w:cs="Arial" w:eastAsia="Arial" w:hAnsi="Arial"/>
                <w:sz w:val="16"/>
                <w:szCs w:val="16"/>
                <w:b w:val="1"/>
                <w:bCs w:val="1"/>
                <w:color w:val="auto"/>
              </w:rPr>
              <w:t>165</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68"/>
        </w:trPr>
        <w:tc>
          <w:tcPr>
            <w:tcW w:w="6220" w:type="dxa"/>
            <w:vAlign w:val="bottom"/>
          </w:tcPr>
          <w:p>
            <w:pPr>
              <w:spacing w:after="0"/>
              <w:rPr>
                <w:sz w:val="20"/>
                <w:szCs w:val="20"/>
                <w:color w:val="auto"/>
              </w:rPr>
            </w:pPr>
            <w:r>
              <w:rPr>
                <w:rFonts w:ascii="Arial" w:cs="Arial" w:eastAsia="Arial" w:hAnsi="Arial"/>
                <w:sz w:val="16"/>
                <w:szCs w:val="16"/>
                <w:color w:val="auto"/>
                <w:w w:val="90"/>
              </w:rPr>
              <w:t>Further details regarding Directors’ shareholdings, share options and compensation are shown in</w:t>
            </w:r>
          </w:p>
        </w:tc>
        <w:tc>
          <w:tcPr>
            <w:tcW w:w="4000" w:type="dxa"/>
            <w:vAlign w:val="bottom"/>
          </w:tcPr>
          <w:p>
            <w:pPr>
              <w:jc w:val="right"/>
              <w:ind w:right="1520"/>
              <w:spacing w:after="0"/>
              <w:rPr>
                <w:sz w:val="20"/>
                <w:szCs w:val="20"/>
                <w:color w:val="auto"/>
              </w:rPr>
            </w:pPr>
            <w:r>
              <w:rPr>
                <w:rFonts w:ascii="Arial" w:cs="Arial" w:eastAsia="Arial" w:hAnsi="Arial"/>
                <w:sz w:val="16"/>
                <w:szCs w:val="16"/>
                <w:color w:val="auto"/>
                <w:w w:val="91"/>
              </w:rPr>
              <w:t>note 9 – Payroll and related benefits.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right="380"/>
        <w:spacing w:after="0" w:line="277" w:lineRule="auto"/>
        <w:rPr>
          <w:sz w:val="20"/>
          <w:szCs w:val="20"/>
          <w:color w:val="auto"/>
        </w:rPr>
      </w:pPr>
      <w:r>
        <w:rPr>
          <w:rFonts w:ascii="Arial" w:cs="Arial" w:eastAsia="Arial" w:hAnsi="Arial"/>
          <w:sz w:val="16"/>
          <w:szCs w:val="16"/>
          <w:color w:val="auto"/>
        </w:rPr>
        <w:t>Retirement benefits accrue to one Director (2015: one Director) under a defined contribution scheme. Additional amounts of 163,000 (2016) and 155,000 (2015) are paid to another Director in lieu of a contribution to a defined contribution scheme.</w:t>
      </w:r>
    </w:p>
    <w:p>
      <w:pPr>
        <w:spacing w:after="0" w:line="176" w:lineRule="exact"/>
        <w:rPr>
          <w:sz w:val="20"/>
          <w:szCs w:val="20"/>
          <w:color w:val="auto"/>
        </w:rPr>
      </w:pPr>
    </w:p>
    <w:p>
      <w:pPr>
        <w:ind w:left="4" w:right="400"/>
        <w:spacing w:after="0" w:line="277" w:lineRule="auto"/>
        <w:rPr>
          <w:sz w:val="20"/>
          <w:szCs w:val="20"/>
          <w:color w:val="auto"/>
        </w:rPr>
      </w:pPr>
      <w:r>
        <w:rPr>
          <w:rFonts w:ascii="Arial" w:cs="Arial" w:eastAsia="Arial" w:hAnsi="Arial"/>
          <w:sz w:val="16"/>
          <w:szCs w:val="16"/>
          <w:color w:val="auto"/>
        </w:rPr>
        <w:t>Included in the benefits under long-term incentive scheme are amounts relating to share entitlements, the calculation of which was based on the share-based payment charge calculated under IFRS 2.</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3. Profit before taxation </w:t>
            </w:r>
            <w:r>
              <w:rPr>
                <w:rFonts w:ascii="Arial" w:cs="Arial" w:eastAsia="Arial" w:hAnsi="Arial"/>
                <w:sz w:val="16"/>
                <w:szCs w:val="16"/>
                <w:b w:val="1"/>
                <w:bCs w:val="1"/>
                <w:i w:val="1"/>
                <w:iCs w:val="1"/>
                <w:color w:val="auto"/>
              </w:rPr>
              <w:t>(continued)</w:t>
            </w:r>
          </w:p>
        </w:tc>
        <w:tc>
          <w:tcPr>
            <w:tcW w:w="4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Depreciation and amortisation</w:t>
            </w: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property, plant and equipment</w:t>
            </w:r>
          </w:p>
        </w:tc>
        <w:tc>
          <w:tcPr>
            <w:tcW w:w="49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19,614</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21,887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Amortisation of intangible assets</w:t>
            </w:r>
          </w:p>
        </w:tc>
        <w:tc>
          <w:tcPr>
            <w:tcW w:w="4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39,961</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35,790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depreciation and amortisation</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59,575</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57,677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2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Loss on sale of property, plant &amp; equipment</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151</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lease rentals</w:t>
            </w: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Premises</w:t>
            </w:r>
          </w:p>
        </w:tc>
        <w:tc>
          <w:tcPr>
            <w:tcW w:w="49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39,781</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44,219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Motor vehicles</w:t>
            </w: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3,891</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324</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operating lease rentals *</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43,996</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49,943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40" w:type="dxa"/>
            <w:vAlign w:val="bottom"/>
          </w:tcPr>
          <w:p>
            <w:pPr>
              <w:ind w:left="120"/>
              <w:spacing w:after="0"/>
              <w:rPr>
                <w:sz w:val="20"/>
                <w:szCs w:val="20"/>
                <w:color w:val="auto"/>
              </w:rPr>
            </w:pPr>
            <w:r>
              <w:rPr>
                <w:rFonts w:ascii="Arial" w:cs="Arial" w:eastAsia="Arial" w:hAnsi="Arial"/>
                <w:sz w:val="16"/>
                <w:szCs w:val="16"/>
                <w:i w:val="1"/>
                <w:iCs w:val="1"/>
                <w:color w:val="auto"/>
                <w:w w:val="97"/>
              </w:rPr>
              <w:t>* Operating lease rentals includes rate expenses incurred during the year.</w:t>
            </w: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eneded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Government grants</w:t>
            </w: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Repayment of government grant</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government grants</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96"/>
        </w:trPr>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4. Financing income</w:t>
            </w:r>
          </w:p>
        </w:tc>
        <w:tc>
          <w:tcPr>
            <w:tcW w:w="4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9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receivable</w:t>
            </w: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1,484</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auto"/>
            </w:tcBorders>
            <w:shd w:val="clear" w:color="auto" w:fill="CCEEFF"/>
          </w:tcPr>
          <w:p>
            <w:pPr>
              <w:spacing w:after="0"/>
              <w:rPr>
                <w:sz w:val="20"/>
                <w:szCs w:val="20"/>
                <w:color w:val="auto"/>
              </w:rPr>
            </w:pPr>
          </w:p>
        </w:tc>
        <w:tc>
          <w:tcPr>
            <w:tcW w:w="4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1,484</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396"/>
        </w:trPr>
        <w:tc>
          <w:tcPr>
            <w:tcW w:w="5260" w:type="dxa"/>
            <w:vAlign w:val="bottom"/>
            <w:gridSpan w:val="2"/>
          </w:tcPr>
          <w:p>
            <w:pPr>
              <w:spacing w:after="0"/>
              <w:rPr>
                <w:sz w:val="20"/>
                <w:szCs w:val="20"/>
                <w:color w:val="auto"/>
              </w:rPr>
            </w:pPr>
            <w:r>
              <w:rPr>
                <w:rFonts w:ascii="Arial" w:cs="Arial" w:eastAsia="Arial" w:hAnsi="Arial"/>
                <w:sz w:val="16"/>
                <w:szCs w:val="16"/>
                <w:color w:val="auto"/>
              </w:rPr>
              <w:t>All of the above relates to items not at fair value through profit and loss.</w:t>
            </w:r>
          </w:p>
        </w:tc>
        <w:tc>
          <w:tcPr>
            <w:tcW w:w="4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960" w:type="dxa"/>
            <w:vAlign w:val="bottom"/>
          </w:tcPr>
          <w:p>
            <w:pPr>
              <w:jc w:val="right"/>
              <w:ind w:right="4340"/>
              <w:spacing w:after="0"/>
              <w:rPr>
                <w:sz w:val="20"/>
                <w:szCs w:val="20"/>
                <w:color w:val="auto"/>
              </w:rPr>
            </w:pPr>
            <w:r>
              <w:rPr>
                <w:rFonts w:ascii="Arial" w:cs="Arial" w:eastAsia="Arial" w:hAnsi="Arial"/>
                <w:sz w:val="16"/>
                <w:szCs w:val="16"/>
                <w:color w:val="auto"/>
              </w:rPr>
              <w:t>37</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Pr>
          <w:p>
            <w:pPr>
              <w:spacing w:after="0"/>
              <w:rPr>
                <w:sz w:val="20"/>
                <w:szCs w:val="20"/>
                <w:color w:val="auto"/>
              </w:rPr>
            </w:pPr>
            <w:r>
              <w:rPr>
                <w:rFonts w:ascii="Arial" w:cs="Arial" w:eastAsia="Arial" w:hAnsi="Arial"/>
                <w:sz w:val="16"/>
                <w:szCs w:val="16"/>
                <w:b w:val="1"/>
                <w:bCs w:val="1"/>
                <w:color w:val="auto"/>
              </w:rPr>
              <w:t>5. Financing expense</w:t>
            </w: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84"/>
        </w:trPr>
        <w:tc>
          <w:tcPr>
            <w:tcW w:w="6460" w:type="dxa"/>
            <w:vAlign w:val="bottom"/>
          </w:tcPr>
          <w:p>
            <w:pPr>
              <w:spacing w:after="0"/>
              <w:rPr>
                <w:sz w:val="24"/>
                <w:szCs w:val="24"/>
                <w:color w:val="auto"/>
              </w:rPr>
            </w:pPr>
          </w:p>
        </w:tc>
        <w:tc>
          <w:tcPr>
            <w:tcW w:w="378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r>
      <w:tr>
        <w:trPr>
          <w:trHeight w:val="192"/>
        </w:trPr>
        <w:tc>
          <w:tcPr>
            <w:tcW w:w="6460" w:type="dxa"/>
            <w:vAlign w:val="bottom"/>
          </w:tcPr>
          <w:p>
            <w:pPr>
              <w:spacing w:after="0"/>
              <w:rPr>
                <w:sz w:val="16"/>
                <w:szCs w:val="16"/>
                <w:color w:val="auto"/>
              </w:rPr>
            </w:pPr>
          </w:p>
        </w:tc>
        <w:tc>
          <w:tcPr>
            <w:tcW w:w="378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r>
      <w:tr>
        <w:trPr>
          <w:trHeight w:val="192"/>
        </w:trPr>
        <w:tc>
          <w:tcPr>
            <w:tcW w:w="6460" w:type="dxa"/>
            <w:vAlign w:val="bottom"/>
          </w:tcPr>
          <w:p>
            <w:pPr>
              <w:spacing w:after="0"/>
              <w:rPr>
                <w:sz w:val="16"/>
                <w:szCs w:val="16"/>
                <w:color w:val="auto"/>
              </w:rPr>
            </w:pPr>
          </w:p>
        </w:tc>
        <w:tc>
          <w:tcPr>
            <w:tcW w:w="37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r>
      <w:tr>
        <w:trPr>
          <w:trHeight w:val="209"/>
        </w:trPr>
        <w:tc>
          <w:tcPr>
            <w:tcW w:w="6460" w:type="dxa"/>
            <w:vAlign w:val="bottom"/>
          </w:tcPr>
          <w:p>
            <w:pPr>
              <w:spacing w:after="0"/>
              <w:rPr>
                <w:sz w:val="18"/>
                <w:szCs w:val="18"/>
                <w:color w:val="auto"/>
              </w:rPr>
            </w:pPr>
          </w:p>
        </w:tc>
        <w:tc>
          <w:tcPr>
            <w:tcW w:w="37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r>
      <w:tr>
        <w:trPr>
          <w:trHeight w:val="384"/>
        </w:trPr>
        <w:tc>
          <w:tcPr>
            <w:tcW w:w="6460" w:type="dxa"/>
            <w:vAlign w:val="bottom"/>
          </w:tcPr>
          <w:p>
            <w:pPr>
              <w:spacing w:after="0"/>
              <w:rPr>
                <w:sz w:val="20"/>
                <w:szCs w:val="20"/>
                <w:color w:val="auto"/>
              </w:rPr>
            </w:pPr>
            <w:r>
              <w:rPr>
                <w:rFonts w:ascii="Arial" w:cs="Arial" w:eastAsia="Arial" w:hAnsi="Arial"/>
                <w:sz w:val="16"/>
                <w:szCs w:val="16"/>
                <w:color w:val="auto"/>
              </w:rPr>
              <w:t>Interest and facility fees on bank overdraft and Senior Notes</w:t>
            </w:r>
          </w:p>
        </w:tc>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2"/>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 repayable within 5 years, not by instalments*</w:t>
            </w:r>
          </w:p>
        </w:tc>
        <w:tc>
          <w:tcPr>
            <w:tcW w:w="37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13,115</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631</w:t>
            </w:r>
          </w:p>
        </w:tc>
      </w:tr>
      <w:tr>
        <w:trPr>
          <w:trHeight w:val="192"/>
        </w:trPr>
        <w:tc>
          <w:tcPr>
            <w:tcW w:w="6460" w:type="dxa"/>
            <w:vAlign w:val="bottom"/>
          </w:tcPr>
          <w:p>
            <w:pPr>
              <w:spacing w:after="0"/>
              <w:rPr>
                <w:sz w:val="20"/>
                <w:szCs w:val="20"/>
                <w:color w:val="auto"/>
              </w:rPr>
            </w:pPr>
            <w:r>
              <w:rPr>
                <w:rFonts w:ascii="Arial" w:cs="Arial" w:eastAsia="Arial" w:hAnsi="Arial"/>
                <w:sz w:val="16"/>
                <w:szCs w:val="16"/>
                <w:color w:val="auto"/>
              </w:rPr>
              <w:t>Other interest</w:t>
            </w:r>
          </w:p>
        </w:tc>
        <w:tc>
          <w:tcPr>
            <w:tcW w:w="3780" w:type="dxa"/>
            <w:vAlign w:val="bottom"/>
          </w:tcPr>
          <w:p>
            <w:pPr>
              <w:jc w:val="right"/>
              <w:ind w:right="200"/>
              <w:spacing w:after="0"/>
              <w:rPr>
                <w:sz w:val="20"/>
                <w:szCs w:val="20"/>
                <w:color w:val="auto"/>
              </w:rPr>
            </w:pPr>
            <w:r>
              <w:rPr>
                <w:rFonts w:ascii="Arial" w:cs="Arial" w:eastAsia="Arial" w:hAnsi="Arial"/>
                <w:sz w:val="16"/>
                <w:szCs w:val="16"/>
                <w:b w:val="1"/>
                <w:bCs w:val="1"/>
                <w:color w:val="auto"/>
              </w:rPr>
              <w:t>248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2,116</w:t>
            </w:r>
          </w:p>
        </w:tc>
      </w:tr>
      <w:tr>
        <w:trPr>
          <w:trHeight w:val="192"/>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Facility fees (including amortisation)</w:t>
            </w:r>
          </w:p>
        </w:tc>
        <w:tc>
          <w:tcPr>
            <w:tcW w:w="37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566</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1,286</w:t>
            </w:r>
          </w:p>
        </w:tc>
      </w:tr>
      <w:tr>
        <w:trPr>
          <w:trHeight w:val="196"/>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Amortisation of gain on interest rate hedge</w:t>
            </w:r>
          </w:p>
        </w:tc>
        <w:tc>
          <w:tcPr>
            <w:tcW w:w="37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(923)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2"/>
        </w:trPr>
        <w:tc>
          <w:tcPr>
            <w:tcW w:w="6460" w:type="dxa"/>
            <w:vAlign w:val="bottom"/>
            <w:tcBorders>
              <w:bottom w:val="single" w:sz="8" w:color="auto"/>
            </w:tcBorders>
            <w:shd w:val="clear" w:color="auto" w:fill="CCEEFF"/>
          </w:tcPr>
          <w:p>
            <w:pPr>
              <w:spacing w:after="0"/>
              <w:rPr>
                <w:sz w:val="20"/>
                <w:szCs w:val="20"/>
                <w:color w:val="auto"/>
              </w:rPr>
            </w:pPr>
          </w:p>
        </w:tc>
        <w:tc>
          <w:tcPr>
            <w:tcW w:w="37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13,006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3,992</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All of the above relates to items not at fair value through profit and loss.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interest rate on the Senior Notes is fixed at 3.64%. Costs directly related to the Senior Notes are amortised over the term of the Senior Notes.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 expense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current and deferred tax expense for the years ended 31 December 2016 and 2015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9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Current tax expense</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80"/>
        </w:trPr>
        <w:tc>
          <w:tcPr>
            <w:tcW w:w="4940" w:type="dxa"/>
            <w:vAlign w:val="bottom"/>
            <w:gridSpan w:val="3"/>
            <w:vMerge w:val="continue"/>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rPr>
                <w:sz w:val="20"/>
                <w:szCs w:val="20"/>
                <w:color w:val="auto"/>
              </w:rPr>
            </w:pPr>
            <w:r>
              <w:rPr>
                <w:rFonts w:ascii="Arial" w:cs="Arial" w:eastAsia="Arial" w:hAnsi="Arial"/>
                <w:sz w:val="16"/>
                <w:szCs w:val="16"/>
                <w:color w:val="auto"/>
              </w:rPr>
              <w:t>Current year</w:t>
            </w:r>
          </w:p>
        </w:tc>
        <w:tc>
          <w:tcPr>
            <w:tcW w:w="5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Ireland</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24,961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5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15,750</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40,711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36,271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Deferred tax (credit)/charge</w:t>
            </w: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Origination and reversal of temporary differences</w:t>
            </w:r>
          </w:p>
        </w:tc>
        <w:tc>
          <w:tcPr>
            <w:tcW w:w="53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(7,363)</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Over provided in prior years</w:t>
            </w:r>
          </w:p>
        </w:tc>
        <w:tc>
          <w:tcPr>
            <w:tcW w:w="53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(917)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income tax expense in the consolidated income statement</w:t>
            </w:r>
          </w:p>
        </w:tc>
        <w:tc>
          <w:tcPr>
            <w:tcW w:w="5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32,431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39,410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920" w:type="dxa"/>
            <w:vAlign w:val="bottom"/>
            <w:gridSpan w:val="2"/>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tax recognised in equity</w:t>
            </w:r>
          </w:p>
        </w:tc>
        <w:tc>
          <w:tcPr>
            <w:tcW w:w="5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Share based payment</w:t>
            </w:r>
          </w:p>
        </w:tc>
        <w:tc>
          <w:tcPr>
            <w:tcW w:w="5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(6,403)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current tax recognised in equity</w:t>
            </w:r>
          </w:p>
        </w:tc>
        <w:tc>
          <w:tcPr>
            <w:tcW w:w="5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(6,403)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gridSpan w:val="2"/>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940" w:type="dxa"/>
            <w:vAlign w:val="bottom"/>
            <w:gridSpan w:val="3"/>
          </w:tcPr>
          <w:p>
            <w:pPr>
              <w:spacing w:after="0"/>
              <w:rPr>
                <w:sz w:val="20"/>
                <w:szCs w:val="20"/>
                <w:color w:val="auto"/>
              </w:rPr>
            </w:pPr>
            <w:r>
              <w:rPr>
                <w:rFonts w:ascii="Arial" w:cs="Arial" w:eastAsia="Arial" w:hAnsi="Arial"/>
                <w:sz w:val="16"/>
                <w:szCs w:val="16"/>
                <w:b w:val="1"/>
                <w:bCs w:val="1"/>
                <w:color w:val="auto"/>
              </w:rPr>
              <w:t>Current tax recognised in other comprehensive income</w:t>
            </w:r>
          </w:p>
        </w:tc>
        <w:tc>
          <w:tcPr>
            <w:tcW w:w="5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Tax on currency impact on long term funding</w:t>
            </w:r>
          </w:p>
        </w:tc>
        <w:tc>
          <w:tcPr>
            <w:tcW w:w="5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current tax recognised in other comprehensive income</w:t>
            </w:r>
          </w:p>
        </w:tc>
        <w:tc>
          <w:tcPr>
            <w:tcW w:w="5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3,574</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300" w:type="dxa"/>
            <w:vAlign w:val="bottom"/>
          </w:tcPr>
          <w:p>
            <w:pPr>
              <w:jc w:val="right"/>
              <w:ind w:right="4360"/>
              <w:spacing w:after="0"/>
              <w:rPr>
                <w:sz w:val="20"/>
                <w:szCs w:val="20"/>
                <w:color w:val="auto"/>
              </w:rPr>
            </w:pPr>
            <w:r>
              <w:rPr>
                <w:rFonts w:ascii="Arial" w:cs="Arial" w:eastAsia="Arial" w:hAnsi="Arial"/>
                <w:sz w:val="16"/>
                <w:szCs w:val="16"/>
                <w:color w:val="auto"/>
              </w:rPr>
              <w:t>38</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Income tax expense </w:t>
      </w:r>
      <w:r>
        <w:rPr>
          <w:rFonts w:ascii="Arial" w:cs="Arial" w:eastAsia="Arial" w:hAnsi="Arial"/>
          <w:sz w:val="16"/>
          <w:szCs w:val="16"/>
          <w:i w:val="1"/>
          <w:iCs w:val="1"/>
          <w:color w:val="auto"/>
        </w:rPr>
        <w:t>(continued)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total tax expense of $32.4 million and $39.4 million for the years ended 31 December 2016 and 31 December 2015 respectively, reflects tax at standard rates on taxable profits in the jurisdictions in which the group operates, foreign withholding tax and the availability of tax losses.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deferred tax credit of $7.4 million for the year ended 31 December 2016 and the deferred tax charge of $3.6 million for the year ended 31 December 2015, relates to deferred tax arising in respect of net operating losses and temporary differences in capital items, the timing of certain goodwill amortisation on US acquisitions and the timing of tax deductions available relating to the Group’s share based compensation schemes. No deferred tax asset has been recognised on the defined benefit pension scheme as it is not probable that sufficient taxable profit will be available against which the deductible temporary difference can be utilised.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expected tax expense, computed by applying the standard Irish tax rate to income before tax to the actual tax expense,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Profit before tax</w:t>
            </w:r>
          </w:p>
        </w:tc>
        <w:tc>
          <w:tcPr>
            <w:tcW w:w="49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300,391</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279,434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Irish standard tax rate</w:t>
            </w:r>
          </w:p>
        </w:tc>
        <w:tc>
          <w:tcPr>
            <w:tcW w:w="4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20" w:type="dxa"/>
            <w:vAlign w:val="bottom"/>
            <w:shd w:val="clear" w:color="auto" w:fill="CCEEFF"/>
          </w:tcPr>
          <w:p>
            <w:pPr>
              <w:spacing w:after="0"/>
              <w:rPr>
                <w:sz w:val="16"/>
                <w:szCs w:val="16"/>
                <w:color w:val="auto"/>
              </w:rPr>
            </w:pPr>
          </w:p>
        </w:tc>
        <w:tc>
          <w:tcPr>
            <w:tcW w:w="49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Taxes at Irish standard tax rate</w:t>
            </w:r>
          </w:p>
        </w:tc>
        <w:tc>
          <w:tcPr>
            <w:tcW w:w="49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37,549</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34,929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20" w:type="dxa"/>
            <w:vAlign w:val="bottom"/>
            <w:shd w:val="clear" w:color="auto" w:fill="CCEEFF"/>
          </w:tcPr>
          <w:p>
            <w:pPr>
              <w:spacing w:after="0"/>
              <w:rPr>
                <w:sz w:val="16"/>
                <w:szCs w:val="16"/>
                <w:color w:val="auto"/>
              </w:rPr>
            </w:pPr>
          </w:p>
        </w:tc>
        <w:tc>
          <w:tcPr>
            <w:tcW w:w="49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Reversal of prior year over provision in respect of</w:t>
            </w:r>
          </w:p>
        </w:tc>
        <w:tc>
          <w:tcPr>
            <w:tcW w:w="4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current foreign taxes</w:t>
            </w:r>
          </w:p>
        </w:tc>
        <w:tc>
          <w:tcPr>
            <w:tcW w:w="49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(917)</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Foreign and other income taxed at higher rates</w:t>
            </w: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7,444</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w w:val="95"/>
              </w:rPr>
              <w:t>Recognition of previously unrecognised tax benefits for uncertain tax positions</w:t>
            </w:r>
          </w:p>
        </w:tc>
        <w:tc>
          <w:tcPr>
            <w:tcW w:w="49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(4,370)</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Effect of change in tax rates</w:t>
            </w:r>
          </w:p>
        </w:tc>
        <w:tc>
          <w:tcPr>
            <w:tcW w:w="4900" w:type="dxa"/>
            <w:vAlign w:val="bottom"/>
          </w:tcPr>
          <w:p>
            <w:pPr>
              <w:jc w:val="right"/>
              <w:ind w:right="280"/>
              <w:spacing w:after="0"/>
              <w:rPr>
                <w:sz w:val="20"/>
                <w:szCs w:val="20"/>
                <w:color w:val="auto"/>
              </w:rPr>
            </w:pPr>
            <w:r>
              <w:rPr>
                <w:rFonts w:ascii="Arial" w:cs="Arial" w:eastAsia="Arial" w:hAnsi="Arial"/>
                <w:sz w:val="16"/>
                <w:szCs w:val="16"/>
                <w:b w:val="1"/>
                <w:bCs w:val="1"/>
                <w:color w:val="auto"/>
              </w:rPr>
              <w:t>576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(Decrease)/increase in unrecognised tax benefits</w:t>
            </w:r>
          </w:p>
        </w:tc>
        <w:tc>
          <w:tcPr>
            <w:tcW w:w="49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(1,521)</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Non taxable income and non tax deductible expenses</w:t>
            </w:r>
          </w:p>
        </w:tc>
        <w:tc>
          <w:tcPr>
            <w:tcW w:w="4900" w:type="dxa"/>
            <w:vAlign w:val="bottom"/>
          </w:tcPr>
          <w:p>
            <w:pPr>
              <w:jc w:val="right"/>
              <w:ind w:right="220"/>
              <w:spacing w:after="0"/>
              <w:rPr>
                <w:sz w:val="20"/>
                <w:szCs w:val="20"/>
                <w:color w:val="auto"/>
              </w:rPr>
            </w:pPr>
            <w:r>
              <w:rPr>
                <w:rFonts w:ascii="Arial" w:cs="Arial" w:eastAsia="Arial" w:hAnsi="Arial"/>
                <w:sz w:val="16"/>
                <w:szCs w:val="16"/>
                <w:b w:val="1"/>
                <w:bCs w:val="1"/>
                <w:color w:val="auto"/>
              </w:rPr>
              <w:t>(8,281)</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Losses for which no benefit has been recognised</w:t>
            </w:r>
          </w:p>
        </w:tc>
        <w:tc>
          <w:tcPr>
            <w:tcW w:w="49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1,208</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Research and development tax incentives</w:t>
            </w:r>
          </w:p>
        </w:tc>
        <w:tc>
          <w:tcPr>
            <w:tcW w:w="4900" w:type="dxa"/>
            <w:vAlign w:val="bottom"/>
          </w:tcPr>
          <w:p>
            <w:pPr>
              <w:jc w:val="right"/>
              <w:ind w:right="220"/>
              <w:spacing w:after="0"/>
              <w:rPr>
                <w:sz w:val="20"/>
                <w:szCs w:val="20"/>
                <w:color w:val="auto"/>
              </w:rPr>
            </w:pPr>
            <w:r>
              <w:rPr>
                <w:rFonts w:ascii="Arial" w:cs="Arial" w:eastAsia="Arial" w:hAnsi="Arial"/>
                <w:sz w:val="16"/>
                <w:szCs w:val="16"/>
                <w:b w:val="1"/>
                <w:bCs w:val="1"/>
                <w:color w:val="auto"/>
              </w:rPr>
              <w:t>(907)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49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1,650</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Tax expense on profit for the year</w:t>
            </w:r>
          </w:p>
        </w:tc>
        <w:tc>
          <w:tcPr>
            <w:tcW w:w="49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32,431</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39,410</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900" w:type="dxa"/>
            <w:vAlign w:val="bottom"/>
          </w:tcPr>
          <w:p>
            <w:pPr>
              <w:jc w:val="right"/>
              <w:ind w:right="4360"/>
              <w:spacing w:after="0"/>
              <w:rPr>
                <w:sz w:val="20"/>
                <w:szCs w:val="20"/>
                <w:color w:val="auto"/>
              </w:rPr>
            </w:pPr>
            <w:r>
              <w:rPr>
                <w:rFonts w:ascii="Arial" w:cs="Arial" w:eastAsia="Arial" w:hAnsi="Arial"/>
                <w:sz w:val="16"/>
                <w:szCs w:val="16"/>
                <w:color w:val="auto"/>
              </w:rPr>
              <w:t>39</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Income tax expense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net deferred tax asset at 31 December 2016 and 31 December 2015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4940" w:type="dxa"/>
            <w:vAlign w:val="bottom"/>
            <w:gridSpan w:val="2"/>
            <w:vMerge w:val="continue"/>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losses carried forward</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4,089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Accrued expenses and payments on account</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27,445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28,910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2,859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Deferred compensation</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3,327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31,355</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5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15</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taxation assets</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69,090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75,021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offset against deferred tax liabilities</w:t>
            </w:r>
          </w:p>
        </w:tc>
        <w:tc>
          <w:tcPr>
            <w:tcW w:w="5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(31,105)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asset disclosed on Statement of Financial Position</w:t>
            </w:r>
          </w:p>
        </w:tc>
        <w:tc>
          <w:tcPr>
            <w:tcW w:w="5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37,985</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46,768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Deferred taxation liabilities</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979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Goodwill and related assets</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26,617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21,571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53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6,700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Other</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Accruals to cash method adjustment</w:t>
            </w:r>
          </w:p>
        </w:tc>
        <w:tc>
          <w:tcPr>
            <w:tcW w:w="5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1,440</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Total deferred taxation liabilities</w:t>
            </w:r>
          </w:p>
        </w:tc>
        <w:tc>
          <w:tcPr>
            <w:tcW w:w="5300" w:type="dxa"/>
            <w:vAlign w:val="bottom"/>
          </w:tcPr>
          <w:p>
            <w:pPr>
              <w:jc w:val="right"/>
              <w:ind w:right="200"/>
              <w:spacing w:after="0"/>
              <w:rPr>
                <w:sz w:val="20"/>
                <w:szCs w:val="20"/>
                <w:color w:val="auto"/>
              </w:rPr>
            </w:pPr>
            <w:r>
              <w:rPr>
                <w:rFonts w:ascii="Arial" w:cs="Arial" w:eastAsia="Arial" w:hAnsi="Arial"/>
                <w:sz w:val="16"/>
                <w:szCs w:val="16"/>
                <w:b w:val="1"/>
                <w:bCs w:val="1"/>
                <w:color w:val="auto"/>
              </w:rPr>
              <w:t>35,736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32,896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offset against deferred tax assets</w:t>
            </w:r>
          </w:p>
        </w:tc>
        <w:tc>
          <w:tcPr>
            <w:tcW w:w="5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(31,105)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tax liability disclosed on Statement of Financial Position</w:t>
            </w:r>
          </w:p>
        </w:tc>
        <w:tc>
          <w:tcPr>
            <w:tcW w:w="5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4,631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4,643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w:t>
            </w:r>
          </w:p>
        </w:tc>
        <w:tc>
          <w:tcPr>
            <w:tcW w:w="5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33,354</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42,125</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300" w:type="dxa"/>
            <w:vAlign w:val="bottom"/>
          </w:tcPr>
          <w:p>
            <w:pPr>
              <w:jc w:val="right"/>
              <w:ind w:right="4360"/>
              <w:spacing w:after="0"/>
              <w:rPr>
                <w:sz w:val="20"/>
                <w:szCs w:val="20"/>
                <w:color w:val="auto"/>
              </w:rPr>
            </w:pPr>
            <w:r>
              <w:rPr>
                <w:rFonts w:ascii="Arial" w:cs="Arial" w:eastAsia="Arial" w:hAnsi="Arial"/>
                <w:sz w:val="16"/>
                <w:szCs w:val="16"/>
                <w:color w:val="auto"/>
              </w:rPr>
              <w:t>40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6. Income tax expense </w:t>
      </w:r>
      <w:r>
        <w:rPr>
          <w:rFonts w:ascii="Arial" w:cs="Arial" w:eastAsia="Arial" w:hAnsi="Arial"/>
          <w:sz w:val="16"/>
          <w:szCs w:val="16"/>
          <w:b w:val="1"/>
          <w:bCs w:val="1"/>
          <w:i w:val="1"/>
          <w:iCs w:val="1"/>
          <w:color w:val="auto"/>
        </w:rPr>
        <w:t>(continued)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movement in temporary differences during the year ended 31 December 2016 was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Recognised in</w:t>
            </w: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Balance</w:t>
            </w:r>
          </w:p>
        </w:tc>
        <w:tc>
          <w:tcPr>
            <w:tcW w:w="15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Recognised</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1 January</w:t>
            </w:r>
          </w:p>
        </w:tc>
        <w:tc>
          <w:tcPr>
            <w:tcW w:w="1500" w:type="dxa"/>
            <w:vAlign w:val="bottom"/>
          </w:tcPr>
          <w:p>
            <w:pPr>
              <w:jc w:val="right"/>
              <w:ind w:right="240"/>
              <w:spacing w:after="0"/>
              <w:rPr>
                <w:sz w:val="20"/>
                <w:szCs w:val="20"/>
                <w:color w:val="auto"/>
              </w:rPr>
            </w:pPr>
            <w:r>
              <w:rPr>
                <w:rFonts w:ascii="Arial" w:cs="Arial" w:eastAsia="Arial" w:hAnsi="Arial"/>
                <w:sz w:val="16"/>
                <w:szCs w:val="16"/>
                <w:b w:val="1"/>
                <w:bCs w:val="1"/>
                <w:color w:val="auto"/>
              </w:rPr>
              <w:t>Recognised in</w:t>
            </w: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on</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w w:val="98"/>
              </w:rPr>
              <w:t>Comprehensive</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Recognised</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1500" w:type="dxa"/>
            <w:vAlign w:val="bottom"/>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Acquisition</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in Equity</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500" w:type="dxa"/>
            <w:vAlign w:val="bottom"/>
          </w:tcPr>
          <w:p>
            <w:pPr>
              <w:jc w:val="right"/>
              <w:ind w:right="24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330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 carry forwards</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6,490</w:t>
            </w:r>
          </w:p>
        </w:tc>
        <w:tc>
          <w:tcPr>
            <w:tcW w:w="15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(2,401)</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Accrued expenses and payments on account</w:t>
            </w: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28,910</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(1,451)</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27,445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4,410</w:t>
            </w:r>
          </w:p>
        </w:tc>
        <w:tc>
          <w:tcPr>
            <w:tcW w:w="15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(1,649)</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Deferred compensation</w:t>
            </w: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2,174</w:t>
            </w:r>
          </w:p>
        </w:tc>
        <w:tc>
          <w:tcPr>
            <w:tcW w:w="1500" w:type="dxa"/>
            <w:vAlign w:val="bottom"/>
          </w:tcPr>
          <w:p>
            <w:pPr>
              <w:jc w:val="right"/>
              <w:ind w:right="240"/>
              <w:spacing w:after="0"/>
              <w:rPr>
                <w:sz w:val="20"/>
                <w:szCs w:val="20"/>
                <w:color w:val="auto"/>
              </w:rPr>
            </w:pPr>
            <w:r>
              <w:rPr>
                <w:rFonts w:ascii="Arial" w:cs="Arial" w:eastAsia="Arial" w:hAnsi="Arial"/>
                <w:sz w:val="16"/>
                <w:szCs w:val="16"/>
                <w:color w:val="auto"/>
              </w:rPr>
              <w:t>1,153</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32,990</w:t>
            </w:r>
          </w:p>
        </w:tc>
        <w:tc>
          <w:tcPr>
            <w:tcW w:w="15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7,735</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(9,370)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31,355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47</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(235)</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203</w:t>
            </w:r>
          </w:p>
        </w:tc>
        <w:tc>
          <w:tcPr>
            <w:tcW w:w="1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assets</w:t>
            </w: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75,021</w:t>
            </w:r>
          </w:p>
        </w:tc>
        <w:tc>
          <w:tcPr>
            <w:tcW w:w="15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3,152</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287</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(9,370)</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69,090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taxation liabilities</w:t>
            </w:r>
          </w:p>
        </w:tc>
        <w:tc>
          <w:tcPr>
            <w:tcW w:w="14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2,665</w:t>
            </w:r>
          </w:p>
        </w:tc>
        <w:tc>
          <w:tcPr>
            <w:tcW w:w="1500" w:type="dxa"/>
            <w:vAlign w:val="bottom"/>
          </w:tcPr>
          <w:p>
            <w:pPr>
              <w:jc w:val="right"/>
              <w:ind w:right="200"/>
              <w:spacing w:after="0"/>
              <w:rPr>
                <w:sz w:val="20"/>
                <w:szCs w:val="20"/>
                <w:color w:val="auto"/>
              </w:rPr>
            </w:pPr>
            <w:r>
              <w:rPr>
                <w:rFonts w:ascii="Arial" w:cs="Arial" w:eastAsia="Arial" w:hAnsi="Arial"/>
                <w:sz w:val="16"/>
                <w:szCs w:val="16"/>
                <w:color w:val="auto"/>
              </w:rPr>
              <w:t>(1,686)</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Goodwill on acquisition</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21,571</w:t>
            </w:r>
          </w:p>
        </w:tc>
        <w:tc>
          <w:tcPr>
            <w:tcW w:w="15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4,766</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Accruals to cash method adjustment</w:t>
            </w: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1,284</w:t>
            </w:r>
          </w:p>
        </w:tc>
        <w:tc>
          <w:tcPr>
            <w:tcW w:w="1500" w:type="dxa"/>
            <w:vAlign w:val="bottom"/>
          </w:tcPr>
          <w:p>
            <w:pPr>
              <w:jc w:val="right"/>
              <w:ind w:right="240"/>
              <w:spacing w:after="0"/>
              <w:rPr>
                <w:sz w:val="20"/>
                <w:szCs w:val="20"/>
                <w:color w:val="auto"/>
              </w:rPr>
            </w:pPr>
            <w:r>
              <w:rPr>
                <w:rFonts w:ascii="Arial" w:cs="Arial" w:eastAsia="Arial" w:hAnsi="Arial"/>
                <w:sz w:val="16"/>
                <w:szCs w:val="16"/>
                <w:color w:val="auto"/>
              </w:rPr>
              <w:t>684</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(560)</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7,369</w:t>
            </w:r>
          </w:p>
        </w:tc>
        <w:tc>
          <w:tcPr>
            <w:tcW w:w="15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(4,622)</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3,953</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liabilities</w:t>
            </w: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32,896</w:t>
            </w:r>
          </w:p>
        </w:tc>
        <w:tc>
          <w:tcPr>
            <w:tcW w:w="15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(865)</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3,393</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312</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35,736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asset/(liability)</w:t>
            </w: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42,125</w:t>
            </w:r>
          </w:p>
        </w:tc>
        <w:tc>
          <w:tcPr>
            <w:tcW w:w="15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4,017</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(3,106)</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(9,682)</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33,354</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*These adjustments relate to foreign currency translation on the deferred tax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Income tax expense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movement in temporary differences during the year ended 31 December 2015 was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Recognised in</w:t>
            </w: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Balance</w:t>
            </w: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1 January</w:t>
            </w:r>
          </w:p>
        </w:tc>
        <w:tc>
          <w:tcPr>
            <w:tcW w:w="1320" w:type="dxa"/>
            <w:vAlign w:val="bottom"/>
          </w:tcPr>
          <w:p>
            <w:pPr>
              <w:jc w:val="right"/>
              <w:ind w:right="140"/>
              <w:spacing w:after="0"/>
              <w:rPr>
                <w:sz w:val="20"/>
                <w:szCs w:val="20"/>
                <w:color w:val="auto"/>
              </w:rPr>
            </w:pPr>
            <w:r>
              <w:rPr>
                <w:rFonts w:ascii="Arial" w:cs="Arial" w:eastAsia="Arial" w:hAnsi="Arial"/>
                <w:sz w:val="16"/>
                <w:szCs w:val="16"/>
                <w:b w:val="1"/>
                <w:bCs w:val="1"/>
                <w:color w:val="auto"/>
              </w:rPr>
              <w:t>Recognised</w:t>
            </w:r>
          </w:p>
        </w:tc>
        <w:tc>
          <w:tcPr>
            <w:tcW w:w="1340" w:type="dxa"/>
            <w:vAlign w:val="bottom"/>
          </w:tcPr>
          <w:p>
            <w:pPr>
              <w:jc w:val="right"/>
              <w:ind w:right="100"/>
              <w:spacing w:after="0"/>
              <w:rPr>
                <w:sz w:val="20"/>
                <w:szCs w:val="20"/>
                <w:color w:val="auto"/>
              </w:rPr>
            </w:pPr>
            <w:r>
              <w:rPr>
                <w:rFonts w:ascii="Arial" w:cs="Arial" w:eastAsia="Arial" w:hAnsi="Arial"/>
                <w:sz w:val="16"/>
                <w:szCs w:val="16"/>
                <w:b w:val="1"/>
                <w:bCs w:val="1"/>
                <w:color w:val="auto"/>
              </w:rPr>
              <w:t>Recognised</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w w:val="98"/>
              </w:rPr>
              <w:t>Comprehensive</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Recognised</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320" w:type="dxa"/>
            <w:vAlign w:val="bottom"/>
          </w:tcPr>
          <w:p>
            <w:pPr>
              <w:jc w:val="right"/>
              <w:ind w:right="140"/>
              <w:spacing w:after="0"/>
              <w:rPr>
                <w:sz w:val="20"/>
                <w:szCs w:val="20"/>
                <w:color w:val="auto"/>
              </w:rPr>
            </w:pPr>
            <w:r>
              <w:rPr>
                <w:rFonts w:ascii="Arial" w:cs="Arial" w:eastAsia="Arial" w:hAnsi="Arial"/>
                <w:sz w:val="16"/>
                <w:szCs w:val="16"/>
                <w:b w:val="1"/>
                <w:bCs w:val="1"/>
                <w:color w:val="auto"/>
              </w:rPr>
              <w:t>in Income</w:t>
            </w:r>
          </w:p>
        </w:tc>
        <w:tc>
          <w:tcPr>
            <w:tcW w:w="1340" w:type="dxa"/>
            <w:vAlign w:val="bottom"/>
          </w:tcPr>
          <w:p>
            <w:pPr>
              <w:jc w:val="right"/>
              <w:ind w:right="100"/>
              <w:spacing w:after="0"/>
              <w:rPr>
                <w:sz w:val="20"/>
                <w:szCs w:val="20"/>
                <w:color w:val="auto"/>
              </w:rPr>
            </w:pPr>
            <w:r>
              <w:rPr>
                <w:rFonts w:ascii="Arial" w:cs="Arial" w:eastAsia="Arial" w:hAnsi="Arial"/>
                <w:sz w:val="16"/>
                <w:szCs w:val="16"/>
                <w:b w:val="1"/>
                <w:bCs w:val="1"/>
                <w:color w:val="auto"/>
              </w:rPr>
              <w:t>on Acquisition</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in Equity</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4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3300" w:type="dxa"/>
            <w:vAlign w:val="bottom"/>
            <w:gridSpan w:val="2"/>
            <w:vMerge w:val="continue"/>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 carry forwards</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8,672</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(997)</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(1,185)</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6,490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Accrued expenses and payments on account</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37,296</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(9,985)</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1,299</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28,910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3,448</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928</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4,410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Deferred compensation</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1,853</w:t>
            </w: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321</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2,174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17,700</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4,143</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11,147</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32,990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891</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(844)</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deferred taxation assets</w:t>
            </w:r>
          </w:p>
        </w:tc>
        <w:tc>
          <w:tcPr>
            <w:tcW w:w="14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69,860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(6,434)</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114</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11,481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75,021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taxation liabilities</w:t>
            </w: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4,270</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(1,605)</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2,665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Goodwill on acquisition</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18,645</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2,926</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21,571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Accruals to cash method adjustment</w:t>
            </w:r>
          </w:p>
        </w:tc>
        <w:tc>
          <w:tcPr>
            <w:tcW w:w="1480" w:type="dxa"/>
            <w:vAlign w:val="bottom"/>
          </w:tcPr>
          <w:p>
            <w:pPr>
              <w:jc w:val="right"/>
              <w:ind w:right="220"/>
              <w:spacing w:after="0"/>
              <w:rPr>
                <w:sz w:val="20"/>
                <w:szCs w:val="20"/>
                <w:color w:val="auto"/>
              </w:rPr>
            </w:pPr>
            <w:r>
              <w:rPr>
                <w:rFonts w:ascii="Arial" w:cs="Arial" w:eastAsia="Arial" w:hAnsi="Arial"/>
                <w:sz w:val="16"/>
                <w:szCs w:val="16"/>
                <w:b w:val="1"/>
                <w:bCs w:val="1"/>
                <w:color w:val="auto"/>
              </w:rPr>
              <w:t>1,947</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(663)</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1,284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3,657</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(3,841)</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7,553</w:t>
            </w:r>
          </w:p>
        </w:tc>
        <w:tc>
          <w:tcPr>
            <w:tcW w:w="1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7,369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deferred taxation liabilities</w:t>
            </w:r>
          </w:p>
        </w:tc>
        <w:tc>
          <w:tcPr>
            <w:tcW w:w="14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28,519</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(3,176)</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7,553</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32,896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asset/(liability)</w:t>
            </w:r>
          </w:p>
        </w:tc>
        <w:tc>
          <w:tcPr>
            <w:tcW w:w="14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41,341</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(3,258)</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(7,439)</w:t>
            </w:r>
          </w:p>
        </w:tc>
        <w:tc>
          <w:tcPr>
            <w:tcW w:w="1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11,481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42,125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i w:val="1"/>
          <w:iCs w:val="1"/>
          <w:color w:val="auto"/>
        </w:rPr>
        <w:t>*These adjustments relate to foreign currency translation on the deferred tax assets.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Unrecognised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relating to the following net operating losses have not been recognised to the extent that it is considered unlikely that a benefit will be received in the future.</w:t>
      </w:r>
    </w:p>
    <w:p>
      <w:pPr>
        <w:spacing w:after="0" w:line="24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At 31 December 2016, non-US subsidiaries had operating loss carry-forwards for income tax purposes that may be carried forward indefinitely, available to offset against future taxable income, if any, of approximately $58.8 million (31 December 2015: $57.5 million). At 31 December 2016, non–US subsidiaries also had additional operating loss carry forwards of $2.7 million which are due to expire between 2017 and 2019.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Income tax expense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total, the Group has unrecognised deferred tax assets at 31 December 2016 of $21.9 million and $21.5 million at 31 December 2015. The Group has not recognised the remaining deferred tax assets because it believes that it is more likely than not that the losses and other deferred tax assets will not be utilised given their history of operating losses.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Unrecognised deferred tax liabilities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At 31 December 2016 and 31 December 2015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Earnings per share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for basic and diluted net earnings per share for the year ended 31 December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31</w:t>
            </w:r>
          </w:p>
        </w:tc>
        <w:tc>
          <w:tcPr>
            <w:tcW w:w="2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31</w:t>
            </w:r>
          </w:p>
        </w:tc>
        <w:tc>
          <w:tcPr>
            <w:tcW w:w="280" w:type="dxa"/>
            <w:vAlign w:val="bottom"/>
            <w:tcBorders>
              <w:top w:val="single" w:sz="8" w:color="auto"/>
              <w:lef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w:t>
            </w:r>
          </w:p>
        </w:tc>
        <w:tc>
          <w:tcPr>
            <w:tcW w:w="260" w:type="dxa"/>
            <w:vAlign w:val="bottom"/>
          </w:tcPr>
          <w:p>
            <w:pPr>
              <w:spacing w:after="0"/>
              <w:rPr>
                <w:sz w:val="24"/>
                <w:szCs w:val="24"/>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31</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300" w:type="dxa"/>
            <w:vAlign w:val="bottom"/>
            <w:tcBorders>
              <w:top w:val="single" w:sz="8" w:color="auto"/>
              <w:lef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December</w:t>
            </w: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December</w:t>
            </w: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December</w:t>
            </w:r>
          </w:p>
        </w:tc>
        <w:tc>
          <w:tcPr>
            <w:tcW w:w="260" w:type="dxa"/>
            <w:vAlign w:val="bottom"/>
          </w:tcPr>
          <w:p>
            <w:pPr>
              <w:spacing w:after="0"/>
              <w:rPr>
                <w:sz w:val="16"/>
                <w:szCs w:val="16"/>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December</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December</w:t>
            </w: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6"/>
                <w:szCs w:val="16"/>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2015</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2015</w:t>
            </w: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4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$’000</w:t>
            </w:r>
          </w:p>
        </w:tc>
        <w:tc>
          <w:tcPr>
            <w:tcW w:w="280" w:type="dxa"/>
            <w:vAlign w:val="bottom"/>
            <w:tcBorders>
              <w:lef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$’000   $</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$’000</w:t>
            </w:r>
          </w:p>
        </w:tc>
        <w:tc>
          <w:tcPr>
            <w:tcW w:w="300" w:type="dxa"/>
            <w:vAlign w:val="bottom"/>
            <w:tcBorders>
              <w:lef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Excluding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Including</w:t>
            </w:r>
          </w:p>
        </w:tc>
        <w:tc>
          <w:tcPr>
            <w:tcW w:w="260" w:type="dxa"/>
            <w:vAlign w:val="bottom"/>
          </w:tcPr>
          <w:p>
            <w:pPr>
              <w:spacing w:after="0"/>
              <w:rPr>
                <w:sz w:val="16"/>
                <w:szCs w:val="16"/>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Excluding</w:t>
            </w:r>
          </w:p>
        </w:tc>
        <w:tc>
          <w:tcPr>
            <w:tcW w:w="94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Including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w w:val="97"/>
              </w:rPr>
              <w:t>Exceptional</w:t>
            </w:r>
          </w:p>
        </w:tc>
        <w:tc>
          <w:tcPr>
            <w:tcW w:w="28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w w:val="95"/>
              </w:rPr>
              <w:t>Exceptional</w:t>
            </w: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7"/>
              </w:rPr>
              <w:t>Exceptional</w:t>
            </w:r>
          </w:p>
        </w:tc>
        <w:tc>
          <w:tcPr>
            <w:tcW w:w="260" w:type="dxa"/>
            <w:vAlign w:val="bottom"/>
          </w:tcPr>
          <w:p>
            <w:pPr>
              <w:spacing w:after="0"/>
              <w:rPr>
                <w:sz w:val="16"/>
                <w:szCs w:val="16"/>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w w:val="99"/>
              </w:rPr>
              <w:t>Exceptional</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w w:val="99"/>
              </w:rPr>
              <w:t>Exceptional</w:t>
            </w: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99"/>
              </w:rPr>
              <w:t>Exceptional</w:t>
            </w:r>
          </w:p>
        </w:tc>
        <w:tc>
          <w:tcPr>
            <w:tcW w:w="0" w:type="dxa"/>
            <w:vAlign w:val="bottom"/>
          </w:tcPr>
          <w:p>
            <w:pPr>
              <w:spacing w:after="0"/>
              <w:rPr>
                <w:sz w:val="1"/>
                <w:szCs w:val="1"/>
                <w:color w:val="auto"/>
              </w:rPr>
            </w:pPr>
          </w:p>
        </w:tc>
      </w:tr>
      <w:tr>
        <w:trPr>
          <w:trHeight w:val="209"/>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Numerator computations</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items</w:t>
            </w:r>
          </w:p>
        </w:tc>
        <w:tc>
          <w:tcPr>
            <w:tcW w:w="28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items</w:t>
            </w:r>
          </w:p>
        </w:tc>
        <w:tc>
          <w:tcPr>
            <w:tcW w:w="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items</w:t>
            </w:r>
          </w:p>
        </w:tc>
        <w:tc>
          <w:tcPr>
            <w:tcW w:w="260" w:type="dxa"/>
            <w:vAlign w:val="bottom"/>
          </w:tcPr>
          <w:p>
            <w:pPr>
              <w:spacing w:after="0"/>
              <w:rPr>
                <w:sz w:val="18"/>
                <w:szCs w:val="18"/>
                <w:color w:val="auto"/>
              </w:rPr>
            </w:pPr>
          </w:p>
        </w:tc>
        <w:tc>
          <w:tcPr>
            <w:tcW w:w="1240" w:type="dxa"/>
            <w:vAlign w:val="bottom"/>
          </w:tcPr>
          <w:p>
            <w:pPr>
              <w:jc w:val="right"/>
              <w:ind w:right="320"/>
              <w:spacing w:after="0"/>
              <w:rPr>
                <w:sz w:val="20"/>
                <w:szCs w:val="20"/>
                <w:color w:val="auto"/>
              </w:rPr>
            </w:pPr>
            <w:r>
              <w:rPr>
                <w:rFonts w:ascii="Arial" w:cs="Arial" w:eastAsia="Arial" w:hAnsi="Arial"/>
                <w:sz w:val="16"/>
                <w:szCs w:val="16"/>
                <w:color w:val="auto"/>
              </w:rPr>
              <w:t>items</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items</w:t>
            </w:r>
          </w:p>
        </w:tc>
        <w:tc>
          <w:tcPr>
            <w:tcW w:w="30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items</w:t>
            </w:r>
          </w:p>
        </w:tc>
        <w:tc>
          <w:tcPr>
            <w:tcW w:w="0" w:type="dxa"/>
            <w:vAlign w:val="bottom"/>
          </w:tcPr>
          <w:p>
            <w:pPr>
              <w:spacing w:after="0"/>
              <w:rPr>
                <w:sz w:val="1"/>
                <w:szCs w:val="1"/>
                <w:color w:val="auto"/>
              </w:rPr>
            </w:pPr>
          </w:p>
        </w:tc>
      </w:tr>
      <w:tr>
        <w:trPr>
          <w:trHeight w:val="180"/>
        </w:trPr>
        <w:tc>
          <w:tcPr>
            <w:tcW w:w="41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Borders>
              <w:lef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6"/>
                <w:szCs w:val="16"/>
                <w:i w:val="1"/>
                <w:iCs w:val="1"/>
                <w:color w:val="auto"/>
              </w:rPr>
              <w:t>Basic and diluted earnings per share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275,099</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(7,139)</w:t>
            </w:r>
          </w:p>
        </w:tc>
        <w:tc>
          <w:tcPr>
            <w:tcW w:w="280" w:type="dxa"/>
            <w:vAlign w:val="bottom"/>
            <w:tcBorders>
              <w:left w:val="single" w:sz="8" w:color="auto"/>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267,960</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240,024</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auto"/>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attributable to equity holders</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275,099</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(7,139)</w:t>
            </w:r>
          </w:p>
        </w:tc>
        <w:tc>
          <w:tcPr>
            <w:tcW w:w="280" w:type="dxa"/>
            <w:vAlign w:val="bottom"/>
            <w:tcBorders>
              <w:left w:val="single" w:sz="8" w:color="auto"/>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267,960</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240,024</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auto"/>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40" w:type="dxa"/>
            <w:vAlign w:val="bottom"/>
          </w:tcPr>
          <w:p>
            <w:pPr>
              <w:spacing w:after="0" w:line="164" w:lineRule="exact"/>
              <w:rPr>
                <w:sz w:val="20"/>
                <w:szCs w:val="20"/>
                <w:color w:val="auto"/>
              </w:rPr>
            </w:pPr>
            <w:r>
              <w:rPr>
                <w:rFonts w:ascii="Arial" w:cs="Arial" w:eastAsia="Arial" w:hAnsi="Arial"/>
                <w:sz w:val="16"/>
                <w:szCs w:val="16"/>
                <w:b w:val="1"/>
                <w:bCs w:val="1"/>
                <w:color w:val="auto"/>
              </w:rPr>
              <w:t>Denominator computations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40"/>
              <w:spacing w:after="0" w:line="164" w:lineRule="exact"/>
              <w:rPr>
                <w:sz w:val="20"/>
                <w:szCs w:val="20"/>
                <w:color w:val="auto"/>
              </w:rPr>
            </w:pPr>
            <w:r>
              <w:rPr>
                <w:rFonts w:ascii="Arial" w:cs="Arial" w:eastAsia="Arial" w:hAnsi="Arial"/>
                <w:sz w:val="16"/>
                <w:szCs w:val="16"/>
                <w:b w:val="1"/>
                <w:bCs w:val="1"/>
                <w:color w:val="auto"/>
                <w:w w:val="92"/>
              </w:rPr>
              <w:t>Number of</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w w:val="97"/>
              </w:rPr>
              <w:t>Weighted average number of ordinary shares outstanding –</w:t>
            </w:r>
          </w:p>
        </w:tc>
        <w:tc>
          <w:tcPr>
            <w:tcW w:w="1020" w:type="dxa"/>
            <w:vAlign w:val="bottom"/>
            <w:tcBorders>
              <w:top w:val="single" w:sz="8" w:color="CCEEFF"/>
            </w:tcBorders>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55,248,900</w:t>
            </w:r>
          </w:p>
        </w:tc>
        <w:tc>
          <w:tcPr>
            <w:tcW w:w="2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55,248,900</w:t>
            </w:r>
          </w:p>
        </w:tc>
        <w:tc>
          <w:tcPr>
            <w:tcW w:w="280" w:type="dxa"/>
            <w:vAlign w:val="bottom"/>
            <w:tcBorders>
              <w:top w:val="single" w:sz="8" w:color="auto"/>
              <w:left w:val="single" w:sz="8" w:color="auto"/>
            </w:tcBorders>
            <w:shd w:val="clear" w:color="auto" w:fill="CCEEFF"/>
          </w:tcPr>
          <w:p>
            <w:pPr>
              <w:spacing w:after="0"/>
              <w:rPr>
                <w:sz w:val="13"/>
                <w:szCs w:val="13"/>
                <w:color w:val="auto"/>
              </w:rPr>
            </w:pPr>
          </w:p>
        </w:tc>
        <w:tc>
          <w:tcPr>
            <w:tcW w:w="1020" w:type="dxa"/>
            <w:vAlign w:val="bottom"/>
            <w:tcBorders>
              <w:top w:val="single" w:sz="8" w:color="auto"/>
              <w:right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55,248,900</w:t>
            </w:r>
          </w:p>
        </w:tc>
        <w:tc>
          <w:tcPr>
            <w:tcW w:w="2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left w:val="single" w:sz="8" w:color="auto"/>
            </w:tcBorders>
            <w:shd w:val="clear" w:color="auto" w:fill="CCEEFF"/>
          </w:tcPr>
          <w:p>
            <w:pPr>
              <w:spacing w:after="0"/>
              <w:rPr>
                <w:sz w:val="13"/>
                <w:szCs w:val="13"/>
                <w:color w:val="auto"/>
              </w:rPr>
            </w:pPr>
          </w:p>
        </w:tc>
        <w:tc>
          <w:tcPr>
            <w:tcW w:w="960" w:type="dxa"/>
            <w:vAlign w:val="bottom"/>
            <w:tcBorders>
              <w:top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0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80" w:type="dxa"/>
            <w:vAlign w:val="bottom"/>
            <w:tcBorders>
              <w:lef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58,746,935</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58,746,935</w:t>
            </w:r>
          </w:p>
        </w:tc>
        <w:tc>
          <w:tcPr>
            <w:tcW w:w="300" w:type="dxa"/>
            <w:vAlign w:val="bottom"/>
            <w:tcBorders>
              <w:lef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58,746,935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dilutive potential ordinary shares</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1,336,576</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1,336,576</w:t>
            </w:r>
          </w:p>
        </w:tc>
        <w:tc>
          <w:tcPr>
            <w:tcW w:w="280" w:type="dxa"/>
            <w:vAlign w:val="bottom"/>
            <w:tcBorders>
              <w:left w:val="single" w:sz="8" w:color="auto"/>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1,336,576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1,953,421</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1,953,421</w:t>
            </w:r>
          </w:p>
        </w:tc>
        <w:tc>
          <w:tcPr>
            <w:tcW w:w="300" w:type="dxa"/>
            <w:vAlign w:val="bottom"/>
            <w:tcBorders>
              <w:left w:val="single" w:sz="8" w:color="auto"/>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1,953,421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7"/>
              </w:rPr>
              <w:t>Weighted average number of ordinary shares outstanding –</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56,585,476</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56,585,476</w:t>
            </w:r>
          </w:p>
        </w:tc>
        <w:tc>
          <w:tcPr>
            <w:tcW w:w="280" w:type="dxa"/>
            <w:vAlign w:val="bottom"/>
            <w:tcBorders>
              <w:left w:val="single" w:sz="8" w:color="auto"/>
            </w:tcBorders>
            <w:shd w:val="clear" w:color="auto" w:fill="CCEEFF"/>
          </w:tcPr>
          <w:p>
            <w:pPr>
              <w:spacing w:after="0"/>
              <w:rPr>
                <w:sz w:val="15"/>
                <w:szCs w:val="15"/>
                <w:color w:val="auto"/>
              </w:rPr>
            </w:pPr>
          </w:p>
        </w:tc>
        <w:tc>
          <w:tcPr>
            <w:tcW w:w="1020" w:type="dxa"/>
            <w:vAlign w:val="bottom"/>
            <w:tcBorders>
              <w:right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56,585,476</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tcBorders>
              <w:left w:val="single" w:sz="8" w:color="auto"/>
            </w:tcBorders>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left w:val="single" w:sz="8" w:color="auto"/>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60,700,356</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60,700,356</w:t>
            </w:r>
          </w:p>
        </w:tc>
        <w:tc>
          <w:tcPr>
            <w:tcW w:w="300" w:type="dxa"/>
            <w:vAlign w:val="bottom"/>
            <w:tcBorders>
              <w:left w:val="single" w:sz="8" w:color="auto"/>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60,700,356</w:t>
            </w:r>
          </w:p>
        </w:tc>
        <w:tc>
          <w:tcPr>
            <w:tcW w:w="0" w:type="dxa"/>
            <w:vAlign w:val="bottom"/>
          </w:tcPr>
          <w:p>
            <w:pPr>
              <w:spacing w:after="0"/>
              <w:rPr>
                <w:sz w:val="1"/>
                <w:szCs w:val="1"/>
                <w:color w:val="auto"/>
              </w:rPr>
            </w:pPr>
          </w:p>
        </w:tc>
      </w:tr>
      <w:tr>
        <w:trPr>
          <w:trHeight w:val="425"/>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Basic earnings per ordinary share</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4.98</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(0.13)</w:t>
            </w:r>
          </w:p>
        </w:tc>
        <w:tc>
          <w:tcPr>
            <w:tcW w:w="280" w:type="dxa"/>
            <w:vAlign w:val="bottom"/>
            <w:tcBorders>
              <w:left w:val="single" w:sz="8" w:color="auto"/>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4.85</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4.09</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auto"/>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 earnings per ordinary share</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4.86</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(0.13)</w:t>
            </w:r>
          </w:p>
        </w:tc>
        <w:tc>
          <w:tcPr>
            <w:tcW w:w="280" w:type="dxa"/>
            <w:vAlign w:val="bottom"/>
            <w:tcBorders>
              <w:left w:val="single" w:sz="8" w:color="auto"/>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4.74</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3.95</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auto"/>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638,591 anti-dilutive shares in issue at 31 December 2016 (31 December 2015: 392,435).</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Exceptional items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gridSpan w:val="2"/>
          </w:tcPr>
          <w:p>
            <w:pPr>
              <w:spacing w:after="0"/>
              <w:rPr>
                <w:sz w:val="20"/>
                <w:szCs w:val="20"/>
                <w:color w:val="auto"/>
              </w:rPr>
            </w:pPr>
            <w:r>
              <w:rPr>
                <w:rFonts w:ascii="Arial" w:cs="Arial" w:eastAsia="Arial" w:hAnsi="Arial"/>
                <w:sz w:val="16"/>
                <w:szCs w:val="16"/>
                <w:color w:val="auto"/>
              </w:rPr>
              <w:t>Exceptional items are comprised of the following:</w:t>
            </w:r>
          </w:p>
        </w:tc>
        <w:tc>
          <w:tcPr>
            <w:tcW w:w="4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10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41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10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w:t>
            </w:r>
          </w:p>
        </w:tc>
        <w:tc>
          <w:tcPr>
            <w:tcW w:w="41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8,159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w:t>
            </w:r>
          </w:p>
        </w:tc>
        <w:tc>
          <w:tcPr>
            <w:tcW w:w="4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(1,020)</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Exceptional items (net)</w:t>
            </w:r>
          </w:p>
        </w:tc>
        <w:tc>
          <w:tcPr>
            <w:tcW w:w="4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7,139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 restructuring charge of $8.2 million was recognised during the year ended 31 December 2016 under a restructuring plan adopted following a review by the Company of its operations. The restructuring plan includes resource rationalisations in certain areas of the business to improve resource utilisation, resulting in a charge of $6.2 million and office consolidation resulting in the recognition of an onerous lease obligation of $2.0 million.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100" w:type="dxa"/>
            <w:vAlign w:val="bottom"/>
          </w:tcPr>
          <w:p>
            <w:pPr>
              <w:jc w:val="right"/>
              <w:ind w:right="340"/>
              <w:spacing w:after="0"/>
              <w:rPr>
                <w:sz w:val="20"/>
                <w:szCs w:val="20"/>
                <w:color w:val="auto"/>
              </w:rPr>
            </w:pPr>
            <w:r>
              <w:rPr>
                <w:rFonts w:ascii="Arial" w:cs="Arial" w:eastAsia="Arial" w:hAnsi="Arial"/>
                <w:sz w:val="16"/>
                <w:szCs w:val="16"/>
                <w:b w:val="1"/>
                <w:bCs w:val="1"/>
                <w:color w:val="auto"/>
              </w:rPr>
              <w:t>Workforce</w:t>
            </w:r>
          </w:p>
        </w:tc>
        <w:tc>
          <w:tcPr>
            <w:tcW w:w="1460" w:type="dxa"/>
            <w:vAlign w:val="bottom"/>
          </w:tcPr>
          <w:p>
            <w:pPr>
              <w:jc w:val="right"/>
              <w:ind w:right="420"/>
              <w:spacing w:after="0"/>
              <w:rPr>
                <w:sz w:val="20"/>
                <w:szCs w:val="20"/>
                <w:color w:val="auto"/>
              </w:rPr>
            </w:pPr>
            <w:r>
              <w:rPr>
                <w:rFonts w:ascii="Arial" w:cs="Arial" w:eastAsia="Arial" w:hAnsi="Arial"/>
                <w:sz w:val="16"/>
                <w:szCs w:val="16"/>
                <w:b w:val="1"/>
                <w:bCs w:val="1"/>
                <w:color w:val="auto"/>
              </w:rPr>
              <w:t>Onerous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100" w:type="dxa"/>
            <w:vAlign w:val="bottom"/>
          </w:tcPr>
          <w:p>
            <w:pPr>
              <w:jc w:val="right"/>
              <w:ind w:right="340"/>
              <w:spacing w:after="0"/>
              <w:rPr>
                <w:sz w:val="20"/>
                <w:szCs w:val="20"/>
                <w:color w:val="auto"/>
              </w:rPr>
            </w:pPr>
            <w:r>
              <w:rPr>
                <w:rFonts w:ascii="Arial" w:cs="Arial" w:eastAsia="Arial" w:hAnsi="Arial"/>
                <w:sz w:val="16"/>
                <w:szCs w:val="16"/>
                <w:b w:val="1"/>
                <w:bCs w:val="1"/>
                <w:color w:val="auto"/>
              </w:rPr>
              <w:t>Reductions</w:t>
            </w:r>
          </w:p>
        </w:tc>
        <w:tc>
          <w:tcPr>
            <w:tcW w:w="1460" w:type="dxa"/>
            <w:vAlign w:val="bottom"/>
          </w:tcPr>
          <w:p>
            <w:pPr>
              <w:jc w:val="right"/>
              <w:ind w:right="420"/>
              <w:spacing w:after="0"/>
              <w:rPr>
                <w:sz w:val="20"/>
                <w:szCs w:val="20"/>
                <w:color w:val="auto"/>
              </w:rPr>
            </w:pPr>
            <w:r>
              <w:rPr>
                <w:rFonts w:ascii="Arial" w:cs="Arial" w:eastAsia="Arial" w:hAnsi="Arial"/>
                <w:sz w:val="16"/>
                <w:szCs w:val="16"/>
                <w:b w:val="1"/>
                <w:bCs w:val="1"/>
                <w:color w:val="auto"/>
              </w:rPr>
              <w:t>Lease</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10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460" w:type="dxa"/>
            <w:vAlign w:val="bottom"/>
          </w:tcPr>
          <w:p>
            <w:pPr>
              <w:jc w:val="right"/>
              <w:ind w:right="420"/>
              <w:spacing w:after="0"/>
              <w:rPr>
                <w:sz w:val="20"/>
                <w:szCs w:val="20"/>
                <w:color w:val="auto"/>
              </w:rPr>
            </w:pPr>
            <w:r>
              <w:rPr>
                <w:rFonts w:ascii="Arial" w:cs="Arial" w:eastAsia="Arial" w:hAnsi="Arial"/>
                <w:sz w:val="16"/>
                <w:szCs w:val="16"/>
                <w:b w:val="1"/>
                <w:bCs w:val="1"/>
                <w:color w:val="auto"/>
              </w:rPr>
              <w:t>$’000</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Total provision recognised</w:t>
            </w:r>
          </w:p>
        </w:tc>
        <w:tc>
          <w:tcPr>
            <w:tcW w:w="41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6,190</w:t>
            </w:r>
          </w:p>
        </w:tc>
        <w:tc>
          <w:tcPr>
            <w:tcW w:w="14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1,969</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Utilisation</w:t>
            </w:r>
          </w:p>
        </w:tc>
        <w:tc>
          <w:tcPr>
            <w:tcW w:w="4100" w:type="dxa"/>
            <w:vAlign w:val="bottom"/>
          </w:tcPr>
          <w:p>
            <w:pPr>
              <w:jc w:val="right"/>
              <w:ind w:right="280"/>
              <w:spacing w:after="0"/>
              <w:rPr>
                <w:sz w:val="20"/>
                <w:szCs w:val="20"/>
                <w:color w:val="auto"/>
              </w:rPr>
            </w:pPr>
            <w:r>
              <w:rPr>
                <w:rFonts w:ascii="Arial" w:cs="Arial" w:eastAsia="Arial" w:hAnsi="Arial"/>
                <w:sz w:val="16"/>
                <w:szCs w:val="16"/>
                <w:color w:val="auto"/>
              </w:rPr>
              <w:t>(5,734)</w:t>
            </w:r>
          </w:p>
        </w:tc>
        <w:tc>
          <w:tcPr>
            <w:tcW w:w="1460" w:type="dxa"/>
            <w:vAlign w:val="bottom"/>
          </w:tcPr>
          <w:p>
            <w:pPr>
              <w:jc w:val="right"/>
              <w:ind w:right="360"/>
              <w:spacing w:after="0"/>
              <w:rPr>
                <w:sz w:val="20"/>
                <w:szCs w:val="20"/>
                <w:color w:val="auto"/>
              </w:rPr>
            </w:pPr>
            <w:r>
              <w:rPr>
                <w:rFonts w:ascii="Arial" w:cs="Arial" w:eastAsia="Arial" w:hAnsi="Arial"/>
                <w:sz w:val="16"/>
                <w:szCs w:val="16"/>
                <w:color w:val="auto"/>
              </w:rPr>
              <w:t>(571)</w:t>
            </w:r>
          </w:p>
        </w:tc>
        <w:tc>
          <w:tcPr>
            <w:tcW w:w="960" w:type="dxa"/>
            <w:vAlign w:val="bottom"/>
          </w:tcPr>
          <w:p>
            <w:pPr>
              <w:jc w:val="right"/>
              <w:spacing w:after="0"/>
              <w:rPr>
                <w:sz w:val="20"/>
                <w:szCs w:val="20"/>
                <w:color w:val="auto"/>
              </w:rPr>
            </w:pPr>
            <w:r>
              <w:rPr>
                <w:rFonts w:ascii="Arial" w:cs="Arial" w:eastAsia="Arial" w:hAnsi="Arial"/>
                <w:sz w:val="16"/>
                <w:szCs w:val="16"/>
                <w:color w:val="auto"/>
              </w:rPr>
              <w:t>(6,305)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w:t>
            </w:r>
          </w:p>
        </w:tc>
        <w:tc>
          <w:tcPr>
            <w:tcW w:w="41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(63)</w:t>
            </w:r>
          </w:p>
        </w:tc>
        <w:tc>
          <w:tcPr>
            <w:tcW w:w="14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at 31 December 2016</w:t>
            </w:r>
          </w:p>
        </w:tc>
        <w:tc>
          <w:tcPr>
            <w:tcW w:w="41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393</w:t>
            </w: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1,398</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 - 2014</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 restructuring charge of $8.8 million was recognised during the year ended 31 December 2014. Following the closure of the Company’s European Phase 1 services in 2013, the Company recognised a charge in 2014 in relation to its Manchester, United Kingdom facility; $5.6 million in relation to asset impairments and $3.2 million in relation to an onerous lease charge associated with this facility. We expect this to be paid by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80" w:type="dxa"/>
            <w:vAlign w:val="bottom"/>
          </w:tcPr>
          <w:p>
            <w:pPr>
              <w:jc w:val="right"/>
              <w:ind w:right="220"/>
              <w:spacing w:after="0"/>
              <w:rPr>
                <w:sz w:val="20"/>
                <w:szCs w:val="20"/>
                <w:color w:val="auto"/>
              </w:rPr>
            </w:pPr>
            <w:r>
              <w:rPr>
                <w:rFonts w:ascii="Arial" w:cs="Arial" w:eastAsia="Arial" w:hAnsi="Arial"/>
                <w:sz w:val="16"/>
                <w:szCs w:val="16"/>
                <w:b w:val="1"/>
                <w:bCs w:val="1"/>
                <w:color w:val="auto"/>
              </w:rPr>
              <w:t>Onerous</w:t>
            </w:r>
          </w:p>
        </w:tc>
        <w:tc>
          <w:tcPr>
            <w:tcW w:w="1580" w:type="dxa"/>
            <w:vAlign w:val="bottom"/>
          </w:tcPr>
          <w:p>
            <w:pPr>
              <w:jc w:val="right"/>
              <w:ind w:right="420"/>
              <w:spacing w:after="0"/>
              <w:rPr>
                <w:sz w:val="20"/>
                <w:szCs w:val="20"/>
                <w:color w:val="auto"/>
              </w:rPr>
            </w:pPr>
            <w:r>
              <w:rPr>
                <w:rFonts w:ascii="Arial" w:cs="Arial" w:eastAsia="Arial" w:hAnsi="Arial"/>
                <w:sz w:val="16"/>
                <w:szCs w:val="16"/>
                <w:b w:val="1"/>
                <w:bCs w:val="1"/>
                <w:color w:val="auto"/>
              </w:rPr>
              <w:t>Asset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80" w:type="dxa"/>
            <w:vAlign w:val="bottom"/>
          </w:tcPr>
          <w:p>
            <w:pPr>
              <w:jc w:val="right"/>
              <w:ind w:right="220"/>
              <w:spacing w:after="0"/>
              <w:rPr>
                <w:sz w:val="20"/>
                <w:szCs w:val="20"/>
                <w:color w:val="auto"/>
              </w:rPr>
            </w:pPr>
            <w:r>
              <w:rPr>
                <w:rFonts w:ascii="Arial" w:cs="Arial" w:eastAsia="Arial" w:hAnsi="Arial"/>
                <w:sz w:val="16"/>
                <w:szCs w:val="16"/>
                <w:b w:val="1"/>
                <w:bCs w:val="1"/>
                <w:color w:val="auto"/>
              </w:rPr>
              <w:t>Lease</w:t>
            </w:r>
          </w:p>
        </w:tc>
        <w:tc>
          <w:tcPr>
            <w:tcW w:w="1580" w:type="dxa"/>
            <w:vAlign w:val="bottom"/>
          </w:tcPr>
          <w:p>
            <w:pPr>
              <w:jc w:val="right"/>
              <w:ind w:right="420"/>
              <w:spacing w:after="0"/>
              <w:rPr>
                <w:sz w:val="20"/>
                <w:szCs w:val="20"/>
                <w:color w:val="auto"/>
              </w:rPr>
            </w:pPr>
            <w:r>
              <w:rPr>
                <w:rFonts w:ascii="Arial" w:cs="Arial" w:eastAsia="Arial" w:hAnsi="Arial"/>
                <w:sz w:val="16"/>
                <w:szCs w:val="16"/>
                <w:b w:val="1"/>
                <w:bCs w:val="1"/>
                <w:color w:val="auto"/>
              </w:rPr>
              <w:t>Impairment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08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420"/>
              <w:spacing w:after="0"/>
              <w:rPr>
                <w:sz w:val="20"/>
                <w:szCs w:val="20"/>
                <w:color w:val="auto"/>
              </w:rPr>
            </w:pPr>
            <w:r>
              <w:rPr>
                <w:rFonts w:ascii="Arial" w:cs="Arial" w:eastAsia="Arial" w:hAnsi="Arial"/>
                <w:sz w:val="16"/>
                <w:szCs w:val="16"/>
                <w:b w:val="1"/>
                <w:bCs w:val="1"/>
                <w:color w:val="auto"/>
              </w:rPr>
              <w:t>$’000</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Total provision recognised</w:t>
            </w:r>
          </w:p>
        </w:tc>
        <w:tc>
          <w:tcPr>
            <w:tcW w:w="5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3,167</w:t>
            </w:r>
          </w:p>
        </w:tc>
        <w:tc>
          <w:tcPr>
            <w:tcW w:w="158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5,629</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8,796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Asset write-off</w:t>
            </w:r>
          </w:p>
        </w:tc>
        <w:tc>
          <w:tcPr>
            <w:tcW w:w="5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(5,629)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Provision at 31 December 2014</w:t>
            </w:r>
          </w:p>
        </w:tc>
        <w:tc>
          <w:tcPr>
            <w:tcW w:w="5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3,167</w:t>
            </w:r>
          </w:p>
        </w:tc>
        <w:tc>
          <w:tcPr>
            <w:tcW w:w="158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Utilisation</w:t>
            </w:r>
          </w:p>
        </w:tc>
        <w:tc>
          <w:tcPr>
            <w:tcW w:w="5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(1,167)</w:t>
            </w:r>
          </w:p>
        </w:tc>
        <w:tc>
          <w:tcPr>
            <w:tcW w:w="15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Provision at 31 December 2015</w:t>
            </w:r>
          </w:p>
        </w:tc>
        <w:tc>
          <w:tcPr>
            <w:tcW w:w="50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2,000</w:t>
            </w:r>
          </w:p>
        </w:tc>
        <w:tc>
          <w:tcPr>
            <w:tcW w:w="15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Utilisation</w:t>
            </w:r>
          </w:p>
        </w:tc>
        <w:tc>
          <w:tcPr>
            <w:tcW w:w="5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(1,359)</w:t>
            </w:r>
          </w:p>
        </w:tc>
        <w:tc>
          <w:tcPr>
            <w:tcW w:w="15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Provision at 31 December 2016</w:t>
            </w:r>
          </w:p>
        </w:tc>
        <w:tc>
          <w:tcPr>
            <w:tcW w:w="50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641</w:t>
            </w:r>
          </w:p>
        </w:tc>
        <w:tc>
          <w:tcPr>
            <w:tcW w:w="15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80" w:type="dxa"/>
            <w:vAlign w:val="bottom"/>
          </w:tcPr>
          <w:p>
            <w:pPr>
              <w:jc w:val="right"/>
              <w:ind w:right="3020"/>
              <w:spacing w:after="0"/>
              <w:rPr>
                <w:sz w:val="20"/>
                <w:szCs w:val="20"/>
                <w:color w:val="auto"/>
              </w:rPr>
            </w:pPr>
            <w:r>
              <w:rPr>
                <w:rFonts w:ascii="Arial" w:cs="Arial" w:eastAsia="Arial" w:hAnsi="Arial"/>
                <w:sz w:val="16"/>
                <w:szCs w:val="16"/>
                <w:color w:val="auto"/>
              </w:rPr>
              <w:t>44</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59" w:name="page60"/>
    <w:bookmarkEnd w:id="59"/>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9. Payroll and related benefits</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680" w:type="dxa"/>
            <w:vAlign w:val="bottom"/>
            <w:gridSpan w:val="2"/>
          </w:tcPr>
          <w:p>
            <w:pPr>
              <w:spacing w:after="0"/>
              <w:rPr>
                <w:sz w:val="20"/>
                <w:szCs w:val="20"/>
                <w:color w:val="auto"/>
              </w:rPr>
            </w:pPr>
            <w:r>
              <w:rPr>
                <w:rFonts w:ascii="Arial" w:cs="Arial" w:eastAsia="Arial" w:hAnsi="Arial"/>
                <w:sz w:val="16"/>
                <w:szCs w:val="16"/>
                <w:i w:val="1"/>
                <w:iCs w:val="1"/>
                <w:color w:val="auto"/>
              </w:rPr>
              <w:t>Payroll costs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7680" w:type="dxa"/>
            <w:vAlign w:val="bottom"/>
            <w:gridSpan w:val="2"/>
          </w:tcPr>
          <w:p>
            <w:pPr>
              <w:spacing w:after="0"/>
              <w:rPr>
                <w:sz w:val="20"/>
                <w:szCs w:val="20"/>
                <w:color w:val="auto"/>
              </w:rPr>
            </w:pPr>
            <w:r>
              <w:rPr>
                <w:rFonts w:ascii="Arial" w:cs="Arial" w:eastAsia="Arial" w:hAnsi="Arial"/>
                <w:sz w:val="16"/>
                <w:szCs w:val="16"/>
                <w:color w:val="auto"/>
                <w:w w:val="97"/>
              </w:rPr>
              <w:t>The aggregate payroll costs of employees of the Group for the year ended 31 December 2016 were as follows:</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i w:val="1"/>
                <w:iCs w:val="1"/>
                <w:color w:val="auto"/>
              </w:rPr>
              <w:t>Note</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Wages and salaries</w:t>
            </w: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870,078</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835,825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spacing w:after="0"/>
              <w:rPr>
                <w:sz w:val="20"/>
                <w:szCs w:val="20"/>
                <w:color w:val="auto"/>
              </w:rPr>
            </w:pPr>
            <w:r>
              <w:rPr>
                <w:rFonts w:ascii="Arial" w:cs="Arial" w:eastAsia="Arial" w:hAnsi="Arial"/>
                <w:sz w:val="16"/>
                <w:szCs w:val="16"/>
                <w:color w:val="auto"/>
              </w:rPr>
              <w:t>Social welfare costs</w:t>
            </w:r>
          </w:p>
        </w:tc>
        <w:tc>
          <w:tcPr>
            <w:tcW w:w="1160" w:type="dxa"/>
            <w:vAlign w:val="bottom"/>
          </w:tcPr>
          <w:p>
            <w:pPr>
              <w:spacing w:after="0"/>
              <w:rPr>
                <w:sz w:val="16"/>
                <w:szCs w:val="16"/>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120,766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112,498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Pension costs for defined contribution pension schemes</w:t>
            </w: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36,175</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spacing w:after="0"/>
              <w:rPr>
                <w:sz w:val="20"/>
                <w:szCs w:val="20"/>
                <w:color w:val="auto"/>
              </w:rPr>
            </w:pPr>
            <w:r>
              <w:rPr>
                <w:rFonts w:ascii="Arial" w:cs="Arial" w:eastAsia="Arial" w:hAnsi="Arial"/>
                <w:sz w:val="16"/>
                <w:szCs w:val="16"/>
                <w:color w:val="auto"/>
              </w:rPr>
              <w:t>Pension costs for defined benefit pension schemes</w:t>
            </w:r>
          </w:p>
        </w:tc>
        <w:tc>
          <w:tcPr>
            <w:tcW w:w="1160" w:type="dxa"/>
            <w:vAlign w:val="bottom"/>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529</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Termination benefits</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i w:val="1"/>
                <w:iCs w:val="1"/>
                <w:color w:val="auto"/>
              </w:rPr>
              <w:t>8</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6,190</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based payment*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i w:val="1"/>
                <w:iCs w:val="1"/>
                <w:color w:val="auto"/>
              </w:rPr>
              <w:t>11</w:t>
            </w:r>
          </w:p>
        </w:tc>
        <w:tc>
          <w:tcPr>
            <w:tcW w:w="1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40,310</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charge to income</w:t>
            </w: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1,074,048</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1,016,025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Re-measurement of post-employment benefit obligations</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i w:val="1"/>
                <w:iCs w:val="1"/>
                <w:color w:val="auto"/>
              </w:rPr>
              <w:t>10</w:t>
            </w:r>
          </w:p>
        </w:tc>
        <w:tc>
          <w:tcPr>
            <w:tcW w:w="1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2,675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payroll and related benefit costs</w:t>
            </w: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1,076,723</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 w:right="300" w:hanging="4"/>
        <w:spacing w:after="0" w:line="261" w:lineRule="auto"/>
        <w:tabs>
          <w:tab w:leader="none" w:pos="12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IFRS 2 Share based Payments requires that the fair value of share options and restricted share units is calculated and amortised over the vesting period of the related share option, restricted share unit or performance share unit.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Average employee numbers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average number of employees, including executive Directors, employed by the Group during the year ended 31 December 2016 was as follows</w:t>
      </w:r>
      <w:r>
        <w:rPr>
          <w:rFonts w:ascii="Arial" w:cs="Arial" w:eastAsia="Arial" w:hAnsi="Arial"/>
          <w:sz w:val="16"/>
          <w:szCs w:val="16"/>
          <w:b w:val="1"/>
          <w:bCs w:val="1"/>
          <w:color w:val="auto"/>
        </w:rPr>
        <w:t>:</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14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14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Marketing</w:t>
            </w:r>
          </w:p>
        </w:tc>
        <w:tc>
          <w:tcPr>
            <w:tcW w:w="51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210</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Administration</w:t>
            </w:r>
          </w:p>
        </w:tc>
        <w:tc>
          <w:tcPr>
            <w:tcW w:w="5140" w:type="dxa"/>
            <w:vAlign w:val="bottom"/>
          </w:tcPr>
          <w:p>
            <w:pPr>
              <w:jc w:val="right"/>
              <w:ind w:right="180"/>
              <w:spacing w:after="0"/>
              <w:rPr>
                <w:sz w:val="20"/>
                <w:szCs w:val="20"/>
                <w:color w:val="auto"/>
              </w:rPr>
            </w:pPr>
            <w:r>
              <w:rPr>
                <w:rFonts w:ascii="Arial" w:cs="Arial" w:eastAsia="Arial" w:hAnsi="Arial"/>
                <w:sz w:val="16"/>
                <w:szCs w:val="16"/>
                <w:b w:val="1"/>
                <w:bCs w:val="1"/>
                <w:color w:val="auto"/>
              </w:rPr>
              <w:t>1,349</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Clinical research</w:t>
            </w:r>
          </w:p>
        </w:tc>
        <w:tc>
          <w:tcPr>
            <w:tcW w:w="51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10,345</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9,507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Laboratory</w:t>
            </w:r>
          </w:p>
        </w:tc>
        <w:tc>
          <w:tcPr>
            <w:tcW w:w="5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503</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60" w:type="dxa"/>
            <w:vAlign w:val="bottom"/>
            <w:shd w:val="clear" w:color="auto" w:fill="CCEEFF"/>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5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12,407</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Directors’ remuneration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Remuneration policy</w:t>
      </w:r>
    </w:p>
    <w:p>
      <w:pPr>
        <w:spacing w:after="0" w:line="21" w:lineRule="exact"/>
        <w:rPr>
          <w:sz w:val="20"/>
          <w:szCs w:val="20"/>
          <w:color w:val="auto"/>
        </w:rPr>
      </w:pPr>
    </w:p>
    <w:p>
      <w:pPr>
        <w:jc w:val="both"/>
        <w:ind w:left="4" w:right="20"/>
        <w:spacing w:after="0" w:line="281" w:lineRule="auto"/>
        <w:rPr>
          <w:sz w:val="20"/>
          <w:szCs w:val="20"/>
          <w:color w:val="auto"/>
        </w:rPr>
      </w:pPr>
      <w:r>
        <w:rPr>
          <w:rFonts w:ascii="Arial" w:cs="Arial" w:eastAsia="Arial" w:hAnsi="Arial"/>
          <w:sz w:val="15"/>
          <w:szCs w:val="15"/>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74"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Directors’ remuneration</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Non-Executive Directors are remunerated by way of Directors’ fees and are also eligible for participation in the share option scheme. During 2016, each Non-Executive Director (excluding the Board Chairman) was paid an annual retainer of $65,000 and additional fees for Board Committee service.</w:t>
      </w:r>
    </w:p>
    <w:p>
      <w:pPr>
        <w:spacing w:after="0" w:line="188"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During 2016, Mr. Thomas Lynch served as the Chairman of the Board in the period to his retirement as Chairman on 31 March 2016. The agreement with the Chairman of the Board provided for payment of €463,500 annually. Mr Lynch did not receive additional payment for Board Committee service, during the period that he served as Chairman.</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Mr. Declan McKeon has served as Acting Chairman of the Board since April 2016. The agreement with the Acting Chairman of the Board provided for payment of €300,000 (translated at average rate for the year: $331,800) annually. Mr. McKeon did not receive additional payment for Board Committee service during the period that he served as Acting Chairman.</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Non-Executive Directors are not eligible for performance related bonuses and no pension contributions are made on their behalf. The Compensation and Organisation Committee sets non-Executive remuneration.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2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39% to 50% of salary based on group and individual performance.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 total bonus of $1.1 million was awarded to the following individuals; Mr. Ciaran Murray Chief Executive Officer ($0.6 million); Mr. Brendan Brennan Chief Financial Officer ($0.2 million); and Dr. Steve Cutler Chief Operating Officer ($0.3 million) to reflect their contribution to the performance of the Company during 2016. These amounts were approved by the Compensation and Organisation Committee and will be paid during the year-ended 31 December 2017.</w:t>
      </w:r>
    </w:p>
    <w:p>
      <w:pPr>
        <w:spacing w:after="0" w:line="18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Directors, Executive Officers and Company Secretary have the following interests, all of which are beneficial, other than as stated, in the shares and share options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or other Group companies at the following dates: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jc w:val="right"/>
              <w:ind w:right="240"/>
              <w:spacing w:after="0"/>
              <w:rPr>
                <w:sz w:val="20"/>
                <w:szCs w:val="20"/>
                <w:color w:val="auto"/>
              </w:rPr>
            </w:pPr>
            <w:r>
              <w:rPr>
                <w:rFonts w:ascii="Arial" w:cs="Arial" w:eastAsia="Arial" w:hAnsi="Arial"/>
                <w:sz w:val="16"/>
                <w:szCs w:val="16"/>
                <w:b w:val="1"/>
                <w:bCs w:val="1"/>
                <w:color w:val="auto"/>
              </w:rPr>
              <w:t>Interest at</w:t>
            </w:r>
          </w:p>
        </w:tc>
        <w:tc>
          <w:tcPr>
            <w:tcW w:w="960" w:type="dxa"/>
            <w:vAlign w:val="bottom"/>
          </w:tcPr>
          <w:p>
            <w:pPr>
              <w:spacing w:after="0"/>
              <w:rPr>
                <w:sz w:val="16"/>
                <w:szCs w:val="16"/>
                <w:color w:val="auto"/>
              </w:rPr>
            </w:pPr>
          </w:p>
        </w:tc>
        <w:tc>
          <w:tcPr>
            <w:tcW w:w="1760" w:type="dxa"/>
            <w:vAlign w:val="bottom"/>
          </w:tcPr>
          <w:p>
            <w:pPr>
              <w:jc w:val="right"/>
              <w:ind w:right="260"/>
              <w:spacing w:after="0"/>
              <w:rPr>
                <w:sz w:val="20"/>
                <w:szCs w:val="20"/>
                <w:color w:val="auto"/>
              </w:rPr>
            </w:pPr>
            <w:r>
              <w:rPr>
                <w:rFonts w:ascii="Arial" w:cs="Arial" w:eastAsia="Arial" w:hAnsi="Arial"/>
                <w:sz w:val="16"/>
                <w:szCs w:val="16"/>
                <w:color w:val="auto"/>
              </w:rPr>
              <w:t>Interest at</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Name of company</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31 December 2016</w:t>
            </w:r>
          </w:p>
        </w:tc>
        <w:tc>
          <w:tcPr>
            <w:tcW w:w="9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 December 2015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b w:val="1"/>
                <w:bCs w:val="1"/>
                <w:color w:val="auto"/>
              </w:rPr>
              <w:t>and description of</w:t>
            </w:r>
          </w:p>
        </w:tc>
        <w:tc>
          <w:tcPr>
            <w:tcW w:w="3000" w:type="dxa"/>
            <w:vAlign w:val="bottom"/>
          </w:tcPr>
          <w:p>
            <w:pPr>
              <w:jc w:val="right"/>
              <w:ind w:right="72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spacing w:after="0"/>
              <w:rPr>
                <w:sz w:val="16"/>
                <w:szCs w:val="16"/>
                <w:color w:val="auto"/>
              </w:rPr>
            </w:pPr>
          </w:p>
        </w:tc>
        <w:tc>
          <w:tcPr>
            <w:tcW w:w="1760" w:type="dxa"/>
            <w:vAlign w:val="bottom"/>
          </w:tcPr>
          <w:p>
            <w:pPr>
              <w:jc w:val="right"/>
              <w:ind w:right="680"/>
              <w:spacing w:after="0"/>
              <w:rPr>
                <w:sz w:val="20"/>
                <w:szCs w:val="20"/>
                <w:color w:val="auto"/>
              </w:rPr>
            </w:pPr>
            <w:r>
              <w:rPr>
                <w:rFonts w:ascii="Arial" w:cs="Arial" w:eastAsia="Arial" w:hAnsi="Arial"/>
                <w:sz w:val="16"/>
                <w:szCs w:val="16"/>
                <w:color w:val="auto"/>
              </w:rPr>
              <w:t>Number</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040" w:type="dxa"/>
            <w:vAlign w:val="bottom"/>
          </w:tcPr>
          <w:p>
            <w:pPr>
              <w:spacing w:after="0"/>
              <w:rPr>
                <w:sz w:val="20"/>
                <w:szCs w:val="20"/>
                <w:color w:val="auto"/>
              </w:rPr>
            </w:pPr>
            <w:r>
              <w:rPr>
                <w:rFonts w:ascii="Arial" w:cs="Arial" w:eastAsia="Arial" w:hAnsi="Arial"/>
                <w:sz w:val="16"/>
                <w:szCs w:val="16"/>
                <w:b w:val="1"/>
                <w:bCs w:val="1"/>
                <w:color w:val="auto"/>
              </w:rPr>
              <w:t>shares</w:t>
            </w:r>
          </w:p>
        </w:tc>
        <w:tc>
          <w:tcPr>
            <w:tcW w:w="3000" w:type="dxa"/>
            <w:vAlign w:val="bottom"/>
          </w:tcPr>
          <w:p>
            <w:pPr>
              <w:jc w:val="right"/>
              <w:ind w:right="720"/>
              <w:spacing w:after="0"/>
              <w:rPr>
                <w:sz w:val="20"/>
                <w:szCs w:val="20"/>
                <w:color w:val="auto"/>
              </w:rPr>
            </w:pPr>
            <w:r>
              <w:rPr>
                <w:rFonts w:ascii="Arial" w:cs="Arial" w:eastAsia="Arial" w:hAnsi="Arial"/>
                <w:sz w:val="16"/>
                <w:szCs w:val="16"/>
                <w:b w:val="1"/>
                <w:bCs w:val="1"/>
                <w:color w:val="auto"/>
              </w:rPr>
              <w:t>of shares</w:t>
            </w:r>
          </w:p>
        </w:tc>
        <w:tc>
          <w:tcPr>
            <w:tcW w:w="960" w:type="dxa"/>
            <w:vAlign w:val="bottom"/>
          </w:tcPr>
          <w:p>
            <w:pPr>
              <w:jc w:val="right"/>
              <w:ind w:right="280"/>
              <w:spacing w:after="0"/>
              <w:rPr>
                <w:sz w:val="20"/>
                <w:szCs w:val="20"/>
                <w:color w:val="auto"/>
              </w:rPr>
            </w:pPr>
            <w:r>
              <w:rPr>
                <w:rFonts w:ascii="Arial" w:cs="Arial" w:eastAsia="Arial" w:hAnsi="Arial"/>
                <w:sz w:val="16"/>
                <w:szCs w:val="16"/>
                <w:b w:val="1"/>
                <w:bCs w:val="1"/>
                <w:color w:val="auto"/>
                <w:w w:val="95"/>
              </w:rPr>
              <w:t>Options</w:t>
            </w:r>
          </w:p>
        </w:tc>
        <w:tc>
          <w:tcPr>
            <w:tcW w:w="1760" w:type="dxa"/>
            <w:vAlign w:val="bottom"/>
          </w:tcPr>
          <w:p>
            <w:pPr>
              <w:jc w:val="right"/>
              <w:ind w:right="680"/>
              <w:spacing w:after="0"/>
              <w:rPr>
                <w:sz w:val="20"/>
                <w:szCs w:val="20"/>
                <w:color w:val="auto"/>
              </w:rPr>
            </w:pPr>
            <w:r>
              <w:rPr>
                <w:rFonts w:ascii="Arial" w:cs="Arial" w:eastAsia="Arial" w:hAnsi="Arial"/>
                <w:sz w:val="16"/>
                <w:szCs w:val="16"/>
                <w:color w:val="auto"/>
              </w:rPr>
              <w:t>of shares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Options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Ciaran Murray</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358,805</w:t>
            </w: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29,998</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301,370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Brendan Brennan</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7,311</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53,927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5,950</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48,341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27,391</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151,260</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9,365</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148,549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Dr. John Climax</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1,015,011</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89,057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1,015,211</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78,500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Dr. Ronan Lambe</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600</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39,057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400</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30,500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Prof. Dermot Kelleher</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34,957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Declan McKeon</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40,057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Prof. William Hall</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29,557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Mary Pendergast</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30,557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Prof. Hugh Brady</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30,557</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Ronan Murphy</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Diarmaid Cunningham</w:t>
            </w: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ICON plc</w:t>
            </w:r>
          </w:p>
        </w:tc>
        <w:tc>
          <w:tcPr>
            <w:tcW w:w="3000" w:type="dxa"/>
            <w:vAlign w:val="bottom"/>
            <w:vMerge w:val="restart"/>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396</w:t>
            </w:r>
          </w:p>
        </w:tc>
        <w:tc>
          <w:tcPr>
            <w:tcW w:w="960" w:type="dxa"/>
            <w:vAlign w:val="bottom"/>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30,224</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Ordinary Shares €0.06</w:t>
            </w:r>
          </w:p>
        </w:tc>
        <w:tc>
          <w:tcPr>
            <w:tcW w:w="300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color w:val="auto"/>
              </w:rPr>
              <w:t>488</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30,945</w:t>
            </w: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0" w:type="dxa"/>
            <w:vAlign w:val="bottom"/>
          </w:tcPr>
          <w:p>
            <w:pPr>
              <w:jc w:val="right"/>
              <w:ind w:right="2140"/>
              <w:spacing w:after="0"/>
              <w:rPr>
                <w:sz w:val="20"/>
                <w:szCs w:val="20"/>
                <w:color w:val="auto"/>
              </w:rPr>
            </w:pPr>
            <w:r>
              <w:rPr>
                <w:rFonts w:ascii="Arial" w:cs="Arial" w:eastAsia="Arial" w:hAnsi="Arial"/>
                <w:sz w:val="16"/>
                <w:szCs w:val="16"/>
                <w:color w:val="auto"/>
              </w:rPr>
              <w:t>47</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Further details regarding the above share options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c>
          <w:tcPr>
            <w:tcW w:w="21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tcPr>
          <w:p>
            <w:pPr>
              <w:jc w:val="right"/>
              <w:ind w:right="260"/>
              <w:spacing w:after="0"/>
              <w:rPr>
                <w:sz w:val="20"/>
                <w:szCs w:val="20"/>
                <w:color w:val="auto"/>
              </w:rPr>
            </w:pPr>
            <w:r>
              <w:rPr>
                <w:rFonts w:ascii="Arial" w:cs="Arial" w:eastAsia="Arial" w:hAnsi="Arial"/>
                <w:sz w:val="16"/>
                <w:szCs w:val="16"/>
                <w:b w:val="1"/>
                <w:bCs w:val="1"/>
                <w:color w:val="auto"/>
              </w:rPr>
              <w:t>Options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2100" w:type="dxa"/>
            <w:vAlign w:val="bottom"/>
          </w:tcPr>
          <w:p>
            <w:pPr>
              <w:spacing w:after="0"/>
              <w:rPr>
                <w:sz w:val="18"/>
                <w:szCs w:val="18"/>
                <w:color w:val="auto"/>
              </w:rPr>
            </w:pPr>
          </w:p>
        </w:tc>
        <w:tc>
          <w:tcPr>
            <w:tcW w:w="1720" w:type="dxa"/>
            <w:vAlign w:val="bottom"/>
          </w:tcPr>
          <w:p>
            <w:pPr>
              <w:jc w:val="right"/>
              <w:ind w:right="840"/>
              <w:spacing w:after="0"/>
              <w:rPr>
                <w:sz w:val="20"/>
                <w:szCs w:val="20"/>
                <w:color w:val="auto"/>
              </w:rPr>
            </w:pPr>
            <w:r>
              <w:rPr>
                <w:rFonts w:ascii="Arial" w:cs="Arial" w:eastAsia="Arial" w:hAnsi="Arial"/>
                <w:sz w:val="16"/>
                <w:szCs w:val="16"/>
                <w:b w:val="1"/>
                <w:bCs w:val="1"/>
                <w:color w:val="auto"/>
                <w:w w:val="97"/>
              </w:rPr>
              <w:t>Grant date</w:t>
            </w:r>
          </w:p>
        </w:tc>
        <w:tc>
          <w:tcPr>
            <w:tcW w:w="1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2"/>
              </w:rPr>
              <w:t>Expiry date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Ciaran Murray</w:t>
            </w:r>
          </w:p>
        </w:tc>
        <w:tc>
          <w:tcPr>
            <w:tcW w:w="216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6,000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$20.28</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3 March 2011</w:t>
            </w:r>
          </w:p>
        </w:tc>
        <w:tc>
          <w:tcPr>
            <w:tcW w:w="12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94"/>
              </w:rPr>
              <w:t>March 2019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31 October 2011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October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27 April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April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77,873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25,076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53,828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58,593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57,435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spacing w:after="0"/>
              <w:rPr>
                <w:sz w:val="17"/>
                <w:szCs w:val="17"/>
                <w:color w:val="auto"/>
              </w:rPr>
            </w:pPr>
          </w:p>
        </w:tc>
        <w:tc>
          <w:tcPr>
            <w:tcW w:w="206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Brendan Brennan</w:t>
            </w:r>
          </w:p>
        </w:tc>
        <w:tc>
          <w:tcPr>
            <w:tcW w:w="216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4,000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$20.59</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22 February 2012</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22 February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15,813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3,251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6,967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10,285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13,611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spacing w:after="0"/>
              <w:rPr>
                <w:sz w:val="17"/>
                <w:szCs w:val="17"/>
                <w:color w:val="auto"/>
              </w:rPr>
            </w:pPr>
          </w:p>
        </w:tc>
        <w:tc>
          <w:tcPr>
            <w:tcW w:w="206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Dr. Steve Cutler</w:t>
            </w:r>
          </w:p>
        </w:tc>
        <w:tc>
          <w:tcPr>
            <w:tcW w:w="216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6,000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$17.17</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7 November 2011</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7 November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22 February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February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43,539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10,761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23,078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31,250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30,632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spacing w:after="0"/>
              <w:rPr>
                <w:sz w:val="17"/>
                <w:szCs w:val="17"/>
                <w:color w:val="auto"/>
              </w:rPr>
            </w:pPr>
          </w:p>
        </w:tc>
        <w:tc>
          <w:tcPr>
            <w:tcW w:w="206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Dr. John Climax</w:t>
            </w:r>
          </w:p>
        </w:tc>
        <w:tc>
          <w:tcPr>
            <w:tcW w:w="216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50,000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$15.84</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30 April 2009</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30 April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 March 2011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27 April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April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May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Dr. Ronan Lambe</w:t>
            </w:r>
          </w:p>
        </w:tc>
        <w:tc>
          <w:tcPr>
            <w:tcW w:w="216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$24.46</w:t>
            </w:r>
          </w:p>
        </w:tc>
        <w:tc>
          <w:tcPr>
            <w:tcW w:w="2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w w:val="92"/>
              </w:rPr>
              <w:t>March 2010</w:t>
            </w:r>
          </w:p>
        </w:tc>
        <w:tc>
          <w:tcPr>
            <w:tcW w:w="12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94"/>
              </w:rPr>
              <w:t>March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 March 2011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27 April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April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May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jc w:val="right"/>
              <w:ind w:right="1780"/>
              <w:spacing w:after="0"/>
              <w:rPr>
                <w:sz w:val="20"/>
                <w:szCs w:val="20"/>
                <w:color w:val="auto"/>
              </w:rPr>
            </w:pPr>
            <w:r>
              <w:rPr>
                <w:rFonts w:ascii="Arial" w:cs="Arial" w:eastAsia="Arial" w:hAnsi="Arial"/>
                <w:sz w:val="16"/>
                <w:szCs w:val="16"/>
                <w:color w:val="auto"/>
              </w:rPr>
              <w:t>48</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c>
          <w:tcPr>
            <w:tcW w:w="21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000" w:type="dxa"/>
            <w:vAlign w:val="bottom"/>
          </w:tcPr>
          <w:p>
            <w:pPr>
              <w:jc w:val="right"/>
              <w:ind w:right="260"/>
              <w:spacing w:after="0"/>
              <w:rPr>
                <w:sz w:val="20"/>
                <w:szCs w:val="20"/>
                <w:color w:val="auto"/>
              </w:rPr>
            </w:pPr>
            <w:r>
              <w:rPr>
                <w:rFonts w:ascii="Arial" w:cs="Arial" w:eastAsia="Arial" w:hAnsi="Arial"/>
                <w:sz w:val="16"/>
                <w:szCs w:val="16"/>
                <w:b w:val="1"/>
                <w:bCs w:val="1"/>
                <w:color w:val="auto"/>
              </w:rPr>
              <w:t>Options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2100" w:type="dxa"/>
            <w:vAlign w:val="bottom"/>
          </w:tcPr>
          <w:p>
            <w:pPr>
              <w:spacing w:after="0"/>
              <w:rPr>
                <w:sz w:val="18"/>
                <w:szCs w:val="18"/>
                <w:color w:val="auto"/>
              </w:rPr>
            </w:pPr>
          </w:p>
        </w:tc>
        <w:tc>
          <w:tcPr>
            <w:tcW w:w="1720" w:type="dxa"/>
            <w:vAlign w:val="bottom"/>
          </w:tcPr>
          <w:p>
            <w:pPr>
              <w:jc w:val="right"/>
              <w:ind w:right="840"/>
              <w:spacing w:after="0"/>
              <w:rPr>
                <w:sz w:val="20"/>
                <w:szCs w:val="20"/>
                <w:color w:val="auto"/>
              </w:rPr>
            </w:pPr>
            <w:r>
              <w:rPr>
                <w:rFonts w:ascii="Arial" w:cs="Arial" w:eastAsia="Arial" w:hAnsi="Arial"/>
                <w:sz w:val="16"/>
                <w:szCs w:val="16"/>
                <w:b w:val="1"/>
                <w:bCs w:val="1"/>
                <w:color w:val="auto"/>
                <w:w w:val="97"/>
              </w:rPr>
              <w:t>Grant date</w:t>
            </w:r>
          </w:p>
        </w:tc>
        <w:tc>
          <w:tcPr>
            <w:tcW w:w="1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2"/>
              </w:rPr>
              <w:t>Expiry date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Prof. Dermot Kelleher</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400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$24.46</w:t>
            </w:r>
          </w:p>
        </w:tc>
        <w:tc>
          <w:tcPr>
            <w:tcW w:w="2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w:t>
            </w:r>
          </w:p>
        </w:tc>
        <w:tc>
          <w:tcPr>
            <w:tcW w:w="1720" w:type="dxa"/>
            <w:vAlign w:val="bottom"/>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w w:val="92"/>
              </w:rPr>
              <w:t>March 2010</w:t>
            </w:r>
          </w:p>
        </w:tc>
        <w:tc>
          <w:tcPr>
            <w:tcW w:w="12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w:t>
            </w: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94"/>
              </w:rPr>
              <w:t>March 2018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 March 2011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27 April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April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May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Declan McKeon</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3,000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$29.45</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29 April 2010</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29 April 2018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3 March 2011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27 April 2012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April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May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Professor William Hall</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3,000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95"/>
              </w:rPr>
              <w:t>1 May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May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Mary Pendergast</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23 May 2022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Professor Hugh Brady</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$40.83</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23 May 2014</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23 May 2022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8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20 May 2016</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May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Diarmaid Cunningham</w:t>
            </w:r>
          </w:p>
        </w:tc>
        <w:tc>
          <w:tcPr>
            <w:tcW w:w="2000" w:type="dxa"/>
            <w:vAlign w:val="bottom"/>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3,000</w:t>
            </w:r>
          </w:p>
        </w:tc>
        <w:tc>
          <w:tcPr>
            <w:tcW w:w="9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$20.59</w:t>
            </w:r>
          </w:p>
        </w:tc>
        <w:tc>
          <w:tcPr>
            <w:tcW w:w="3820" w:type="dxa"/>
            <w:vAlign w:val="bottom"/>
            <w:gridSpan w:val="2"/>
            <w:shd w:val="clear" w:color="auto" w:fill="CCEEFF"/>
          </w:tcPr>
          <w:p>
            <w:pPr>
              <w:jc w:val="right"/>
              <w:ind w:right="840"/>
              <w:spacing w:after="0" w:line="180" w:lineRule="exact"/>
              <w:rPr>
                <w:sz w:val="20"/>
                <w:szCs w:val="20"/>
                <w:color w:val="auto"/>
              </w:rPr>
            </w:pPr>
            <w:r>
              <w:rPr>
                <w:rFonts w:ascii="Arial" w:cs="Arial" w:eastAsia="Arial" w:hAnsi="Arial"/>
                <w:sz w:val="16"/>
                <w:szCs w:val="16"/>
                <w:color w:val="auto"/>
              </w:rPr>
              <w:t>22 February 2012</w:t>
            </w:r>
          </w:p>
        </w:tc>
        <w:tc>
          <w:tcPr>
            <w:tcW w:w="2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22 February 2020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2,510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3"/>
              </w:rPr>
              <w:t>1 May 2013</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 May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2,591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3,559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9,375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March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9,189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7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w w:val="92"/>
              </w:rPr>
              <w:t>March 2016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March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jc w:val="right"/>
              <w:ind w:right="1780"/>
              <w:spacing w:after="0"/>
              <w:rPr>
                <w:sz w:val="20"/>
                <w:szCs w:val="20"/>
                <w:color w:val="auto"/>
              </w:rPr>
            </w:pPr>
            <w:r>
              <w:rPr>
                <w:rFonts w:ascii="Arial" w:cs="Arial" w:eastAsia="Arial" w:hAnsi="Arial"/>
                <w:sz w:val="16"/>
                <w:szCs w:val="16"/>
                <w:color w:val="auto"/>
              </w:rPr>
              <w:t>49</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Restricted Share Units (“RSUs”) and Performance Share Units (“PSUs”) have been awarded to the Directors, Executive Officer and Company Secretary: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2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RSUs</w:t>
            </w:r>
          </w:p>
        </w:tc>
        <w:tc>
          <w:tcPr>
            <w:tcW w:w="176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Award date</w:t>
            </w:r>
          </w:p>
        </w:tc>
        <w:tc>
          <w:tcPr>
            <w:tcW w:w="162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Vesting Date</w:t>
            </w:r>
          </w:p>
        </w:tc>
        <w:tc>
          <w:tcPr>
            <w:tcW w:w="116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PSUs</w:t>
            </w:r>
            <w:r>
              <w:rPr>
                <w:rFonts w:ascii="Arial" w:cs="Arial" w:eastAsia="Arial" w:hAnsi="Arial"/>
                <w:sz w:val="26"/>
                <w:szCs w:val="26"/>
                <w:b w:val="1"/>
                <w:bCs w:val="1"/>
                <w:color w:val="auto"/>
                <w:vertAlign w:val="superscript"/>
              </w:rPr>
              <w:t>(1)</w:t>
            </w:r>
          </w:p>
        </w:tc>
        <w:tc>
          <w:tcPr>
            <w:tcW w:w="176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Award Date</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Vesting date</w:t>
            </w:r>
          </w:p>
        </w:tc>
      </w:tr>
      <w:tr>
        <w:trPr>
          <w:trHeight w:val="37"/>
        </w:trPr>
        <w:tc>
          <w:tcPr>
            <w:tcW w:w="2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0"/>
        </w:trPr>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Ciaran Murray</w:t>
            </w:r>
          </w:p>
        </w:tc>
        <w:tc>
          <w:tcPr>
            <w:tcW w:w="172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8,293</w:t>
            </w:r>
          </w:p>
        </w:tc>
        <w:tc>
          <w:tcPr>
            <w:tcW w:w="1760" w:type="dxa"/>
            <w:vAlign w:val="bottom"/>
            <w:shd w:val="clear" w:color="auto" w:fill="CCEEFF"/>
          </w:tcPr>
          <w:p>
            <w:pPr>
              <w:jc w:val="right"/>
              <w:ind w:right="320"/>
              <w:spacing w:after="0" w:line="180" w:lineRule="exact"/>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4 March 2017</w:t>
            </w:r>
          </w:p>
        </w:tc>
        <w:tc>
          <w:tcPr>
            <w:tcW w:w="116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63,638</w:t>
            </w:r>
          </w:p>
        </w:tc>
        <w:tc>
          <w:tcPr>
            <w:tcW w:w="1760" w:type="dxa"/>
            <w:vAlign w:val="bottom"/>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3 March 2014</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 March 2017</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8,471</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2017</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42,358</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18 March 2015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May 2018</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8,293</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2018</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41,470</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 March 2016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March 2019</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8,472</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2018</w:t>
            </w:r>
          </w:p>
        </w:tc>
        <w:tc>
          <w:tcPr>
            <w:tcW w:w="1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5"/>
        </w:trPr>
        <w:tc>
          <w:tcPr>
            <w:tcW w:w="2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8,296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2019</w:t>
            </w:r>
          </w:p>
        </w:tc>
        <w:tc>
          <w:tcPr>
            <w:tcW w:w="1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2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80"/>
        </w:trPr>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Brendan Brennan</w:t>
            </w:r>
          </w:p>
        </w:tc>
        <w:tc>
          <w:tcPr>
            <w:tcW w:w="172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1,965</w:t>
            </w:r>
          </w:p>
        </w:tc>
        <w:tc>
          <w:tcPr>
            <w:tcW w:w="1760" w:type="dxa"/>
            <w:vAlign w:val="bottom"/>
            <w:shd w:val="clear" w:color="auto" w:fill="CCEEFF"/>
          </w:tcPr>
          <w:p>
            <w:pPr>
              <w:jc w:val="right"/>
              <w:ind w:right="320"/>
              <w:spacing w:after="0" w:line="180" w:lineRule="exact"/>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4 March 2017</w:t>
            </w:r>
          </w:p>
        </w:tc>
        <w:tc>
          <w:tcPr>
            <w:tcW w:w="116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10,179</w:t>
            </w:r>
          </w:p>
        </w:tc>
        <w:tc>
          <w:tcPr>
            <w:tcW w:w="1760" w:type="dxa"/>
            <w:vAlign w:val="bottom"/>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3 March 2014</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 March 2017</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1,486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2017</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7,435</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18 March 2015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May 2018</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1,965</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2018</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9,827</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 March 2016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March 2019</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1,489</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2018</w:t>
            </w:r>
          </w:p>
        </w:tc>
        <w:tc>
          <w:tcPr>
            <w:tcW w:w="1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5"/>
        </w:trPr>
        <w:tc>
          <w:tcPr>
            <w:tcW w:w="2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1,966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2019</w:t>
            </w:r>
          </w:p>
        </w:tc>
        <w:tc>
          <w:tcPr>
            <w:tcW w:w="1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2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80"/>
        </w:trPr>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Dr. Steve Cutler</w:t>
            </w:r>
          </w:p>
        </w:tc>
        <w:tc>
          <w:tcPr>
            <w:tcW w:w="172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4,423</w:t>
            </w:r>
          </w:p>
        </w:tc>
        <w:tc>
          <w:tcPr>
            <w:tcW w:w="1760" w:type="dxa"/>
            <w:vAlign w:val="bottom"/>
            <w:shd w:val="clear" w:color="auto" w:fill="CCEEFF"/>
          </w:tcPr>
          <w:p>
            <w:pPr>
              <w:jc w:val="right"/>
              <w:ind w:right="320"/>
              <w:spacing w:after="0" w:line="180" w:lineRule="exact"/>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4 March 2017</w:t>
            </w:r>
          </w:p>
        </w:tc>
        <w:tc>
          <w:tcPr>
            <w:tcW w:w="116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32,125</w:t>
            </w:r>
          </w:p>
        </w:tc>
        <w:tc>
          <w:tcPr>
            <w:tcW w:w="1760" w:type="dxa"/>
            <w:vAlign w:val="bottom"/>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3 March 2014</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 March 2017</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4,517</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2017</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22,591</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18 March 2015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May 2018</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4,423</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2018</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22,117</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 March 2016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March 2019</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4,520</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2018</w:t>
            </w:r>
          </w:p>
        </w:tc>
        <w:tc>
          <w:tcPr>
            <w:tcW w:w="1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5"/>
        </w:trPr>
        <w:tc>
          <w:tcPr>
            <w:tcW w:w="2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4,424</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2019</w:t>
            </w:r>
          </w:p>
        </w:tc>
        <w:tc>
          <w:tcPr>
            <w:tcW w:w="1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2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80"/>
        </w:trPr>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Diarmaid</w:t>
            </w:r>
          </w:p>
        </w:tc>
        <w:tc>
          <w:tcPr>
            <w:tcW w:w="172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865</w:t>
            </w:r>
          </w:p>
        </w:tc>
        <w:tc>
          <w:tcPr>
            <w:tcW w:w="1760" w:type="dxa"/>
            <w:vAlign w:val="bottom"/>
            <w:shd w:val="clear" w:color="auto" w:fill="CCEEFF"/>
          </w:tcPr>
          <w:p>
            <w:pPr>
              <w:jc w:val="right"/>
              <w:ind w:right="320"/>
              <w:spacing w:after="0" w:line="180" w:lineRule="exact"/>
              <w:rPr>
                <w:sz w:val="20"/>
                <w:szCs w:val="20"/>
                <w:color w:val="auto"/>
              </w:rPr>
            </w:pPr>
            <w:r>
              <w:rPr>
                <w:rFonts w:ascii="Arial" w:cs="Arial" w:eastAsia="Arial" w:hAnsi="Arial"/>
                <w:sz w:val="16"/>
                <w:szCs w:val="16"/>
                <w:color w:val="auto"/>
              </w:rPr>
              <w:t>3 March 2014</w:t>
            </w:r>
          </w:p>
        </w:tc>
        <w:tc>
          <w:tcPr>
            <w:tcW w:w="1620" w:type="dxa"/>
            <w:vAlign w:val="bottom"/>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3 March 2017</w:t>
            </w:r>
          </w:p>
        </w:tc>
        <w:tc>
          <w:tcPr>
            <w:tcW w:w="1160" w:type="dxa"/>
            <w:vAlign w:val="bottom"/>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5,183</w:t>
            </w:r>
          </w:p>
        </w:tc>
        <w:tc>
          <w:tcPr>
            <w:tcW w:w="1760" w:type="dxa"/>
            <w:vAlign w:val="bottom"/>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3 March 2014</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 March 2017</w:t>
            </w:r>
          </w:p>
        </w:tc>
      </w:tr>
      <w:tr>
        <w:trPr>
          <w:trHeight w:val="192"/>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Cunningham</w:t>
            </w: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1,326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2017</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6,777</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18 March 2015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May 2018</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1,355</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2017</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6,635</w:t>
            </w:r>
          </w:p>
        </w:tc>
        <w:tc>
          <w:tcPr>
            <w:tcW w:w="17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 March 2016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March 2019</w:t>
            </w: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1,326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 March 2018</w:t>
            </w:r>
          </w:p>
        </w:tc>
        <w:tc>
          <w:tcPr>
            <w:tcW w:w="1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92"/>
        </w:trPr>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1,356</w:t>
            </w:r>
          </w:p>
        </w:tc>
        <w:tc>
          <w:tcPr>
            <w:tcW w:w="17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 March 2015</w:t>
            </w:r>
          </w:p>
        </w:tc>
        <w:tc>
          <w:tcPr>
            <w:tcW w:w="16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 May 2018</w:t>
            </w:r>
          </w:p>
        </w:tc>
        <w:tc>
          <w:tcPr>
            <w:tcW w:w="1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9"/>
        </w:trPr>
        <w:tc>
          <w:tcPr>
            <w:tcW w:w="2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1,329</w:t>
            </w:r>
          </w:p>
        </w:tc>
        <w:tc>
          <w:tcPr>
            <w:tcW w:w="17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 March 2016</w:t>
            </w:r>
          </w:p>
        </w:tc>
        <w:tc>
          <w:tcPr>
            <w:tcW w:w="16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4 March 2019</w:t>
            </w:r>
          </w:p>
        </w:tc>
        <w:tc>
          <w:tcPr>
            <w:tcW w:w="1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bl>
    <w:p>
      <w:pPr>
        <w:spacing w:after="0" w:line="180" w:lineRule="exact"/>
        <w:rPr>
          <w:sz w:val="20"/>
          <w:szCs w:val="20"/>
          <w:color w:val="auto"/>
        </w:rPr>
      </w:pPr>
    </w:p>
    <w:p>
      <w:pPr>
        <w:ind w:left="920" w:right="220" w:hanging="455"/>
        <w:spacing w:after="0" w:line="277"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of them vest and, if performance targets are exceeded, additional PSUs will be issued and vest in accordance with the terms of the relevant PSU award.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Directors’ and Company share and share option transactions</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Details of transactions entered into by the Directors, Executive Officers and Company Secretary in shares and share options of the Company during the year ended 31 December 2016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tcPr>
          <w:p>
            <w:pPr>
              <w:spacing w:after="0"/>
              <w:rPr>
                <w:sz w:val="20"/>
                <w:szCs w:val="20"/>
                <w:color w:val="auto"/>
              </w:rPr>
            </w:pPr>
            <w:r>
              <w:rPr>
                <w:rFonts w:ascii="Arial" w:cs="Arial" w:eastAsia="Arial" w:hAnsi="Arial"/>
                <w:sz w:val="16"/>
                <w:szCs w:val="16"/>
                <w:b w:val="1"/>
                <w:bCs w:val="1"/>
                <w:color w:val="auto"/>
              </w:rPr>
              <w:t>Share Options exercised and sold</w:t>
            </w: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8"/>
        </w:trPr>
        <w:tc>
          <w:tcPr>
            <w:tcW w:w="39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660" w:type="dxa"/>
            <w:vAlign w:val="bottom"/>
          </w:tcPr>
          <w:p>
            <w:pPr>
              <w:spacing w:after="0"/>
              <w:rPr>
                <w:sz w:val="24"/>
                <w:szCs w:val="24"/>
                <w:color w:val="auto"/>
              </w:rPr>
            </w:pPr>
          </w:p>
        </w:tc>
        <w:tc>
          <w:tcPr>
            <w:tcW w:w="1700" w:type="dxa"/>
            <w:vAlign w:val="bottom"/>
          </w:tcPr>
          <w:p>
            <w:pPr>
              <w:jc w:val="right"/>
              <w:ind w:right="500"/>
              <w:spacing w:after="0"/>
              <w:rPr>
                <w:sz w:val="20"/>
                <w:szCs w:val="20"/>
                <w:color w:val="auto"/>
              </w:rPr>
            </w:pPr>
            <w:r>
              <w:rPr>
                <w:rFonts w:ascii="Arial" w:cs="Arial" w:eastAsia="Arial" w:hAnsi="Arial"/>
                <w:sz w:val="16"/>
                <w:szCs w:val="16"/>
                <w:b w:val="1"/>
                <w:bCs w:val="1"/>
                <w:color w:val="auto"/>
              </w:rPr>
              <w:t>Average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92"/>
        </w:trPr>
        <w:tc>
          <w:tcPr>
            <w:tcW w:w="3940" w:type="dxa"/>
            <w:vAlign w:val="bottom"/>
          </w:tcPr>
          <w:p>
            <w:pPr>
              <w:spacing w:after="0"/>
              <w:rPr>
                <w:sz w:val="16"/>
                <w:szCs w:val="16"/>
                <w:color w:val="auto"/>
              </w:rPr>
            </w:pPr>
          </w:p>
        </w:tc>
        <w:tc>
          <w:tcPr>
            <w:tcW w:w="4660" w:type="dxa"/>
            <w:vAlign w:val="bottom"/>
          </w:tcPr>
          <w:p>
            <w:pPr>
              <w:jc w:val="right"/>
              <w:ind w:right="50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500"/>
              <w:spacing w:after="0"/>
              <w:rPr>
                <w:sz w:val="20"/>
                <w:szCs w:val="20"/>
                <w:color w:val="auto"/>
              </w:rPr>
            </w:pPr>
            <w:r>
              <w:rPr>
                <w:rFonts w:ascii="Arial" w:cs="Arial" w:eastAsia="Arial" w:hAnsi="Arial"/>
                <w:sz w:val="16"/>
                <w:szCs w:val="16"/>
                <w:b w:val="1"/>
                <w:bCs w:val="1"/>
                <w:color w:val="auto"/>
              </w:rPr>
              <w:t>exercise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Vest</w:t>
            </w:r>
          </w:p>
        </w:tc>
      </w:tr>
      <w:tr>
        <w:trPr>
          <w:trHeight w:val="209"/>
        </w:trPr>
        <w:tc>
          <w:tcPr>
            <w:tcW w:w="3940" w:type="dxa"/>
            <w:vAlign w:val="bottom"/>
          </w:tcPr>
          <w:p>
            <w:pPr>
              <w:spacing w:after="0"/>
              <w:rPr>
                <w:sz w:val="18"/>
                <w:szCs w:val="18"/>
                <w:color w:val="auto"/>
              </w:rPr>
            </w:pPr>
          </w:p>
        </w:tc>
        <w:tc>
          <w:tcPr>
            <w:tcW w:w="4660" w:type="dxa"/>
            <w:vAlign w:val="bottom"/>
          </w:tcPr>
          <w:p>
            <w:pPr>
              <w:jc w:val="right"/>
              <w:ind w:right="500"/>
              <w:spacing w:after="0"/>
              <w:rPr>
                <w:sz w:val="20"/>
                <w:szCs w:val="20"/>
                <w:color w:val="auto"/>
              </w:rPr>
            </w:pPr>
            <w:r>
              <w:rPr>
                <w:rFonts w:ascii="Arial" w:cs="Arial" w:eastAsia="Arial" w:hAnsi="Arial"/>
                <w:sz w:val="16"/>
                <w:szCs w:val="16"/>
                <w:b w:val="1"/>
                <w:bCs w:val="1"/>
                <w:color w:val="auto"/>
              </w:rPr>
              <w:t>Share Options</w:t>
            </w:r>
          </w:p>
        </w:tc>
        <w:tc>
          <w:tcPr>
            <w:tcW w:w="1700" w:type="dxa"/>
            <w:vAlign w:val="bottom"/>
          </w:tcPr>
          <w:p>
            <w:pPr>
              <w:jc w:val="right"/>
              <w:ind w:right="500"/>
              <w:spacing w:after="0"/>
              <w:rPr>
                <w:sz w:val="20"/>
                <w:szCs w:val="20"/>
                <w:color w:val="auto"/>
              </w:rPr>
            </w:pPr>
            <w:r>
              <w:rPr>
                <w:rFonts w:ascii="Arial" w:cs="Arial" w:eastAsia="Arial" w:hAnsi="Arial"/>
                <w:sz w:val="16"/>
                <w:szCs w:val="16"/>
                <w:b w:val="1"/>
                <w:bCs w:val="1"/>
                <w:color w:val="auto"/>
              </w:rPr>
              <w:t>price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r>
      <w:tr>
        <w:trPr>
          <w:trHeight w:val="196"/>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6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27,921</w:t>
            </w:r>
          </w:p>
        </w:tc>
        <w:tc>
          <w:tcPr>
            <w:tcW w:w="170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$35.57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$76.38</w:t>
            </w:r>
          </w:p>
        </w:tc>
      </w:tr>
      <w:tr>
        <w:trPr>
          <w:trHeight w:val="196"/>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8,025</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$30.94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$76.11</w:t>
            </w:r>
          </w:p>
        </w:tc>
      </w:tr>
      <w:tr>
        <w:trPr>
          <w:trHeight w:val="196"/>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 William Hall</w:t>
            </w:r>
          </w:p>
        </w:tc>
        <w:tc>
          <w:tcPr>
            <w:tcW w:w="46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8,500</w:t>
            </w:r>
          </w:p>
        </w:tc>
        <w:tc>
          <w:tcPr>
            <w:tcW w:w="170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$36.35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$83.21</w:t>
            </w:r>
          </w:p>
        </w:tc>
      </w:tr>
      <w:tr>
        <w:trPr>
          <w:trHeight w:val="196"/>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Dr. Ronan Lambe</w:t>
            </w:r>
          </w:p>
        </w:tc>
        <w:tc>
          <w:tcPr>
            <w:tcW w:w="4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2,000</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$22.26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w:t>
            </w:r>
          </w:p>
        </w:tc>
      </w:tr>
      <w:tr>
        <w:trPr>
          <w:trHeight w:val="196"/>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Thomas Lynch</w:t>
            </w:r>
          </w:p>
        </w:tc>
        <w:tc>
          <w:tcPr>
            <w:tcW w:w="46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6,000</w:t>
            </w:r>
          </w:p>
        </w:tc>
        <w:tc>
          <w:tcPr>
            <w:tcW w:w="170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$24.50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w:t>
            </w:r>
          </w:p>
        </w:tc>
      </w:tr>
      <w:tr>
        <w:trPr>
          <w:trHeight w:val="196"/>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9,910</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$29.33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$73.16</w:t>
            </w:r>
          </w:p>
        </w:tc>
      </w:tr>
      <w:tr>
        <w:trPr>
          <w:trHeight w:val="348"/>
        </w:trPr>
        <w:tc>
          <w:tcPr>
            <w:tcW w:w="3940" w:type="dxa"/>
            <w:vAlign w:val="bottom"/>
          </w:tcPr>
          <w:p>
            <w:pPr>
              <w:spacing w:after="0"/>
              <w:rPr>
                <w:sz w:val="24"/>
                <w:szCs w:val="24"/>
                <w:color w:val="auto"/>
              </w:rPr>
            </w:pPr>
          </w:p>
        </w:tc>
        <w:tc>
          <w:tcPr>
            <w:tcW w:w="4660" w:type="dxa"/>
            <w:vAlign w:val="bottom"/>
          </w:tcPr>
          <w:p>
            <w:pPr>
              <w:jc w:val="right"/>
              <w:ind w:right="2720"/>
              <w:spacing w:after="0"/>
              <w:rPr>
                <w:sz w:val="20"/>
                <w:szCs w:val="20"/>
                <w:color w:val="auto"/>
              </w:rPr>
            </w:pPr>
            <w:r>
              <w:rPr>
                <w:rFonts w:ascii="Arial" w:cs="Arial" w:eastAsia="Arial" w:hAnsi="Arial"/>
                <w:sz w:val="16"/>
                <w:szCs w:val="16"/>
                <w:color w:val="auto"/>
              </w:rPr>
              <w:t>50</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
        </w:trPr>
        <w:tc>
          <w:tcPr>
            <w:tcW w:w="394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3" w:right="21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tc>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960" w:type="dxa"/>
            <w:vAlign w:val="bottom"/>
          </w:tcPr>
          <w:p>
            <w:pPr>
              <w:spacing w:after="0"/>
              <w:rPr>
                <w:sz w:val="20"/>
                <w:szCs w:val="20"/>
                <w:color w:val="auto"/>
              </w:rPr>
            </w:pPr>
            <w:r>
              <w:rPr>
                <w:rFonts w:ascii="Arial" w:cs="Arial" w:eastAsia="Arial" w:hAnsi="Arial"/>
                <w:sz w:val="16"/>
                <w:szCs w:val="16"/>
                <w:b w:val="1"/>
                <w:bCs w:val="1"/>
                <w:color w:val="auto"/>
              </w:rPr>
              <w:t>Shares sold</w:t>
            </w:r>
          </w:p>
        </w:tc>
        <w:tc>
          <w:tcPr>
            <w:tcW w:w="4340" w:type="dxa"/>
            <w:vAlign w:val="bottom"/>
            <w:vMerge w:val="restart"/>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Sales</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340" w:type="dxa"/>
            <w:vAlign w:val="bottom"/>
          </w:tcPr>
          <w:p>
            <w:pPr>
              <w:jc w:val="right"/>
              <w:ind w:right="500"/>
              <w:spacing w:after="0"/>
              <w:rPr>
                <w:sz w:val="20"/>
                <w:szCs w:val="20"/>
                <w:color w:val="auto"/>
              </w:rPr>
            </w:pPr>
            <w:r>
              <w:rPr>
                <w:rFonts w:ascii="Arial" w:cs="Arial" w:eastAsia="Arial" w:hAnsi="Arial"/>
                <w:sz w:val="16"/>
                <w:szCs w:val="16"/>
                <w:b w:val="1"/>
                <w:bCs w:val="1"/>
                <w:color w:val="auto"/>
              </w:rPr>
              <w:t>of 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John Climax</w:t>
            </w:r>
          </w:p>
        </w:tc>
        <w:tc>
          <w:tcPr>
            <w:tcW w:w="43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400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w:t>
            </w:r>
          </w:p>
        </w:tc>
        <w:tc>
          <w:tcPr>
            <w:tcW w:w="0" w:type="dxa"/>
            <w:vAlign w:val="bottom"/>
          </w:tcPr>
          <w:p>
            <w:pPr>
              <w:spacing w:after="0"/>
              <w:rPr>
                <w:sz w:val="1"/>
                <w:szCs w:val="1"/>
                <w:color w:val="auto"/>
              </w:rPr>
            </w:pPr>
          </w:p>
        </w:tc>
      </w:tr>
      <w:tr>
        <w:trPr>
          <w:trHeight w:val="408"/>
        </w:trPr>
        <w:tc>
          <w:tcPr>
            <w:tcW w:w="5960" w:type="dxa"/>
            <w:vAlign w:val="bottom"/>
          </w:tcPr>
          <w:p>
            <w:pPr>
              <w:spacing w:after="0"/>
              <w:rPr>
                <w:sz w:val="20"/>
                <w:szCs w:val="20"/>
                <w:color w:val="auto"/>
              </w:rPr>
            </w:pPr>
            <w:r>
              <w:rPr>
                <w:rFonts w:ascii="Arial" w:cs="Arial" w:eastAsia="Arial" w:hAnsi="Arial"/>
                <w:sz w:val="16"/>
                <w:szCs w:val="16"/>
                <w:b w:val="1"/>
                <w:bCs w:val="1"/>
                <w:color w:val="auto"/>
              </w:rPr>
              <w:t>RSUs vested</w:t>
            </w:r>
          </w:p>
        </w:tc>
        <w:tc>
          <w:tcPr>
            <w:tcW w:w="43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4340" w:type="dxa"/>
            <w:vAlign w:val="bottom"/>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Vest</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340" w:type="dxa"/>
            <w:vAlign w:val="bottom"/>
          </w:tcPr>
          <w:p>
            <w:pPr>
              <w:jc w:val="right"/>
              <w:ind w:right="500"/>
              <w:spacing w:after="0"/>
              <w:rPr>
                <w:sz w:val="20"/>
                <w:szCs w:val="20"/>
                <w:color w:val="auto"/>
              </w:rPr>
            </w:pPr>
            <w:r>
              <w:rPr>
                <w:rFonts w:ascii="Arial" w:cs="Arial" w:eastAsia="Arial" w:hAnsi="Arial"/>
                <w:sz w:val="16"/>
                <w:szCs w:val="16"/>
                <w:b w:val="1"/>
                <w:bCs w:val="1"/>
                <w:color w:val="auto"/>
              </w:rPr>
              <w:t>of 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3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91,594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33,111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Ciaran Murray</w:t>
            </w:r>
          </w:p>
        </w:tc>
        <w:tc>
          <w:tcPr>
            <w:tcW w:w="43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214,218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14,768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408"/>
        </w:trPr>
        <w:tc>
          <w:tcPr>
            <w:tcW w:w="5960" w:type="dxa"/>
            <w:vAlign w:val="bottom"/>
          </w:tcPr>
          <w:p>
            <w:pPr>
              <w:spacing w:after="0"/>
              <w:rPr>
                <w:sz w:val="20"/>
                <w:szCs w:val="20"/>
                <w:color w:val="auto"/>
              </w:rPr>
            </w:pPr>
            <w:r>
              <w:rPr>
                <w:rFonts w:ascii="Arial" w:cs="Arial" w:eastAsia="Arial" w:hAnsi="Arial"/>
                <w:sz w:val="16"/>
                <w:szCs w:val="16"/>
                <w:b w:val="1"/>
                <w:bCs w:val="1"/>
                <w:color w:val="auto"/>
              </w:rPr>
              <w:t>RSUs sold</w:t>
            </w:r>
          </w:p>
        </w:tc>
        <w:tc>
          <w:tcPr>
            <w:tcW w:w="43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4340" w:type="dxa"/>
            <w:vAlign w:val="bottom"/>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Sales</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340" w:type="dxa"/>
            <w:vAlign w:val="bottom"/>
          </w:tcPr>
          <w:p>
            <w:pPr>
              <w:jc w:val="right"/>
              <w:ind w:right="500"/>
              <w:spacing w:after="0"/>
              <w:rPr>
                <w:sz w:val="20"/>
                <w:szCs w:val="20"/>
                <w:color w:val="auto"/>
              </w:rPr>
            </w:pPr>
            <w:r>
              <w:rPr>
                <w:rFonts w:ascii="Arial" w:cs="Arial" w:eastAsia="Arial" w:hAnsi="Arial"/>
                <w:sz w:val="16"/>
                <w:szCs w:val="16"/>
                <w:b w:val="1"/>
                <w:bCs w:val="1"/>
                <w:color w:val="auto"/>
              </w:rPr>
              <w:t>of 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3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73,768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31,750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Ciaran Murray</w:t>
            </w:r>
          </w:p>
        </w:tc>
        <w:tc>
          <w:tcPr>
            <w:tcW w:w="43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244,216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14,860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market price of the Company’s ordinary shares during the year ended 31 December 2016 moved in the range of $62.31 to $85.74 (year ended 31 December 2015: in the range of $50.91 to $84.14). The closing share price at 31 December 2016 was $75.20 (at 31 December 2015 $77.70).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6" w:name="page67"/>
    <w:bookmarkEnd w:id="66"/>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Summary compensation table - Year ended 31 December 2016</w:t>
      </w:r>
    </w:p>
    <w:p>
      <w:pPr>
        <w:spacing w:after="0" w:line="217" w:lineRule="exact"/>
        <w:rPr>
          <w:sz w:val="20"/>
          <w:szCs w:val="20"/>
          <w:color w:val="auto"/>
        </w:rPr>
      </w:pPr>
    </w:p>
    <w:tbl>
      <w:tblPr>
        <w:tblLayout w:type="fixed"/>
        <w:tblInd w:w="14" w:type="dxa"/>
        <w:tblCellMar>
          <w:top w:w="0" w:type="dxa"/>
          <w:left w:w="0" w:type="dxa"/>
          <w:bottom w:w="0" w:type="dxa"/>
          <w:right w:w="0" w:type="dxa"/>
        </w:tblCellMar>
      </w:tblPr>
      <w:tr>
        <w:trPr>
          <w:trHeight w:val="200"/>
        </w:trPr>
        <w:tc>
          <w:tcPr>
            <w:tcW w:w="1740" w:type="dxa"/>
            <w:vAlign w:val="bottom"/>
            <w:tcBorders>
              <w:top w:val="single" w:sz="8" w:color="auto"/>
              <w:left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Company</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Performance</w:t>
            </w:r>
          </w:p>
        </w:tc>
        <w:tc>
          <w:tcPr>
            <w:tcW w:w="11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Share-based</w:t>
            </w:r>
          </w:p>
        </w:tc>
        <w:tc>
          <w:tcPr>
            <w:tcW w:w="112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r>
      <w:tr>
        <w:trPr>
          <w:trHeight w:val="192"/>
        </w:trPr>
        <w:tc>
          <w:tcPr>
            <w:tcW w:w="174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pension</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related</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right w:val="single" w:sz="8" w:color="auto"/>
            </w:tcBorders>
          </w:tcPr>
          <w:p>
            <w:pPr>
              <w:spacing w:after="0"/>
              <w:rPr>
                <w:sz w:val="16"/>
                <w:szCs w:val="16"/>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payments</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Directors’</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Total</w:t>
            </w:r>
          </w:p>
        </w:tc>
      </w:tr>
      <w:tr>
        <w:trPr>
          <w:trHeight w:val="213"/>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b w:val="1"/>
                <w:bCs w:val="1"/>
                <w:color w:val="auto"/>
              </w:rPr>
              <w:t>Year</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Salary</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contribution</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5"/>
              </w:rPr>
              <w:t>compensation</w:t>
            </w:r>
          </w:p>
        </w:tc>
        <w:tc>
          <w:tcPr>
            <w:tcW w:w="114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3"/>
              </w:rPr>
              <w:t>compensation</w:t>
            </w:r>
          </w:p>
        </w:tc>
        <w:tc>
          <w:tcPr>
            <w:tcW w:w="112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Subtotal</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fees</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4"/>
              </w:rPr>
              <w:t>compensation</w:t>
            </w: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14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$’000</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192"/>
        </w:trPr>
        <w:tc>
          <w:tcPr>
            <w:tcW w:w="1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Thomas Lynch*</w:t>
            </w:r>
          </w:p>
        </w:tc>
        <w:tc>
          <w:tcPr>
            <w:tcW w:w="6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397</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161</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558</w:t>
            </w:r>
          </w:p>
        </w:tc>
      </w:tr>
      <w:tr>
        <w:trPr>
          <w:trHeight w:val="19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Declan McKeon**</w:t>
            </w:r>
          </w:p>
        </w:tc>
        <w:tc>
          <w:tcPr>
            <w:tcW w:w="6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145</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285</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430</w:t>
            </w:r>
          </w:p>
        </w:tc>
      </w:tr>
      <w:tr>
        <w:trPr>
          <w:trHeight w:val="192"/>
        </w:trPr>
        <w:tc>
          <w:tcPr>
            <w:tcW w:w="1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Ciaran Murray</w:t>
            </w:r>
          </w:p>
        </w:tc>
        <w:tc>
          <w:tcPr>
            <w:tcW w:w="6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1,307</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623</w:t>
            </w:r>
          </w:p>
        </w:tc>
        <w:tc>
          <w:tcPr>
            <w:tcW w:w="11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1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2,132</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8,671</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10,803</w:t>
            </w:r>
          </w:p>
        </w:tc>
      </w:tr>
      <w:tr>
        <w:trPr>
          <w:trHeight w:val="19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Dr. John Climax</w:t>
            </w:r>
          </w:p>
        </w:tc>
        <w:tc>
          <w:tcPr>
            <w:tcW w:w="6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145</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77</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222</w:t>
            </w:r>
          </w:p>
        </w:tc>
      </w:tr>
      <w:tr>
        <w:trPr>
          <w:trHeight w:val="192"/>
        </w:trPr>
        <w:tc>
          <w:tcPr>
            <w:tcW w:w="1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Ronan Lambe</w:t>
            </w:r>
          </w:p>
        </w:tc>
        <w:tc>
          <w:tcPr>
            <w:tcW w:w="6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145</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r>
      <w:tr>
        <w:trPr>
          <w:trHeight w:val="19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Prof. Dermot Kelleher</w:t>
            </w:r>
          </w:p>
        </w:tc>
        <w:tc>
          <w:tcPr>
            <w:tcW w:w="6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145</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97</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242</w:t>
            </w:r>
          </w:p>
        </w:tc>
      </w:tr>
      <w:tr>
        <w:trPr>
          <w:trHeight w:val="192"/>
        </w:trPr>
        <w:tc>
          <w:tcPr>
            <w:tcW w:w="1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William Hall</w:t>
            </w:r>
          </w:p>
        </w:tc>
        <w:tc>
          <w:tcPr>
            <w:tcW w:w="6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r>
      <w:tr>
        <w:trPr>
          <w:trHeight w:val="19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Mary Pendergast</w:t>
            </w:r>
          </w:p>
        </w:tc>
        <w:tc>
          <w:tcPr>
            <w:tcW w:w="6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140</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89</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229</w:t>
            </w:r>
          </w:p>
        </w:tc>
      </w:tr>
      <w:tr>
        <w:trPr>
          <w:trHeight w:val="192"/>
        </w:trPr>
        <w:tc>
          <w:tcPr>
            <w:tcW w:w="1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Hugh Brady</w:t>
            </w:r>
          </w:p>
        </w:tc>
        <w:tc>
          <w:tcPr>
            <w:tcW w:w="6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140</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r>
      <w:tr>
        <w:trPr>
          <w:trHeight w:val="192"/>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Dr. Steve Cutler</w:t>
            </w:r>
          </w:p>
        </w:tc>
        <w:tc>
          <w:tcPr>
            <w:tcW w:w="6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790</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318</w:t>
            </w:r>
          </w:p>
        </w:tc>
        <w:tc>
          <w:tcPr>
            <w:tcW w:w="11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11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1,327</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4,833</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6,160</w:t>
            </w:r>
          </w:p>
        </w:tc>
      </w:tr>
      <w:tr>
        <w:trPr>
          <w:trHeight w:val="196"/>
        </w:trPr>
        <w:tc>
          <w:tcPr>
            <w:tcW w:w="17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Ronan Murphy***</w:t>
            </w:r>
          </w:p>
        </w:tc>
        <w:tc>
          <w:tcPr>
            <w:tcW w:w="6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r>
      <w:tr>
        <w:trPr>
          <w:trHeight w:val="192"/>
        </w:trPr>
        <w:tc>
          <w:tcPr>
            <w:tcW w:w="1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2016</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2,097</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328</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941</w:t>
            </w:r>
          </w:p>
        </w:tc>
        <w:tc>
          <w:tcPr>
            <w:tcW w:w="114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93</w:t>
            </w:r>
          </w:p>
        </w:tc>
        <w:tc>
          <w:tcPr>
            <w:tcW w:w="112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3,459</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14,911</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993</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19,363</w:t>
            </w: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4" w:right="5980" w:hanging="4"/>
        <w:spacing w:after="0" w:line="258" w:lineRule="auto"/>
        <w:tabs>
          <w:tab w:leader="none" w:pos="1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Retired as Chairman on 31 March 2016. Resigned from the Board on 22 July 2016. ** Appointed as acting Chairman on 1 April 2016.</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Appointed to the Board on 18 October 2016.</w:t>
      </w:r>
    </w:p>
    <w:p>
      <w:pPr>
        <w:spacing w:after="0" w:line="8" w:lineRule="exact"/>
        <w:rPr>
          <w:rFonts w:ascii="Arial" w:cs="Arial" w:eastAsia="Arial" w:hAnsi="Arial"/>
          <w:sz w:val="16"/>
          <w:szCs w:val="16"/>
          <w:color w:val="auto"/>
        </w:rPr>
      </w:pPr>
    </w:p>
    <w:p>
      <w:pPr>
        <w:ind w:left="4" w:right="180"/>
        <w:spacing w:after="0" w:line="261" w:lineRule="auto"/>
        <w:rPr>
          <w:rFonts w:ascii="Arial" w:cs="Arial" w:eastAsia="Arial" w:hAnsi="Arial"/>
          <w:sz w:val="16"/>
          <w:szCs w:val="16"/>
          <w:color w:val="auto"/>
        </w:rPr>
      </w:pPr>
      <w:r>
        <w:rPr>
          <w:rFonts w:ascii="Arial" w:cs="Arial" w:eastAsia="Arial" w:hAnsi="Arial"/>
          <w:sz w:val="16"/>
          <w:szCs w:val="16"/>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67" w:name="page68"/>
    <w:bookmarkEnd w:id="67"/>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9. Payroll and related benefits </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Summary compensation table - Year ended 31 December 2015</w:t>
      </w:r>
    </w:p>
    <w:p>
      <w:pPr>
        <w:spacing w:after="0" w:line="193" w:lineRule="exact"/>
        <w:rPr>
          <w:sz w:val="20"/>
          <w:szCs w:val="20"/>
          <w:color w:val="auto"/>
        </w:rPr>
      </w:pPr>
    </w:p>
    <w:tbl>
      <w:tblPr>
        <w:tblLayout w:type="fixed"/>
        <w:tblInd w:w="14" w:type="dxa"/>
        <w:tblCellMar>
          <w:top w:w="0" w:type="dxa"/>
          <w:left w:w="0" w:type="dxa"/>
          <w:bottom w:w="0" w:type="dxa"/>
          <w:right w:w="0" w:type="dxa"/>
        </w:tblCellMar>
      </w:tblPr>
      <w:tr>
        <w:trPr>
          <w:trHeight w:val="200"/>
        </w:trPr>
        <w:tc>
          <w:tcPr>
            <w:tcW w:w="1620" w:type="dxa"/>
            <w:vAlign w:val="bottom"/>
            <w:tcBorders>
              <w:top w:val="single" w:sz="8" w:color="auto"/>
              <w:left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Company</w:t>
            </w:r>
          </w:p>
        </w:tc>
        <w:tc>
          <w:tcPr>
            <w:tcW w:w="150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Performance</w:t>
            </w:r>
          </w:p>
        </w:tc>
        <w:tc>
          <w:tcPr>
            <w:tcW w:w="1100" w:type="dxa"/>
            <w:vAlign w:val="bottom"/>
            <w:tcBorders>
              <w:top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Share-based</w:t>
            </w:r>
          </w:p>
        </w:tc>
        <w:tc>
          <w:tcPr>
            <w:tcW w:w="112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r>
      <w:tr>
        <w:trPr>
          <w:trHeight w:val="192"/>
        </w:trPr>
        <w:tc>
          <w:tcPr>
            <w:tcW w:w="162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pension</w:t>
            </w:r>
          </w:p>
        </w:tc>
        <w:tc>
          <w:tcPr>
            <w:tcW w:w="1500" w:type="dxa"/>
            <w:vAlign w:val="bottom"/>
          </w:tcPr>
          <w:p>
            <w:pPr>
              <w:jc w:val="right"/>
              <w:ind w:right="220"/>
              <w:spacing w:after="0"/>
              <w:rPr>
                <w:sz w:val="20"/>
                <w:szCs w:val="20"/>
                <w:color w:val="auto"/>
              </w:rPr>
            </w:pPr>
            <w:r>
              <w:rPr>
                <w:rFonts w:ascii="Arial" w:cs="Arial" w:eastAsia="Arial" w:hAnsi="Arial"/>
                <w:sz w:val="16"/>
                <w:szCs w:val="16"/>
                <w:b w:val="1"/>
                <w:bCs w:val="1"/>
                <w:color w:val="auto"/>
              </w:rPr>
              <w:t>related</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All other</w:t>
            </w:r>
          </w:p>
        </w:tc>
        <w:tc>
          <w:tcPr>
            <w:tcW w:w="1100" w:type="dxa"/>
            <w:vAlign w:val="bottom"/>
            <w:tcBorders>
              <w:right w:val="single" w:sz="8" w:color="auto"/>
            </w:tcBorders>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auto"/>
              </w:rPr>
              <w:t>payments</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Directors’</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Total</w:t>
            </w:r>
          </w:p>
        </w:tc>
      </w:tr>
      <w:tr>
        <w:trPr>
          <w:trHeight w:val="213"/>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6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Year</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Salary</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contribution</w:t>
            </w: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compensation**</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8"/>
              </w:rPr>
              <w:t>compensation</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Subtotal</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fees</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4"/>
              </w:rPr>
              <w:t>compensation</w:t>
            </w:r>
          </w:p>
        </w:tc>
      </w:tr>
      <w:tr>
        <w:trPr>
          <w:trHeight w:val="196"/>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192"/>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Thomas Lynch</w:t>
            </w:r>
          </w:p>
        </w:tc>
        <w:tc>
          <w:tcPr>
            <w:tcW w:w="64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135</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512</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647</w:t>
            </w:r>
          </w:p>
        </w:tc>
      </w:tr>
      <w:tr>
        <w:trPr>
          <w:trHeight w:val="192"/>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Ciaran Murray</w:t>
            </w:r>
          </w:p>
        </w:tc>
        <w:tc>
          <w:tcPr>
            <w:tcW w:w="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1,238</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155</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2,575</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4,007</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7,622</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11,629</w:t>
            </w:r>
          </w:p>
        </w:tc>
      </w:tr>
      <w:tr>
        <w:trPr>
          <w:trHeight w:val="192"/>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Dr. John Climax</w:t>
            </w:r>
          </w:p>
        </w:tc>
        <w:tc>
          <w:tcPr>
            <w:tcW w:w="64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r>
      <w:tr>
        <w:trPr>
          <w:trHeight w:val="192"/>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Ronan Lambe</w:t>
            </w:r>
          </w:p>
        </w:tc>
        <w:tc>
          <w:tcPr>
            <w:tcW w:w="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129</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75</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204</w:t>
            </w:r>
          </w:p>
        </w:tc>
      </w:tr>
      <w:tr>
        <w:trPr>
          <w:trHeight w:val="192"/>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Dermot Kelleher</w:t>
            </w:r>
          </w:p>
        </w:tc>
        <w:tc>
          <w:tcPr>
            <w:tcW w:w="64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96</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r>
      <w:tr>
        <w:trPr>
          <w:trHeight w:val="192"/>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Declan McKeon</w:t>
            </w:r>
          </w:p>
        </w:tc>
        <w:tc>
          <w:tcPr>
            <w:tcW w:w="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129</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121</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250</w:t>
            </w:r>
          </w:p>
        </w:tc>
      </w:tr>
      <w:tr>
        <w:trPr>
          <w:trHeight w:val="192"/>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William Hall</w:t>
            </w:r>
          </w:p>
        </w:tc>
        <w:tc>
          <w:tcPr>
            <w:tcW w:w="64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121</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r>
      <w:tr>
        <w:trPr>
          <w:trHeight w:val="192"/>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Mary Pendergast</w:t>
            </w:r>
          </w:p>
        </w:tc>
        <w:tc>
          <w:tcPr>
            <w:tcW w:w="6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120</w:t>
            </w:r>
          </w:p>
        </w:tc>
        <w:tc>
          <w:tcPr>
            <w:tcW w:w="112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88</w:t>
            </w: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208</w:t>
            </w:r>
          </w:p>
        </w:tc>
      </w:tr>
      <w:tr>
        <w:trPr>
          <w:trHeight w:val="192"/>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Hugh Brady</w:t>
            </w:r>
          </w:p>
        </w:tc>
        <w:tc>
          <w:tcPr>
            <w:tcW w:w="64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12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06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r>
      <w:tr>
        <w:trPr>
          <w:trHeight w:val="196"/>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Dr. Steve Cutler *</w:t>
            </w:r>
          </w:p>
        </w:tc>
        <w:tc>
          <w:tcPr>
            <w:tcW w:w="6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1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2,639</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4,060</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6,699</w:t>
            </w:r>
          </w:p>
        </w:tc>
      </w:tr>
      <w:tr>
        <w:trPr>
          <w:trHeight w:val="232"/>
        </w:trPr>
        <w:tc>
          <w:tcPr>
            <w:tcW w:w="16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2,004</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356</w:t>
            </w:r>
          </w:p>
        </w:tc>
        <w:tc>
          <w:tcPr>
            <w:tcW w:w="15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4,197</w:t>
            </w:r>
          </w:p>
        </w:tc>
        <w:tc>
          <w:tcPr>
            <w:tcW w:w="110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89</w:t>
            </w:r>
          </w:p>
        </w:tc>
        <w:tc>
          <w:tcPr>
            <w:tcW w:w="110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6,646</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12,710</w:t>
            </w:r>
          </w:p>
        </w:tc>
        <w:tc>
          <w:tcPr>
            <w:tcW w:w="1120" w:type="dxa"/>
            <w:vAlign w:val="bottom"/>
            <w:tcBorders>
              <w:bottom w:val="single" w:sz="8" w:color="auto"/>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1,151</w:t>
            </w:r>
          </w:p>
        </w:tc>
        <w:tc>
          <w:tcPr>
            <w:tcW w:w="10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20,507</w:t>
            </w: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 Appointed to the Board in November 2015.</w:t>
      </w:r>
    </w:p>
    <w:p>
      <w:pPr>
        <w:spacing w:after="0" w:line="21" w:lineRule="exact"/>
        <w:rPr>
          <w:sz w:val="20"/>
          <w:szCs w:val="20"/>
          <w:color w:val="auto"/>
        </w:rPr>
      </w:pPr>
    </w:p>
    <w:p>
      <w:pPr>
        <w:ind w:left="204" w:hanging="204"/>
        <w:spacing w:after="0"/>
        <w:tabs>
          <w:tab w:leader="none" w:pos="204"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Excludes $1.8 million and $0.8 million respectively for Ciaran Murray and Dr Steve Cutler paid during 2015 under the terms of the 2012 long-term incentive plan.</w:t>
      </w:r>
    </w:p>
    <w:p>
      <w:pPr>
        <w:spacing w:after="0" w:line="19" w:lineRule="exact"/>
        <w:rPr>
          <w:rFonts w:ascii="Arial" w:cs="Arial" w:eastAsia="Arial" w:hAnsi="Arial"/>
          <w:sz w:val="15"/>
          <w:szCs w:val="15"/>
          <w:color w:val="auto"/>
        </w:rPr>
      </w:pPr>
    </w:p>
    <w:p>
      <w:pPr>
        <w:ind w:left="284" w:hanging="284"/>
        <w:spacing w:after="0"/>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an amount of $386,000 payable in respect of the additional 2014 bonus plan.</w:t>
      </w:r>
    </w:p>
    <w:p>
      <w:pPr>
        <w:spacing w:after="0" w:line="8" w:lineRule="exact"/>
        <w:rPr>
          <w:rFonts w:ascii="Arial" w:cs="Arial" w:eastAsia="Arial" w:hAnsi="Arial"/>
          <w:sz w:val="16"/>
          <w:szCs w:val="16"/>
          <w:color w:val="auto"/>
        </w:rPr>
      </w:pPr>
    </w:p>
    <w:p>
      <w:pPr>
        <w:ind w:left="4" w:right="140" w:hanging="4"/>
        <w:spacing w:after="0" w:line="261" w:lineRule="auto"/>
        <w:tabs>
          <w:tab w:leader="none" w:pos="3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 Retirement benefit obligations</w:t>
      </w:r>
    </w:p>
    <w:p>
      <w:pPr>
        <w:spacing w:after="0" w:line="2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 xml:space="preserve">The Group operates a number of defined contribution schemes and two defined benefit pension schemes. The Group accounts for pensions in accordance with IAS 19R </w:t>
      </w:r>
      <w:r>
        <w:rPr>
          <w:rFonts w:ascii="Arial" w:cs="Arial" w:eastAsia="Arial" w:hAnsi="Arial"/>
          <w:sz w:val="16"/>
          <w:szCs w:val="16"/>
          <w:i w:val="1"/>
          <w:iCs w:val="1"/>
          <w:color w:val="auto"/>
        </w:rPr>
        <w:t xml:space="preserve">Employee Benefits </w:t>
      </w:r>
      <w:r>
        <w:rPr>
          <w:rFonts w:ascii="Arial" w:cs="Arial" w:eastAsia="Arial" w:hAnsi="Arial"/>
          <w:sz w:val="16"/>
          <w:szCs w:val="16"/>
          <w:color w:val="auto"/>
        </w:rPr>
        <w:t>(“IAS 19R”).</w:t>
      </w:r>
    </w:p>
    <w:p>
      <w:pPr>
        <w:spacing w:after="0" w:line="176" w:lineRule="exact"/>
        <w:rPr>
          <w:sz w:val="20"/>
          <w:szCs w:val="20"/>
          <w:color w:val="auto"/>
        </w:rPr>
      </w:pPr>
    </w:p>
    <w:p>
      <w:pPr>
        <w:ind w:left="604" w:hanging="568"/>
        <w:spacing w:after="0"/>
        <w:tabs>
          <w:tab w:leader="none" w:pos="6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Defined Contribution Schemes</w:t>
      </w:r>
    </w:p>
    <w:p>
      <w:pPr>
        <w:spacing w:after="0" w:line="22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2016 and year ended 31 December 2015 were $20,952,000 and $20,439,000 respectively.</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2016 and year ended 31 December 2015 were $15,223,000 and $12,802,000 respectively.</w:t>
      </w:r>
    </w:p>
    <w:p>
      <w:pPr>
        <w:spacing w:after="0" w:line="192" w:lineRule="exact"/>
        <w:rPr>
          <w:sz w:val="20"/>
          <w:szCs w:val="20"/>
          <w:color w:val="auto"/>
        </w:rPr>
      </w:pPr>
    </w:p>
    <w:p>
      <w:pPr>
        <w:ind w:left="600" w:hanging="568"/>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Defined Benefit Plans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ICON Development Solutions Limited defined benefit pension plan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plan is managed externally and the related pension costs and liabilities are assessed in accordance with the advice of a professionally qualified actuary. Plan assets at 31 December 2016 and 31 December 2015 consist of units held in independently administered funds.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assumptions were used in determining the fair value of the plan assets and the present value of the projected benefit obligation at 31 December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49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Inflation rate</w:t>
            </w:r>
          </w:p>
        </w:tc>
        <w:tc>
          <w:tcPr>
            <w:tcW w:w="4960" w:type="dxa"/>
            <w:vAlign w:val="bottom"/>
          </w:tcPr>
          <w:p>
            <w:pPr>
              <w:jc w:val="right"/>
              <w:ind w:right="120"/>
              <w:spacing w:after="0"/>
              <w:rPr>
                <w:sz w:val="20"/>
                <w:szCs w:val="20"/>
                <w:color w:val="auto"/>
              </w:rPr>
            </w:pPr>
            <w:r>
              <w:rPr>
                <w:rFonts w:ascii="Arial" w:cs="Arial" w:eastAsia="Arial" w:hAnsi="Arial"/>
                <w:sz w:val="16"/>
                <w:szCs w:val="16"/>
                <w:b w:val="1"/>
                <w:bCs w:val="1"/>
                <w:color w:val="auto"/>
              </w:rPr>
              <w:t>3.40%</w:t>
            </w:r>
          </w:p>
        </w:tc>
        <w:tc>
          <w:tcPr>
            <w:tcW w:w="120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Future pension increases</w:t>
            </w:r>
          </w:p>
        </w:tc>
        <w:tc>
          <w:tcPr>
            <w:tcW w:w="49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3.20%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Future salary increases</w:t>
            </w:r>
          </w:p>
        </w:tc>
        <w:tc>
          <w:tcPr>
            <w:tcW w:w="4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3.90%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discount rate is determined by reference to UK long dated government and corporate bond yields at the reporting date. This is represented by the iboxx corporate bond over 15 year index plus 10 basis points. At 31 December 2016 the Company, with input from its actuarial advisors, refined its estimate of the discount rate used in calculating the benefit obligation and decreased the premium over iboxx from 30 basis points to 10 to reflect the change in the shape of the yield curve. The sensitivity of the defined benefit obligation to changes in the principal assumptions including the discount rate is shown below.</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cost for the year ended 31 December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70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7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67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Future salary increases</w:t>
            </w:r>
          </w:p>
        </w:tc>
        <w:tc>
          <w:tcPr>
            <w:tcW w:w="6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00" w:type="dxa"/>
            <w:vAlign w:val="bottom"/>
          </w:tcPr>
          <w:p>
            <w:pPr>
              <w:jc w:val="right"/>
              <w:ind w:right="4360"/>
              <w:spacing w:after="0"/>
              <w:rPr>
                <w:sz w:val="20"/>
                <w:szCs w:val="20"/>
                <w:color w:val="auto"/>
              </w:rPr>
            </w:pPr>
            <w:r>
              <w:rPr>
                <w:rFonts w:ascii="Arial" w:cs="Arial" w:eastAsia="Arial" w:hAnsi="Arial"/>
                <w:sz w:val="16"/>
                <w:szCs w:val="16"/>
                <w:color w:val="auto"/>
              </w:rPr>
              <w:t>54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69" w:name="page70"/>
    <w:bookmarkEnd w:id="69"/>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right="8320" w:hanging="4"/>
        <w:spacing w:after="0" w:line="535" w:lineRule="auto"/>
        <w:tabs>
          <w:tab w:leader="none" w:pos="244"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Mortality assumptions</w:t>
      </w:r>
    </w:p>
    <w:p>
      <w:pPr>
        <w:spacing w:after="0" w:line="1"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Assumptions regarding mortality experience are set based on actuarial advice in accordance with published statistics and experience. The mortality assumptions adopted at 31 December 2016 are 100% of the standard tables S2PxA, Year of Birth, no age rating for males and females, projected using CMI_2015 converging to 1.25% p.a.. These imply the following life expectancies, for persons retiring at age 62:</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980" w:type="dxa"/>
            <w:vAlign w:val="bottom"/>
          </w:tcPr>
          <w:p>
            <w:pPr>
              <w:jc w:val="right"/>
              <w:ind w:right="920"/>
              <w:spacing w:after="0"/>
              <w:rPr>
                <w:sz w:val="20"/>
                <w:szCs w:val="20"/>
                <w:color w:val="auto"/>
              </w:rPr>
            </w:pPr>
            <w:r>
              <w:rPr>
                <w:rFonts w:ascii="Arial" w:cs="Arial" w:eastAsia="Arial" w:hAnsi="Arial"/>
                <w:sz w:val="16"/>
                <w:szCs w:val="16"/>
                <w:b w:val="1"/>
                <w:bCs w:val="1"/>
                <w:color w:val="auto"/>
              </w:rPr>
              <w:t>31 December</w:t>
            </w:r>
          </w:p>
        </w:tc>
        <w:tc>
          <w:tcPr>
            <w:tcW w:w="1880" w:type="dxa"/>
            <w:vAlign w:val="bottom"/>
            <w:gridSpan w:val="2"/>
          </w:tcPr>
          <w:p>
            <w:pPr>
              <w:jc w:val="right"/>
              <w:ind w:right="2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980" w:type="dxa"/>
            <w:vAlign w:val="bottom"/>
          </w:tcPr>
          <w:p>
            <w:pPr>
              <w:jc w:val="right"/>
              <w:ind w:right="920"/>
              <w:spacing w:after="0"/>
              <w:rPr>
                <w:sz w:val="20"/>
                <w:szCs w:val="20"/>
                <w:color w:val="auto"/>
              </w:rPr>
            </w:pPr>
            <w:r>
              <w:rPr>
                <w:rFonts w:ascii="Arial" w:cs="Arial" w:eastAsia="Arial" w:hAnsi="Arial"/>
                <w:sz w:val="16"/>
                <w:szCs w:val="16"/>
                <w:b w:val="1"/>
                <w:bCs w:val="1"/>
                <w:color w:val="auto"/>
              </w:rPr>
              <w:t>2016</w:t>
            </w:r>
          </w:p>
        </w:tc>
        <w:tc>
          <w:tcPr>
            <w:tcW w:w="1880" w:type="dxa"/>
            <w:vAlign w:val="bottom"/>
            <w:gridSpan w:val="2"/>
          </w:tcPr>
          <w:p>
            <w:pPr>
              <w:jc w:val="right"/>
              <w:ind w:right="2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Male retiring in 2016</w:t>
            </w:r>
          </w:p>
        </w:tc>
        <w:tc>
          <w:tcPr>
            <w:tcW w:w="498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24.9 years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years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Female retiring in 2016</w:t>
            </w:r>
          </w:p>
        </w:tc>
        <w:tc>
          <w:tcPr>
            <w:tcW w:w="4980" w:type="dxa"/>
            <w:vAlign w:val="bottom"/>
          </w:tcPr>
          <w:p>
            <w:pPr>
              <w:jc w:val="right"/>
              <w:ind w:right="920"/>
              <w:spacing w:after="0"/>
              <w:rPr>
                <w:sz w:val="20"/>
                <w:szCs w:val="20"/>
                <w:color w:val="auto"/>
              </w:rPr>
            </w:pPr>
            <w:r>
              <w:rPr>
                <w:rFonts w:ascii="Arial" w:cs="Arial" w:eastAsia="Arial" w:hAnsi="Arial"/>
                <w:sz w:val="16"/>
                <w:szCs w:val="16"/>
                <w:b w:val="1"/>
                <w:bCs w:val="1"/>
                <w:color w:val="auto"/>
              </w:rPr>
              <w:t>27.1 years</w:t>
            </w:r>
          </w:p>
        </w:tc>
        <w:tc>
          <w:tcPr>
            <w:tcW w:w="1860" w:type="dxa"/>
            <w:vAlign w:val="bottom"/>
          </w:tcPr>
          <w:p>
            <w:pPr>
              <w:jc w:val="right"/>
              <w:spacing w:after="0"/>
              <w:rPr>
                <w:sz w:val="20"/>
                <w:szCs w:val="20"/>
                <w:color w:val="auto"/>
              </w:rPr>
            </w:pPr>
            <w:r>
              <w:rPr>
                <w:rFonts w:ascii="Arial" w:cs="Arial" w:eastAsia="Arial" w:hAnsi="Arial"/>
                <w:sz w:val="16"/>
                <w:szCs w:val="16"/>
                <w:color w:val="auto"/>
              </w:rPr>
              <w:t>27.0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Male retiring in 2036</w:t>
            </w:r>
          </w:p>
        </w:tc>
        <w:tc>
          <w:tcPr>
            <w:tcW w:w="498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26.8 years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Female retiring in 2036</w:t>
            </w:r>
          </w:p>
        </w:tc>
        <w:tc>
          <w:tcPr>
            <w:tcW w:w="498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b w:val="1"/>
                <w:bCs w:val="1"/>
                <w:color w:val="auto"/>
              </w:rPr>
              <w:t>29.0 years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years</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Consolidated Financial Statements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Movement in the net benefit obligation recognised in non-current other liabilities was as follows:</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80" w:type="dxa"/>
            <w:vAlign w:val="bottom"/>
          </w:tcPr>
          <w:p>
            <w:pPr>
              <w:jc w:val="right"/>
              <w:ind w:right="380"/>
              <w:spacing w:after="0"/>
              <w:rPr>
                <w:sz w:val="20"/>
                <w:szCs w:val="20"/>
                <w:color w:val="auto"/>
              </w:rPr>
            </w:pPr>
            <w:r>
              <w:rPr>
                <w:rFonts w:ascii="Arial" w:cs="Arial" w:eastAsia="Arial" w:hAnsi="Arial"/>
                <w:sz w:val="16"/>
                <w:szCs w:val="16"/>
                <w:b w:val="1"/>
                <w:bCs w:val="1"/>
                <w:color w:val="auto"/>
              </w:rPr>
              <w:t>Fair Value of</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300" w:type="dxa"/>
            <w:vAlign w:val="bottom"/>
          </w:tcPr>
          <w:p>
            <w:pPr>
              <w:jc w:val="right"/>
              <w:ind w:right="180"/>
              <w:spacing w:after="0"/>
              <w:rPr>
                <w:sz w:val="20"/>
                <w:szCs w:val="20"/>
                <w:color w:val="auto"/>
              </w:rPr>
            </w:pPr>
            <w:r>
              <w:rPr>
                <w:rFonts w:ascii="Arial" w:cs="Arial" w:eastAsia="Arial" w:hAnsi="Arial"/>
                <w:sz w:val="16"/>
                <w:szCs w:val="16"/>
                <w:b w:val="1"/>
                <w:bCs w:val="1"/>
                <w:color w:val="auto"/>
              </w:rPr>
              <w:t>Present Value of</w:t>
            </w:r>
          </w:p>
        </w:tc>
        <w:tc>
          <w:tcPr>
            <w:tcW w:w="1580" w:type="dxa"/>
            <w:vAlign w:val="bottom"/>
          </w:tcPr>
          <w:p>
            <w:pPr>
              <w:jc w:val="right"/>
              <w:ind w:right="380"/>
              <w:spacing w:after="0"/>
              <w:rPr>
                <w:sz w:val="20"/>
                <w:szCs w:val="20"/>
                <w:color w:val="auto"/>
              </w:rPr>
            </w:pPr>
            <w:r>
              <w:rPr>
                <w:rFonts w:ascii="Arial" w:cs="Arial" w:eastAsia="Arial" w:hAnsi="Arial"/>
                <w:sz w:val="16"/>
                <w:szCs w:val="16"/>
                <w:b w:val="1"/>
                <w:bCs w:val="1"/>
                <w:color w:val="auto"/>
              </w:rPr>
              <w:t>Plan</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300" w:type="dxa"/>
            <w:vAlign w:val="bottom"/>
          </w:tcPr>
          <w:p>
            <w:pPr>
              <w:jc w:val="right"/>
              <w:ind w:right="180"/>
              <w:spacing w:after="0"/>
              <w:rPr>
                <w:sz w:val="20"/>
                <w:szCs w:val="20"/>
                <w:color w:val="auto"/>
              </w:rPr>
            </w:pPr>
            <w:r>
              <w:rPr>
                <w:rFonts w:ascii="Arial" w:cs="Arial" w:eastAsia="Arial" w:hAnsi="Arial"/>
                <w:sz w:val="16"/>
                <w:szCs w:val="16"/>
                <w:b w:val="1"/>
                <w:bCs w:val="1"/>
                <w:color w:val="auto"/>
              </w:rPr>
              <w:t>Obligations</w:t>
            </w:r>
          </w:p>
        </w:tc>
        <w:tc>
          <w:tcPr>
            <w:tcW w:w="1580" w:type="dxa"/>
            <w:vAlign w:val="bottom"/>
          </w:tcPr>
          <w:p>
            <w:pPr>
              <w:jc w:val="right"/>
              <w:ind w:right="380"/>
              <w:spacing w:after="0"/>
              <w:rPr>
                <w:sz w:val="20"/>
                <w:szCs w:val="20"/>
                <w:color w:val="auto"/>
              </w:rPr>
            </w:pPr>
            <w:r>
              <w:rPr>
                <w:rFonts w:ascii="Arial" w:cs="Arial" w:eastAsia="Arial" w:hAnsi="Arial"/>
                <w:sz w:val="16"/>
                <w:szCs w:val="16"/>
                <w:b w:val="1"/>
                <w:bCs w:val="1"/>
                <w:color w:val="auto"/>
              </w:rPr>
              <w:t>Assets</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3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380"/>
              <w:spacing w:after="0"/>
              <w:rPr>
                <w:sz w:val="20"/>
                <w:szCs w:val="20"/>
                <w:color w:val="auto"/>
              </w:rPr>
            </w:pPr>
            <w:r>
              <w:rPr>
                <w:rFonts w:ascii="Arial" w:cs="Arial" w:eastAsia="Arial" w:hAnsi="Arial"/>
                <w:sz w:val="16"/>
                <w:szCs w:val="16"/>
                <w:b w:val="1"/>
                <w:bCs w:val="1"/>
                <w:color w:val="auto"/>
              </w:rPr>
              <w:t>$’000</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2016</w:t>
            </w:r>
          </w:p>
        </w:tc>
        <w:tc>
          <w:tcPr>
            <w:tcW w:w="4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(27,369)</w:t>
            </w:r>
          </w:p>
        </w:tc>
        <w:tc>
          <w:tcPr>
            <w:tcW w:w="15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23,367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Current service costs</w:t>
            </w:r>
          </w:p>
        </w:tc>
        <w:tc>
          <w:tcPr>
            <w:tcW w:w="4300" w:type="dxa"/>
            <w:vAlign w:val="bottom"/>
          </w:tcPr>
          <w:p>
            <w:pPr>
              <w:jc w:val="right"/>
              <w:ind w:right="120"/>
              <w:spacing w:after="0"/>
              <w:rPr>
                <w:sz w:val="20"/>
                <w:szCs w:val="20"/>
                <w:color w:val="auto"/>
              </w:rPr>
            </w:pPr>
            <w:r>
              <w:rPr>
                <w:rFonts w:ascii="Arial" w:cs="Arial" w:eastAsia="Arial" w:hAnsi="Arial"/>
                <w:sz w:val="16"/>
                <w:szCs w:val="16"/>
                <w:color w:val="auto"/>
              </w:rPr>
              <w:t>(75)</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expense/(income)</w:t>
            </w:r>
          </w:p>
        </w:tc>
        <w:tc>
          <w:tcPr>
            <w:tcW w:w="4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(1,017)</w:t>
            </w:r>
          </w:p>
        </w:tc>
        <w:tc>
          <w:tcPr>
            <w:tcW w:w="15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869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Past service cost</w:t>
            </w:r>
          </w:p>
        </w:tc>
        <w:tc>
          <w:tcPr>
            <w:tcW w:w="43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Expenses</w:t>
            </w:r>
          </w:p>
        </w:tc>
        <w:tc>
          <w:tcPr>
            <w:tcW w:w="4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(28,469)</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24,236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Re-measurements</w:t>
            </w:r>
          </w:p>
        </w:tc>
        <w:tc>
          <w:tcPr>
            <w:tcW w:w="4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Experience adjustment</w:t>
            </w:r>
          </w:p>
        </w:tc>
        <w:tc>
          <w:tcPr>
            <w:tcW w:w="43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4,992</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Gain or loss from change in demographic assumptions</w:t>
            </w:r>
          </w:p>
        </w:tc>
        <w:tc>
          <w:tcPr>
            <w:tcW w:w="43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or loss from change in financial assumptions</w:t>
            </w:r>
          </w:p>
        </w:tc>
        <w:tc>
          <w:tcPr>
            <w:tcW w:w="4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(10,057)</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4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(10,057)</w:t>
            </w:r>
          </w:p>
        </w:tc>
        <w:tc>
          <w:tcPr>
            <w:tcW w:w="1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4,992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Exchange differences</w:t>
            </w:r>
          </w:p>
        </w:tc>
        <w:tc>
          <w:tcPr>
            <w:tcW w:w="4300" w:type="dxa"/>
            <w:vAlign w:val="bottom"/>
          </w:tcPr>
          <w:p>
            <w:pPr>
              <w:jc w:val="right"/>
              <w:ind w:right="180"/>
              <w:spacing w:after="0"/>
              <w:rPr>
                <w:sz w:val="20"/>
                <w:szCs w:val="20"/>
                <w:color w:val="auto"/>
              </w:rPr>
            </w:pPr>
            <w:r>
              <w:rPr>
                <w:rFonts w:ascii="Arial" w:cs="Arial" w:eastAsia="Arial" w:hAnsi="Arial"/>
                <w:sz w:val="16"/>
                <w:szCs w:val="16"/>
                <w:color w:val="auto"/>
              </w:rPr>
              <w:t>5,538</w:t>
            </w:r>
          </w:p>
        </w:tc>
        <w:tc>
          <w:tcPr>
            <w:tcW w:w="1580" w:type="dxa"/>
            <w:vAlign w:val="bottom"/>
          </w:tcPr>
          <w:p>
            <w:pPr>
              <w:jc w:val="right"/>
              <w:ind w:right="320"/>
              <w:spacing w:after="0"/>
              <w:rPr>
                <w:sz w:val="20"/>
                <w:szCs w:val="20"/>
                <w:color w:val="auto"/>
              </w:rPr>
            </w:pPr>
            <w:r>
              <w:rPr>
                <w:rFonts w:ascii="Arial" w:cs="Arial" w:eastAsia="Arial" w:hAnsi="Arial"/>
                <w:sz w:val="16"/>
                <w:szCs w:val="16"/>
                <w:color w:val="auto"/>
              </w:rPr>
              <w:t>(4,378)</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Contributions:</w:t>
            </w:r>
          </w:p>
        </w:tc>
        <w:tc>
          <w:tcPr>
            <w:tcW w:w="4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 Employers</w:t>
            </w:r>
          </w:p>
        </w:tc>
        <w:tc>
          <w:tcPr>
            <w:tcW w:w="43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108</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 Plan participants</w:t>
            </w:r>
          </w:p>
        </w:tc>
        <w:tc>
          <w:tcPr>
            <w:tcW w:w="4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5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22</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Benefit payments</w:t>
            </w:r>
          </w:p>
        </w:tc>
        <w:tc>
          <w:tcPr>
            <w:tcW w:w="4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104</w:t>
            </w:r>
          </w:p>
        </w:tc>
        <w:tc>
          <w:tcPr>
            <w:tcW w:w="15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(104)</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43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82</w:t>
            </w:r>
          </w:p>
        </w:tc>
        <w:tc>
          <w:tcPr>
            <w:tcW w:w="1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26</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2016</w:t>
            </w:r>
          </w:p>
        </w:tc>
        <w:tc>
          <w:tcPr>
            <w:tcW w:w="4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(32,906)</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24,876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300" w:type="dxa"/>
            <w:vAlign w:val="bottom"/>
          </w:tcPr>
          <w:p>
            <w:pPr>
              <w:jc w:val="right"/>
              <w:ind w:right="2980"/>
              <w:spacing w:after="0"/>
              <w:rPr>
                <w:sz w:val="20"/>
                <w:szCs w:val="20"/>
                <w:color w:val="auto"/>
              </w:rPr>
            </w:pPr>
            <w:r>
              <w:rPr>
                <w:rFonts w:ascii="Arial" w:cs="Arial" w:eastAsia="Arial" w:hAnsi="Arial"/>
                <w:sz w:val="16"/>
                <w:szCs w:val="16"/>
                <w:color w:val="auto"/>
              </w:rPr>
              <w:t>55</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123" w:right="2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Fair Value of</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Present Value of</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Plan</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Obligations</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Assets</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(32,875)</w:t>
            </w: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25,409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Current service costs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(78)</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expense/(income)</w:t>
            </w: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(1,140)</w:t>
            </w: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878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Past service cost</w:t>
            </w: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(34,093)</w:t>
            </w:r>
          </w:p>
        </w:tc>
        <w:tc>
          <w:tcPr>
            <w:tcW w:w="1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26,287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b w:val="1"/>
                <w:bCs w:val="1"/>
                <w:color w:val="auto"/>
              </w:rPr>
              <w:t>Re-measurements</w:t>
            </w: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Experience adjustment</w:t>
            </w: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577</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Gain or loss from change in demographic assumptions</w:t>
            </w:r>
          </w:p>
        </w:tc>
        <w:tc>
          <w:tcPr>
            <w:tcW w:w="1640" w:type="dxa"/>
            <w:vAlign w:val="bottom"/>
          </w:tcPr>
          <w:p>
            <w:pPr>
              <w:jc w:val="right"/>
              <w:ind w:right="180"/>
              <w:spacing w:after="0"/>
              <w:rPr>
                <w:sz w:val="20"/>
                <w:szCs w:val="20"/>
                <w:color w:val="auto"/>
              </w:rPr>
            </w:pPr>
            <w:r>
              <w:rPr>
                <w:rFonts w:ascii="Arial" w:cs="Arial" w:eastAsia="Arial" w:hAnsi="Arial"/>
                <w:sz w:val="16"/>
                <w:szCs w:val="16"/>
                <w:color w:val="auto"/>
              </w:rPr>
              <w:t>485</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or loss from change in financial assumptions</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2,930</w:t>
            </w:r>
          </w:p>
        </w:tc>
        <w:tc>
          <w:tcPr>
            <w:tcW w:w="1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3,992</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(600)</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Exchange differences</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1,647</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(1,349)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b w:val="1"/>
                <w:bCs w:val="1"/>
                <w:color w:val="auto"/>
              </w:rPr>
              <w:t>Contributions:</w:t>
            </w: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 Employers</w:t>
            </w: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114</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 Plan participants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26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Benefit payments</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1,111</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1,085</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(971)</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(27,369)</w:t>
            </w:r>
          </w:p>
        </w:tc>
        <w:tc>
          <w:tcPr>
            <w:tcW w:w="1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23,367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(4,002)</w:t>
            </w:r>
          </w:p>
        </w:tc>
        <w:tc>
          <w:tcPr>
            <w:tcW w:w="0" w:type="dxa"/>
            <w:vAlign w:val="bottom"/>
          </w:tcPr>
          <w:p>
            <w:pPr>
              <w:spacing w:after="0"/>
              <w:rPr>
                <w:sz w:val="1"/>
                <w:szCs w:val="1"/>
                <w:color w:val="auto"/>
              </w:rPr>
            </w:pPr>
          </w:p>
        </w:tc>
      </w:tr>
      <w:tr>
        <w:trPr>
          <w:trHeight w:val="396"/>
        </w:trPr>
        <w:tc>
          <w:tcPr>
            <w:tcW w:w="7220" w:type="dxa"/>
            <w:vAlign w:val="bottom"/>
            <w:gridSpan w:val="2"/>
          </w:tcPr>
          <w:p>
            <w:pPr>
              <w:spacing w:after="0"/>
              <w:rPr>
                <w:sz w:val="20"/>
                <w:szCs w:val="20"/>
                <w:color w:val="auto"/>
              </w:rPr>
            </w:pPr>
            <w:r>
              <w:rPr>
                <w:rFonts w:ascii="Arial" w:cs="Arial" w:eastAsia="Arial" w:hAnsi="Arial"/>
                <w:sz w:val="16"/>
                <w:szCs w:val="16"/>
                <w:color w:val="auto"/>
                <w:w w:val="92"/>
              </w:rPr>
              <w:t>Re-measurements are recognised in the Consolidated Statement of Other Comprehensive Income as follows: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Return on plan assets (excl. amounts included in interest income/expense)</w:t>
            </w:r>
          </w:p>
        </w:tc>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4,992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Gain or loss from change in demographic assumptions</w:t>
            </w: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or loss from change in financial assumptions</w:t>
            </w:r>
          </w:p>
        </w:tc>
        <w:tc>
          <w:tcPr>
            <w:tcW w:w="16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(10,057)</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at end of year</w:t>
            </w:r>
          </w:p>
        </w:tc>
        <w:tc>
          <w:tcPr>
            <w:tcW w:w="16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(5,065)</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396"/>
        </w:trPr>
        <w:tc>
          <w:tcPr>
            <w:tcW w:w="7220" w:type="dxa"/>
            <w:vAlign w:val="bottom"/>
            <w:gridSpan w:val="2"/>
          </w:tcPr>
          <w:p>
            <w:pPr>
              <w:spacing w:after="0"/>
              <w:rPr>
                <w:sz w:val="20"/>
                <w:szCs w:val="20"/>
                <w:color w:val="auto"/>
              </w:rPr>
            </w:pPr>
            <w:r>
              <w:rPr>
                <w:rFonts w:ascii="Arial" w:cs="Arial" w:eastAsia="Arial" w:hAnsi="Arial"/>
                <w:sz w:val="16"/>
                <w:szCs w:val="16"/>
                <w:color w:val="auto"/>
              </w:rPr>
              <w:t>Defined benefit pension expense recognised in the Consolidated Income Statement was as follows: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Current service cost recognised in profit or loss</w:t>
            </w:r>
          </w:p>
        </w:tc>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75</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interest expense recognised in profit or loss</w:t>
            </w:r>
          </w:p>
        </w:tc>
        <w:tc>
          <w:tcPr>
            <w:tcW w:w="164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Arial" w:cs="Arial" w:eastAsia="Arial" w:hAnsi="Arial"/>
                <w:sz w:val="16"/>
                <w:szCs w:val="16"/>
                <w:b w:val="1"/>
                <w:bCs w:val="1"/>
                <w:color w:val="auto"/>
              </w:rPr>
              <w:t>148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Past service cost</w:t>
            </w:r>
          </w:p>
        </w:tc>
        <w:tc>
          <w:tcPr>
            <w:tcW w:w="1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pension cost</w:t>
            </w:r>
          </w:p>
        </w:tc>
        <w:tc>
          <w:tcPr>
            <w:tcW w:w="1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231</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20" w:type="dxa"/>
            <w:vAlign w:val="bottom"/>
            <w:gridSpan w:val="2"/>
          </w:tcPr>
          <w:p>
            <w:pPr>
              <w:jc w:val="right"/>
              <w:ind w:right="1340"/>
              <w:spacing w:after="0"/>
              <w:rPr>
                <w:sz w:val="20"/>
                <w:szCs w:val="20"/>
                <w:color w:val="auto"/>
              </w:rPr>
            </w:pPr>
            <w:r>
              <w:rPr>
                <w:rFonts w:ascii="Arial" w:cs="Arial" w:eastAsia="Arial" w:hAnsi="Arial"/>
                <w:sz w:val="16"/>
                <w:szCs w:val="16"/>
                <w:color w:val="auto"/>
              </w:rPr>
              <w:t>56</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Plan Assets Fair Value</w:t>
            </w:r>
          </w:p>
        </w:tc>
        <w:tc>
          <w:tcPr>
            <w:tcW w:w="3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880" w:type="dxa"/>
            <w:vAlign w:val="bottom"/>
            <w:gridSpan w:val="2"/>
          </w:tcPr>
          <w:p>
            <w:pPr>
              <w:spacing w:after="0"/>
              <w:rPr>
                <w:sz w:val="20"/>
                <w:szCs w:val="20"/>
                <w:color w:val="auto"/>
              </w:rPr>
            </w:pPr>
            <w:r>
              <w:rPr>
                <w:rFonts w:ascii="Arial" w:cs="Arial" w:eastAsia="Arial" w:hAnsi="Arial"/>
                <w:sz w:val="16"/>
                <w:szCs w:val="16"/>
                <w:color w:val="auto"/>
              </w:rPr>
              <w:t>The fair value of plan assets at 31 December 2016 is analysed as follows:</w:t>
            </w: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34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334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34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Unit funds</w:t>
            </w:r>
          </w:p>
        </w:tc>
        <w:tc>
          <w:tcPr>
            <w:tcW w:w="3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24,876</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23,367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plan’s assets do not include any of the Group’s own financial instruments, nor any property occupied by, or other assets used by the Group.</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2016 the long-term expected return on corporate bonds and gilts (fixed interest and index linked) was determined by reference to bond yields and gilt yields.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20"/>
                <w:szCs w:val="20"/>
                <w:color w:val="auto"/>
              </w:rPr>
            </w:pPr>
            <w:r>
              <w:rPr>
                <w:rFonts w:ascii="Arial" w:cs="Arial" w:eastAsia="Arial" w:hAnsi="Arial"/>
                <w:sz w:val="16"/>
                <w:szCs w:val="16"/>
                <w:color w:val="auto"/>
              </w:rPr>
              <w:t>The underlying asset split of the funds at 31 December 2016 and 31 December 2015 was as follows:</w:t>
            </w:r>
          </w:p>
        </w:tc>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92"/>
        </w:trPr>
        <w:tc>
          <w:tcPr>
            <w:tcW w:w="7700" w:type="dxa"/>
            <w:vAlign w:val="bottom"/>
          </w:tcPr>
          <w:p>
            <w:pPr>
              <w:spacing w:after="0"/>
              <w:rPr>
                <w:sz w:val="24"/>
                <w:szCs w:val="24"/>
                <w:color w:val="auto"/>
              </w:rPr>
            </w:pPr>
          </w:p>
        </w:tc>
        <w:tc>
          <w:tcPr>
            <w:tcW w:w="254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31 December</w:t>
            </w:r>
          </w:p>
        </w:tc>
      </w:tr>
      <w:tr>
        <w:trPr>
          <w:trHeight w:val="209"/>
        </w:trPr>
        <w:tc>
          <w:tcPr>
            <w:tcW w:w="7700" w:type="dxa"/>
            <w:vAlign w:val="bottom"/>
          </w:tcPr>
          <w:p>
            <w:pPr>
              <w:spacing w:after="0"/>
              <w:rPr>
                <w:sz w:val="18"/>
                <w:szCs w:val="18"/>
                <w:color w:val="auto"/>
              </w:rPr>
            </w:pPr>
          </w:p>
        </w:tc>
        <w:tc>
          <w:tcPr>
            <w:tcW w:w="254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2015</w:t>
            </w:r>
          </w:p>
        </w:tc>
      </w:tr>
      <w:tr>
        <w:trPr>
          <w:trHeight w:val="384"/>
        </w:trPr>
        <w:tc>
          <w:tcPr>
            <w:tcW w:w="7700" w:type="dxa"/>
            <w:vAlign w:val="bottom"/>
          </w:tcPr>
          <w:p>
            <w:pPr>
              <w:spacing w:after="0"/>
              <w:rPr>
                <w:sz w:val="20"/>
                <w:szCs w:val="20"/>
                <w:color w:val="auto"/>
              </w:rPr>
            </w:pPr>
            <w:r>
              <w:rPr>
                <w:rFonts w:ascii="Arial" w:cs="Arial" w:eastAsia="Arial" w:hAnsi="Arial"/>
                <w:sz w:val="16"/>
                <w:szCs w:val="16"/>
                <w:color w:val="auto"/>
              </w:rPr>
              <w:t>Equities</w:t>
            </w:r>
          </w:p>
        </w:tc>
        <w:tc>
          <w:tcPr>
            <w:tcW w:w="2540" w:type="dxa"/>
            <w:vAlign w:val="bottom"/>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92"/>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25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192"/>
        </w:trPr>
        <w:tc>
          <w:tcPr>
            <w:tcW w:w="7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Gilts</w:t>
            </w:r>
          </w:p>
        </w:tc>
        <w:tc>
          <w:tcPr>
            <w:tcW w:w="2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75.00%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74.00%</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and approximately 25% of investments are held in corporate bonds. This results in a concentration of investments in bond type assets, although invested in a number of different bond funds.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Sensitivity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sensitivity of the defined benefit obligation to changes in the weighted principal assumptions 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800" w:type="dxa"/>
            <w:vAlign w:val="bottom"/>
          </w:tcPr>
          <w:p>
            <w:pPr>
              <w:jc w:val="center"/>
              <w:ind w:left="280"/>
              <w:spacing w:after="0"/>
              <w:rPr>
                <w:sz w:val="20"/>
                <w:szCs w:val="20"/>
                <w:color w:val="auto"/>
              </w:rPr>
            </w:pPr>
            <w:r>
              <w:rPr>
                <w:rFonts w:ascii="Arial" w:cs="Arial" w:eastAsia="Arial" w:hAnsi="Arial"/>
                <w:sz w:val="16"/>
                <w:szCs w:val="16"/>
                <w:b w:val="1"/>
                <w:bCs w:val="1"/>
                <w:color w:val="auto"/>
                <w:w w:val="89"/>
              </w:rPr>
              <w:t>Change in Assumption</w:t>
            </w:r>
          </w:p>
        </w:tc>
        <w:tc>
          <w:tcPr>
            <w:tcW w:w="378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Change in Liabilities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480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Decrease of 0.25% p.a.</w:t>
            </w:r>
          </w:p>
        </w:tc>
        <w:tc>
          <w:tcPr>
            <w:tcW w:w="378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88"/>
              </w:rPr>
              <w:t>Increase by 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Rate of Inflation</w:t>
            </w:r>
          </w:p>
        </w:tc>
        <w:tc>
          <w:tcPr>
            <w:tcW w:w="4800" w:type="dxa"/>
            <w:vAlign w:val="bottom"/>
          </w:tcPr>
          <w:p>
            <w:pPr>
              <w:jc w:val="center"/>
              <w:ind w:left="260"/>
              <w:spacing w:after="0"/>
              <w:rPr>
                <w:sz w:val="20"/>
                <w:szCs w:val="20"/>
                <w:color w:val="auto"/>
              </w:rPr>
            </w:pPr>
            <w:r>
              <w:rPr>
                <w:rFonts w:ascii="Arial" w:cs="Arial" w:eastAsia="Arial" w:hAnsi="Arial"/>
                <w:sz w:val="16"/>
                <w:szCs w:val="16"/>
                <w:color w:val="auto"/>
                <w:w w:val="88"/>
              </w:rPr>
              <w:t>Increase of 0.25% p.a.</w:t>
            </w:r>
          </w:p>
        </w:tc>
        <w:tc>
          <w:tcPr>
            <w:tcW w:w="3780" w:type="dxa"/>
            <w:vAlign w:val="bottom"/>
          </w:tcPr>
          <w:p>
            <w:pPr>
              <w:jc w:val="center"/>
              <w:ind w:right="160"/>
              <w:spacing w:after="0"/>
              <w:rPr>
                <w:sz w:val="20"/>
                <w:szCs w:val="20"/>
                <w:color w:val="auto"/>
              </w:rPr>
            </w:pPr>
            <w:r>
              <w:rPr>
                <w:rFonts w:ascii="Arial" w:cs="Arial" w:eastAsia="Arial" w:hAnsi="Arial"/>
                <w:sz w:val="16"/>
                <w:szCs w:val="16"/>
                <w:color w:val="auto"/>
                <w:w w:val="88"/>
              </w:rPr>
              <w:t>Increase by 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Rate of Salary Growth</w:t>
            </w:r>
          </w:p>
        </w:tc>
        <w:tc>
          <w:tcPr>
            <w:tcW w:w="480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8"/>
              </w:rPr>
              <w:t>Increase of 0.25% p.a.</w:t>
            </w:r>
          </w:p>
        </w:tc>
        <w:tc>
          <w:tcPr>
            <w:tcW w:w="378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88"/>
              </w:rPr>
              <w:t>Increase by 0.2%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of Mortality</w:t>
            </w:r>
          </w:p>
        </w:tc>
        <w:tc>
          <w:tcPr>
            <w:tcW w:w="4800" w:type="dxa"/>
            <w:vAlign w:val="bottom"/>
            <w:tcBorders>
              <w:bottom w:val="single" w:sz="8" w:color="auto"/>
            </w:tcBorders>
          </w:tcPr>
          <w:p>
            <w:pPr>
              <w:jc w:val="center"/>
              <w:ind w:left="280"/>
              <w:spacing w:after="0"/>
              <w:rPr>
                <w:sz w:val="20"/>
                <w:szCs w:val="20"/>
                <w:color w:val="auto"/>
              </w:rPr>
            </w:pPr>
            <w:r>
              <w:rPr>
                <w:rFonts w:ascii="Arial" w:cs="Arial" w:eastAsia="Arial" w:hAnsi="Arial"/>
                <w:sz w:val="16"/>
                <w:szCs w:val="16"/>
                <w:color w:val="auto"/>
                <w:w w:val="90"/>
              </w:rPr>
              <w:t>Increase in life expectancy of 1 year</w:t>
            </w:r>
          </w:p>
        </w:tc>
        <w:tc>
          <w:tcPr>
            <w:tcW w:w="37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w w:val="88"/>
              </w:rPr>
              <w:t>Increase by 3.4%</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2016 is 27 years.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and Maturity Profiles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Group expects to contribute approximately $0.1 million of normal contribution to the defined benefit pension scheme for the year ended 31 December 2017. The average duration of the defined benefit obligation at the period ending 31 December 2016 is 27 years.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Aptiv Solutions Pension Scheme</w:t>
      </w:r>
    </w:p>
    <w:p>
      <w:pPr>
        <w:spacing w:after="0" w:line="22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 xml:space="preserve">On 7 May 2014, the Company acquired 100% of the common stock of Aptiv Solutions (“Aptiv”). The acquisition of Aptiv was accounted for as a business combination in accordance with IFRS 3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2016 and 31 December 2015 consist of units held in independently administered funds.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assumptions were used in determining the fair value of the plan assets and the present value of the projected benefit obligation at 31 December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920" w:type="dxa"/>
            <w:vAlign w:val="bottom"/>
          </w:tcPr>
          <w:p>
            <w:pPr>
              <w:jc w:val="right"/>
              <w:ind w:right="260"/>
              <w:spacing w:after="0"/>
              <w:rPr>
                <w:sz w:val="20"/>
                <w:szCs w:val="20"/>
                <w:color w:val="auto"/>
              </w:rPr>
            </w:pPr>
            <w:r>
              <w:rPr>
                <w:rFonts w:ascii="Arial" w:cs="Arial" w:eastAsia="Arial" w:hAnsi="Arial"/>
                <w:sz w:val="16"/>
                <w:szCs w:val="16"/>
                <w:b w:val="1"/>
                <w:bCs w:val="1"/>
                <w:color w:val="auto"/>
              </w:rPr>
              <w:t>31 December</w:t>
            </w: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920" w:type="dxa"/>
            <w:vAlign w:val="bottom"/>
          </w:tcPr>
          <w:p>
            <w:pPr>
              <w:jc w:val="right"/>
              <w:ind w:right="260"/>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10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49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0.75%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Inflation rate</w:t>
            </w:r>
          </w:p>
        </w:tc>
        <w:tc>
          <w:tcPr>
            <w:tcW w:w="4920" w:type="dxa"/>
            <w:vAlign w:val="bottom"/>
          </w:tcPr>
          <w:p>
            <w:pPr>
              <w:jc w:val="right"/>
              <w:ind w:right="100"/>
              <w:spacing w:after="0"/>
              <w:rPr>
                <w:sz w:val="20"/>
                <w:szCs w:val="20"/>
                <w:color w:val="auto"/>
              </w:rPr>
            </w:pPr>
            <w:r>
              <w:rPr>
                <w:rFonts w:ascii="Arial" w:cs="Arial" w:eastAsia="Arial" w:hAnsi="Arial"/>
                <w:sz w:val="16"/>
                <w:szCs w:val="16"/>
                <w:b w:val="1"/>
                <w:bCs w:val="1"/>
                <w:color w:val="auto"/>
              </w:rPr>
              <w:t>1.00%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Future pension increases</w:t>
            </w:r>
          </w:p>
        </w:tc>
        <w:tc>
          <w:tcPr>
            <w:tcW w:w="49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Future salary increases</w:t>
            </w:r>
          </w:p>
        </w:tc>
        <w:tc>
          <w:tcPr>
            <w:tcW w:w="4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discount rate is determined by reference to Swiss corporate bond yields at the reporting date.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cost for the year ended 31 December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680" w:type="dxa"/>
            <w:vAlign w:val="bottom"/>
          </w:tcPr>
          <w:p>
            <w:pPr>
              <w:jc w:val="right"/>
              <w:ind w:right="24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8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680" w:type="dxa"/>
            <w:vAlign w:val="bottom"/>
          </w:tcPr>
          <w:p>
            <w:pPr>
              <w:jc w:val="right"/>
              <w:ind w:right="24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6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0.95%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Future salary increases</w:t>
            </w:r>
          </w:p>
        </w:tc>
        <w:tc>
          <w:tcPr>
            <w:tcW w:w="6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right"/>
              <w:ind w:right="4340"/>
              <w:spacing w:after="0"/>
              <w:rPr>
                <w:sz w:val="20"/>
                <w:szCs w:val="20"/>
                <w:color w:val="auto"/>
              </w:rPr>
            </w:pPr>
            <w:r>
              <w:rPr>
                <w:rFonts w:ascii="Arial" w:cs="Arial" w:eastAsia="Arial" w:hAnsi="Arial"/>
                <w:sz w:val="16"/>
                <w:szCs w:val="16"/>
                <w:color w:val="auto"/>
              </w:rPr>
              <w:t>58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73" w:name="page74"/>
    <w:bookmarkEnd w:id="73"/>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right="8280" w:hanging="4"/>
        <w:spacing w:after="0" w:line="535" w:lineRule="auto"/>
        <w:tabs>
          <w:tab w:leader="none" w:pos="28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Mortality assumptions</w:t>
      </w:r>
    </w:p>
    <w:p>
      <w:pPr>
        <w:spacing w:after="0" w:line="1"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Assumptions regarding mortality experience are set based on actuarial advice in accordance with published statistics and experience. The mortality assumptions adopted at 31 December 2016 are determined using the BVG 2015 generational table, where the mortality rates are projected forward for each individual based on their age to reflect future mortality improvements. These tables imply the following life expectancies, for males retiring at age 65 and females retiring at age 64:</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15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15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Male retiring in 2016</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22.3 years</w:t>
            </w:r>
          </w:p>
        </w:tc>
        <w:tc>
          <w:tcPr>
            <w:tcW w:w="15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 years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Female retiring in 2016</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auto"/>
              </w:rPr>
              <w:t>25.2 years</w:t>
            </w:r>
          </w:p>
        </w:tc>
        <w:tc>
          <w:tcPr>
            <w:tcW w:w="15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22.9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Male retiring in 2036</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24.2 years</w:t>
            </w:r>
          </w:p>
        </w:tc>
        <w:tc>
          <w:tcPr>
            <w:tcW w:w="15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Female retiring in 2036</w:t>
            </w:r>
          </w:p>
        </w:tc>
        <w:tc>
          <w:tcPr>
            <w:tcW w:w="1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27.1 years</w:t>
            </w:r>
          </w:p>
        </w:tc>
        <w:tc>
          <w:tcPr>
            <w:tcW w:w="1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860" w:type="dxa"/>
            <w:vAlign w:val="bottom"/>
            <w:gridSpan w:val="2"/>
          </w:tcPr>
          <w:p>
            <w:pPr>
              <w:spacing w:after="0"/>
              <w:rPr>
                <w:sz w:val="20"/>
                <w:szCs w:val="20"/>
                <w:color w:val="auto"/>
              </w:rPr>
            </w:pPr>
            <w:r>
              <w:rPr>
                <w:rFonts w:ascii="Arial" w:cs="Arial" w:eastAsia="Arial" w:hAnsi="Arial"/>
                <w:sz w:val="16"/>
                <w:szCs w:val="16"/>
                <w:color w:val="auto"/>
              </w:rPr>
              <w:t>Movement in the net benefit obligation recognised in non-current other liabilities was as follows:</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b w:val="1"/>
                <w:bCs w:val="1"/>
                <w:color w:val="auto"/>
              </w:rPr>
              <w:t>Present Value of</w:t>
            </w:r>
          </w:p>
        </w:tc>
        <w:tc>
          <w:tcPr>
            <w:tcW w:w="1580" w:type="dxa"/>
            <w:vAlign w:val="bottom"/>
          </w:tcPr>
          <w:p>
            <w:pPr>
              <w:jc w:val="right"/>
              <w:ind w:right="220"/>
              <w:spacing w:after="0"/>
              <w:rPr>
                <w:sz w:val="20"/>
                <w:szCs w:val="20"/>
                <w:color w:val="auto"/>
              </w:rPr>
            </w:pPr>
            <w:r>
              <w:rPr>
                <w:rFonts w:ascii="Arial" w:cs="Arial" w:eastAsia="Arial" w:hAnsi="Arial"/>
                <w:sz w:val="16"/>
                <w:szCs w:val="16"/>
                <w:b w:val="1"/>
                <w:bCs w:val="1"/>
                <w:color w:val="auto"/>
                <w:w w:val="93"/>
              </w:rPr>
              <w:t>Fair Value of Plan</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b w:val="1"/>
                <w:bCs w:val="1"/>
                <w:color w:val="auto"/>
              </w:rPr>
              <w:t>Obligations</w:t>
            </w:r>
          </w:p>
        </w:tc>
        <w:tc>
          <w:tcPr>
            <w:tcW w:w="1580" w:type="dxa"/>
            <w:vAlign w:val="bottom"/>
          </w:tcPr>
          <w:p>
            <w:pPr>
              <w:jc w:val="right"/>
              <w:ind w:right="220"/>
              <w:spacing w:after="0"/>
              <w:rPr>
                <w:sz w:val="20"/>
                <w:szCs w:val="20"/>
                <w:color w:val="auto"/>
              </w:rPr>
            </w:pPr>
            <w:r>
              <w:rPr>
                <w:rFonts w:ascii="Arial" w:cs="Arial" w:eastAsia="Arial" w:hAnsi="Arial"/>
                <w:sz w:val="16"/>
                <w:szCs w:val="16"/>
                <w:b w:val="1"/>
                <w:bCs w:val="1"/>
                <w:color w:val="auto"/>
              </w:rPr>
              <w:t>Assets</w:t>
            </w:r>
          </w:p>
        </w:tc>
        <w:tc>
          <w:tcPr>
            <w:tcW w:w="1180" w:type="dxa"/>
            <w:vAlign w:val="bottom"/>
            <w:gridSpan w:val="2"/>
          </w:tcPr>
          <w:p>
            <w:pPr>
              <w:ind w:left="7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5,350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Current service costs</w:t>
            </w:r>
          </w:p>
        </w:tc>
        <w:tc>
          <w:tcPr>
            <w:tcW w:w="1840" w:type="dxa"/>
            <w:vAlign w:val="bottom"/>
          </w:tcPr>
          <w:p>
            <w:pPr>
              <w:jc w:val="right"/>
              <w:spacing w:after="0"/>
              <w:rPr>
                <w:sz w:val="20"/>
                <w:szCs w:val="20"/>
                <w:color w:val="auto"/>
              </w:rPr>
            </w:pPr>
            <w:r>
              <w:rPr>
                <w:rFonts w:ascii="Arial" w:cs="Arial" w:eastAsia="Arial" w:hAnsi="Arial"/>
                <w:sz w:val="16"/>
                <w:szCs w:val="16"/>
                <w:color w:val="auto"/>
              </w:rPr>
              <w:t>(352)</w:t>
            </w:r>
          </w:p>
        </w:tc>
        <w:tc>
          <w:tcPr>
            <w:tcW w:w="1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expense/(income)</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Past service cost</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(8,883)</w:t>
            </w:r>
          </w:p>
        </w:tc>
        <w:tc>
          <w:tcPr>
            <w:tcW w:w="1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5,398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Re-measurements</w:t>
            </w:r>
          </w:p>
        </w:tc>
        <w:tc>
          <w:tcPr>
            <w:tcW w:w="18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Experience adjustment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996</w:t>
            </w:r>
          </w:p>
        </w:tc>
        <w:tc>
          <w:tcPr>
            <w:tcW w:w="1580" w:type="dxa"/>
            <w:vAlign w:val="bottom"/>
          </w:tcPr>
          <w:p>
            <w:pPr>
              <w:jc w:val="right"/>
              <w:ind w:right="220"/>
              <w:spacing w:after="0"/>
              <w:rPr>
                <w:sz w:val="20"/>
                <w:szCs w:val="20"/>
                <w:color w:val="auto"/>
              </w:rPr>
            </w:pPr>
            <w:r>
              <w:rPr>
                <w:rFonts w:ascii="Arial" w:cs="Arial" w:eastAsia="Arial" w:hAnsi="Arial"/>
                <w:sz w:val="16"/>
                <w:szCs w:val="16"/>
                <w:color w:val="auto"/>
              </w:rPr>
              <w:t>1,233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Gain or loss from change in demographic assumptions</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or loss from change in financial assumptions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1,157</w:t>
            </w:r>
          </w:p>
        </w:tc>
        <w:tc>
          <w:tcPr>
            <w:tcW w:w="1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1,233</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Exchange differences</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(114)</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Contributions:</w:t>
            </w:r>
          </w:p>
        </w:tc>
        <w:tc>
          <w:tcPr>
            <w:tcW w:w="18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 Employers</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20"/>
              <w:spacing w:after="0"/>
              <w:rPr>
                <w:sz w:val="20"/>
                <w:szCs w:val="20"/>
                <w:color w:val="auto"/>
              </w:rPr>
            </w:pPr>
            <w:r>
              <w:rPr>
                <w:rFonts w:ascii="Arial" w:cs="Arial" w:eastAsia="Arial" w:hAnsi="Arial"/>
                <w:sz w:val="16"/>
                <w:szCs w:val="16"/>
                <w:color w:val="auto"/>
              </w:rPr>
              <w:t>195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 Plan participants</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150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Benefit payments</w:t>
            </w:r>
          </w:p>
        </w:tc>
        <w:tc>
          <w:tcPr>
            <w:tcW w:w="1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856</w:t>
            </w:r>
          </w:p>
        </w:tc>
        <w:tc>
          <w:tcPr>
            <w:tcW w:w="15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(856)</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706</w:t>
            </w:r>
          </w:p>
        </w:tc>
        <w:tc>
          <w:tcPr>
            <w:tcW w:w="1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(511)</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2016</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(6,928)</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6,006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860" w:type="dxa"/>
            <w:vAlign w:val="bottom"/>
            <w:gridSpan w:val="2"/>
          </w:tcPr>
          <w:p>
            <w:pPr>
              <w:jc w:val="right"/>
              <w:ind w:right="980"/>
              <w:spacing w:after="0"/>
              <w:rPr>
                <w:sz w:val="20"/>
                <w:szCs w:val="20"/>
                <w:color w:val="auto"/>
              </w:rPr>
            </w:pPr>
            <w:r>
              <w:rPr>
                <w:rFonts w:ascii="Arial" w:cs="Arial" w:eastAsia="Arial" w:hAnsi="Arial"/>
                <w:sz w:val="16"/>
                <w:szCs w:val="16"/>
                <w:color w:val="auto"/>
              </w:rPr>
              <w:t>59</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123"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b w:val="1"/>
                <w:bCs w:val="1"/>
                <w:color w:val="auto"/>
              </w:rPr>
              <w:t>Present Value of</w:t>
            </w:r>
          </w:p>
        </w:tc>
        <w:tc>
          <w:tcPr>
            <w:tcW w:w="1540" w:type="dxa"/>
            <w:vAlign w:val="bottom"/>
          </w:tcPr>
          <w:p>
            <w:pPr>
              <w:jc w:val="right"/>
              <w:ind w:right="180"/>
              <w:spacing w:after="0"/>
              <w:rPr>
                <w:sz w:val="20"/>
                <w:szCs w:val="20"/>
                <w:color w:val="auto"/>
              </w:rPr>
            </w:pPr>
            <w:r>
              <w:rPr>
                <w:rFonts w:ascii="Arial" w:cs="Arial" w:eastAsia="Arial" w:hAnsi="Arial"/>
                <w:sz w:val="16"/>
                <w:szCs w:val="16"/>
                <w:b w:val="1"/>
                <w:bCs w:val="1"/>
                <w:color w:val="auto"/>
                <w:w w:val="93"/>
              </w:rPr>
              <w:t>Fair Value of Plan</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b w:val="1"/>
                <w:bCs w:val="1"/>
                <w:color w:val="auto"/>
              </w:rPr>
              <w:t>Obligations</w:t>
            </w:r>
          </w:p>
        </w:tc>
        <w:tc>
          <w:tcPr>
            <w:tcW w:w="1540" w:type="dxa"/>
            <w:vAlign w:val="bottom"/>
          </w:tcPr>
          <w:p>
            <w:pPr>
              <w:jc w:val="right"/>
              <w:ind w:right="180"/>
              <w:spacing w:after="0"/>
              <w:rPr>
                <w:sz w:val="20"/>
                <w:szCs w:val="20"/>
                <w:color w:val="auto"/>
              </w:rPr>
            </w:pPr>
            <w:r>
              <w:rPr>
                <w:rFonts w:ascii="Arial" w:cs="Arial" w:eastAsia="Arial" w:hAnsi="Arial"/>
                <w:sz w:val="16"/>
                <w:szCs w:val="16"/>
                <w:b w:val="1"/>
                <w:bCs w:val="1"/>
                <w:color w:val="auto"/>
              </w:rPr>
              <w:t>Assets</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b w:val="1"/>
                <w:bCs w:val="1"/>
                <w:color w:val="auto"/>
              </w:rPr>
              <w:t>$’000</w:t>
            </w:r>
          </w:p>
        </w:tc>
        <w:tc>
          <w:tcPr>
            <w:tcW w:w="154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7,061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Current service costs</w:t>
            </w:r>
          </w:p>
        </w:tc>
        <w:tc>
          <w:tcPr>
            <w:tcW w:w="1480" w:type="dxa"/>
            <w:vAlign w:val="bottom"/>
          </w:tcPr>
          <w:p>
            <w:pPr>
              <w:jc w:val="right"/>
              <w:spacing w:after="0"/>
              <w:rPr>
                <w:sz w:val="20"/>
                <w:szCs w:val="20"/>
                <w:color w:val="auto"/>
              </w:rPr>
            </w:pPr>
            <w:r>
              <w:rPr>
                <w:rFonts w:ascii="Arial" w:cs="Arial" w:eastAsia="Arial" w:hAnsi="Arial"/>
                <w:sz w:val="16"/>
                <w:szCs w:val="16"/>
                <w:color w:val="auto"/>
              </w:rPr>
              <w:t>(402)</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expense/(income)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Past service cost</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(9,445)</w:t>
            </w:r>
          </w:p>
        </w:tc>
        <w:tc>
          <w:tcPr>
            <w:tcW w:w="15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7,154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Re-measurements</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Experience adjustment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913</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(1,075)</w:t>
            </w:r>
          </w:p>
        </w:tc>
        <w:tc>
          <w:tcPr>
            <w:tcW w:w="12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Gain or loss from change in demographic assumptions</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or loss from change in financial assumptions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5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(1,075)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Exchange differences</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Contributions:</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 Employers</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194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 Plan participants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5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216</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Benefit payments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1,146</w:t>
            </w: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(1,146)</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930</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194</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(8,537)</w:t>
            </w:r>
          </w:p>
        </w:tc>
        <w:tc>
          <w:tcPr>
            <w:tcW w:w="15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5,350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220" w:type="dxa"/>
            <w:vAlign w:val="bottom"/>
            <w:gridSpan w:val="2"/>
          </w:tcPr>
          <w:p>
            <w:pPr>
              <w:spacing w:after="0"/>
              <w:rPr>
                <w:sz w:val="20"/>
                <w:szCs w:val="20"/>
                <w:color w:val="auto"/>
              </w:rPr>
            </w:pPr>
            <w:r>
              <w:rPr>
                <w:rFonts w:ascii="Arial" w:cs="Arial" w:eastAsia="Arial" w:hAnsi="Arial"/>
                <w:sz w:val="16"/>
                <w:szCs w:val="16"/>
                <w:color w:val="auto"/>
                <w:w w:val="92"/>
              </w:rPr>
              <w:t>Re-measurements are recognised in the Consolidated Statement of Other Comprehensive Income as follows:</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Return on Plan Assets (excl. amounts included in interest income/expense)</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Gain or loss from change in demographic assumptions</w:t>
            </w: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381</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Gain or loss from change in financial assumptions</w:t>
            </w:r>
          </w:p>
        </w:tc>
        <w:tc>
          <w:tcPr>
            <w:tcW w:w="1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at end of year</w:t>
            </w:r>
          </w:p>
        </w:tc>
        <w:tc>
          <w:tcPr>
            <w:tcW w:w="14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2,390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(1,156)</w:t>
            </w:r>
          </w:p>
        </w:tc>
        <w:tc>
          <w:tcPr>
            <w:tcW w:w="0" w:type="dxa"/>
            <w:vAlign w:val="bottom"/>
          </w:tcPr>
          <w:p>
            <w:pPr>
              <w:spacing w:after="0"/>
              <w:rPr>
                <w:sz w:val="1"/>
                <w:szCs w:val="1"/>
                <w:color w:val="auto"/>
              </w:rPr>
            </w:pPr>
          </w:p>
        </w:tc>
      </w:tr>
      <w:tr>
        <w:trPr>
          <w:trHeight w:val="396"/>
        </w:trPr>
        <w:tc>
          <w:tcPr>
            <w:tcW w:w="7220" w:type="dxa"/>
            <w:vAlign w:val="bottom"/>
            <w:gridSpan w:val="2"/>
          </w:tcPr>
          <w:p>
            <w:pPr>
              <w:spacing w:after="0"/>
              <w:rPr>
                <w:sz w:val="20"/>
                <w:szCs w:val="20"/>
                <w:color w:val="auto"/>
              </w:rPr>
            </w:pPr>
            <w:r>
              <w:rPr>
                <w:rFonts w:ascii="Arial" w:cs="Arial" w:eastAsia="Arial" w:hAnsi="Arial"/>
                <w:sz w:val="16"/>
                <w:szCs w:val="16"/>
                <w:color w:val="auto"/>
              </w:rPr>
              <w:t>Defined benefit pension expense recognised in the Consolidated Income Statement was as follows:</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Current service cost recognised in profit or loss</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352</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interest expense recognised in profit or loss</w:t>
            </w:r>
          </w:p>
        </w:tc>
        <w:tc>
          <w:tcPr>
            <w:tcW w:w="148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34</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Past service cost</w:t>
            </w:r>
          </w:p>
        </w:tc>
        <w:tc>
          <w:tcPr>
            <w:tcW w:w="1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periodic pension cost</w:t>
            </w:r>
          </w:p>
        </w:tc>
        <w:tc>
          <w:tcPr>
            <w:tcW w:w="14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298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468</w:t>
            </w:r>
          </w:p>
        </w:tc>
        <w:tc>
          <w:tcPr>
            <w:tcW w:w="0" w:type="dxa"/>
            <w:vAlign w:val="bottom"/>
          </w:tcPr>
          <w:p>
            <w:pPr>
              <w:spacing w:after="0"/>
              <w:rPr>
                <w:sz w:val="1"/>
                <w:szCs w:val="1"/>
                <w:color w:val="auto"/>
              </w:rPr>
            </w:pPr>
          </w:p>
        </w:tc>
      </w:tr>
      <w:tr>
        <w:trPr>
          <w:trHeight w:val="336"/>
        </w:trPr>
        <w:tc>
          <w:tcPr>
            <w:tcW w:w="7220" w:type="dxa"/>
            <w:vAlign w:val="bottom"/>
            <w:gridSpan w:val="2"/>
          </w:tcPr>
          <w:p>
            <w:pPr>
              <w:jc w:val="right"/>
              <w:ind w:right="1340"/>
              <w:spacing w:after="0"/>
              <w:rPr>
                <w:sz w:val="20"/>
                <w:szCs w:val="20"/>
                <w:color w:val="auto"/>
              </w:rPr>
            </w:pPr>
            <w:r>
              <w:rPr>
                <w:rFonts w:ascii="Arial" w:cs="Arial" w:eastAsia="Arial" w:hAnsi="Arial"/>
                <w:sz w:val="16"/>
                <w:szCs w:val="16"/>
                <w:color w:val="auto"/>
              </w:rPr>
              <w:t>60</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Retirement benefit obligations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gridSpan w:val="2"/>
          </w:tcPr>
          <w:p>
            <w:pPr>
              <w:spacing w:after="0"/>
              <w:rPr>
                <w:sz w:val="20"/>
                <w:szCs w:val="20"/>
                <w:color w:val="auto"/>
              </w:rPr>
            </w:pPr>
            <w:r>
              <w:rPr>
                <w:rFonts w:ascii="Arial" w:cs="Arial" w:eastAsia="Arial" w:hAnsi="Arial"/>
                <w:sz w:val="16"/>
                <w:szCs w:val="16"/>
                <w:i w:val="1"/>
                <w:iCs w:val="1"/>
                <w:color w:val="auto"/>
              </w:rPr>
              <w:t>Plan Assets Fair Value</w:t>
            </w:r>
          </w:p>
        </w:tc>
        <w:tc>
          <w:tcPr>
            <w:tcW w:w="3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880" w:type="dxa"/>
            <w:vAlign w:val="bottom"/>
            <w:gridSpan w:val="2"/>
          </w:tcPr>
          <w:p>
            <w:pPr>
              <w:spacing w:after="0"/>
              <w:rPr>
                <w:sz w:val="20"/>
                <w:szCs w:val="20"/>
                <w:color w:val="auto"/>
              </w:rPr>
            </w:pPr>
            <w:r>
              <w:rPr>
                <w:rFonts w:ascii="Arial" w:cs="Arial" w:eastAsia="Arial" w:hAnsi="Arial"/>
                <w:sz w:val="16"/>
                <w:szCs w:val="16"/>
                <w:color w:val="auto"/>
              </w:rPr>
              <w:t>The fair value of plan assets at 31 December 2016 is analysed as follows:</w:t>
            </w:r>
          </w:p>
        </w:tc>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320" w:type="dxa"/>
            <w:vAlign w:val="bottom"/>
          </w:tcPr>
          <w:p>
            <w:pPr>
              <w:jc w:val="right"/>
              <w:ind w:right="160"/>
              <w:spacing w:after="0"/>
              <w:rPr>
                <w:sz w:val="20"/>
                <w:szCs w:val="20"/>
                <w:color w:val="auto"/>
              </w:rPr>
            </w:pPr>
            <w:r>
              <w:rPr>
                <w:rFonts w:ascii="Arial" w:cs="Arial" w:eastAsia="Arial" w:hAnsi="Arial"/>
                <w:sz w:val="16"/>
                <w:szCs w:val="16"/>
                <w:b w:val="1"/>
                <w:bCs w:val="1"/>
                <w:color w:val="auto"/>
              </w:rPr>
              <w:t>31 December</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3320" w:type="dxa"/>
            <w:vAlign w:val="bottom"/>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32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Unit funds</w:t>
            </w:r>
          </w:p>
        </w:tc>
        <w:tc>
          <w:tcPr>
            <w:tcW w:w="3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6,006</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5,350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assets of the scheme are invested in an insured plan with Swiss Life and held in a combination of debt securities, equity securities and in real estate. There is no self-investment in employer related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Sensitivity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sensitivity of the defined benefit obligation to changes in the weighted principal assumptions 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920" w:type="dxa"/>
            <w:vAlign w:val="bottom"/>
          </w:tcPr>
          <w:p>
            <w:pPr>
              <w:jc w:val="center"/>
              <w:ind w:left="280"/>
              <w:spacing w:after="0"/>
              <w:rPr>
                <w:sz w:val="20"/>
                <w:szCs w:val="20"/>
                <w:color w:val="auto"/>
              </w:rPr>
            </w:pPr>
            <w:r>
              <w:rPr>
                <w:rFonts w:ascii="Arial" w:cs="Arial" w:eastAsia="Arial" w:hAnsi="Arial"/>
                <w:sz w:val="16"/>
                <w:szCs w:val="16"/>
                <w:b w:val="1"/>
                <w:bCs w:val="1"/>
                <w:color w:val="auto"/>
                <w:w w:val="89"/>
              </w:rPr>
              <w:t>Change in Assumption</w:t>
            </w:r>
          </w:p>
        </w:tc>
        <w:tc>
          <w:tcPr>
            <w:tcW w:w="3720" w:type="dxa"/>
            <w:vAlign w:val="bottom"/>
          </w:tcPr>
          <w:p>
            <w:pPr>
              <w:jc w:val="center"/>
              <w:ind w:right="220"/>
              <w:spacing w:after="0"/>
              <w:rPr>
                <w:sz w:val="20"/>
                <w:szCs w:val="20"/>
                <w:color w:val="auto"/>
              </w:rPr>
            </w:pPr>
            <w:r>
              <w:rPr>
                <w:rFonts w:ascii="Arial" w:cs="Arial" w:eastAsia="Arial" w:hAnsi="Arial"/>
                <w:sz w:val="16"/>
                <w:szCs w:val="16"/>
                <w:b w:val="1"/>
                <w:bCs w:val="1"/>
                <w:color w:val="auto"/>
                <w:w w:val="91"/>
              </w:rPr>
              <w:t>Change in Liabilities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492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Decrease of 0.25% p.a.</w:t>
            </w:r>
          </w:p>
        </w:tc>
        <w:tc>
          <w:tcPr>
            <w:tcW w:w="3720" w:type="dxa"/>
            <w:vAlign w:val="bottom"/>
            <w:shd w:val="clear" w:color="auto" w:fill="CCEEFF"/>
          </w:tcPr>
          <w:p>
            <w:pPr>
              <w:jc w:val="center"/>
              <w:ind w:right="220"/>
              <w:spacing w:after="0"/>
              <w:rPr>
                <w:sz w:val="20"/>
                <w:szCs w:val="20"/>
                <w:color w:val="auto"/>
              </w:rPr>
            </w:pPr>
            <w:r>
              <w:rPr>
                <w:rFonts w:ascii="Arial" w:cs="Arial" w:eastAsia="Arial" w:hAnsi="Arial"/>
                <w:sz w:val="16"/>
                <w:szCs w:val="16"/>
                <w:color w:val="auto"/>
                <w:w w:val="88"/>
              </w:rPr>
              <w:t>Increase by 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Rate of Inflation</w:t>
            </w:r>
          </w:p>
        </w:tc>
        <w:tc>
          <w:tcPr>
            <w:tcW w:w="4920" w:type="dxa"/>
            <w:vAlign w:val="bottom"/>
          </w:tcPr>
          <w:p>
            <w:pPr>
              <w:jc w:val="center"/>
              <w:ind w:left="260"/>
              <w:spacing w:after="0"/>
              <w:rPr>
                <w:sz w:val="20"/>
                <w:szCs w:val="20"/>
                <w:color w:val="auto"/>
              </w:rPr>
            </w:pPr>
            <w:r>
              <w:rPr>
                <w:rFonts w:ascii="Arial" w:cs="Arial" w:eastAsia="Arial" w:hAnsi="Arial"/>
                <w:sz w:val="16"/>
                <w:szCs w:val="16"/>
                <w:color w:val="auto"/>
                <w:w w:val="88"/>
              </w:rPr>
              <w:t>Increase of 0.25% p.a.</w:t>
            </w:r>
          </w:p>
        </w:tc>
        <w:tc>
          <w:tcPr>
            <w:tcW w:w="3720" w:type="dxa"/>
            <w:vAlign w:val="bottom"/>
          </w:tcPr>
          <w:p>
            <w:pPr>
              <w:jc w:val="center"/>
              <w:ind w:right="220"/>
              <w:spacing w:after="0"/>
              <w:rPr>
                <w:sz w:val="20"/>
                <w:szCs w:val="20"/>
                <w:color w:val="auto"/>
              </w:rPr>
            </w:pPr>
            <w:r>
              <w:rPr>
                <w:rFonts w:ascii="Arial" w:cs="Arial" w:eastAsia="Arial" w:hAnsi="Arial"/>
                <w:sz w:val="16"/>
                <w:szCs w:val="16"/>
                <w:color w:val="auto"/>
                <w:w w:val="88"/>
              </w:rPr>
              <w:t>Increase by 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Rate of Salary Growth</w:t>
            </w:r>
          </w:p>
        </w:tc>
        <w:tc>
          <w:tcPr>
            <w:tcW w:w="492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8"/>
              </w:rPr>
              <w:t>Increase of 0.25% p.a.</w:t>
            </w:r>
          </w:p>
        </w:tc>
        <w:tc>
          <w:tcPr>
            <w:tcW w:w="3720" w:type="dxa"/>
            <w:vAlign w:val="bottom"/>
            <w:shd w:val="clear" w:color="auto" w:fill="CCEEFF"/>
          </w:tcPr>
          <w:p>
            <w:pPr>
              <w:jc w:val="center"/>
              <w:ind w:right="220"/>
              <w:spacing w:after="0"/>
              <w:rPr>
                <w:sz w:val="20"/>
                <w:szCs w:val="20"/>
                <w:color w:val="auto"/>
              </w:rPr>
            </w:pPr>
            <w:r>
              <w:rPr>
                <w:rFonts w:ascii="Arial" w:cs="Arial" w:eastAsia="Arial" w:hAnsi="Arial"/>
                <w:sz w:val="16"/>
                <w:szCs w:val="16"/>
                <w:color w:val="auto"/>
                <w:w w:val="88"/>
              </w:rPr>
              <w:t>Increase by 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of Mortality</w:t>
            </w:r>
          </w:p>
        </w:tc>
        <w:tc>
          <w:tcPr>
            <w:tcW w:w="4920" w:type="dxa"/>
            <w:vAlign w:val="bottom"/>
            <w:tcBorders>
              <w:bottom w:val="single" w:sz="8" w:color="auto"/>
            </w:tcBorders>
          </w:tcPr>
          <w:p>
            <w:pPr>
              <w:jc w:val="center"/>
              <w:ind w:left="260"/>
              <w:spacing w:after="0"/>
              <w:rPr>
                <w:sz w:val="20"/>
                <w:szCs w:val="20"/>
                <w:color w:val="auto"/>
              </w:rPr>
            </w:pPr>
            <w:r>
              <w:rPr>
                <w:rFonts w:ascii="Arial" w:cs="Arial" w:eastAsia="Arial" w:hAnsi="Arial"/>
                <w:sz w:val="16"/>
                <w:szCs w:val="16"/>
                <w:color w:val="auto"/>
                <w:w w:val="90"/>
              </w:rPr>
              <w:t>Decrease in mortality rate of 1.00% p.a.</w:t>
            </w:r>
          </w:p>
        </w:tc>
        <w:tc>
          <w:tcPr>
            <w:tcW w:w="3720" w:type="dxa"/>
            <w:vAlign w:val="bottom"/>
            <w:tcBorders>
              <w:bottom w:val="single" w:sz="8" w:color="auto"/>
            </w:tcBorders>
          </w:tcPr>
          <w:p>
            <w:pPr>
              <w:jc w:val="center"/>
              <w:ind w:right="220"/>
              <w:spacing w:after="0"/>
              <w:rPr>
                <w:sz w:val="20"/>
                <w:szCs w:val="20"/>
                <w:color w:val="auto"/>
              </w:rPr>
            </w:pPr>
            <w:r>
              <w:rPr>
                <w:rFonts w:ascii="Arial" w:cs="Arial" w:eastAsia="Arial" w:hAnsi="Arial"/>
                <w:sz w:val="16"/>
                <w:szCs w:val="16"/>
                <w:color w:val="auto"/>
                <w:w w:val="88"/>
              </w:rPr>
              <w:t>Increase by 0.1%</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2016 is 19 years.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Share based payment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92"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On 14 February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Share based payments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14 February 2027.</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 summary of the total number of options outstanding and number of options available to grant under each plan as at 31 December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8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Outstanding</w:t>
            </w:r>
          </w:p>
        </w:tc>
        <w:tc>
          <w:tcPr>
            <w:tcW w:w="25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Available to Grant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2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31 December</w:t>
            </w:r>
          </w:p>
        </w:tc>
        <w:tc>
          <w:tcPr>
            <w:tcW w:w="1360" w:type="dxa"/>
            <w:vAlign w:val="bottom"/>
          </w:tcPr>
          <w:p>
            <w:pPr>
              <w:jc w:val="right"/>
              <w:ind w:right="16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2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2015</w:t>
            </w:r>
          </w:p>
        </w:tc>
        <w:tc>
          <w:tcPr>
            <w:tcW w:w="1360" w:type="dxa"/>
            <w:vAlign w:val="bottom"/>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1998</w:t>
            </w: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Long Term Incentive Plan</w:t>
            </w:r>
          </w:p>
        </w:tc>
        <w:tc>
          <w:tcPr>
            <w:tcW w:w="33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2003</w:t>
            </w:r>
          </w:p>
        </w:tc>
        <w:tc>
          <w:tcPr>
            <w:tcW w:w="3820" w:type="dxa"/>
            <w:vAlign w:val="bottom"/>
          </w:tcPr>
          <w:p>
            <w:pPr>
              <w:spacing w:after="0"/>
              <w:rPr>
                <w:sz w:val="20"/>
                <w:szCs w:val="20"/>
                <w:color w:val="auto"/>
              </w:rPr>
            </w:pPr>
            <w:r>
              <w:rPr>
                <w:rFonts w:ascii="Arial" w:cs="Arial" w:eastAsia="Arial" w:hAnsi="Arial"/>
                <w:sz w:val="16"/>
                <w:szCs w:val="16"/>
                <w:color w:val="auto"/>
              </w:rPr>
              <w:t>Stock Option Plan</w:t>
            </w:r>
          </w:p>
        </w:tc>
        <w:tc>
          <w:tcPr>
            <w:tcW w:w="3320" w:type="dxa"/>
            <w:vAlign w:val="bottom"/>
          </w:tcPr>
          <w:p>
            <w:pPr>
              <w:jc w:val="right"/>
              <w:ind w:right="200"/>
              <w:spacing w:after="0"/>
              <w:rPr>
                <w:sz w:val="20"/>
                <w:szCs w:val="20"/>
                <w:color w:val="auto"/>
              </w:rPr>
            </w:pPr>
            <w:r>
              <w:rPr>
                <w:rFonts w:ascii="Arial" w:cs="Arial" w:eastAsia="Arial" w:hAnsi="Arial"/>
                <w:sz w:val="16"/>
                <w:szCs w:val="16"/>
                <w:b w:val="1"/>
                <w:bCs w:val="1"/>
                <w:color w:val="auto"/>
              </w:rPr>
              <w:t>179,068</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362,382</w:t>
            </w:r>
          </w:p>
        </w:tc>
        <w:tc>
          <w:tcPr>
            <w:tcW w:w="136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2008</w:t>
            </w: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Stock Option Plans</w:t>
            </w:r>
          </w:p>
        </w:tc>
        <w:tc>
          <w:tcPr>
            <w:tcW w:w="33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1,287,376</w:t>
            </w:r>
          </w:p>
        </w:tc>
        <w:tc>
          <w:tcPr>
            <w:tcW w:w="1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1,264,200</w:t>
            </w:r>
          </w:p>
        </w:tc>
        <w:tc>
          <w:tcPr>
            <w:tcW w:w="1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3,513,068</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3,753,896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3"/>
              </w:rPr>
              <w:t>Total</w:t>
            </w:r>
          </w:p>
        </w:tc>
        <w:tc>
          <w:tcPr>
            <w:tcW w:w="3820" w:type="dxa"/>
            <w:vAlign w:val="bottom"/>
            <w:tcBorders>
              <w:bottom w:val="single" w:sz="8" w:color="auto"/>
            </w:tcBorders>
            <w:shd w:val="clear" w:color="auto" w:fill="CCEEFF"/>
          </w:tcPr>
          <w:p>
            <w:pPr>
              <w:spacing w:after="0"/>
              <w:rPr>
                <w:sz w:val="20"/>
                <w:szCs w:val="20"/>
                <w:color w:val="auto"/>
              </w:rPr>
            </w:pPr>
          </w:p>
        </w:tc>
        <w:tc>
          <w:tcPr>
            <w:tcW w:w="33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1,466,444</w:t>
            </w:r>
          </w:p>
        </w:tc>
        <w:tc>
          <w:tcPr>
            <w:tcW w:w="1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1,626,582</w:t>
            </w:r>
          </w:p>
        </w:tc>
        <w:tc>
          <w:tcPr>
            <w:tcW w:w="1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3,513,068</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3,753,896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1998 Long Term Incentive Plan expired on 14 January 2008 and no further options may be granted under this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2003 Share Option Plan expired on 17 January 2013 and no further options may be granted under this plan.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Share based payments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60" w:type="dxa"/>
            <w:vAlign w:val="bottom"/>
            <w:gridSpan w:val="2"/>
          </w:tcPr>
          <w:p>
            <w:pPr>
              <w:spacing w:after="0"/>
              <w:rPr>
                <w:sz w:val="20"/>
                <w:szCs w:val="20"/>
                <w:color w:val="auto"/>
              </w:rPr>
            </w:pPr>
            <w:r>
              <w:rPr>
                <w:rFonts w:ascii="Arial" w:cs="Arial" w:eastAsia="Arial" w:hAnsi="Arial"/>
                <w:sz w:val="16"/>
                <w:szCs w:val="16"/>
                <w:color w:val="auto"/>
              </w:rPr>
              <w:t>The total number of share options outstanding and exercisable at 31 December 2016 is as follows:</w:t>
            </w: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340" w:type="dxa"/>
            <w:vAlign w:val="bottom"/>
          </w:tcPr>
          <w:p>
            <w:pPr>
              <w:jc w:val="right"/>
              <w:ind w:right="60"/>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340" w:type="dxa"/>
            <w:vAlign w:val="bottom"/>
          </w:tcPr>
          <w:p>
            <w:pPr>
              <w:jc w:val="right"/>
              <w:ind w:right="60"/>
              <w:spacing w:after="0"/>
              <w:rPr>
                <w:sz w:val="20"/>
                <w:szCs w:val="20"/>
                <w:color w:val="auto"/>
              </w:rPr>
            </w:pPr>
            <w:r>
              <w:rPr>
                <w:rFonts w:ascii="Arial" w:cs="Arial" w:eastAsia="Arial" w:hAnsi="Arial"/>
                <w:sz w:val="16"/>
                <w:szCs w:val="16"/>
                <w:b w:val="1"/>
                <w:bCs w:val="1"/>
                <w:color w:val="auto"/>
              </w:rPr>
              <w:t>Options</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384"/>
        </w:trPr>
        <w:tc>
          <w:tcPr>
            <w:tcW w:w="20" w:type="dxa"/>
            <w:vAlign w:val="bottom"/>
            <w:vMerge w:val="restart"/>
          </w:tcPr>
          <w:p>
            <w:pPr>
              <w:spacing w:after="0"/>
              <w:rPr>
                <w:sz w:val="24"/>
                <w:szCs w:val="24"/>
                <w:color w:val="auto"/>
              </w:rPr>
            </w:pPr>
          </w:p>
        </w:tc>
        <w:tc>
          <w:tcPr>
            <w:tcW w:w="7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Outstanding at 31 December 2014</w:t>
            </w:r>
          </w:p>
        </w:tc>
        <w:tc>
          <w:tcPr>
            <w:tcW w:w="2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2,227,700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28.00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259,059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Exercised</w:t>
            </w:r>
          </w:p>
        </w:tc>
        <w:tc>
          <w:tcPr>
            <w:tcW w:w="2340" w:type="dxa"/>
            <w:vAlign w:val="bottom"/>
          </w:tcPr>
          <w:p>
            <w:pPr>
              <w:jc w:val="right"/>
              <w:spacing w:after="0"/>
              <w:rPr>
                <w:sz w:val="20"/>
                <w:szCs w:val="20"/>
                <w:color w:val="auto"/>
              </w:rPr>
            </w:pPr>
            <w:r>
              <w:rPr>
                <w:rFonts w:ascii="Arial" w:cs="Arial" w:eastAsia="Arial" w:hAnsi="Arial"/>
                <w:sz w:val="16"/>
                <w:szCs w:val="16"/>
                <w:color w:val="auto"/>
              </w:rPr>
              <w:t>(773,753)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Outstanding at 31 December 2015</w:t>
            </w:r>
          </w:p>
        </w:tc>
        <w:tc>
          <w:tcPr>
            <w:tcW w:w="2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1,626,582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256,191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Exercised</w:t>
            </w:r>
          </w:p>
        </w:tc>
        <w:tc>
          <w:tcPr>
            <w:tcW w:w="2340" w:type="dxa"/>
            <w:vAlign w:val="bottom"/>
          </w:tcPr>
          <w:p>
            <w:pPr>
              <w:jc w:val="right"/>
              <w:spacing w:after="0"/>
              <w:rPr>
                <w:sz w:val="20"/>
                <w:szCs w:val="20"/>
                <w:color w:val="auto"/>
              </w:rPr>
            </w:pPr>
            <w:r>
              <w:rPr>
                <w:rFonts w:ascii="Arial" w:cs="Arial" w:eastAsia="Arial" w:hAnsi="Arial"/>
                <w:sz w:val="16"/>
                <w:szCs w:val="16"/>
                <w:color w:val="auto"/>
              </w:rPr>
              <w:t>(393,240)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Outstanding at 31 December 2016</w:t>
            </w:r>
          </w:p>
        </w:tc>
        <w:tc>
          <w:tcPr>
            <w:tcW w:w="2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1,466,444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Exercisable at 31 December 2016</w:t>
            </w:r>
          </w:p>
        </w:tc>
        <w:tc>
          <w:tcPr>
            <w:tcW w:w="2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651,574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market price of the Company’s shares on date of exercise of share options during the year ended 31 December 2016 was $75.74 (31 December 2015: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$70.61).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Share based payments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2016, the range of exercise prices and weighted average remaining contractual life of outstanding and exercisable options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5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Options Exercisable</w:t>
            </w:r>
          </w:p>
        </w:tc>
      </w:tr>
      <w:tr>
        <w:trPr>
          <w:trHeight w:val="368"/>
        </w:trPr>
        <w:tc>
          <w:tcPr>
            <w:tcW w:w="4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2"/>
        </w:trPr>
        <w:tc>
          <w:tcPr>
            <w:tcW w:w="4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260" w:type="dxa"/>
            <w:vAlign w:val="bottom"/>
          </w:tcPr>
          <w:p>
            <w:pPr>
              <w:spacing w:after="0"/>
              <w:rPr>
                <w:sz w:val="16"/>
                <w:szCs w:val="16"/>
                <w:color w:val="auto"/>
              </w:rPr>
            </w:pPr>
          </w:p>
        </w:tc>
        <w:tc>
          <w:tcPr>
            <w:tcW w:w="1320" w:type="dxa"/>
            <w:vAlign w:val="bottom"/>
          </w:tcPr>
          <w:p>
            <w:pPr>
              <w:jc w:val="right"/>
              <w:ind w:right="220"/>
              <w:spacing w:after="0"/>
              <w:rPr>
                <w:sz w:val="20"/>
                <w:szCs w:val="20"/>
                <w:color w:val="auto"/>
              </w:rPr>
            </w:pPr>
            <w:r>
              <w:rPr>
                <w:rFonts w:ascii="Arial" w:cs="Arial" w:eastAsia="Arial" w:hAnsi="Arial"/>
                <w:sz w:val="16"/>
                <w:szCs w:val="16"/>
                <w:b w:val="1"/>
                <w:bCs w:val="1"/>
                <w:color w:val="auto"/>
              </w:rPr>
              <w:t>Weighted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Weighted</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b w:val="1"/>
                <w:bCs w:val="1"/>
                <w:color w:val="auto"/>
              </w:rPr>
              <w:t>Range Exercise</w:t>
            </w:r>
          </w:p>
        </w:tc>
        <w:tc>
          <w:tcPr>
            <w:tcW w:w="1140" w:type="dxa"/>
            <w:vAlign w:val="bottom"/>
          </w:tcPr>
          <w:p>
            <w:pPr>
              <w:jc w:val="right"/>
              <w:ind w:right="60"/>
              <w:spacing w:after="0"/>
              <w:rPr>
                <w:sz w:val="20"/>
                <w:szCs w:val="20"/>
                <w:color w:val="auto"/>
              </w:rPr>
            </w:pPr>
            <w:r>
              <w:rPr>
                <w:rFonts w:ascii="Arial" w:cs="Arial" w:eastAsia="Arial" w:hAnsi="Arial"/>
                <w:sz w:val="16"/>
                <w:szCs w:val="16"/>
                <w:b w:val="1"/>
                <w:bCs w:val="1"/>
                <w:color w:val="auto"/>
              </w:rPr>
              <w:t>Number of</w:t>
            </w: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20" w:type="dxa"/>
            <w:vAlign w:val="bottom"/>
          </w:tcPr>
          <w:p>
            <w:pPr>
              <w:jc w:val="right"/>
              <w:ind w:right="220"/>
              <w:spacing w:after="0"/>
              <w:rPr>
                <w:sz w:val="20"/>
                <w:szCs w:val="20"/>
                <w:color w:val="auto"/>
              </w:rPr>
            </w:pPr>
            <w:r>
              <w:rPr>
                <w:rFonts w:ascii="Arial" w:cs="Arial" w:eastAsia="Arial" w:hAnsi="Arial"/>
                <w:sz w:val="16"/>
                <w:szCs w:val="16"/>
                <w:b w:val="1"/>
                <w:bCs w:val="1"/>
                <w:color w:val="auto"/>
              </w:rPr>
              <w:t>Average</w:t>
            </w: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6"/>
                <w:szCs w:val="16"/>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r>
      <w:tr>
        <w:trPr>
          <w:trHeight w:val="209"/>
        </w:trPr>
        <w:tc>
          <w:tcPr>
            <w:tcW w:w="4840" w:type="dxa"/>
            <w:vAlign w:val="bottom"/>
          </w:tcPr>
          <w:p>
            <w:pPr>
              <w:jc w:val="right"/>
              <w:ind w:right="180"/>
              <w:spacing w:after="0"/>
              <w:rPr>
                <w:sz w:val="20"/>
                <w:szCs w:val="20"/>
                <w:color w:val="auto"/>
              </w:rPr>
            </w:pPr>
            <w:r>
              <w:rPr>
                <w:rFonts w:ascii="Arial" w:cs="Arial" w:eastAsia="Arial" w:hAnsi="Arial"/>
                <w:sz w:val="16"/>
                <w:szCs w:val="16"/>
                <w:b w:val="1"/>
                <w:bCs w:val="1"/>
                <w:color w:val="auto"/>
              </w:rPr>
              <w:t>Price</w:t>
            </w:r>
          </w:p>
        </w:tc>
        <w:tc>
          <w:tcPr>
            <w:tcW w:w="1140" w:type="dxa"/>
            <w:vAlign w:val="bottom"/>
          </w:tcPr>
          <w:p>
            <w:pPr>
              <w:jc w:val="right"/>
              <w:ind w:right="60"/>
              <w:spacing w:after="0"/>
              <w:rPr>
                <w:sz w:val="20"/>
                <w:szCs w:val="20"/>
                <w:color w:val="auto"/>
              </w:rPr>
            </w:pPr>
            <w:r>
              <w:rPr>
                <w:rFonts w:ascii="Arial" w:cs="Arial" w:eastAsia="Arial" w:hAnsi="Arial"/>
                <w:sz w:val="16"/>
                <w:szCs w:val="16"/>
                <w:b w:val="1"/>
                <w:bCs w:val="1"/>
                <w:color w:val="auto"/>
              </w:rPr>
              <w:t>Shares</w:t>
            </w: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Contractual Life</w:t>
            </w:r>
          </w:p>
        </w:tc>
        <w:tc>
          <w:tcPr>
            <w:tcW w:w="260" w:type="dxa"/>
            <w:vAlign w:val="bottom"/>
          </w:tcPr>
          <w:p>
            <w:pPr>
              <w:spacing w:after="0"/>
              <w:rPr>
                <w:sz w:val="18"/>
                <w:szCs w:val="18"/>
                <w:color w:val="auto"/>
              </w:rPr>
            </w:pPr>
          </w:p>
        </w:tc>
        <w:tc>
          <w:tcPr>
            <w:tcW w:w="1320" w:type="dxa"/>
            <w:vAlign w:val="bottom"/>
          </w:tcPr>
          <w:p>
            <w:pPr>
              <w:jc w:val="right"/>
              <w:ind w:right="220"/>
              <w:spacing w:after="0"/>
              <w:rPr>
                <w:sz w:val="20"/>
                <w:szCs w:val="20"/>
                <w:color w:val="auto"/>
              </w:rPr>
            </w:pPr>
            <w:r>
              <w:rPr>
                <w:rFonts w:ascii="Arial" w:cs="Arial" w:eastAsia="Arial" w:hAnsi="Arial"/>
                <w:sz w:val="16"/>
                <w:szCs w:val="16"/>
                <w:b w:val="1"/>
                <w:bCs w:val="1"/>
                <w:color w:val="auto"/>
                <w:w w:val="91"/>
              </w:rPr>
              <w:t>Exercise Price</w:t>
            </w: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Exercise Price</w:t>
            </w:r>
          </w:p>
        </w:tc>
      </w:tr>
      <w:tr>
        <w:trPr>
          <w:trHeight w:val="192"/>
        </w:trPr>
        <w:tc>
          <w:tcPr>
            <w:tcW w:w="4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$15.84</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50,000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15.84</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15.84</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$16.80</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60,000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16.80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16.80</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$17.17</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6,000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17.17</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17.17</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$20.28</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107,588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20.28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107,588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20.28</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$20.59</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33,000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20.59</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20.59</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$22.26</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2,160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22.26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22.26</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$22.30</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173,642</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22.30</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112,061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22.30</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$23.66</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3,520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23.66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23.66</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$24.46</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60,816</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24.46</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60,816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24.46</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$26.20</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450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26.20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26.20</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$26.71</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4,450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26.71</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3,560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26.71</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$29.45</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3,000</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29.45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29.45</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$32.37</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165,865</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32.37</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95,457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32.37</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$36.22</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20,178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36.22</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36.22</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$37.90</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5,720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37.90</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37.90</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$40.83</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81,658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40.83</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24,646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40.83</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$47.03</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63,813</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47.03</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47.03</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$48.67</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118,493</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48.67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22,992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48.67</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$51.35</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4,030</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51.35</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51.35</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$65.60</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93,534</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65.60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10,557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65.60</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$66.47</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11,931</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66.47</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66.47</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$66.97</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3,118</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66.97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66.97</w:t>
            </w:r>
          </w:p>
        </w:tc>
      </w:tr>
      <w:tr>
        <w:trPr>
          <w:trHeight w:val="192"/>
        </w:trPr>
        <w:tc>
          <w:tcPr>
            <w:tcW w:w="4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$68.39</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231,687</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68.39</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53,789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68.39</w:t>
            </w:r>
          </w:p>
        </w:tc>
      </w:tr>
      <w:tr>
        <w:trPr>
          <w:trHeight w:val="192"/>
        </w:trPr>
        <w:tc>
          <w:tcPr>
            <w:tcW w:w="4840" w:type="dxa"/>
            <w:vAlign w:val="bottom"/>
          </w:tcPr>
          <w:p>
            <w:pPr>
              <w:jc w:val="right"/>
              <w:ind w:right="180"/>
              <w:spacing w:after="0"/>
              <w:rPr>
                <w:sz w:val="20"/>
                <w:szCs w:val="20"/>
                <w:color w:val="auto"/>
              </w:rPr>
            </w:pPr>
            <w:r>
              <w:rPr>
                <w:rFonts w:ascii="Arial" w:cs="Arial" w:eastAsia="Arial" w:hAnsi="Arial"/>
                <w:sz w:val="16"/>
                <w:szCs w:val="16"/>
                <w:color w:val="auto"/>
              </w:rPr>
              <w:t>$71.95</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161,791</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71.95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71.95</w:t>
            </w:r>
          </w:p>
        </w:tc>
      </w:tr>
      <w:tr>
        <w:trPr>
          <w:trHeight w:val="196"/>
        </w:trPr>
        <w:tc>
          <w:tcPr>
            <w:tcW w:w="48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192"/>
        </w:trPr>
        <w:tc>
          <w:tcPr>
            <w:tcW w:w="48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$15.84 - $71.95</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1,466,444</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43.45</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651,574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29.80</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 fair values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overall weighted average fair value of share options granted by the Company during the year ended 31 December 2016 was $21.04 based on the following grants: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jc w:val="right"/>
              <w:ind w:right="440"/>
              <w:spacing w:after="0"/>
              <w:rPr>
                <w:sz w:val="20"/>
                <w:szCs w:val="20"/>
                <w:color w:val="auto"/>
              </w:rPr>
            </w:pPr>
            <w:r>
              <w:rPr>
                <w:rFonts w:ascii="Arial" w:cs="Arial" w:eastAsia="Arial" w:hAnsi="Arial"/>
                <w:sz w:val="16"/>
                <w:szCs w:val="16"/>
                <w:b w:val="1"/>
                <w:bCs w:val="1"/>
                <w:color w:val="auto"/>
              </w:rPr>
              <w:t>Grant Date</w:t>
            </w:r>
          </w:p>
        </w:tc>
        <w:tc>
          <w:tcPr>
            <w:tcW w:w="4000" w:type="dxa"/>
            <w:vAlign w:val="bottom"/>
          </w:tcPr>
          <w:p>
            <w:pPr>
              <w:jc w:val="right"/>
              <w:ind w:right="1020"/>
              <w:spacing w:after="0"/>
              <w:rPr>
                <w:sz w:val="20"/>
                <w:szCs w:val="20"/>
                <w:color w:val="auto"/>
              </w:rPr>
            </w:pPr>
            <w:r>
              <w:rPr>
                <w:rFonts w:ascii="Arial" w:cs="Arial" w:eastAsia="Arial" w:hAnsi="Arial"/>
                <w:sz w:val="16"/>
                <w:szCs w:val="16"/>
                <w:b w:val="1"/>
                <w:bCs w:val="1"/>
                <w:color w:val="auto"/>
              </w:rPr>
              <w:t>Number of</w:t>
            </w:r>
          </w:p>
        </w:tc>
        <w:tc>
          <w:tcPr>
            <w:tcW w:w="2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4000" w:type="dxa"/>
            <w:vAlign w:val="bottom"/>
          </w:tcPr>
          <w:p>
            <w:pPr>
              <w:jc w:val="right"/>
              <w:ind w:right="1020"/>
              <w:spacing w:after="0"/>
              <w:rPr>
                <w:sz w:val="20"/>
                <w:szCs w:val="20"/>
                <w:color w:val="auto"/>
              </w:rPr>
            </w:pPr>
            <w:r>
              <w:rPr>
                <w:rFonts w:ascii="Arial" w:cs="Arial" w:eastAsia="Arial" w:hAnsi="Arial"/>
                <w:sz w:val="16"/>
                <w:szCs w:val="16"/>
                <w:b w:val="1"/>
                <w:bCs w:val="1"/>
                <w:color w:val="auto"/>
              </w:rPr>
              <w:t>Shares</w:t>
            </w:r>
          </w:p>
        </w:tc>
        <w:tc>
          <w:tcPr>
            <w:tcW w:w="2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4 Mar 16</w:t>
            </w:r>
          </w:p>
        </w:tc>
        <w:tc>
          <w:tcPr>
            <w:tcW w:w="400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rPr>
              <w:t>161,791</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 May 16</w:t>
            </w:r>
          </w:p>
        </w:tc>
        <w:tc>
          <w:tcPr>
            <w:tcW w:w="400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94,400</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256,191</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00" w:type="dxa"/>
            <w:vAlign w:val="bottom"/>
          </w:tcPr>
          <w:p>
            <w:pPr>
              <w:spacing w:after="0"/>
              <w:rPr>
                <w:sz w:val="24"/>
                <w:szCs w:val="24"/>
                <w:color w:val="auto"/>
              </w:rPr>
            </w:pPr>
          </w:p>
        </w:tc>
        <w:tc>
          <w:tcPr>
            <w:tcW w:w="4000" w:type="dxa"/>
            <w:vAlign w:val="bottom"/>
          </w:tcPr>
          <w:p>
            <w:pPr>
              <w:jc w:val="right"/>
              <w:ind w:right="3220"/>
              <w:spacing w:after="0"/>
              <w:rPr>
                <w:sz w:val="20"/>
                <w:szCs w:val="20"/>
                <w:color w:val="auto"/>
              </w:rPr>
            </w:pPr>
            <w:r>
              <w:rPr>
                <w:rFonts w:ascii="Arial" w:cs="Arial" w:eastAsia="Arial" w:hAnsi="Arial"/>
                <w:sz w:val="16"/>
                <w:szCs w:val="16"/>
                <w:color w:val="auto"/>
              </w:rPr>
              <w:t>64</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510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79" w:name="page80"/>
    <w:bookmarkEnd w:id="79"/>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right="8880" w:hanging="4"/>
        <w:spacing w:after="0" w:line="571" w:lineRule="auto"/>
        <w:tabs>
          <w:tab w:leader="none" w:pos="235"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based payments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continued</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Share option fair values</w:t>
      </w:r>
    </w:p>
    <w:p>
      <w:pPr>
        <w:ind w:left="4"/>
        <w:spacing w:after="0"/>
        <w:rPr>
          <w:sz w:val="20"/>
          <w:szCs w:val="20"/>
          <w:color w:val="auto"/>
        </w:rPr>
      </w:pPr>
      <w:r>
        <w:rPr>
          <w:rFonts w:ascii="Arial" w:cs="Arial" w:eastAsia="Arial" w:hAnsi="Arial"/>
          <w:sz w:val="15"/>
          <w:szCs w:val="15"/>
          <w:color w:val="auto"/>
        </w:rPr>
        <w:t>The overall weighted average fair value of share options granted by the Company during the year ended 31 December 2015 was $20.92 based on the following grants:</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5080" w:type="dxa"/>
            <w:vAlign w:val="bottom"/>
          </w:tcPr>
          <w:p>
            <w:pPr>
              <w:jc w:val="right"/>
              <w:ind w:right="1020"/>
              <w:spacing w:after="0"/>
              <w:rPr>
                <w:sz w:val="20"/>
                <w:szCs w:val="20"/>
                <w:color w:val="auto"/>
              </w:rPr>
            </w:pPr>
            <w:r>
              <w:rPr>
                <w:rFonts w:ascii="Arial" w:cs="Arial" w:eastAsia="Arial" w:hAnsi="Arial"/>
                <w:sz w:val="16"/>
                <w:szCs w:val="16"/>
                <w:b w:val="1"/>
                <w:bCs w:val="1"/>
                <w:color w:val="auto"/>
              </w:rPr>
              <w:t>Number of</w:t>
            </w:r>
          </w:p>
        </w:tc>
        <w:tc>
          <w:tcPr>
            <w:tcW w:w="2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080" w:type="dxa"/>
            <w:vAlign w:val="bottom"/>
          </w:tcPr>
          <w:p>
            <w:pPr>
              <w:jc w:val="right"/>
              <w:ind w:right="1020"/>
              <w:spacing w:after="0"/>
              <w:rPr>
                <w:sz w:val="20"/>
                <w:szCs w:val="20"/>
                <w:color w:val="auto"/>
              </w:rPr>
            </w:pPr>
            <w:r>
              <w:rPr>
                <w:rFonts w:ascii="Arial" w:cs="Arial" w:eastAsia="Arial" w:hAnsi="Arial"/>
                <w:sz w:val="16"/>
                <w:szCs w:val="16"/>
                <w:b w:val="1"/>
                <w:bCs w:val="1"/>
                <w:color w:val="auto"/>
              </w:rPr>
              <w:t>Shares</w:t>
            </w:r>
          </w:p>
        </w:tc>
        <w:tc>
          <w:tcPr>
            <w:tcW w:w="2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192"/>
        </w:trPr>
        <w:tc>
          <w:tcPr>
            <w:tcW w:w="180" w:type="dxa"/>
            <w:vAlign w:val="bottom"/>
            <w:shd w:val="clear" w:color="auto" w:fill="CCEEFF"/>
          </w:tcPr>
          <w:p>
            <w:pPr>
              <w:spacing w:after="0"/>
              <w:rPr>
                <w:sz w:val="20"/>
                <w:szCs w:val="20"/>
                <w:color w:val="auto"/>
              </w:rPr>
            </w:pPr>
            <w:r>
              <w:rPr>
                <w:rFonts w:ascii="Arial" w:cs="Arial" w:eastAsia="Arial" w:hAnsi="Arial"/>
                <w:sz w:val="16"/>
                <w:szCs w:val="16"/>
                <w:color w:val="auto"/>
                <w:w w:val="89"/>
              </w:rPr>
              <w:t>18</w:t>
            </w: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 15</w:t>
            </w:r>
          </w:p>
        </w:tc>
        <w:tc>
          <w:tcPr>
            <w:tcW w:w="508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rPr>
              <w:t>239,972</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20"/>
                <w:szCs w:val="20"/>
                <w:color w:val="auto"/>
              </w:rPr>
            </w:pPr>
            <w:r>
              <w:rPr>
                <w:rFonts w:ascii="Arial" w:cs="Arial" w:eastAsia="Arial" w:hAnsi="Arial"/>
                <w:sz w:val="16"/>
                <w:szCs w:val="16"/>
                <w:color w:val="auto"/>
                <w:w w:val="89"/>
              </w:rPr>
              <w:t>22</w:t>
            </w:r>
          </w:p>
        </w:tc>
        <w:tc>
          <w:tcPr>
            <w:tcW w:w="3840" w:type="dxa"/>
            <w:vAlign w:val="bottom"/>
          </w:tcPr>
          <w:p>
            <w:pPr>
              <w:ind w:left="20"/>
              <w:spacing w:after="0"/>
              <w:rPr>
                <w:sz w:val="20"/>
                <w:szCs w:val="20"/>
                <w:color w:val="auto"/>
              </w:rPr>
            </w:pPr>
            <w:r>
              <w:rPr>
                <w:rFonts w:ascii="Arial" w:cs="Arial" w:eastAsia="Arial" w:hAnsi="Arial"/>
                <w:sz w:val="16"/>
                <w:szCs w:val="16"/>
                <w:color w:val="auto"/>
              </w:rPr>
              <w:t>May 15</w:t>
            </w:r>
          </w:p>
        </w:tc>
        <w:tc>
          <w:tcPr>
            <w:tcW w:w="5080" w:type="dxa"/>
            <w:vAlign w:val="bottom"/>
          </w:tcPr>
          <w:p>
            <w:pPr>
              <w:jc w:val="right"/>
              <w:ind w:right="1020"/>
              <w:spacing w:after="0"/>
              <w:rPr>
                <w:sz w:val="20"/>
                <w:szCs w:val="20"/>
                <w:color w:val="auto"/>
              </w:rPr>
            </w:pPr>
            <w:r>
              <w:rPr>
                <w:rFonts w:ascii="Arial" w:cs="Arial" w:eastAsia="Arial" w:hAnsi="Arial"/>
                <w:sz w:val="16"/>
                <w:szCs w:val="16"/>
                <w:color w:val="auto"/>
              </w:rPr>
              <w:t>15,969</w:t>
            </w:r>
          </w:p>
        </w:tc>
        <w:tc>
          <w:tcPr>
            <w:tcW w:w="2340" w:type="dxa"/>
            <w:vAlign w:val="bottom"/>
          </w:tcPr>
          <w:p>
            <w:pPr>
              <w:jc w:val="right"/>
              <w:spacing w:after="0"/>
              <w:rPr>
                <w:sz w:val="20"/>
                <w:szCs w:val="20"/>
                <w:color w:val="auto"/>
              </w:rPr>
            </w:pPr>
            <w:r>
              <w:rPr>
                <w:rFonts w:ascii="Arial" w:cs="Arial" w:eastAsia="Arial" w:hAnsi="Arial"/>
                <w:sz w:val="16"/>
                <w:szCs w:val="16"/>
                <w:color w:val="auto"/>
              </w:rPr>
              <w:t>$66.47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15</w:t>
            </w:r>
          </w:p>
        </w:tc>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Jun 15</w:t>
            </w:r>
          </w:p>
        </w:tc>
        <w:tc>
          <w:tcPr>
            <w:tcW w:w="508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rPr>
              <w:t>3,118</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shd w:val="clear" w:color="auto" w:fill="CCEEFF"/>
          </w:tcPr>
          <w:p>
            <w:pPr>
              <w:spacing w:after="0"/>
              <w:rPr>
                <w:sz w:val="17"/>
                <w:szCs w:val="17"/>
                <w:color w:val="auto"/>
              </w:rPr>
            </w:pPr>
          </w:p>
        </w:tc>
        <w:tc>
          <w:tcPr>
            <w:tcW w:w="3840" w:type="dxa"/>
            <w:vAlign w:val="bottom"/>
            <w:tcBorders>
              <w:bottom w:val="single" w:sz="8" w:color="auto"/>
            </w:tcBorders>
            <w:shd w:val="clear" w:color="auto" w:fill="CCEEFF"/>
          </w:tcPr>
          <w:p>
            <w:pPr>
              <w:spacing w:after="0"/>
              <w:rPr>
                <w:sz w:val="17"/>
                <w:szCs w:val="17"/>
                <w:color w:val="auto"/>
              </w:rPr>
            </w:pPr>
          </w:p>
        </w:tc>
        <w:tc>
          <w:tcPr>
            <w:tcW w:w="508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rPr>
              <w:t>259,059</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Fair value of share options – Assumptions</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fair values of options granted during the year ended 31 December 2016 and the year ended 31 December 2015 were calculated using a binomial option-pricing-model, using the following assumptions: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Year ended</w:t>
            </w:r>
          </w:p>
        </w:tc>
        <w:tc>
          <w:tcPr>
            <w:tcW w:w="2440" w:type="dxa"/>
            <w:vAlign w:val="bottom"/>
            <w:gridSpan w:val="2"/>
          </w:tcPr>
          <w:p>
            <w:pPr>
              <w:jc w:val="right"/>
              <w:ind w:right="2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31 December</w:t>
            </w:r>
          </w:p>
        </w:tc>
        <w:tc>
          <w:tcPr>
            <w:tcW w:w="2440" w:type="dxa"/>
            <w:vAlign w:val="bottom"/>
            <w:gridSpan w:val="2"/>
          </w:tcPr>
          <w:p>
            <w:pPr>
              <w:jc w:val="right"/>
              <w:ind w:right="2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2016</w:t>
            </w:r>
          </w:p>
        </w:tc>
        <w:tc>
          <w:tcPr>
            <w:tcW w:w="2440" w:type="dxa"/>
            <w:vAlign w:val="bottom"/>
            <w:gridSpan w:val="2"/>
          </w:tcPr>
          <w:p>
            <w:pPr>
              <w:jc w:val="right"/>
              <w:ind w:right="2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8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 price</w:t>
            </w:r>
          </w:p>
        </w:tc>
        <w:tc>
          <w:tcPr>
            <w:tcW w:w="4160" w:type="dxa"/>
            <w:vAlign w:val="bottom"/>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$69.61</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Weighted average exercise price</w:t>
            </w: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$69.61</w:t>
            </w:r>
          </w:p>
        </w:tc>
        <w:tc>
          <w:tcPr>
            <w:tcW w:w="2420" w:type="dxa"/>
            <w:vAlign w:val="bottom"/>
          </w:tcPr>
          <w:p>
            <w:pPr>
              <w:jc w:val="right"/>
              <w:spacing w:after="0"/>
              <w:rPr>
                <w:sz w:val="20"/>
                <w:szCs w:val="20"/>
                <w:color w:val="auto"/>
              </w:rPr>
            </w:pPr>
            <w:r>
              <w:rPr>
                <w:rFonts w:ascii="Arial" w:cs="Arial" w:eastAsia="Arial" w:hAnsi="Arial"/>
                <w:sz w:val="16"/>
                <w:szCs w:val="16"/>
                <w:color w:val="auto"/>
              </w:rPr>
              <w:t>$68.25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 (1)</w:t>
            </w:r>
          </w:p>
        </w:tc>
        <w:tc>
          <w:tcPr>
            <w:tcW w:w="4160" w:type="dxa"/>
            <w:vAlign w:val="bottom"/>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30.0%</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Risk-free rate (2)</w:t>
            </w:r>
          </w:p>
        </w:tc>
        <w:tc>
          <w:tcPr>
            <w:tcW w:w="4160" w:type="dxa"/>
            <w:vAlign w:val="bottom"/>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1.5%-1.8%</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Rate of forced early exercise</w:t>
            </w:r>
          </w:p>
        </w:tc>
        <w:tc>
          <w:tcPr>
            <w:tcW w:w="4160" w:type="dxa"/>
            <w:vAlign w:val="bottom"/>
          </w:tcPr>
          <w:p>
            <w:pPr>
              <w:jc w:val="right"/>
              <w:ind w:right="940"/>
              <w:spacing w:after="0"/>
              <w:rPr>
                <w:sz w:val="20"/>
                <w:szCs w:val="20"/>
                <w:color w:val="auto"/>
              </w:rPr>
            </w:pPr>
            <w:r>
              <w:rPr>
                <w:rFonts w:ascii="Arial" w:cs="Arial" w:eastAsia="Arial" w:hAnsi="Arial"/>
                <w:sz w:val="16"/>
                <w:szCs w:val="16"/>
                <w:b w:val="1"/>
                <w:bCs w:val="1"/>
                <w:color w:val="auto"/>
              </w:rPr>
              <w:t>10% p.a.</w:t>
            </w:r>
          </w:p>
        </w:tc>
        <w:tc>
          <w:tcPr>
            <w:tcW w:w="2420" w:type="dxa"/>
            <w:vAlign w:val="bottom"/>
          </w:tcPr>
          <w:p>
            <w:pPr>
              <w:jc w:val="right"/>
              <w:spacing w:after="0"/>
              <w:rPr>
                <w:sz w:val="20"/>
                <w:szCs w:val="20"/>
                <w:color w:val="auto"/>
              </w:rPr>
            </w:pPr>
            <w:r>
              <w:rPr>
                <w:rFonts w:ascii="Arial" w:cs="Arial" w:eastAsia="Arial" w:hAnsi="Arial"/>
                <w:sz w:val="16"/>
                <w:szCs w:val="16"/>
                <w:color w:val="auto"/>
              </w:rPr>
              <w:t>10% p.a.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Minimum gain for voluntary early exercise</w:t>
            </w:r>
          </w:p>
        </w:tc>
        <w:tc>
          <w:tcPr>
            <w:tcW w:w="4160" w:type="dxa"/>
            <w:vAlign w:val="bottom"/>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25% of exercise price</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of exercise 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of voluntary early exercise at minimum gain</w:t>
            </w:r>
          </w:p>
        </w:tc>
        <w:tc>
          <w:tcPr>
            <w:tcW w:w="4160" w:type="dxa"/>
            <w:vAlign w:val="bottom"/>
            <w:tcBorders>
              <w:bottom w:val="single" w:sz="8" w:color="auto"/>
            </w:tcBorders>
          </w:tcPr>
          <w:p>
            <w:pPr>
              <w:jc w:val="right"/>
              <w:ind w:right="940"/>
              <w:spacing w:after="0"/>
              <w:rPr>
                <w:sz w:val="20"/>
                <w:szCs w:val="20"/>
                <w:color w:val="auto"/>
              </w:rPr>
            </w:pPr>
            <w:r>
              <w:rPr>
                <w:rFonts w:ascii="Arial" w:cs="Arial" w:eastAsia="Arial" w:hAnsi="Arial"/>
                <w:sz w:val="16"/>
                <w:szCs w:val="16"/>
                <w:b w:val="1"/>
                <w:bCs w:val="1"/>
                <w:color w:val="auto"/>
              </w:rPr>
              <w:t>75% per annum</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per annum</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 w:right="760"/>
        <w:spacing w:after="0" w:line="250" w:lineRule="auto"/>
        <w:rPr>
          <w:sz w:val="20"/>
          <w:szCs w:val="20"/>
          <w:color w:val="auto"/>
        </w:rPr>
      </w:pPr>
      <w:r>
        <w:rPr>
          <w:rFonts w:ascii="Arial" w:cs="Arial" w:eastAsia="Arial" w:hAnsi="Arial"/>
          <w:sz w:val="16"/>
          <w:szCs w:val="16"/>
          <w:color w:val="auto"/>
        </w:rPr>
        <w:t>(1)Expected volatility has been determined based upon the volatility of the Company’s share price over a period which is commensurate with the expected term of the options granted.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(2)Risk-free rate is dependent on the grant date.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Restricted share units</w:t>
      </w:r>
    </w:p>
    <w:p>
      <w:pPr>
        <w:spacing w:after="0" w:line="224"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5"/>
          <w:szCs w:val="15"/>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Share based payments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jc w:val="right"/>
              <w:ind w:right="80"/>
              <w:spacing w:after="0"/>
              <w:rPr>
                <w:sz w:val="20"/>
                <w:szCs w:val="20"/>
                <w:color w:val="auto"/>
              </w:rPr>
            </w:pPr>
            <w:r>
              <w:rPr>
                <w:rFonts w:ascii="Arial" w:cs="Arial" w:eastAsia="Arial" w:hAnsi="Arial"/>
                <w:sz w:val="16"/>
                <w:szCs w:val="16"/>
                <w:b w:val="1"/>
                <w:bCs w:val="1"/>
                <w:color w:val="auto"/>
              </w:rPr>
              <w:t>RSU</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PSU</w:t>
            </w:r>
          </w:p>
        </w:tc>
        <w:tc>
          <w:tcPr>
            <w:tcW w:w="36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jc w:val="right"/>
              <w:ind w:right="80"/>
              <w:spacing w:after="0"/>
              <w:rPr>
                <w:sz w:val="20"/>
                <w:szCs w:val="20"/>
                <w:color w:val="auto"/>
              </w:rPr>
            </w:pPr>
            <w:r>
              <w:rPr>
                <w:rFonts w:ascii="Arial" w:cs="Arial" w:eastAsia="Arial" w:hAnsi="Arial"/>
                <w:sz w:val="16"/>
                <w:szCs w:val="16"/>
                <w:b w:val="1"/>
                <w:bCs w:val="1"/>
                <w:color w:val="auto"/>
              </w:rPr>
              <w:t>Outstanding</w:t>
            </w:r>
          </w:p>
        </w:tc>
        <w:tc>
          <w:tcPr>
            <w:tcW w:w="340" w:type="dxa"/>
            <w:vAlign w:val="bottom"/>
          </w:tcPr>
          <w:p>
            <w:pPr>
              <w:spacing w:after="0"/>
              <w:rPr>
                <w:sz w:val="16"/>
                <w:szCs w:val="16"/>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Weighted</w:t>
            </w: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Outstanding</w:t>
            </w:r>
          </w:p>
        </w:tc>
        <w:tc>
          <w:tcPr>
            <w:tcW w:w="36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jc w:val="right"/>
              <w:ind w:right="80"/>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6"/>
                <w:szCs w:val="16"/>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Average</w:t>
            </w: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40" w:type="dxa"/>
            <w:vAlign w:val="bottom"/>
          </w:tcPr>
          <w:p>
            <w:pPr>
              <w:jc w:val="right"/>
              <w:ind w:right="80"/>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8"/>
                <w:szCs w:val="18"/>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Fair Value</w:t>
            </w: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Outstanding at 31 December 2015</w:t>
            </w:r>
          </w:p>
        </w:tc>
        <w:tc>
          <w:tcPr>
            <w:tcW w:w="3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1,067,613</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48.30</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901,773</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48.33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Awarded</w:t>
            </w:r>
          </w:p>
        </w:tc>
        <w:tc>
          <w:tcPr>
            <w:tcW w:w="3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391,196</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67.45</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247,992</w:t>
            </w: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Shares Vested</w:t>
            </w:r>
          </w:p>
        </w:tc>
        <w:tc>
          <w:tcPr>
            <w:tcW w:w="3040" w:type="dxa"/>
            <w:vAlign w:val="bottom"/>
          </w:tcPr>
          <w:p>
            <w:pPr>
              <w:jc w:val="right"/>
              <w:ind w:right="20"/>
              <w:spacing w:after="0"/>
              <w:rPr>
                <w:sz w:val="20"/>
                <w:szCs w:val="20"/>
                <w:color w:val="auto"/>
              </w:rPr>
            </w:pPr>
            <w:r>
              <w:rPr>
                <w:rFonts w:ascii="Arial" w:cs="Arial" w:eastAsia="Arial" w:hAnsi="Arial"/>
                <w:sz w:val="16"/>
                <w:szCs w:val="16"/>
                <w:color w:val="auto"/>
              </w:rPr>
              <w:t>(300,019)</w:t>
            </w:r>
          </w:p>
        </w:tc>
        <w:tc>
          <w:tcPr>
            <w:tcW w:w="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36.13</w:t>
            </w:r>
          </w:p>
        </w:tc>
        <w:tc>
          <w:tcPr>
            <w:tcW w:w="1240" w:type="dxa"/>
            <w:vAlign w:val="bottom"/>
          </w:tcPr>
          <w:p>
            <w:pPr>
              <w:jc w:val="right"/>
              <w:spacing w:after="0"/>
              <w:rPr>
                <w:sz w:val="20"/>
                <w:szCs w:val="20"/>
                <w:color w:val="auto"/>
              </w:rPr>
            </w:pPr>
            <w:r>
              <w:rPr>
                <w:rFonts w:ascii="Arial" w:cs="Arial" w:eastAsia="Arial" w:hAnsi="Arial"/>
                <w:sz w:val="16"/>
                <w:szCs w:val="16"/>
                <w:color w:val="auto"/>
              </w:rPr>
              <w:t>(311,492)</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3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(133,306)</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52.36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Outstanding at 31 December 2016</w:t>
            </w:r>
          </w:p>
        </w:tc>
        <w:tc>
          <w:tcPr>
            <w:tcW w:w="3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1,025,484</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58.64</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830,523</w:t>
            </w:r>
          </w:p>
        </w:tc>
        <w:tc>
          <w:tcPr>
            <w:tcW w:w="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351" w:lineRule="auto"/>
        <w:rPr>
          <w:sz w:val="20"/>
          <w:szCs w:val="20"/>
          <w:color w:val="auto"/>
        </w:rPr>
      </w:pPr>
      <w:r>
        <w:rPr>
          <w:rFonts w:ascii="Arial" w:cs="Arial" w:eastAsia="Arial" w:hAnsi="Arial"/>
          <w:sz w:val="14"/>
          <w:szCs w:val="14"/>
          <w:color w:val="auto"/>
        </w:rPr>
        <w:t>The PSUs vest based on service and specified EPS targets over the period 2013 – 2016, 2014 – 2017, 2015 – 2018 and 2016 - 2019. Since 2013, the Company has awarded a total of 421,079 PSUs (net of forfeitures and vested shares). Further PSUs up to a total of 409,444 PSUs may also be awarded depending upon actual EPS outturn from 2013 to 2019.</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Share based payment expense</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Operating profit for the year ended 31 December 2016 is stated after charging $40.3 million in respect of share based payment expense. Share based payment expense has been allocated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60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 31</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600" w:type="dxa"/>
            <w:vAlign w:val="bottom"/>
          </w:tcPr>
          <w:p>
            <w:pPr>
              <w:jc w:val="right"/>
              <w:ind w:right="180"/>
              <w:spacing w:after="0"/>
              <w:rPr>
                <w:sz w:val="20"/>
                <w:szCs w:val="20"/>
                <w:color w:val="auto"/>
              </w:rPr>
            </w:pPr>
            <w:r>
              <w:rPr>
                <w:rFonts w:ascii="Arial" w:cs="Arial" w:eastAsia="Arial" w:hAnsi="Arial"/>
                <w:sz w:val="16"/>
                <w:szCs w:val="16"/>
                <w:b w:val="1"/>
                <w:bCs w:val="1"/>
                <w:color w:val="auto"/>
              </w:rPr>
              <w:t>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60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6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Direct costs</w:t>
            </w:r>
          </w:p>
        </w:tc>
        <w:tc>
          <w:tcPr>
            <w:tcW w:w="6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22,211</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expenses</w:t>
            </w:r>
          </w:p>
        </w:tc>
        <w:tc>
          <w:tcPr>
            <w:tcW w:w="6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18,099</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6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40,310</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0" w:type="dxa"/>
            <w:vAlign w:val="bottom"/>
          </w:tcPr>
          <w:p>
            <w:pPr>
              <w:jc w:val="right"/>
              <w:ind w:right="4340"/>
              <w:spacing w:after="0"/>
              <w:rPr>
                <w:sz w:val="20"/>
                <w:szCs w:val="20"/>
                <w:color w:val="auto"/>
              </w:rPr>
            </w:pPr>
            <w:r>
              <w:rPr>
                <w:rFonts w:ascii="Arial" w:cs="Arial" w:eastAsia="Arial" w:hAnsi="Arial"/>
                <w:sz w:val="16"/>
                <w:szCs w:val="16"/>
                <w:color w:val="auto"/>
              </w:rPr>
              <w:t>66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12. Property, Plant and Equipment</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Office</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rPr>
              <w:t>Leasehold</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Computer</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furniture &amp;</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Laboratory</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rPr>
              <w:t>Motor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b w:val="1"/>
                <w:bCs w:val="1"/>
                <w:color w:val="auto"/>
              </w:rPr>
              <w:t>Land</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Buildings</w:t>
            </w: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w w:val="96"/>
              </w:rPr>
              <w:t>improvements</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equipment</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fixtures</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equipment</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w w:val="98"/>
              </w:rPr>
              <w:t>vehicles</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92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$’000</w:t>
            </w: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6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2016</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4,844</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63,325</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31,092</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93,271</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57,389</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19,935</w:t>
            </w:r>
          </w:p>
        </w:tc>
        <w:tc>
          <w:tcPr>
            <w:tcW w:w="9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269,875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Additions</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917</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8,863</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6,127</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1,046</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4</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16,957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Disposals</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(490)</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(1,180)</w:t>
            </w:r>
          </w:p>
        </w:tc>
        <w:tc>
          <w:tcPr>
            <w:tcW w:w="14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(472)</w:t>
            </w:r>
          </w:p>
        </w:tc>
        <w:tc>
          <w:tcPr>
            <w:tcW w:w="9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Arising on acquisition</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113</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194</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41</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146</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(898)</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(1,115)</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(871)</w:t>
            </w:r>
          </w:p>
        </w:tc>
        <w:tc>
          <w:tcPr>
            <w:tcW w:w="14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(199)</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4,990</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60,888</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30,734</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101,046</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61,506</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20,310</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279,489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w:t>
            </w: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At 1 January 2016</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14,435</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22,317</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76,754</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45,435</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12,538</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171,486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Charge for year</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1,394</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2,808</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9,875</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3,642</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1,895</w:t>
            </w:r>
          </w:p>
        </w:tc>
        <w:tc>
          <w:tcPr>
            <w:tcW w:w="9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Eliminated on disposal</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(445)</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(1,128)</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(424)</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(768)</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(947)</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(672)</w:t>
            </w:r>
          </w:p>
        </w:tc>
        <w:tc>
          <w:tcPr>
            <w:tcW w:w="14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(164)</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15,453</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23,912</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85,518</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47,277</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13,845</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186,007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w:t>
            </w: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4,990</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45,435</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6,822</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15,528</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14,229</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6,465</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93,482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2015</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4,844</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48,890</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8,775</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16,517</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11,954</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7,397</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12</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98,389</w:t>
            </w:r>
          </w:p>
        </w:tc>
        <w:tc>
          <w:tcPr>
            <w:tcW w:w="0" w:type="dxa"/>
            <w:vAlign w:val="bottom"/>
          </w:tcPr>
          <w:p>
            <w:pPr>
              <w:spacing w:after="0"/>
              <w:rPr>
                <w:sz w:val="1"/>
                <w:szCs w:val="1"/>
                <w:color w:val="auto"/>
              </w:rPr>
            </w:pPr>
          </w:p>
        </w:tc>
      </w:tr>
      <w:tr>
        <w:trPr>
          <w:trHeight w:val="372"/>
        </w:trPr>
        <w:tc>
          <w:tcPr>
            <w:tcW w:w="9560" w:type="dxa"/>
            <w:vAlign w:val="bottom"/>
            <w:gridSpan w:val="8"/>
          </w:tcPr>
          <w:p>
            <w:pPr>
              <w:spacing w:after="0"/>
              <w:rPr>
                <w:sz w:val="20"/>
                <w:szCs w:val="20"/>
                <w:color w:val="auto"/>
              </w:rPr>
            </w:pPr>
            <w:r>
              <w:rPr>
                <w:rFonts w:ascii="Arial" w:cs="Arial" w:eastAsia="Arial" w:hAnsi="Arial"/>
                <w:sz w:val="16"/>
                <w:szCs w:val="16"/>
                <w:color w:val="auto"/>
                <w:w w:val="91"/>
              </w:rPr>
              <w:t>Depreciation expense of $19.6 million (31 December 2015: $21.9 million) has been charged to “other operating expenses” in the income statement.</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67</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2015</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Property, Plant and Equipment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Office</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rPr>
              <w:t>Leasehold</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Computer</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furniture &amp;</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Laboratory</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rPr>
              <w:t>Motor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auto"/>
              </w:rPr>
              <w:t>Land</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Buildings</w:t>
            </w: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w w:val="96"/>
              </w:rPr>
              <w:t>improvements</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equipment</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fixtures</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equipment</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w w:val="98"/>
              </w:rPr>
              <w:t>vehicles</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$’000</w:t>
            </w: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8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98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40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4,428</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70,936</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30,611</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87,583</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56,866</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17,526</w:t>
            </w:r>
          </w:p>
        </w:tc>
        <w:tc>
          <w:tcPr>
            <w:tcW w:w="9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267,970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Additions</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439</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1,858</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8,785</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3,696</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3,655</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Disposals</w:t>
            </w: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(457)</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(927)</w:t>
            </w:r>
          </w:p>
        </w:tc>
        <w:tc>
          <w:tcPr>
            <w:tcW w:w="14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(585)</w:t>
            </w:r>
          </w:p>
        </w:tc>
        <w:tc>
          <w:tcPr>
            <w:tcW w:w="9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Arising on acquisition</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686</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27</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421</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54</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416</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(8,736)</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(1,334)</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(3,061)</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(2,300)</w:t>
            </w:r>
          </w:p>
        </w:tc>
        <w:tc>
          <w:tcPr>
            <w:tcW w:w="14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(661)</w:t>
            </w: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4,844</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63,325</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31,092</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93,271</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57,389</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19,935</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269,875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w:t>
            </w:r>
          </w:p>
        </w:tc>
        <w:tc>
          <w:tcPr>
            <w:tcW w:w="1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At 1 January 2015</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13,853</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20,895</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70,399</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43,241</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9,745</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8</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158,141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Charge for year</w:t>
            </w: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1,591</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2,539</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9,260</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4,802</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3,695</w:t>
            </w:r>
          </w:p>
        </w:tc>
        <w:tc>
          <w:tcPr>
            <w:tcW w:w="9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Eliminated on disposal</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(50)</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(426)</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(923)</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(585)</w:t>
            </w:r>
          </w:p>
        </w:tc>
        <w:tc>
          <w:tcPr>
            <w:tcW w:w="9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(1,067)</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(2,479)</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(1,685)</w:t>
            </w:r>
          </w:p>
        </w:tc>
        <w:tc>
          <w:tcPr>
            <w:tcW w:w="14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(317)</w:t>
            </w: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14,435</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22,317</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76,754</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45,435</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12,538</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171,486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w:t>
            </w:r>
          </w:p>
        </w:tc>
        <w:tc>
          <w:tcPr>
            <w:tcW w:w="1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4,844</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48,890</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8,775</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16,517</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11,954</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7,397</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98,389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2014</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4,428</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57,083</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9,716</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17,184</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13,625</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7,781</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12</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109,829</w:t>
            </w:r>
          </w:p>
        </w:tc>
        <w:tc>
          <w:tcPr>
            <w:tcW w:w="0" w:type="dxa"/>
            <w:vAlign w:val="bottom"/>
          </w:tcPr>
          <w:p>
            <w:pPr>
              <w:spacing w:after="0"/>
              <w:rPr>
                <w:sz w:val="1"/>
                <w:szCs w:val="1"/>
                <w:color w:val="auto"/>
              </w:rPr>
            </w:pPr>
          </w:p>
        </w:tc>
      </w:tr>
      <w:tr>
        <w:trPr>
          <w:trHeight w:val="372"/>
        </w:trPr>
        <w:tc>
          <w:tcPr>
            <w:tcW w:w="9560" w:type="dxa"/>
            <w:vAlign w:val="bottom"/>
            <w:gridSpan w:val="8"/>
          </w:tcPr>
          <w:p>
            <w:pPr>
              <w:spacing w:after="0"/>
              <w:rPr>
                <w:sz w:val="20"/>
                <w:szCs w:val="20"/>
                <w:color w:val="auto"/>
              </w:rPr>
            </w:pPr>
            <w:r>
              <w:rPr>
                <w:rFonts w:ascii="Arial" w:cs="Arial" w:eastAsia="Arial" w:hAnsi="Arial"/>
                <w:sz w:val="16"/>
                <w:szCs w:val="16"/>
                <w:color w:val="auto"/>
                <w:w w:val="91"/>
              </w:rPr>
              <w:t>Depreciation expense of $21.9 million (31 December 2014: $23.1 million) has been charged to “other operating expenses” in the income statement.</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68</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Intangible assets – goodwill and other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Computer</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Customer</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Volunteer</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Order</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w w:val="93"/>
              </w:rPr>
              <w:t>Technology</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Trade</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Non-</w:t>
            </w: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Software</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w w:val="95"/>
              </w:rPr>
              <w:t>Relationships</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List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Backlog</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Asset</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name</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Competes</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Goodwill</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1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2016</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165,483</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91,819</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1,325</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14,737</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8,527</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1,039</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487</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602,442</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885,859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Additions</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25,644</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25,644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Arising on acquisition</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590</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8,644</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34,576</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43,810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Prior period acquisition</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(3,322)</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2,948</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7,689</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7,315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(1,225)</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(294)</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(14,611)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31 December 2016</w:t>
            </w: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191,363</w:t>
            </w: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95,916</w:t>
            </w: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1,325</w:t>
            </w:r>
          </w:p>
        </w:tc>
        <w:tc>
          <w:tcPr>
            <w:tcW w:w="11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17,531</w:t>
            </w: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8,233</w:t>
            </w: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1,006</w:t>
            </w: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481</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630,096</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945,951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b w:val="1"/>
                <w:bCs w:val="1"/>
                <w:color w:val="auto"/>
              </w:rPr>
              <w:t>Amortisation</w:t>
            </w: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At 1 January 2016</w:t>
            </w: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113,654</w:t>
            </w: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33,367</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1,325</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10,538</w:t>
            </w:r>
          </w:p>
        </w:tc>
        <w:tc>
          <w:tcPr>
            <w:tcW w:w="1020" w:type="dxa"/>
            <w:vAlign w:val="bottom"/>
          </w:tcPr>
          <w:p>
            <w:pPr>
              <w:jc w:val="right"/>
              <w:ind w:right="280"/>
              <w:spacing w:after="0"/>
              <w:rPr>
                <w:sz w:val="20"/>
                <w:szCs w:val="20"/>
                <w:color w:val="auto"/>
              </w:rPr>
            </w:pPr>
            <w:r>
              <w:rPr>
                <w:rFonts w:ascii="Arial" w:cs="Arial" w:eastAsia="Arial" w:hAnsi="Arial"/>
                <w:sz w:val="16"/>
                <w:szCs w:val="16"/>
                <w:color w:val="auto"/>
              </w:rPr>
              <w:t>5,087</w:t>
            </w:r>
          </w:p>
        </w:tc>
        <w:tc>
          <w:tcPr>
            <w:tcW w:w="1060" w:type="dxa"/>
            <w:vAlign w:val="bottom"/>
          </w:tcPr>
          <w:p>
            <w:pPr>
              <w:jc w:val="right"/>
              <w:ind w:right="320"/>
              <w:spacing w:after="0"/>
              <w:rPr>
                <w:sz w:val="20"/>
                <w:szCs w:val="20"/>
                <w:color w:val="auto"/>
              </w:rPr>
            </w:pPr>
            <w:r>
              <w:rPr>
                <w:rFonts w:ascii="Arial" w:cs="Arial" w:eastAsia="Arial" w:hAnsi="Arial"/>
                <w:sz w:val="16"/>
                <w:szCs w:val="16"/>
                <w:color w:val="auto"/>
              </w:rPr>
              <w:t>1,027</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462</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165,460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Amortised in the year</w:t>
            </w:r>
          </w:p>
        </w:tc>
        <w:tc>
          <w:tcPr>
            <w:tcW w:w="12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22,511</w:t>
            </w:r>
          </w:p>
        </w:tc>
        <w:tc>
          <w:tcPr>
            <w:tcW w:w="11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11,673</w:t>
            </w: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4,539</w:t>
            </w:r>
          </w:p>
        </w:tc>
        <w:tc>
          <w:tcPr>
            <w:tcW w:w="10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1,162</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58</w:t>
            </w:r>
          </w:p>
        </w:tc>
        <w:tc>
          <w:tcPr>
            <w:tcW w:w="8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Disposal</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(287)</w:t>
            </w:r>
          </w:p>
        </w:tc>
        <w:tc>
          <w:tcPr>
            <w:tcW w:w="11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(922)</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(218)</w:t>
            </w:r>
          </w:p>
        </w:tc>
        <w:tc>
          <w:tcPr>
            <w:tcW w:w="10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(81)</w:t>
            </w: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1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135,877</w:t>
            </w: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44,118</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1,325</w:t>
            </w:r>
          </w:p>
        </w:tc>
        <w:tc>
          <w:tcPr>
            <w:tcW w:w="11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14,930</w:t>
            </w:r>
          </w:p>
        </w:tc>
        <w:tc>
          <w:tcPr>
            <w:tcW w:w="10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6,031</w:t>
            </w:r>
          </w:p>
        </w:tc>
        <w:tc>
          <w:tcPr>
            <w:tcW w:w="10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1,004</w:t>
            </w:r>
          </w:p>
        </w:tc>
        <w:tc>
          <w:tcPr>
            <w:tcW w:w="8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474</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203,759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w:t>
            </w: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1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55,486</w:t>
            </w: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51,798</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2,601</w:t>
            </w:r>
          </w:p>
        </w:tc>
        <w:tc>
          <w:tcPr>
            <w:tcW w:w="10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2,202</w:t>
            </w:r>
          </w:p>
        </w:tc>
        <w:tc>
          <w:tcPr>
            <w:tcW w:w="10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w:t>
            </w:r>
          </w:p>
        </w:tc>
        <w:tc>
          <w:tcPr>
            <w:tcW w:w="8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630,096</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742,192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2015</w:t>
            </w:r>
          </w:p>
        </w:tc>
        <w:tc>
          <w:tcPr>
            <w:tcW w:w="1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51,829</w:t>
            </w: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58,452</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4,199</w:t>
            </w:r>
          </w:p>
        </w:tc>
        <w:tc>
          <w:tcPr>
            <w:tcW w:w="10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3,440</w:t>
            </w:r>
          </w:p>
        </w:tc>
        <w:tc>
          <w:tcPr>
            <w:tcW w:w="10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602,442</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720,399</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740"/>
              <w:spacing w:after="0"/>
              <w:rPr>
                <w:sz w:val="20"/>
                <w:szCs w:val="20"/>
                <w:color w:val="auto"/>
              </w:rPr>
            </w:pPr>
            <w:r>
              <w:rPr>
                <w:rFonts w:ascii="Arial" w:cs="Arial" w:eastAsia="Arial" w:hAnsi="Arial"/>
                <w:sz w:val="16"/>
                <w:szCs w:val="16"/>
                <w:color w:val="auto"/>
              </w:rPr>
              <w:t>69</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Intangible assets – goodwill and other </w:t>
      </w:r>
      <w:r>
        <w:rPr>
          <w:rFonts w:ascii="Arial" w:cs="Arial" w:eastAsia="Arial" w:hAnsi="Arial"/>
          <w:sz w:val="16"/>
          <w:szCs w:val="16"/>
          <w:b w:val="1"/>
          <w:bCs w:val="1"/>
          <w:i w:val="1"/>
          <w:iCs w:val="1"/>
          <w:color w:val="auto"/>
        </w:rPr>
        <w:t>(continued)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Computer</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Customer</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Volunteer</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Order</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w w:val="93"/>
              </w:rPr>
              <w:t>Technology</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Trade</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Non-</w:t>
            </w: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Software</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w w:val="95"/>
              </w:rPr>
              <w:t>Relationships</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List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Backlog</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Asset</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name</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Competes</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Goodwill</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1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134,158</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59,885</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1,325</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12,368</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9,522</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1,157</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491</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478,070</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696,976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Additions</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31,297</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31,297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Arising on acquisition</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623</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33,011</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2,521</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133,123</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169,278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Prior period acquisition</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3,681</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(593)</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(1,077)</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(995)</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(12,432)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31 December 2015</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165,483</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91,819</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1,325</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14,737</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8,527</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1,039</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487</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602,442</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885,859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b w:val="1"/>
                <w:bCs w:val="1"/>
                <w:color w:val="auto"/>
              </w:rPr>
              <w:t>Amortisation</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At 1 January 2015</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95,810</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23,090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1,325</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5,639</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4,395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886</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423</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131,568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Amortised in the year</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18,323</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10,969</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5,051</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1,168</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35,790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Disposal</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(692)</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(476)</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(96)</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113,654</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33,367</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1,325</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10,538</w:t>
            </w: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5,087</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1,027</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462</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165,460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w:t>
            </w: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51,829</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58,452</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4,199</w:t>
            </w: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3,440</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25</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602,442</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720,399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2014</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38,348</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36,795</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6,729</w:t>
            </w: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5,127</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271</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68</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478,070</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565,408</w:t>
            </w:r>
          </w:p>
        </w:tc>
        <w:tc>
          <w:tcPr>
            <w:tcW w:w="0" w:type="dxa"/>
            <w:vAlign w:val="bottom"/>
          </w:tcPr>
          <w:p>
            <w:pPr>
              <w:spacing w:after="0"/>
              <w:rPr>
                <w:sz w:val="1"/>
                <w:szCs w:val="1"/>
                <w:color w:val="auto"/>
              </w:rPr>
            </w:pPr>
          </w:p>
        </w:tc>
      </w:tr>
    </w:tbl>
    <w:p>
      <w:pPr>
        <w:ind w:left="280"/>
        <w:spacing w:after="0"/>
        <w:rPr>
          <w:sz w:val="20"/>
          <w:szCs w:val="20"/>
          <w:color w:val="auto"/>
        </w:rPr>
      </w:pPr>
      <w:r>
        <w:rPr>
          <w:rFonts w:ascii="Arial" w:cs="Arial" w:eastAsia="Arial" w:hAnsi="Arial"/>
          <w:sz w:val="16"/>
          <w:szCs w:val="16"/>
          <w:color w:val="auto"/>
        </w:rPr>
        <w:t>Amortisation expense of $40 million (31 December 2015: $35.8 million) has been charged to ‘other operating expenses’ in the income statement.</w:t>
      </w:r>
    </w:p>
    <w:p>
      <w:pPr>
        <w:spacing w:after="0" w:line="8" w:lineRule="exact"/>
        <w:rPr>
          <w:sz w:val="20"/>
          <w:szCs w:val="20"/>
          <w:color w:val="auto"/>
        </w:rPr>
      </w:pPr>
    </w:p>
    <w:p>
      <w:pPr>
        <w:ind w:left="5640" w:right="1720" w:hanging="5348"/>
        <w:spacing w:after="0" w:line="465" w:lineRule="auto"/>
        <w:rPr>
          <w:sz w:val="20"/>
          <w:szCs w:val="20"/>
          <w:color w:val="auto"/>
        </w:rPr>
      </w:pPr>
      <w:r>
        <w:rPr>
          <w:rFonts w:ascii="Arial" w:cs="Arial" w:eastAsia="Arial" w:hAnsi="Arial"/>
          <w:sz w:val="16"/>
          <w:szCs w:val="16"/>
          <w:color w:val="auto"/>
        </w:rPr>
        <w:t>Amortisation expense of $35.8 million (31 December 2014: $29.4 million) has been charged to ‘other operating expenses’ in the income statement.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5" w:name="page86"/>
    <w:bookmarkEnd w:id="85"/>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ind w:left="4" w:right="7820" w:hanging="4"/>
        <w:spacing w:after="0" w:line="535" w:lineRule="auto"/>
        <w:tabs>
          <w:tab w:leader="none" w:pos="24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Intangible assets – goodwill and other </w:t>
      </w:r>
      <w:r>
        <w:rPr>
          <w:rFonts w:ascii="Arial" w:cs="Arial" w:eastAsia="Arial" w:hAnsi="Arial"/>
          <w:sz w:val="16"/>
          <w:szCs w:val="16"/>
          <w:b w:val="1"/>
          <w:bCs w:val="1"/>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Impairment review of goodwill</w:t>
      </w:r>
    </w:p>
    <w:p>
      <w:pPr>
        <w:spacing w:after="0" w:line="1" w:lineRule="exact"/>
        <w:rPr>
          <w:sz w:val="20"/>
          <w:szCs w:val="20"/>
          <w:color w:val="auto"/>
        </w:rPr>
      </w:pPr>
    </w:p>
    <w:p>
      <w:pPr>
        <w:jc w:val="both"/>
        <w:ind w:left="4" w:right="20"/>
        <w:spacing w:after="0" w:line="312" w:lineRule="auto"/>
        <w:rPr>
          <w:sz w:val="20"/>
          <w:szCs w:val="20"/>
          <w:color w:val="auto"/>
        </w:rPr>
      </w:pPr>
      <w:r>
        <w:rPr>
          <w:rFonts w:ascii="Arial" w:cs="Arial" w:eastAsia="Arial" w:hAnsi="Arial"/>
          <w:sz w:val="15"/>
          <w:szCs w:val="15"/>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Arial" w:cs="Arial" w:eastAsia="Arial" w:hAnsi="Arial"/>
          <w:sz w:val="15"/>
          <w:szCs w:val="15"/>
          <w:i w:val="1"/>
          <w:iCs w:val="1"/>
          <w:color w:val="auto"/>
        </w:rPr>
        <w:t>Operating Segments</w:t>
      </w:r>
      <w:r>
        <w:rPr>
          <w:rFonts w:ascii="Arial" w:cs="Arial" w:eastAsia="Arial" w:hAnsi="Arial"/>
          <w:sz w:val="15"/>
          <w:szCs w:val="15"/>
          <w:color w:val="auto"/>
        </w:rPr>
        <w:t>.</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8160" w:type="dxa"/>
            <w:vAlign w:val="bottom"/>
            <w:gridSpan w:val="2"/>
          </w:tcPr>
          <w:p>
            <w:pPr>
              <w:spacing w:after="0"/>
              <w:rPr>
                <w:sz w:val="20"/>
                <w:szCs w:val="20"/>
                <w:color w:val="auto"/>
              </w:rPr>
            </w:pPr>
            <w:r>
              <w:rPr>
                <w:rFonts w:ascii="Arial" w:cs="Arial" w:eastAsia="Arial" w:hAnsi="Arial"/>
                <w:sz w:val="16"/>
                <w:szCs w:val="16"/>
                <w:color w:val="auto"/>
              </w:rPr>
              <w:t xml:space="preserve">The Group has identified one CGU in accordance with the provisions of IAS 36 </w:t>
            </w:r>
            <w:r>
              <w:rPr>
                <w:rFonts w:ascii="Arial" w:cs="Arial" w:eastAsia="Arial" w:hAnsi="Arial"/>
                <w:sz w:val="16"/>
                <w:szCs w:val="16"/>
                <w:i w:val="1"/>
                <w:iCs w:val="1"/>
                <w:color w:val="auto"/>
              </w:rPr>
              <w:t>Impairment of Assets</w:t>
            </w:r>
            <w:r>
              <w:rPr>
                <w:rFonts w:ascii="Arial" w:cs="Arial" w:eastAsia="Arial" w:hAnsi="Arial"/>
                <w:sz w:val="16"/>
                <w:szCs w:val="16"/>
                <w:color w:val="auto"/>
              </w:rPr>
              <w:t xml:space="preserve"> as follows:</w:t>
            </w: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6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6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0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88"/>
              </w:rPr>
              <w:t>Goodwill</w:t>
            </w:r>
          </w:p>
        </w:tc>
        <w:tc>
          <w:tcPr>
            <w:tcW w:w="7540" w:type="dxa"/>
            <w:vAlign w:val="bottom"/>
            <w:vMerge w:val="restart"/>
          </w:tcPr>
          <w:p>
            <w:pPr>
              <w:spacing w:after="0"/>
              <w:rPr>
                <w:sz w:val="18"/>
                <w:szCs w:val="18"/>
                <w:color w:val="auto"/>
              </w:rPr>
            </w:pPr>
          </w:p>
        </w:tc>
        <w:tc>
          <w:tcPr>
            <w:tcW w:w="20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61"/>
        </w:trPr>
        <w:tc>
          <w:tcPr>
            <w:tcW w:w="620" w:type="dxa"/>
            <w:vAlign w:val="bottom"/>
            <w:tcBorders>
              <w:bottom w:val="single" w:sz="8" w:color="auto"/>
            </w:tcBorders>
            <w:vMerge w:val="continue"/>
          </w:tcPr>
          <w:p>
            <w:pPr>
              <w:spacing w:after="0"/>
              <w:rPr>
                <w:sz w:val="13"/>
                <w:szCs w:val="13"/>
                <w:color w:val="auto"/>
              </w:rPr>
            </w:pPr>
          </w:p>
        </w:tc>
        <w:tc>
          <w:tcPr>
            <w:tcW w:w="75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Clinical research</w:t>
            </w:r>
          </w:p>
        </w:tc>
        <w:tc>
          <w:tcPr>
            <w:tcW w:w="2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630,096</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602,442</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20" w:type="dxa"/>
            <w:vAlign w:val="bottom"/>
            <w:tcBorders>
              <w:bottom w:val="single" w:sz="8" w:color="auto"/>
            </w:tcBorders>
            <w:shd w:val="clear" w:color="auto" w:fill="CCEEFF"/>
          </w:tcPr>
          <w:p>
            <w:pPr>
              <w:spacing w:after="0"/>
              <w:rPr>
                <w:sz w:val="20"/>
                <w:szCs w:val="20"/>
                <w:color w:val="auto"/>
              </w:rPr>
            </w:pPr>
          </w:p>
        </w:tc>
        <w:tc>
          <w:tcPr>
            <w:tcW w:w="75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630,096</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602,442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Impairment testing methodology and results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Goodwill is subject to impairment testing on an annual basis or more frequently if facts or circumstances warrant such a review.</w:t>
      </w:r>
    </w:p>
    <w:p>
      <w:pPr>
        <w:spacing w:after="0" w:line="22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86"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assumptions were applied in determining the five year projected cash flows of the Clinical Research CGU at 31 December 2016:</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31 December</w:t>
            </w:r>
          </w:p>
        </w:tc>
        <w:tc>
          <w:tcPr>
            <w:tcW w:w="1860" w:type="dxa"/>
            <w:vAlign w:val="bottom"/>
          </w:tcPr>
          <w:p>
            <w:pPr>
              <w:jc w:val="right"/>
              <w:spacing w:after="0"/>
              <w:rPr>
                <w:sz w:val="20"/>
                <w:szCs w:val="20"/>
                <w:color w:val="auto"/>
              </w:rPr>
            </w:pPr>
            <w:r>
              <w:rPr>
                <w:rFonts w:ascii="Arial" w:cs="Arial" w:eastAsia="Arial" w:hAnsi="Arial"/>
                <w:sz w:val="16"/>
                <w:szCs w:val="16"/>
                <w:color w:val="auto"/>
              </w:rPr>
              <w:t>31 December</w:t>
            </w:r>
          </w:p>
        </w:tc>
      </w:tr>
      <w:tr>
        <w:trPr>
          <w:trHeight w:val="209"/>
        </w:trPr>
        <w:tc>
          <w:tcPr>
            <w:tcW w:w="5160" w:type="dxa"/>
            <w:vAlign w:val="bottom"/>
          </w:tcPr>
          <w:p>
            <w:pPr>
              <w:spacing w:after="0"/>
              <w:rPr>
                <w:sz w:val="18"/>
                <w:szCs w:val="18"/>
                <w:color w:val="auto"/>
              </w:rPr>
            </w:pP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2016</w:t>
            </w:r>
          </w:p>
        </w:tc>
        <w:tc>
          <w:tcPr>
            <w:tcW w:w="186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Expected revenue growth rate</w:t>
            </w:r>
          </w:p>
        </w:tc>
        <w:tc>
          <w:tcPr>
            <w:tcW w:w="442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6%</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92"/>
        </w:trPr>
        <w:tc>
          <w:tcPr>
            <w:tcW w:w="5160" w:type="dxa"/>
            <w:vAlign w:val="bottom"/>
          </w:tcPr>
          <w:p>
            <w:pPr>
              <w:spacing w:after="0"/>
              <w:rPr>
                <w:sz w:val="20"/>
                <w:szCs w:val="20"/>
                <w:color w:val="auto"/>
              </w:rPr>
            </w:pPr>
            <w:r>
              <w:rPr>
                <w:rFonts w:ascii="Arial" w:cs="Arial" w:eastAsia="Arial" w:hAnsi="Arial"/>
                <w:sz w:val="16"/>
                <w:szCs w:val="16"/>
                <w:color w:val="auto"/>
              </w:rPr>
              <w:t>Expected growth rate for operating costs</w:t>
            </w: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5.5%</w:t>
            </w:r>
          </w:p>
        </w:tc>
        <w:tc>
          <w:tcPr>
            <w:tcW w:w="1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Expected effective tax rate</w:t>
            </w:r>
          </w:p>
        </w:tc>
        <w:tc>
          <w:tcPr>
            <w:tcW w:w="442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14%</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2"/>
        </w:trPr>
        <w:tc>
          <w:tcPr>
            <w:tcW w:w="5160" w:type="dxa"/>
            <w:vAlign w:val="bottom"/>
          </w:tcPr>
          <w:p>
            <w:pPr>
              <w:spacing w:after="0"/>
              <w:rPr>
                <w:sz w:val="20"/>
                <w:szCs w:val="20"/>
                <w:color w:val="auto"/>
              </w:rPr>
            </w:pPr>
            <w:r>
              <w:rPr>
                <w:rFonts w:ascii="Arial" w:cs="Arial" w:eastAsia="Arial" w:hAnsi="Arial"/>
                <w:sz w:val="16"/>
                <w:szCs w:val="16"/>
                <w:color w:val="auto"/>
              </w:rPr>
              <w:t>Expected movement in creditors</w:t>
            </w: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5.5%</w:t>
            </w:r>
          </w:p>
        </w:tc>
        <w:tc>
          <w:tcPr>
            <w:tcW w:w="1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Expected days sales outstanding</w:t>
            </w:r>
          </w:p>
        </w:tc>
        <w:tc>
          <w:tcPr>
            <w:tcW w:w="442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50 days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days</w:t>
            </w:r>
          </w:p>
        </w:tc>
      </w:tr>
      <w:tr>
        <w:trPr>
          <w:trHeight w:val="192"/>
        </w:trPr>
        <w:tc>
          <w:tcPr>
            <w:tcW w:w="5160" w:type="dxa"/>
            <w:vAlign w:val="bottom"/>
          </w:tcPr>
          <w:p>
            <w:pPr>
              <w:spacing w:after="0"/>
              <w:rPr>
                <w:sz w:val="20"/>
                <w:szCs w:val="20"/>
                <w:color w:val="auto"/>
              </w:rPr>
            </w:pPr>
            <w:r>
              <w:rPr>
                <w:rFonts w:ascii="Arial" w:cs="Arial" w:eastAsia="Arial" w:hAnsi="Arial"/>
                <w:sz w:val="16"/>
                <w:szCs w:val="16"/>
                <w:color w:val="auto"/>
              </w:rPr>
              <w:t>Expected capital expenditure growth rate</w:t>
            </w: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2%</w:t>
            </w:r>
          </w:p>
        </w:tc>
        <w:tc>
          <w:tcPr>
            <w:tcW w:w="1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Discount rate</w:t>
            </w:r>
          </w:p>
        </w:tc>
        <w:tc>
          <w:tcPr>
            <w:tcW w:w="442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10%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bl>
    <w:p>
      <w:pPr>
        <w:jc w:val="both"/>
        <w:ind w:left="4" w:right="20"/>
        <w:spacing w:after="0" w:line="261" w:lineRule="auto"/>
        <w:rPr>
          <w:sz w:val="20"/>
          <w:szCs w:val="20"/>
          <w:color w:val="auto"/>
        </w:rPr>
      </w:pPr>
      <w:r>
        <w:rPr>
          <w:rFonts w:ascii="Arial" w:cs="Arial" w:eastAsia="Arial" w:hAnsi="Arial"/>
          <w:sz w:val="16"/>
          <w:szCs w:val="16"/>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Intangible assets – goodwill and other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14% has been applied in determining the projected after tax cash flows.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45 to 55 days. Creditors are expected to increase in line with operating costs. Capital expenditure is expected to increase in line with the Group’s projected capital expenditure investment targets.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pre-tax discount rate of 10% (2015: 8%)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excess of the value-in-use of the CGU at 31 December 2016, based on the assumptions above, has been calculated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8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80" w:type="dxa"/>
            <w:vAlign w:val="bottom"/>
          </w:tcPr>
          <w:p>
            <w:pPr>
              <w:jc w:val="right"/>
              <w:ind w:right="200"/>
              <w:spacing w:after="0"/>
              <w:rPr>
                <w:sz w:val="20"/>
                <w:szCs w:val="20"/>
                <w:color w:val="auto"/>
              </w:rPr>
            </w:pPr>
            <w:r>
              <w:rPr>
                <w:rFonts w:ascii="Arial" w:cs="Arial" w:eastAsia="Arial" w:hAnsi="Arial"/>
                <w:sz w:val="16"/>
                <w:szCs w:val="16"/>
                <w:b w:val="1"/>
                <w:bCs w:val="1"/>
                <w:color w:val="auto"/>
              </w:rPr>
              <w:t>$’m</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Value-in use (present value of future cash flows)</w:t>
            </w:r>
          </w:p>
        </w:tc>
        <w:tc>
          <w:tcPr>
            <w:tcW w:w="58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4,629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Carrying amount of the Clinical Research CGU</w:t>
            </w:r>
          </w:p>
        </w:tc>
        <w:tc>
          <w:tcPr>
            <w:tcW w:w="5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(977)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Excess of value-in-use over carrying value</w:t>
            </w:r>
          </w:p>
        </w:tc>
        <w:tc>
          <w:tcPr>
            <w:tcW w:w="5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3,652</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80" w:type="dxa"/>
            <w:vAlign w:val="bottom"/>
          </w:tcPr>
          <w:p>
            <w:pPr>
              <w:jc w:val="right"/>
              <w:ind w:right="4360"/>
              <w:spacing w:after="0"/>
              <w:rPr>
                <w:sz w:val="20"/>
                <w:szCs w:val="20"/>
                <w:color w:val="auto"/>
              </w:rPr>
            </w:pPr>
            <w:r>
              <w:rPr>
                <w:rFonts w:ascii="Arial" w:cs="Arial" w:eastAsia="Arial" w:hAnsi="Arial"/>
                <w:sz w:val="16"/>
                <w:szCs w:val="16"/>
                <w:color w:val="auto"/>
              </w:rPr>
              <w:t>72</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Intangible assets – goodwill and other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Sensitivity Analysis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 sensitivity analysis to determine if reasonable changes in key assumptions could lead to an impairment was conducted at 31 December 2016 using the following revised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31 December</w:t>
            </w:r>
          </w:p>
        </w:tc>
        <w:tc>
          <w:tcPr>
            <w:tcW w:w="1860" w:type="dxa"/>
            <w:vAlign w:val="bottom"/>
          </w:tcPr>
          <w:p>
            <w:pPr>
              <w:jc w:val="right"/>
              <w:spacing w:after="0"/>
              <w:rPr>
                <w:sz w:val="20"/>
                <w:szCs w:val="20"/>
                <w:color w:val="auto"/>
              </w:rPr>
            </w:pPr>
            <w:r>
              <w:rPr>
                <w:rFonts w:ascii="Arial" w:cs="Arial" w:eastAsia="Arial" w:hAnsi="Arial"/>
                <w:sz w:val="16"/>
                <w:szCs w:val="16"/>
                <w:color w:val="auto"/>
              </w:rPr>
              <w:t>31 December</w:t>
            </w:r>
          </w:p>
        </w:tc>
      </w:tr>
      <w:tr>
        <w:trPr>
          <w:trHeight w:val="209"/>
        </w:trPr>
        <w:tc>
          <w:tcPr>
            <w:tcW w:w="5160" w:type="dxa"/>
            <w:vAlign w:val="bottom"/>
          </w:tcPr>
          <w:p>
            <w:pPr>
              <w:spacing w:after="0"/>
              <w:rPr>
                <w:sz w:val="18"/>
                <w:szCs w:val="18"/>
                <w:color w:val="auto"/>
              </w:rPr>
            </w:pP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2016</w:t>
            </w:r>
          </w:p>
        </w:tc>
        <w:tc>
          <w:tcPr>
            <w:tcW w:w="186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Expected revenue growth rate</w:t>
            </w:r>
          </w:p>
        </w:tc>
        <w:tc>
          <w:tcPr>
            <w:tcW w:w="442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4%</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2"/>
        </w:trPr>
        <w:tc>
          <w:tcPr>
            <w:tcW w:w="5160" w:type="dxa"/>
            <w:vAlign w:val="bottom"/>
          </w:tcPr>
          <w:p>
            <w:pPr>
              <w:spacing w:after="0"/>
              <w:rPr>
                <w:sz w:val="20"/>
                <w:szCs w:val="20"/>
                <w:color w:val="auto"/>
              </w:rPr>
            </w:pPr>
            <w:r>
              <w:rPr>
                <w:rFonts w:ascii="Arial" w:cs="Arial" w:eastAsia="Arial" w:hAnsi="Arial"/>
                <w:sz w:val="16"/>
                <w:szCs w:val="16"/>
                <w:color w:val="auto"/>
              </w:rPr>
              <w:t>Expected growth rate for operating costs</w:t>
            </w:r>
          </w:p>
        </w:tc>
        <w:tc>
          <w:tcPr>
            <w:tcW w:w="4420" w:type="dxa"/>
            <w:vAlign w:val="bottom"/>
          </w:tcPr>
          <w:p>
            <w:pPr>
              <w:jc w:val="right"/>
              <w:ind w:right="920"/>
              <w:spacing w:after="0"/>
              <w:rPr>
                <w:sz w:val="20"/>
                <w:szCs w:val="20"/>
                <w:color w:val="auto"/>
              </w:rPr>
            </w:pPr>
            <w:r>
              <w:rPr>
                <w:rFonts w:ascii="Arial" w:cs="Arial" w:eastAsia="Arial" w:hAnsi="Arial"/>
                <w:sz w:val="16"/>
                <w:szCs w:val="16"/>
                <w:b w:val="1"/>
                <w:bCs w:val="1"/>
                <w:color w:val="auto"/>
              </w:rPr>
              <w:t>3.5%</w:t>
            </w:r>
          </w:p>
        </w:tc>
        <w:tc>
          <w:tcPr>
            <w:tcW w:w="1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Expected capital expenditure growth rate</w:t>
            </w:r>
          </w:p>
        </w:tc>
        <w:tc>
          <w:tcPr>
            <w:tcW w:w="4420" w:type="dxa"/>
            <w:vAlign w:val="bottom"/>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1%</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Discount rate</w:t>
            </w:r>
          </w:p>
        </w:tc>
        <w:tc>
          <w:tcPr>
            <w:tcW w:w="442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b w:val="1"/>
                <w:bCs w:val="1"/>
                <w:color w:val="auto"/>
              </w:rPr>
              <w:t>13%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*All other inputs remained constant.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revised excess of the value-in-use of the CGU at 31 December 2016, using the alternative assumptions above, has been calculated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88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80" w:type="dxa"/>
            <w:vAlign w:val="bottom"/>
          </w:tcPr>
          <w:p>
            <w:pPr>
              <w:jc w:val="right"/>
              <w:ind w:right="200"/>
              <w:spacing w:after="0"/>
              <w:rPr>
                <w:sz w:val="20"/>
                <w:szCs w:val="20"/>
                <w:color w:val="auto"/>
              </w:rPr>
            </w:pPr>
            <w:r>
              <w:rPr>
                <w:rFonts w:ascii="Arial" w:cs="Arial" w:eastAsia="Arial" w:hAnsi="Arial"/>
                <w:sz w:val="16"/>
                <w:szCs w:val="16"/>
                <w:b w:val="1"/>
                <w:bCs w:val="1"/>
                <w:color w:val="auto"/>
              </w:rPr>
              <w:t>$’m</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Revised value-in use (present value of future cash flows)</w:t>
            </w:r>
          </w:p>
        </w:tc>
        <w:tc>
          <w:tcPr>
            <w:tcW w:w="38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3,321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Carrying amount of the Clinical Research CGU</w:t>
            </w:r>
          </w:p>
        </w:tc>
        <w:tc>
          <w:tcPr>
            <w:tcW w:w="3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(977)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Revised excess of value-in-use over carrying value</w:t>
            </w:r>
          </w:p>
        </w:tc>
        <w:tc>
          <w:tcPr>
            <w:tcW w:w="3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2,344</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Business Combinations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acquisitions below have been accounted for as business combinations in accordance with the revised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Acquisition of ClincalRM</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On 15 September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specialising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31 December 2017. The fair value of the deferred consideration on acquisition has been estimated as $6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8" w:name="page89"/>
    <w:bookmarkEnd w:id="88"/>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14. Business Combinations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The acquisition of ClinicalRM has been accounted for as a business combination in accordance with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following table summarises the provisional estimates of the fair values of the assets acquired and the liabilities assumed:</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5060" w:type="dxa"/>
            <w:vAlign w:val="bottom"/>
          </w:tcPr>
          <w:p>
            <w:pPr>
              <w:jc w:val="right"/>
              <w:ind w:right="40"/>
              <w:spacing w:after="0"/>
              <w:rPr>
                <w:sz w:val="20"/>
                <w:szCs w:val="20"/>
                <w:color w:val="auto"/>
              </w:rPr>
            </w:pPr>
            <w:r>
              <w:rPr>
                <w:rFonts w:ascii="Arial" w:cs="Arial" w:eastAsia="Arial" w:hAnsi="Arial"/>
                <w:sz w:val="16"/>
                <w:szCs w:val="16"/>
                <w:b w:val="1"/>
                <w:bCs w:val="1"/>
                <w:color w:val="auto"/>
              </w:rPr>
              <w:t>15 September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506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50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5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5060" w:type="dxa"/>
            <w:vAlign w:val="bottom"/>
          </w:tcPr>
          <w:p>
            <w:pPr>
              <w:jc w:val="right"/>
              <w:ind w:right="40"/>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Intangible assets**</w:t>
            </w:r>
          </w:p>
        </w:tc>
        <w:tc>
          <w:tcPr>
            <w:tcW w:w="5060" w:type="dxa"/>
            <w:vAlign w:val="bottom"/>
          </w:tcPr>
          <w:p>
            <w:pPr>
              <w:jc w:val="right"/>
              <w:ind w:right="40"/>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5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Unbilled revenue</w:t>
            </w:r>
          </w:p>
        </w:tc>
        <w:tc>
          <w:tcPr>
            <w:tcW w:w="5060" w:type="dxa"/>
            <w:vAlign w:val="bottom"/>
          </w:tcPr>
          <w:p>
            <w:pPr>
              <w:jc w:val="right"/>
              <w:ind w:right="40"/>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5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Accounts payable</w:t>
            </w:r>
          </w:p>
        </w:tc>
        <w:tc>
          <w:tcPr>
            <w:tcW w:w="506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5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other liabilities</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360" w:type="dxa"/>
            <w:vAlign w:val="bottom"/>
            <w:tcBorders>
              <w:top w:val="single" w:sz="8" w:color="auto"/>
            </w:tcBorders>
            <w:shd w:val="clear" w:color="auto" w:fill="CCEEFF"/>
          </w:tcPr>
          <w:p>
            <w:pPr>
              <w:spacing w:after="0"/>
              <w:rPr>
                <w:sz w:val="15"/>
                <w:szCs w:val="15"/>
                <w:color w:val="auto"/>
              </w:rPr>
            </w:pPr>
          </w:p>
        </w:tc>
        <w:tc>
          <w:tcPr>
            <w:tcW w:w="5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assets acquired</w:t>
            </w:r>
          </w:p>
        </w:tc>
        <w:tc>
          <w:tcPr>
            <w:tcW w:w="5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58,396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3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consideration</w:t>
            </w:r>
          </w:p>
        </w:tc>
        <w:tc>
          <w:tcPr>
            <w:tcW w:w="5060" w:type="dxa"/>
            <w:vAlign w:val="bottom"/>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52,396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 consideration</w:t>
            </w:r>
          </w:p>
        </w:tc>
        <w:tc>
          <w:tcPr>
            <w:tcW w:w="5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consideration</w:t>
            </w:r>
          </w:p>
        </w:tc>
        <w:tc>
          <w:tcPr>
            <w:tcW w:w="5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58,396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right="20" w:hanging="4"/>
        <w:spacing w:after="0" w:line="258" w:lineRule="auto"/>
        <w:tabs>
          <w:tab w:leader="none" w:pos="1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w:t>
      </w:r>
    </w:p>
    <w:p>
      <w:pPr>
        <w:spacing w:after="0" w:line="1" w:lineRule="exact"/>
        <w:rPr>
          <w:rFonts w:ascii="Arial" w:cs="Arial" w:eastAsia="Arial" w:hAnsi="Arial"/>
          <w:sz w:val="16"/>
          <w:szCs w:val="16"/>
          <w:color w:val="auto"/>
        </w:rPr>
      </w:pPr>
    </w:p>
    <w:p>
      <w:pPr>
        <w:ind w:left="4" w:right="20"/>
        <w:spacing w:after="0" w:line="261" w:lineRule="auto"/>
        <w:rPr>
          <w:rFonts w:ascii="Arial" w:cs="Arial" w:eastAsia="Arial" w:hAnsi="Arial"/>
          <w:sz w:val="16"/>
          <w:szCs w:val="16"/>
          <w:color w:val="auto"/>
        </w:rPr>
      </w:pPr>
      <w:r>
        <w:rPr>
          <w:rFonts w:ascii="Arial" w:cs="Arial" w:eastAsia="Arial" w:hAnsi="Arial"/>
          <w:sz w:val="16"/>
          <w:szCs w:val="16"/>
          <w:color w:val="auto"/>
        </w:rPr>
        <w:t>** The Company has made an initial estimate of separate intangible assets (comprised of customer relationships and order book) acquired of $8.6 million. This assessment is under review and will be finalised within 12 months of the date of acquisition.</w:t>
      </w:r>
    </w:p>
    <w:p>
      <w:pPr>
        <w:spacing w:after="0" w:line="18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76"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pro forma effect of the ClinicalRM acquisition if completed on 1 January 2016 would have resulted in net revenue and profit for the financial years ended 31 December 2016 and 31 December 2015 as follows: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84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84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84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84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w:t>
            </w:r>
          </w:p>
        </w:tc>
        <w:tc>
          <w:tcPr>
            <w:tcW w:w="68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1,713,245</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1,639,085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3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68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271,929</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244,652</w:t>
            </w:r>
          </w:p>
        </w:tc>
        <w:tc>
          <w:tcPr>
            <w:tcW w:w="0" w:type="dxa"/>
            <w:vAlign w:val="bottom"/>
          </w:tcPr>
          <w:p>
            <w:pPr>
              <w:spacing w:after="0"/>
              <w:rPr>
                <w:sz w:val="1"/>
                <w:szCs w:val="1"/>
                <w:color w:val="auto"/>
              </w:rPr>
            </w:pPr>
          </w:p>
        </w:tc>
      </w:tr>
      <w:tr>
        <w:trPr>
          <w:trHeight w:val="396"/>
        </w:trPr>
        <w:tc>
          <w:tcPr>
            <w:tcW w:w="10220" w:type="dxa"/>
            <w:vAlign w:val="bottom"/>
            <w:gridSpan w:val="3"/>
          </w:tcPr>
          <w:p>
            <w:pPr>
              <w:spacing w:after="0"/>
              <w:rPr>
                <w:sz w:val="20"/>
                <w:szCs w:val="20"/>
                <w:color w:val="auto"/>
              </w:rPr>
            </w:pPr>
            <w:r>
              <w:rPr>
                <w:rFonts w:ascii="Arial" w:cs="Arial" w:eastAsia="Arial" w:hAnsi="Arial"/>
                <w:sz w:val="16"/>
                <w:szCs w:val="16"/>
                <w:color w:val="auto"/>
                <w:w w:val="99"/>
              </w:rPr>
              <w:t>The impact of the acquisition of ClinicalRM on 15 September 2016 was to increase revenue by $16.2 million and profit before tax by $0.4 million.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40" w:type="dxa"/>
            <w:vAlign w:val="bottom"/>
          </w:tcPr>
          <w:p>
            <w:pPr>
              <w:jc w:val="right"/>
              <w:ind w:right="4340"/>
              <w:spacing w:after="0"/>
              <w:rPr>
                <w:sz w:val="20"/>
                <w:szCs w:val="20"/>
                <w:color w:val="auto"/>
              </w:rPr>
            </w:pPr>
            <w:r>
              <w:rPr>
                <w:rFonts w:ascii="Arial" w:cs="Arial" w:eastAsia="Arial" w:hAnsi="Arial"/>
                <w:sz w:val="16"/>
                <w:szCs w:val="16"/>
                <w:color w:val="auto"/>
              </w:rPr>
              <w:t>74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123" w:right="219" w:bottom="1440" w:gutter="0" w:footer="0" w:header="0"/>
        </w:sectPr>
      </w:pPr>
    </w:p>
    <w:bookmarkStart w:id="89" w:name="page90"/>
    <w:bookmarkEnd w:id="89"/>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ind w:left="244" w:hanging="244"/>
        <w:spacing w:after="0"/>
        <w:tabs>
          <w:tab w:leader="none" w:pos="244"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b w:val="1"/>
          <w:bCs w:val="1"/>
          <w:i w:val="1"/>
          <w:iCs w:val="1"/>
          <w:color w:val="auto"/>
        </w:rPr>
        <w:t>(continued)</w:t>
      </w:r>
    </w:p>
    <w:p>
      <w:pPr>
        <w:spacing w:after="0" w:line="228" w:lineRule="exact"/>
        <w:rPr>
          <w:rFonts w:ascii="Arial" w:cs="Arial" w:eastAsia="Arial" w:hAnsi="Arial"/>
          <w:sz w:val="16"/>
          <w:szCs w:val="16"/>
          <w:b w:val="1"/>
          <w:bCs w:val="1"/>
          <w:color w:val="auto"/>
        </w:rPr>
      </w:pPr>
    </w:p>
    <w:p>
      <w:pPr>
        <w:ind w:left="264" w:hanging="224"/>
        <w:spacing w:after="0"/>
        <w:tabs>
          <w:tab w:leader="none" w:pos="264" w:val="left"/>
        </w:tabs>
        <w:numPr>
          <w:ilvl w:val="1"/>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Acquisition of PMG</w:t>
      </w:r>
    </w:p>
    <w:p>
      <w:pPr>
        <w:spacing w:after="0" w:line="224" w:lineRule="exact"/>
        <w:rPr>
          <w:sz w:val="20"/>
          <w:szCs w:val="20"/>
          <w:color w:val="auto"/>
        </w:rPr>
      </w:pPr>
    </w:p>
    <w:p>
      <w:pPr>
        <w:jc w:val="both"/>
        <w:ind w:left="4"/>
        <w:spacing w:after="0" w:line="256" w:lineRule="auto"/>
        <w:rPr>
          <w:sz w:val="20"/>
          <w:szCs w:val="20"/>
          <w:color w:val="auto"/>
        </w:rPr>
      </w:pPr>
      <w:r>
        <w:rPr>
          <w:rFonts w:ascii="Arial" w:cs="Arial" w:eastAsia="Arial" w:hAnsi="Arial"/>
          <w:sz w:val="16"/>
          <w:szCs w:val="16"/>
          <w:color w:val="auto"/>
        </w:rPr>
        <w:t>On 4 December 2015, a subsidiary of the Company, ICON Clinical Research LLC., acquired 100% of PMG for cash consideration of $53.7 million. The Company also made certain payments on behalf of PMG totalling $10.1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w:t>
      </w:r>
    </w:p>
    <w:p>
      <w:pPr>
        <w:spacing w:after="0" w:line="192"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 xml:space="preserve">The acquisition of PMG has been accounted for as a business combination in accordance with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following table summarises the fair values of the assets acquired and the liabilities assumed:</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5000" w:type="dxa"/>
            <w:vAlign w:val="bottom"/>
          </w:tcPr>
          <w:p>
            <w:pPr>
              <w:jc w:val="right"/>
              <w:ind w:right="40"/>
              <w:spacing w:after="0"/>
              <w:rPr>
                <w:sz w:val="20"/>
                <w:szCs w:val="20"/>
                <w:color w:val="auto"/>
              </w:rPr>
            </w:pPr>
            <w:r>
              <w:rPr>
                <w:rFonts w:ascii="Arial" w:cs="Arial" w:eastAsia="Arial" w:hAnsi="Arial"/>
                <w:sz w:val="16"/>
                <w:szCs w:val="16"/>
                <w:b w:val="1"/>
                <w:bCs w:val="1"/>
                <w:color w:val="auto"/>
              </w:rPr>
              <w:t>4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50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50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5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5000" w:type="dxa"/>
            <w:vAlign w:val="bottom"/>
          </w:tcPr>
          <w:p>
            <w:pPr>
              <w:jc w:val="right"/>
              <w:ind w:right="4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48,728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Customer lists</w:t>
            </w:r>
          </w:p>
        </w:tc>
        <w:tc>
          <w:tcPr>
            <w:tcW w:w="5000" w:type="dxa"/>
            <w:vAlign w:val="bottom"/>
          </w:tcPr>
          <w:p>
            <w:pPr>
              <w:jc w:val="right"/>
              <w:ind w:right="40"/>
              <w:spacing w:after="0"/>
              <w:rPr>
                <w:sz w:val="20"/>
                <w:szCs w:val="20"/>
                <w:color w:val="auto"/>
              </w:rPr>
            </w:pPr>
            <w:r>
              <w:rPr>
                <w:rFonts w:ascii="Arial" w:cs="Arial" w:eastAsia="Arial" w:hAnsi="Arial"/>
                <w:sz w:val="16"/>
                <w:szCs w:val="16"/>
                <w:color w:val="auto"/>
              </w:rPr>
              <w:t>6,938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Order backlog</w:t>
            </w:r>
          </w:p>
        </w:tc>
        <w:tc>
          <w:tcPr>
            <w:tcW w:w="5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Accounts receivable</w:t>
            </w:r>
          </w:p>
        </w:tc>
        <w:tc>
          <w:tcPr>
            <w:tcW w:w="5000" w:type="dxa"/>
            <w:vAlign w:val="bottom"/>
          </w:tcPr>
          <w:p>
            <w:pPr>
              <w:jc w:val="right"/>
              <w:ind w:right="40"/>
              <w:spacing w:after="0"/>
              <w:rPr>
                <w:sz w:val="20"/>
                <w:szCs w:val="20"/>
                <w:color w:val="auto"/>
              </w:rPr>
            </w:pPr>
            <w:r>
              <w:rPr>
                <w:rFonts w:ascii="Arial" w:cs="Arial" w:eastAsia="Arial" w:hAnsi="Arial"/>
                <w:sz w:val="16"/>
                <w:szCs w:val="16"/>
                <w:color w:val="auto"/>
              </w:rPr>
              <w:t>11,597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5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Accounts payable</w:t>
            </w:r>
          </w:p>
        </w:tc>
        <w:tc>
          <w:tcPr>
            <w:tcW w:w="500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5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deferred tax liability</w:t>
            </w: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420" w:type="dxa"/>
            <w:vAlign w:val="bottom"/>
            <w:tcBorders>
              <w:top w:val="single" w:sz="8" w:color="auto"/>
            </w:tcBorders>
            <w:shd w:val="clear" w:color="auto" w:fill="CCEEFF"/>
          </w:tcPr>
          <w:p>
            <w:pPr>
              <w:spacing w:after="0"/>
              <w:rPr>
                <w:sz w:val="15"/>
                <w:szCs w:val="15"/>
                <w:color w:val="auto"/>
              </w:rPr>
            </w:pPr>
          </w:p>
        </w:tc>
        <w:tc>
          <w:tcPr>
            <w:tcW w:w="5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assets acquired</w:t>
            </w:r>
          </w:p>
        </w:tc>
        <w:tc>
          <w:tcPr>
            <w:tcW w:w="5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65,354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420" w:type="dxa"/>
            <w:vAlign w:val="bottom"/>
            <w:tcBorders>
              <w:top w:val="single" w:sz="8" w:color="auto"/>
            </w:tcBorders>
            <w:shd w:val="clear" w:color="auto" w:fill="CCEEFF"/>
          </w:tcPr>
          <w:p>
            <w:pPr>
              <w:spacing w:after="0"/>
              <w:rPr>
                <w:sz w:val="15"/>
                <w:szCs w:val="15"/>
                <w:color w:val="auto"/>
              </w:rPr>
            </w:pPr>
          </w:p>
        </w:tc>
        <w:tc>
          <w:tcPr>
            <w:tcW w:w="5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Cash consideration</w:t>
            </w:r>
          </w:p>
        </w:tc>
        <w:tc>
          <w:tcPr>
            <w:tcW w:w="5000" w:type="dxa"/>
            <w:vAlign w:val="bottom"/>
          </w:tcPr>
          <w:p>
            <w:pPr>
              <w:jc w:val="right"/>
              <w:ind w:right="40"/>
              <w:spacing w:after="0"/>
              <w:rPr>
                <w:sz w:val="20"/>
                <w:szCs w:val="20"/>
                <w:color w:val="auto"/>
              </w:rPr>
            </w:pPr>
            <w:r>
              <w:rPr>
                <w:rFonts w:ascii="Arial" w:cs="Arial" w:eastAsia="Arial" w:hAnsi="Arial"/>
                <w:sz w:val="16"/>
                <w:szCs w:val="16"/>
                <w:color w:val="auto"/>
              </w:rPr>
              <w:t>53,681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assumed</w:t>
            </w:r>
          </w:p>
        </w:tc>
        <w:tc>
          <w:tcPr>
            <w:tcW w:w="5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Working capital adjustment</w:t>
            </w:r>
          </w:p>
        </w:tc>
        <w:tc>
          <w:tcPr>
            <w:tcW w:w="5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cash outflows</w:t>
            </w:r>
          </w:p>
        </w:tc>
        <w:tc>
          <w:tcPr>
            <w:tcW w:w="5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65,354</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 w:hanging="4"/>
        <w:spacing w:after="0" w:line="257" w:lineRule="auto"/>
        <w:tabs>
          <w:tab w:leader="none" w:pos="1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finalising the goodwill on acquisition of PMG in the twelve month period from acquisition, fair value adjustments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192"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Business Combinations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pro forma effect of the PMG acquisition if completed on 1 January 2015 would have resulted in net revenue and profit for the financial years ended 31 December 2015 and 31 December 2014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12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12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120" w:type="dxa"/>
            <w:vAlign w:val="bottom"/>
          </w:tcPr>
          <w:p>
            <w:pPr>
              <w:jc w:val="right"/>
              <w:ind w:right="180"/>
              <w:spacing w:after="0"/>
              <w:rPr>
                <w:sz w:val="20"/>
                <w:szCs w:val="20"/>
                <w:color w:val="auto"/>
              </w:rPr>
            </w:pPr>
            <w:r>
              <w:rPr>
                <w:rFonts w:ascii="Arial" w:cs="Arial" w:eastAsia="Arial" w:hAnsi="Arial"/>
                <w:sz w:val="16"/>
                <w:szCs w:val="16"/>
                <w:b w:val="1"/>
                <w:bCs w:val="1"/>
                <w:color w:val="auto"/>
              </w:rPr>
              <w:t>2015</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12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w:t>
            </w:r>
          </w:p>
        </w:tc>
        <w:tc>
          <w:tcPr>
            <w:tcW w:w="51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1,601,891</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1,527,685</w:t>
            </w: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Profit for the year</w:t>
            </w:r>
          </w:p>
        </w:tc>
        <w:tc>
          <w:tcPr>
            <w:tcW w:w="5120" w:type="dxa"/>
            <w:vAlign w:val="bottom"/>
            <w:tcBorders>
              <w:bottom w:val="single" w:sz="8" w:color="auto"/>
            </w:tcBorders>
          </w:tcPr>
          <w:p>
            <w:pPr>
              <w:jc w:val="right"/>
              <w:ind w:right="180"/>
              <w:spacing w:after="0" w:line="181" w:lineRule="exact"/>
              <w:rPr>
                <w:sz w:val="20"/>
                <w:szCs w:val="20"/>
                <w:color w:val="auto"/>
              </w:rPr>
            </w:pPr>
            <w:r>
              <w:rPr>
                <w:rFonts w:ascii="Arial" w:cs="Arial" w:eastAsia="Arial" w:hAnsi="Arial"/>
                <w:sz w:val="16"/>
                <w:szCs w:val="16"/>
                <w:b w:val="1"/>
                <w:bCs w:val="1"/>
                <w:color w:val="auto"/>
              </w:rPr>
              <w:t>243,489</w:t>
            </w:r>
          </w:p>
        </w:tc>
        <w:tc>
          <w:tcPr>
            <w:tcW w:w="122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color w:val="auto"/>
              </w:rPr>
              <w:t>174,948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impact of the acquisition of PMG on 4 December 2015 was to increase revenue by $33.8 million and profit before tax by $3.5 million in the period since acquisition.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 Acquisition of MediMedia Pharma Solutions</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27 February 2015, a subsidary of the Company, ICON Holdings Unlimited Company (formerly ICON Holdings), acquired 100% of MediMedia Pharma Solutions for cash consideration of $104.8 million (net of working capital adjustments of $3.9 million). In addition to the cash consideration, certain payments were made on behalf of MediMedia Pharma Solutions on completion totalling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The acquisition of MediMedia Pharma Solutions has been accounted for as a business combination in accordance with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following table summarises the fair values of the assets acquired and the liabilities assumed: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7440" w:type="dxa"/>
            <w:vAlign w:val="bottom"/>
          </w:tcPr>
          <w:p>
            <w:pPr>
              <w:jc w:val="right"/>
              <w:ind w:right="40"/>
              <w:spacing w:after="0"/>
              <w:rPr>
                <w:sz w:val="20"/>
                <w:szCs w:val="20"/>
                <w:color w:val="auto"/>
              </w:rPr>
            </w:pPr>
            <w:r>
              <w:rPr>
                <w:rFonts w:ascii="Arial" w:cs="Arial" w:eastAsia="Arial" w:hAnsi="Arial"/>
                <w:sz w:val="16"/>
                <w:szCs w:val="16"/>
                <w:b w:val="1"/>
                <w:bCs w:val="1"/>
                <w:color w:val="auto"/>
              </w:rPr>
              <w:t>27 February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744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44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7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Goodwill*</w:t>
            </w:r>
          </w:p>
        </w:tc>
        <w:tc>
          <w:tcPr>
            <w:tcW w:w="7440" w:type="dxa"/>
            <w:vAlign w:val="bottom"/>
          </w:tcPr>
          <w:p>
            <w:pPr>
              <w:jc w:val="right"/>
              <w:ind w:right="40"/>
              <w:spacing w:after="0"/>
              <w:rPr>
                <w:sz w:val="20"/>
                <w:szCs w:val="20"/>
                <w:color w:val="auto"/>
              </w:rPr>
            </w:pPr>
            <w:r>
              <w:rPr>
                <w:rFonts w:ascii="Arial" w:cs="Arial" w:eastAsia="Arial" w:hAnsi="Arial"/>
                <w:sz w:val="16"/>
                <w:szCs w:val="16"/>
                <w:color w:val="auto"/>
              </w:rPr>
              <w:t>92,084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Customer lists</w:t>
            </w:r>
          </w:p>
        </w:tc>
        <w:tc>
          <w:tcPr>
            <w:tcW w:w="7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Order backlog</w:t>
            </w:r>
          </w:p>
        </w:tc>
        <w:tc>
          <w:tcPr>
            <w:tcW w:w="7440" w:type="dxa"/>
            <w:vAlign w:val="bottom"/>
          </w:tcPr>
          <w:p>
            <w:pPr>
              <w:jc w:val="right"/>
              <w:ind w:right="40"/>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7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Unbilled Revenue</w:t>
            </w:r>
          </w:p>
        </w:tc>
        <w:tc>
          <w:tcPr>
            <w:tcW w:w="7440" w:type="dxa"/>
            <w:vAlign w:val="bottom"/>
          </w:tcPr>
          <w:p>
            <w:pPr>
              <w:jc w:val="right"/>
              <w:ind w:right="40"/>
              <w:spacing w:after="0"/>
              <w:rPr>
                <w:sz w:val="20"/>
                <w:szCs w:val="20"/>
                <w:color w:val="auto"/>
              </w:rPr>
            </w:pPr>
            <w:r>
              <w:rPr>
                <w:rFonts w:ascii="Arial" w:cs="Arial" w:eastAsia="Arial" w:hAnsi="Arial"/>
                <w:sz w:val="16"/>
                <w:szCs w:val="16"/>
                <w:color w:val="auto"/>
              </w:rPr>
              <w:t>4,324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7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Accounts payable</w:t>
            </w:r>
          </w:p>
        </w:tc>
        <w:tc>
          <w:tcPr>
            <w:tcW w:w="7440" w:type="dxa"/>
            <w:vAlign w:val="bottom"/>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Payments on account</w:t>
            </w:r>
          </w:p>
        </w:tc>
        <w:tc>
          <w:tcPr>
            <w:tcW w:w="7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7440" w:type="dxa"/>
            <w:vAlign w:val="bottom"/>
          </w:tcPr>
          <w:p>
            <w:pPr>
              <w:jc w:val="right"/>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7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7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440" w:type="dxa"/>
            <w:vAlign w:val="bottom"/>
          </w:tcPr>
          <w:p>
            <w:pPr>
              <w:jc w:val="right"/>
              <w:ind w:right="55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91" w:name="page92"/>
    <w:bookmarkEnd w:id="91"/>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 xml:space="preserve">14. Business Combinations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51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205"/>
        </w:trPr>
        <w:tc>
          <w:tcPr>
            <w:tcW w:w="6280" w:type="dxa"/>
            <w:vAlign w:val="bottom"/>
            <w:gridSpan w:val="2"/>
          </w:tcPr>
          <w:p>
            <w:pPr>
              <w:spacing w:after="0"/>
              <w:rPr>
                <w:sz w:val="20"/>
                <w:szCs w:val="20"/>
                <w:color w:val="auto"/>
              </w:rPr>
            </w:pPr>
            <w:r>
              <w:rPr>
                <w:rFonts w:ascii="Arial" w:cs="Arial" w:eastAsia="Arial" w:hAnsi="Arial"/>
                <w:sz w:val="16"/>
                <w:szCs w:val="16"/>
                <w:color w:val="auto"/>
              </w:rPr>
              <w:t>Cash consideration</w:t>
            </w:r>
          </w:p>
        </w:tc>
        <w:tc>
          <w:tcPr>
            <w:tcW w:w="5160" w:type="dxa"/>
            <w:vAlign w:val="bottom"/>
          </w:tcPr>
          <w:p>
            <w:pPr>
              <w:jc w:val="right"/>
              <w:ind w:right="40"/>
              <w:spacing w:after="0"/>
              <w:rPr>
                <w:sz w:val="20"/>
                <w:szCs w:val="20"/>
                <w:color w:val="auto"/>
              </w:rPr>
            </w:pPr>
            <w:r>
              <w:rPr>
                <w:rFonts w:ascii="Arial" w:cs="Arial" w:eastAsia="Arial" w:hAnsi="Arial"/>
                <w:sz w:val="16"/>
                <w:szCs w:val="16"/>
                <w:color w:val="auto"/>
              </w:rPr>
              <w:t>108,717</w:t>
            </w:r>
          </w:p>
        </w:tc>
      </w:tr>
      <w:tr>
        <w:trPr>
          <w:trHeight w:val="196"/>
        </w:trPr>
        <w:tc>
          <w:tcPr>
            <w:tcW w:w="20" w:type="dxa"/>
            <w:vAlign w:val="bottom"/>
          </w:tcPr>
          <w:p>
            <w:pPr>
              <w:spacing w:after="0"/>
              <w:rPr>
                <w:sz w:val="17"/>
                <w:szCs w:val="17"/>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 assumed**</w:t>
            </w:r>
          </w:p>
        </w:tc>
        <w:tc>
          <w:tcPr>
            <w:tcW w:w="5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11,283</w:t>
            </w:r>
          </w:p>
        </w:tc>
      </w:tr>
      <w:tr>
        <w:trPr>
          <w:trHeight w:val="192"/>
        </w:trPr>
        <w:tc>
          <w:tcPr>
            <w:tcW w:w="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Gross cash outflows</w:t>
            </w:r>
          </w:p>
        </w:tc>
        <w:tc>
          <w:tcPr>
            <w:tcW w:w="5160" w:type="dxa"/>
            <w:vAlign w:val="bottom"/>
          </w:tcPr>
          <w:p>
            <w:pPr>
              <w:jc w:val="right"/>
              <w:ind w:right="40"/>
              <w:spacing w:after="0"/>
              <w:rPr>
                <w:sz w:val="20"/>
                <w:szCs w:val="20"/>
                <w:color w:val="auto"/>
              </w:rPr>
            </w:pPr>
            <w:r>
              <w:rPr>
                <w:rFonts w:ascii="Arial" w:cs="Arial" w:eastAsia="Arial" w:hAnsi="Arial"/>
                <w:sz w:val="16"/>
                <w:szCs w:val="16"/>
                <w:color w:val="auto"/>
              </w:rPr>
              <w:t>120,000</w:t>
            </w:r>
          </w:p>
        </w:tc>
      </w:tr>
      <w:tr>
        <w:trPr>
          <w:trHeight w:val="196"/>
        </w:trPr>
        <w:tc>
          <w:tcPr>
            <w:tcW w:w="20" w:type="dxa"/>
            <w:vAlign w:val="bottom"/>
          </w:tcPr>
          <w:p>
            <w:pPr>
              <w:spacing w:after="0"/>
              <w:rPr>
                <w:sz w:val="17"/>
                <w:szCs w:val="17"/>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Working capital adjustment</w:t>
            </w:r>
          </w:p>
        </w:tc>
        <w:tc>
          <w:tcPr>
            <w:tcW w:w="5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r>
      <w:tr>
        <w:trPr>
          <w:trHeight w:val="192"/>
        </w:trPr>
        <w:tc>
          <w:tcPr>
            <w:tcW w:w="2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outflows</w:t>
            </w:r>
          </w:p>
        </w:tc>
        <w:tc>
          <w:tcPr>
            <w:tcW w:w="5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116,002</w:t>
            </w:r>
          </w:p>
        </w:tc>
      </w:tr>
      <w:tr>
        <w:trPr>
          <w:trHeight w:val="20"/>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 w:right="20" w:hanging="4"/>
        <w:spacing w:after="0" w:line="256" w:lineRule="auto"/>
        <w:tabs>
          <w:tab w:leader="none" w:pos="1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w:t>
      </w:r>
    </w:p>
    <w:p>
      <w:pPr>
        <w:ind w:left="4"/>
        <w:spacing w:after="0"/>
        <w:rPr>
          <w:rFonts w:ascii="Arial" w:cs="Arial" w:eastAsia="Arial" w:hAnsi="Arial"/>
          <w:sz w:val="16"/>
          <w:szCs w:val="16"/>
          <w:color w:val="auto"/>
        </w:rPr>
      </w:pPr>
      <w:r>
        <w:rPr>
          <w:rFonts w:ascii="Arial" w:cs="Arial" w:eastAsia="Arial" w:hAnsi="Arial"/>
          <w:sz w:val="15"/>
          <w:szCs w:val="15"/>
          <w:color w:val="auto"/>
        </w:rPr>
        <w:t>** Payments made at acquisition date of $11.3 million were in respect of certain one-time liabilities at the acquisition date which have subsequently been discharged.</w:t>
      </w:r>
    </w:p>
    <w:p>
      <w:pPr>
        <w:spacing w:after="0" w:line="223"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carrying values of accounts receivable, unbilled revenue,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76"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pro forma effect of the MediMedia Pharma Solutions acquisition if completed on 1 January 2015 would have resulted in net revenue and profit for the financial years ended 31 December 2015 and 31 December 2014 as follows: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100" w:type="dxa"/>
            <w:vAlign w:val="bottom"/>
          </w:tcPr>
          <w:p>
            <w:pPr>
              <w:jc w:val="right"/>
              <w:ind w:right="280"/>
              <w:spacing w:after="0"/>
              <w:rPr>
                <w:sz w:val="20"/>
                <w:szCs w:val="20"/>
                <w:color w:val="auto"/>
              </w:rPr>
            </w:pPr>
            <w:r>
              <w:rPr>
                <w:rFonts w:ascii="Arial" w:cs="Arial" w:eastAsia="Arial" w:hAnsi="Arial"/>
                <w:sz w:val="16"/>
                <w:szCs w:val="16"/>
                <w:b w:val="1"/>
                <w:bCs w:val="1"/>
                <w:color w:val="auto"/>
              </w:rPr>
              <w:t>Year Ended</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10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1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2015</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10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w:t>
            </w:r>
          </w:p>
        </w:tc>
        <w:tc>
          <w:tcPr>
            <w:tcW w:w="51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1,581,816</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1,556,936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Profit for the year</w:t>
            </w:r>
          </w:p>
        </w:tc>
        <w:tc>
          <w:tcPr>
            <w:tcW w:w="5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239,846</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181,847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Revenues of $84.4 million were recorded in respect of MediMedia in the period since acquisition. As MediMedia is integrated into the Group’s activities, it is impracticable to disclose the impact on Group profit before tax for the year.</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15. Inventories</w:t>
            </w:r>
          </w:p>
        </w:tc>
        <w:tc>
          <w:tcPr>
            <w:tcW w:w="4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94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494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94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Laboratory inventories</w:t>
            </w:r>
          </w:p>
        </w:tc>
        <w:tc>
          <w:tcPr>
            <w:tcW w:w="49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2,419</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cost of inventories is recognised as an expense and included in direct costs in the income statement. $30.3 million (2015: $25.4 million) was charged to the income statement for the year ended 31 December 2016.</w:t>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315" w:right="21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16. Accounts receivable</w:t>
            </w:r>
          </w:p>
        </w:tc>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36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36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36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436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425,679</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419,548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amounts provided for doubtful debts</w:t>
            </w:r>
          </w:p>
        </w:tc>
        <w:tc>
          <w:tcPr>
            <w:tcW w:w="43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(9,450)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43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416,229</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409,165</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 provision for impairment is recognised where there is objective evidence that the Group will not be able to collect all amounts due according to the original terms of the receivable. At 31 December 2016, the Group maintained an impairment provision of $9.5 million (2015: $10.4 million). Movement on the accounts receivable impairment provision during the year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26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26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Accounts receivable impairment provision</w:t>
            </w:r>
          </w:p>
        </w:tc>
        <w:tc>
          <w:tcPr>
            <w:tcW w:w="426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4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Balance at start of year</w:t>
            </w:r>
          </w:p>
        </w:tc>
        <w:tc>
          <w:tcPr>
            <w:tcW w:w="426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10,383</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Amounts used during the year</w:t>
            </w:r>
          </w:p>
        </w:tc>
        <w:tc>
          <w:tcPr>
            <w:tcW w:w="4260" w:type="dxa"/>
            <w:vAlign w:val="bottom"/>
          </w:tcPr>
          <w:p>
            <w:pPr>
              <w:jc w:val="right"/>
              <w:ind w:right="240"/>
              <w:spacing w:after="0"/>
              <w:rPr>
                <w:sz w:val="20"/>
                <w:szCs w:val="20"/>
                <w:color w:val="auto"/>
              </w:rPr>
            </w:pPr>
            <w:r>
              <w:rPr>
                <w:rFonts w:ascii="Arial" w:cs="Arial" w:eastAsia="Arial" w:hAnsi="Arial"/>
                <w:sz w:val="16"/>
                <w:szCs w:val="16"/>
                <w:b w:val="1"/>
                <w:bCs w:val="1"/>
                <w:color w:val="auto"/>
              </w:rPr>
              <w:t>(3,782)</w:t>
            </w:r>
          </w:p>
        </w:tc>
        <w:tc>
          <w:tcPr>
            <w:tcW w:w="132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Amounts provided for during the year</w:t>
            </w:r>
          </w:p>
        </w:tc>
        <w:tc>
          <w:tcPr>
            <w:tcW w:w="426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4,651</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Amounts released during the year</w:t>
            </w:r>
          </w:p>
        </w:tc>
        <w:tc>
          <w:tcPr>
            <w:tcW w:w="4260" w:type="dxa"/>
            <w:vAlign w:val="bottom"/>
          </w:tcPr>
          <w:p>
            <w:pPr>
              <w:jc w:val="right"/>
              <w:ind w:right="240"/>
              <w:spacing w:after="0"/>
              <w:rPr>
                <w:sz w:val="20"/>
                <w:szCs w:val="20"/>
                <w:color w:val="auto"/>
              </w:rPr>
            </w:pPr>
            <w:r>
              <w:rPr>
                <w:rFonts w:ascii="Arial" w:cs="Arial" w:eastAsia="Arial" w:hAnsi="Arial"/>
                <w:sz w:val="16"/>
                <w:szCs w:val="16"/>
                <w:b w:val="1"/>
                <w:bCs w:val="1"/>
                <w:color w:val="auto"/>
              </w:rPr>
              <w:t>(1,814)</w:t>
            </w:r>
          </w:p>
        </w:tc>
        <w:tc>
          <w:tcPr>
            <w:tcW w:w="1320" w:type="dxa"/>
            <w:vAlign w:val="bottom"/>
          </w:tcPr>
          <w:p>
            <w:pPr>
              <w:jc w:val="right"/>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4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4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9,450</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10,383</w:t>
            </w: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gridSpan w:val="4"/>
          </w:tcPr>
          <w:p>
            <w:pPr>
              <w:spacing w:after="0"/>
              <w:rPr>
                <w:sz w:val="20"/>
                <w:szCs w:val="20"/>
                <w:color w:val="auto"/>
              </w:rPr>
            </w:pPr>
            <w:r>
              <w:rPr>
                <w:rFonts w:ascii="Arial" w:cs="Arial" w:eastAsia="Arial" w:hAnsi="Arial"/>
                <w:sz w:val="16"/>
                <w:szCs w:val="16"/>
                <w:color w:val="auto"/>
              </w:rPr>
              <w:t>All receivables are due within twelve months of the year ended 31 December 2016.</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080" w:type="dxa"/>
            <w:vAlign w:val="bottom"/>
            <w:gridSpan w:val="4"/>
          </w:tcPr>
          <w:p>
            <w:pPr>
              <w:spacing w:after="0"/>
              <w:rPr>
                <w:sz w:val="20"/>
                <w:szCs w:val="20"/>
                <w:color w:val="auto"/>
              </w:rPr>
            </w:pPr>
            <w:r>
              <w:rPr>
                <w:rFonts w:ascii="Arial" w:cs="Arial" w:eastAsia="Arial" w:hAnsi="Arial"/>
                <w:sz w:val="16"/>
                <w:szCs w:val="16"/>
                <w:color w:val="auto"/>
                <w:w w:val="91"/>
              </w:rPr>
              <w:t>Further analysis of Group’s accounts receivable balances at 31 December 2016 is as follows:</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Gross</w:t>
            </w:r>
          </w:p>
        </w:tc>
        <w:tc>
          <w:tcPr>
            <w:tcW w:w="1860" w:type="dxa"/>
            <w:vAlign w:val="bottom"/>
          </w:tcPr>
          <w:p>
            <w:pPr>
              <w:jc w:val="right"/>
              <w:ind w:right="580"/>
              <w:spacing w:after="0"/>
              <w:rPr>
                <w:sz w:val="20"/>
                <w:szCs w:val="20"/>
                <w:color w:val="auto"/>
              </w:rPr>
            </w:pPr>
            <w:r>
              <w:rPr>
                <w:rFonts w:ascii="Arial" w:cs="Arial" w:eastAsia="Arial" w:hAnsi="Arial"/>
                <w:sz w:val="16"/>
                <w:szCs w:val="16"/>
                <w:b w:val="1"/>
                <w:bCs w:val="1"/>
                <w:color w:val="auto"/>
              </w:rPr>
              <w:t>Provision for</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Net</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Gross</w:t>
            </w:r>
          </w:p>
        </w:tc>
        <w:tc>
          <w:tcPr>
            <w:tcW w:w="1580" w:type="dxa"/>
            <w:vAlign w:val="bottom"/>
          </w:tcPr>
          <w:p>
            <w:pPr>
              <w:jc w:val="right"/>
              <w:ind w:right="340"/>
              <w:spacing w:after="0"/>
              <w:rPr>
                <w:sz w:val="20"/>
                <w:szCs w:val="20"/>
                <w:color w:val="auto"/>
              </w:rPr>
            </w:pPr>
            <w:r>
              <w:rPr>
                <w:rFonts w:ascii="Arial" w:cs="Arial" w:eastAsia="Arial" w:hAnsi="Arial"/>
                <w:sz w:val="16"/>
                <w:szCs w:val="16"/>
                <w:color w:val="auto"/>
              </w:rPr>
              <w:t>Provision for</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accounts</w:t>
            </w:r>
          </w:p>
        </w:tc>
        <w:tc>
          <w:tcPr>
            <w:tcW w:w="1860" w:type="dxa"/>
            <w:vAlign w:val="bottom"/>
          </w:tcPr>
          <w:p>
            <w:pPr>
              <w:jc w:val="right"/>
              <w:ind w:right="580"/>
              <w:spacing w:after="0"/>
              <w:rPr>
                <w:sz w:val="20"/>
                <w:szCs w:val="20"/>
                <w:color w:val="auto"/>
              </w:rPr>
            </w:pPr>
            <w:r>
              <w:rPr>
                <w:rFonts w:ascii="Arial" w:cs="Arial" w:eastAsia="Arial" w:hAnsi="Arial"/>
                <w:sz w:val="16"/>
                <w:szCs w:val="16"/>
                <w:b w:val="1"/>
                <w:bCs w:val="1"/>
                <w:color w:val="auto"/>
              </w:rPr>
              <w:t>impairment</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accounts</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accounts</w:t>
            </w:r>
          </w:p>
        </w:tc>
        <w:tc>
          <w:tcPr>
            <w:tcW w:w="1580" w:type="dxa"/>
            <w:vAlign w:val="bottom"/>
          </w:tcPr>
          <w:p>
            <w:pPr>
              <w:jc w:val="right"/>
              <w:ind w:right="340"/>
              <w:spacing w:after="0"/>
              <w:rPr>
                <w:sz w:val="20"/>
                <w:szCs w:val="20"/>
                <w:color w:val="auto"/>
              </w:rPr>
            </w:pPr>
            <w:r>
              <w:rPr>
                <w:rFonts w:ascii="Arial" w:cs="Arial" w:eastAsia="Arial" w:hAnsi="Arial"/>
                <w:sz w:val="16"/>
                <w:szCs w:val="16"/>
                <w:color w:val="auto"/>
              </w:rPr>
              <w:t>impairment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accounts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receivable</w:t>
            </w:r>
          </w:p>
        </w:tc>
        <w:tc>
          <w:tcPr>
            <w:tcW w:w="1860" w:type="dxa"/>
            <w:vAlign w:val="bottom"/>
          </w:tcPr>
          <w:p>
            <w:pPr>
              <w:spacing w:after="0"/>
              <w:rPr>
                <w:sz w:val="16"/>
                <w:szCs w:val="16"/>
                <w:color w:val="auto"/>
              </w:rPr>
            </w:pP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receivable</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receivable</w:t>
            </w:r>
          </w:p>
        </w:tc>
        <w:tc>
          <w:tcPr>
            <w:tcW w:w="158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receivable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2016</w:t>
            </w:r>
          </w:p>
        </w:tc>
        <w:tc>
          <w:tcPr>
            <w:tcW w:w="18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2015</w:t>
            </w:r>
          </w:p>
        </w:tc>
        <w:tc>
          <w:tcPr>
            <w:tcW w:w="1580" w:type="dxa"/>
            <w:vAlign w:val="bottom"/>
          </w:tcPr>
          <w:p>
            <w:pPr>
              <w:jc w:val="right"/>
              <w:ind w:right="340"/>
              <w:spacing w:after="0"/>
              <w:rPr>
                <w:sz w:val="20"/>
                <w:szCs w:val="20"/>
                <w:color w:val="auto"/>
              </w:rPr>
            </w:pPr>
            <w:r>
              <w:rPr>
                <w:rFonts w:ascii="Arial" w:cs="Arial" w:eastAsia="Arial" w:hAnsi="Arial"/>
                <w:sz w:val="16"/>
                <w:szCs w:val="16"/>
                <w:color w:val="auto"/>
              </w:rPr>
              <w:t>2015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860" w:type="dxa"/>
            <w:vAlign w:val="bottom"/>
          </w:tcPr>
          <w:p>
            <w:pPr>
              <w:jc w:val="right"/>
              <w:ind w:right="580"/>
              <w:spacing w:after="0"/>
              <w:rPr>
                <w:sz w:val="20"/>
                <w:szCs w:val="20"/>
                <w:color w:val="auto"/>
              </w:rPr>
            </w:pPr>
            <w:r>
              <w:rPr>
                <w:rFonts w:ascii="Arial" w:cs="Arial" w:eastAsia="Arial" w:hAnsi="Arial"/>
                <w:sz w:val="16"/>
                <w:szCs w:val="16"/>
                <w:b w:val="1"/>
                <w:bCs w:val="1"/>
                <w:color w:val="auto"/>
              </w:rPr>
              <w:t>$’000</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$’000</w:t>
            </w:r>
          </w:p>
        </w:tc>
        <w:tc>
          <w:tcPr>
            <w:tcW w:w="1580" w:type="dxa"/>
            <w:vAlign w:val="bottom"/>
          </w:tcPr>
          <w:p>
            <w:pPr>
              <w:jc w:val="right"/>
              <w:ind w:right="340"/>
              <w:spacing w:after="0"/>
              <w:rPr>
                <w:sz w:val="20"/>
                <w:szCs w:val="20"/>
                <w:color w:val="auto"/>
              </w:rPr>
            </w:pPr>
            <w:r>
              <w:rPr>
                <w:rFonts w:ascii="Arial" w:cs="Arial" w:eastAsia="Arial" w:hAnsi="Arial"/>
                <w:sz w:val="16"/>
                <w:szCs w:val="16"/>
                <w:color w:val="auto"/>
              </w:rPr>
              <w:t>$’000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Not past due</w:t>
            </w:r>
          </w:p>
        </w:tc>
        <w:tc>
          <w:tcPr>
            <w:tcW w:w="19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339,920</w:t>
            </w:r>
          </w:p>
        </w:tc>
        <w:tc>
          <w:tcPr>
            <w:tcW w:w="1860" w:type="dxa"/>
            <w:vAlign w:val="bottom"/>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339,920</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304,502</w:t>
            </w:r>
          </w:p>
        </w:tc>
        <w:tc>
          <w:tcPr>
            <w:tcW w:w="15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(17)</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304,485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Past due 0 to 30 days</w:t>
            </w:r>
          </w:p>
        </w:tc>
        <w:tc>
          <w:tcPr>
            <w:tcW w:w="1900" w:type="dxa"/>
            <w:vAlign w:val="bottom"/>
          </w:tcPr>
          <w:p>
            <w:pPr>
              <w:jc w:val="right"/>
              <w:ind w:right="220"/>
              <w:spacing w:after="0"/>
              <w:rPr>
                <w:sz w:val="20"/>
                <w:szCs w:val="20"/>
                <w:color w:val="auto"/>
              </w:rPr>
            </w:pPr>
            <w:r>
              <w:rPr>
                <w:rFonts w:ascii="Arial" w:cs="Arial" w:eastAsia="Arial" w:hAnsi="Arial"/>
                <w:sz w:val="16"/>
                <w:szCs w:val="16"/>
                <w:b w:val="1"/>
                <w:bCs w:val="1"/>
                <w:color w:val="auto"/>
              </w:rPr>
              <w:t>35,485</w:t>
            </w:r>
          </w:p>
        </w:tc>
        <w:tc>
          <w:tcPr>
            <w:tcW w:w="1860" w:type="dxa"/>
            <w:vAlign w:val="bottom"/>
          </w:tcPr>
          <w:p>
            <w:pPr>
              <w:jc w:val="right"/>
              <w:ind w:right="58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35,485</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62,362</w:t>
            </w:r>
          </w:p>
        </w:tc>
        <w:tc>
          <w:tcPr>
            <w:tcW w:w="1580" w:type="dxa"/>
            <w:vAlign w:val="bottom"/>
          </w:tcPr>
          <w:p>
            <w:pPr>
              <w:jc w:val="right"/>
              <w:ind w:right="280"/>
              <w:spacing w:after="0"/>
              <w:rPr>
                <w:sz w:val="20"/>
                <w:szCs w:val="20"/>
                <w:color w:val="auto"/>
              </w:rPr>
            </w:pPr>
            <w:r>
              <w:rPr>
                <w:rFonts w:ascii="Arial" w:cs="Arial" w:eastAsia="Arial" w:hAnsi="Arial"/>
                <w:sz w:val="16"/>
                <w:szCs w:val="16"/>
                <w:color w:val="auto"/>
              </w:rPr>
              <w:t>(56)</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62,306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Past due 31 to 60 days</w:t>
            </w:r>
          </w:p>
        </w:tc>
        <w:tc>
          <w:tcPr>
            <w:tcW w:w="19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22,266</w:t>
            </w:r>
          </w:p>
        </w:tc>
        <w:tc>
          <w:tcPr>
            <w:tcW w:w="1860" w:type="dxa"/>
            <w:vAlign w:val="bottom"/>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22,266</w:t>
            </w:r>
          </w:p>
        </w:tc>
        <w:tc>
          <w:tcPr>
            <w:tcW w:w="1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16,818</w:t>
            </w:r>
          </w:p>
        </w:tc>
        <w:tc>
          <w:tcPr>
            <w:tcW w:w="15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(326)</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16,492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Past due 61+ days</w:t>
            </w:r>
          </w:p>
        </w:tc>
        <w:tc>
          <w:tcPr>
            <w:tcW w:w="19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28,008</w:t>
            </w: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(9,450)</w:t>
            </w: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18,558</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35,866</w:t>
            </w:r>
          </w:p>
        </w:tc>
        <w:tc>
          <w:tcPr>
            <w:tcW w:w="15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(9,984)</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25,882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19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425,679</w:t>
            </w:r>
          </w:p>
        </w:tc>
        <w:tc>
          <w:tcPr>
            <w:tcW w:w="18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(9,450)</w:t>
            </w:r>
          </w:p>
        </w:tc>
        <w:tc>
          <w:tcPr>
            <w:tcW w:w="126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416,229</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419,548</w:t>
            </w:r>
          </w:p>
        </w:tc>
        <w:tc>
          <w:tcPr>
            <w:tcW w:w="15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(10,383)</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409,165</w:t>
            </w: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60" w:type="dxa"/>
            <w:vAlign w:val="bottom"/>
          </w:tcPr>
          <w:p>
            <w:pPr>
              <w:jc w:val="right"/>
              <w:ind w:right="200"/>
              <w:spacing w:after="0"/>
              <w:rPr>
                <w:sz w:val="20"/>
                <w:szCs w:val="20"/>
                <w:color w:val="auto"/>
              </w:rPr>
            </w:pPr>
            <w:r>
              <w:rPr>
                <w:rFonts w:ascii="Arial" w:cs="Arial" w:eastAsia="Arial" w:hAnsi="Arial"/>
                <w:sz w:val="16"/>
                <w:szCs w:val="16"/>
                <w:color w:val="auto"/>
              </w:rPr>
              <w:t>78</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9" w:right="21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20"/>
                <w:szCs w:val="20"/>
                <w:color w:val="auto"/>
              </w:rPr>
            </w:pPr>
            <w:r>
              <w:rPr>
                <w:rFonts w:ascii="Arial" w:cs="Arial" w:eastAsia="Arial" w:hAnsi="Arial"/>
                <w:sz w:val="16"/>
                <w:szCs w:val="16"/>
                <w:b w:val="1"/>
                <w:bCs w:val="1"/>
                <w:color w:val="auto"/>
              </w:rPr>
              <w:t xml:space="preserve">16. Accounts receivable </w:t>
            </w:r>
            <w:r>
              <w:rPr>
                <w:rFonts w:ascii="Arial" w:cs="Arial" w:eastAsia="Arial" w:hAnsi="Arial"/>
                <w:sz w:val="16"/>
                <w:szCs w:val="16"/>
                <w:b w:val="1"/>
                <w:bCs w:val="1"/>
                <w:i w:val="1"/>
                <w:iCs w:val="1"/>
                <w:color w:val="auto"/>
              </w:rPr>
              <w:t>(continued)</w:t>
            </w:r>
          </w:p>
        </w:tc>
        <w:tc>
          <w:tcPr>
            <w:tcW w:w="2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7740" w:type="dxa"/>
            <w:vAlign w:val="bottom"/>
          </w:tcPr>
          <w:p>
            <w:pPr>
              <w:spacing w:after="0"/>
              <w:rPr>
                <w:sz w:val="20"/>
                <w:szCs w:val="20"/>
                <w:color w:val="auto"/>
              </w:rPr>
            </w:pPr>
            <w:r>
              <w:rPr>
                <w:rFonts w:ascii="Arial" w:cs="Arial" w:eastAsia="Arial" w:hAnsi="Arial"/>
                <w:sz w:val="16"/>
                <w:szCs w:val="16"/>
                <w:color w:val="auto"/>
              </w:rPr>
              <w:t>The carrying amounts of the Group’s accounts receivables are denominated in the following currencies:</w:t>
            </w: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40" w:type="dxa"/>
            <w:vAlign w:val="bottom"/>
          </w:tcPr>
          <w:p>
            <w:pPr>
              <w:spacing w:after="0"/>
              <w:rPr>
                <w:sz w:val="24"/>
                <w:szCs w:val="24"/>
                <w:color w:val="auto"/>
              </w:rPr>
            </w:pP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Currency</w:t>
            </w: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774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23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349,686</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373,412</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20"/>
                <w:szCs w:val="20"/>
                <w:color w:val="auto"/>
              </w:rPr>
            </w:pPr>
            <w:r>
              <w:rPr>
                <w:rFonts w:ascii="Arial" w:cs="Arial" w:eastAsia="Arial" w:hAnsi="Arial"/>
                <w:sz w:val="16"/>
                <w:szCs w:val="16"/>
                <w:color w:val="auto"/>
              </w:rPr>
              <w:t>Euro</w:t>
            </w: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40,792</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13,119</w:t>
            </w: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Sterling</w:t>
            </w:r>
          </w:p>
        </w:tc>
        <w:tc>
          <w:tcPr>
            <w:tcW w:w="23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7,623</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11,201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currencies</w:t>
            </w:r>
          </w:p>
        </w:tc>
        <w:tc>
          <w:tcPr>
            <w:tcW w:w="2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18,128</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11,433</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416,229</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409,165</w:t>
            </w:r>
          </w:p>
        </w:tc>
        <w:tc>
          <w:tcPr>
            <w:tcW w:w="0" w:type="dxa"/>
            <w:vAlign w:val="bottom"/>
          </w:tcPr>
          <w:p>
            <w:pPr>
              <w:spacing w:after="0"/>
              <w:rPr>
                <w:sz w:val="1"/>
                <w:szCs w:val="1"/>
                <w:color w:val="auto"/>
              </w:rPr>
            </w:pPr>
          </w:p>
        </w:tc>
      </w:tr>
      <w:tr>
        <w:trPr>
          <w:trHeight w:val="396"/>
        </w:trPr>
        <w:tc>
          <w:tcPr>
            <w:tcW w:w="7740" w:type="dxa"/>
            <w:vAlign w:val="bottom"/>
          </w:tcPr>
          <w:p>
            <w:pPr>
              <w:spacing w:after="0"/>
              <w:rPr>
                <w:sz w:val="20"/>
                <w:szCs w:val="20"/>
                <w:color w:val="auto"/>
              </w:rPr>
            </w:pPr>
            <w:r>
              <w:rPr>
                <w:rFonts w:ascii="Arial" w:cs="Arial" w:eastAsia="Arial" w:hAnsi="Arial"/>
                <w:sz w:val="16"/>
                <w:szCs w:val="16"/>
                <w:b w:val="1"/>
                <w:bCs w:val="1"/>
                <w:color w:val="auto"/>
              </w:rPr>
              <w:t>17. Other assets</w:t>
            </w: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40" w:type="dxa"/>
            <w:vAlign w:val="bottom"/>
          </w:tcPr>
          <w:p>
            <w:pPr>
              <w:spacing w:after="0"/>
              <w:rPr>
                <w:sz w:val="24"/>
                <w:szCs w:val="24"/>
                <w:color w:val="auto"/>
              </w:rPr>
            </w:pP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Non-current other assets</w:t>
            </w:r>
          </w:p>
        </w:tc>
        <w:tc>
          <w:tcPr>
            <w:tcW w:w="23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774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Lease deposits</w:t>
            </w:r>
          </w:p>
        </w:tc>
        <w:tc>
          <w:tcPr>
            <w:tcW w:w="23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7,623</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7,411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employee savings scheme assets</w:t>
            </w:r>
          </w:p>
        </w:tc>
        <w:tc>
          <w:tcPr>
            <w:tcW w:w="2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12,431</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20,054</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17,049</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0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6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current assets</w:t>
            </w:r>
          </w:p>
        </w:tc>
        <w:tc>
          <w:tcPr>
            <w:tcW w:w="400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6100" w:type="dxa"/>
            <w:vAlign w:val="bottom"/>
            <w:gridSpan w:val="2"/>
            <w:vMerge w:val="continue"/>
          </w:tcPr>
          <w:p>
            <w:pPr>
              <w:spacing w:after="0"/>
              <w:rPr>
                <w:sz w:val="16"/>
                <w:szCs w:val="16"/>
                <w:color w:val="auto"/>
              </w:rPr>
            </w:pPr>
          </w:p>
        </w:tc>
        <w:tc>
          <w:tcPr>
            <w:tcW w:w="4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Personnel related prepayments</w:t>
            </w:r>
          </w:p>
        </w:tc>
        <w:tc>
          <w:tcPr>
            <w:tcW w:w="40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893</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Facility and information system related prepayments</w:t>
            </w:r>
          </w:p>
        </w:tc>
        <w:tc>
          <w:tcPr>
            <w:tcW w:w="4000" w:type="dxa"/>
            <w:vAlign w:val="bottom"/>
          </w:tcPr>
          <w:p>
            <w:pPr>
              <w:jc w:val="right"/>
              <w:ind w:right="280"/>
              <w:spacing w:after="0"/>
              <w:rPr>
                <w:sz w:val="20"/>
                <w:szCs w:val="20"/>
                <w:color w:val="auto"/>
              </w:rPr>
            </w:pPr>
            <w:r>
              <w:rPr>
                <w:rFonts w:ascii="Arial" w:cs="Arial" w:eastAsia="Arial" w:hAnsi="Arial"/>
                <w:sz w:val="16"/>
                <w:szCs w:val="16"/>
                <w:b w:val="1"/>
                <w:bCs w:val="1"/>
                <w:color w:val="auto"/>
              </w:rPr>
              <w:t>18,876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18,546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General overhead prepayments</w:t>
            </w:r>
          </w:p>
        </w:tc>
        <w:tc>
          <w:tcPr>
            <w:tcW w:w="40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10,441</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Sales tax recoverable</w:t>
            </w:r>
          </w:p>
        </w:tc>
        <w:tc>
          <w:tcPr>
            <w:tcW w:w="4000" w:type="dxa"/>
            <w:vAlign w:val="bottom"/>
          </w:tcPr>
          <w:p>
            <w:pPr>
              <w:jc w:val="right"/>
              <w:ind w:right="280"/>
              <w:spacing w:after="0"/>
              <w:rPr>
                <w:sz w:val="20"/>
                <w:szCs w:val="20"/>
                <w:color w:val="auto"/>
              </w:rPr>
            </w:pPr>
            <w:r>
              <w:rPr>
                <w:rFonts w:ascii="Arial" w:cs="Arial" w:eastAsia="Arial" w:hAnsi="Arial"/>
                <w:sz w:val="16"/>
                <w:szCs w:val="16"/>
                <w:b w:val="1"/>
                <w:bCs w:val="1"/>
                <w:color w:val="auto"/>
              </w:rPr>
              <w:t>21,531</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21,109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40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6,821</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6,737</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40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58,562</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Other current assets do not contain any impaired assets. The maximum exposure to credit risk at the reporting date is the carrying value of each receivable. The Group does not hold any collateral as security.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18. Current asset investments</w:t>
            </w:r>
          </w:p>
        </w:tc>
        <w:tc>
          <w:tcPr>
            <w:tcW w:w="3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98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98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98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At start of year</w:t>
            </w:r>
          </w:p>
        </w:tc>
        <w:tc>
          <w:tcPr>
            <w:tcW w:w="39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85,990</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Additions</w:t>
            </w:r>
          </w:p>
        </w:tc>
        <w:tc>
          <w:tcPr>
            <w:tcW w:w="3980" w:type="dxa"/>
            <w:vAlign w:val="bottom"/>
          </w:tcPr>
          <w:p>
            <w:pPr>
              <w:jc w:val="right"/>
              <w:ind w:right="300"/>
              <w:spacing w:after="0"/>
              <w:rPr>
                <w:sz w:val="20"/>
                <w:szCs w:val="20"/>
                <w:color w:val="auto"/>
              </w:rPr>
            </w:pPr>
            <w:r>
              <w:rPr>
                <w:rFonts w:ascii="Arial" w:cs="Arial" w:eastAsia="Arial" w:hAnsi="Arial"/>
                <w:sz w:val="16"/>
                <w:szCs w:val="16"/>
                <w:b w:val="1"/>
                <w:bCs w:val="1"/>
                <w:color w:val="auto"/>
              </w:rPr>
              <w:t>22,030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14,194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Disposals/maturities</w:t>
            </w:r>
          </w:p>
        </w:tc>
        <w:tc>
          <w:tcPr>
            <w:tcW w:w="39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(40,858)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Interest on short term investments</w:t>
            </w:r>
          </w:p>
        </w:tc>
        <w:tc>
          <w:tcPr>
            <w:tcW w:w="3980" w:type="dxa"/>
            <w:vAlign w:val="bottom"/>
          </w:tcPr>
          <w:p>
            <w:pPr>
              <w:jc w:val="right"/>
              <w:ind w:right="300"/>
              <w:spacing w:after="0"/>
              <w:rPr>
                <w:sz w:val="20"/>
                <w:szCs w:val="20"/>
                <w:color w:val="auto"/>
              </w:rPr>
            </w:pPr>
            <w:r>
              <w:rPr>
                <w:rFonts w:ascii="Arial" w:cs="Arial" w:eastAsia="Arial" w:hAnsi="Arial"/>
                <w:sz w:val="16"/>
                <w:szCs w:val="16"/>
                <w:b w:val="1"/>
                <w:bCs w:val="1"/>
                <w:color w:val="auto"/>
              </w:rPr>
              <w:t>823</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Realised gain/(loss) on sale of short term investments</w:t>
            </w:r>
          </w:p>
        </w:tc>
        <w:tc>
          <w:tcPr>
            <w:tcW w:w="39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Unrealised capital (loss)/gain - investments</w:t>
            </w:r>
          </w:p>
        </w:tc>
        <w:tc>
          <w:tcPr>
            <w:tcW w:w="39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end of year</w:t>
            </w:r>
          </w:p>
        </w:tc>
        <w:tc>
          <w:tcPr>
            <w:tcW w:w="39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68,046</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85,990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Current asset investments are reported at fair value, with unrealised gains or losses recorded in other comprehensive income. During the year ended 31 December 2016 an unrealised gain of $0.01 million (2015: unrealised loss of $0.05 million) was recorded. Current asset investments comprise highly liquid investments with maturities of greater than three months and minimum “A-” rated fixed and floating rate securities.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19. Cash and cash equivalents</w:t>
            </w:r>
          </w:p>
        </w:tc>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Cash at bank and in hand</w:t>
            </w:r>
          </w:p>
        </w:tc>
        <w:tc>
          <w:tcPr>
            <w:tcW w:w="41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73,651</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72,940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Short term deposits</w:t>
            </w:r>
          </w:p>
        </w:tc>
        <w:tc>
          <w:tcPr>
            <w:tcW w:w="4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118,890</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30,971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1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192,541</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103,911</w:t>
            </w:r>
          </w:p>
        </w:tc>
        <w:tc>
          <w:tcPr>
            <w:tcW w:w="0" w:type="dxa"/>
            <w:vAlign w:val="bottom"/>
          </w:tcPr>
          <w:p>
            <w:pPr>
              <w:spacing w:after="0"/>
              <w:rPr>
                <w:sz w:val="1"/>
                <w:szCs w:val="1"/>
                <w:color w:val="auto"/>
              </w:rPr>
            </w:pPr>
          </w:p>
        </w:tc>
      </w:tr>
      <w:tr>
        <w:trPr>
          <w:trHeight w:val="396"/>
        </w:trPr>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20. Accrued and other liabilities</w:t>
            </w:r>
          </w:p>
        </w:tc>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5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Non-current other liabilities</w:t>
            </w: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80"/>
        </w:trPr>
        <w:tc>
          <w:tcPr>
            <w:tcW w:w="5940" w:type="dxa"/>
            <w:vAlign w:val="bottom"/>
            <w:gridSpan w:val="2"/>
            <w:vMerge w:val="continue"/>
          </w:tcPr>
          <w:p>
            <w:pPr>
              <w:spacing w:after="0"/>
              <w:rPr>
                <w:sz w:val="15"/>
                <w:szCs w:val="15"/>
                <w:color w:val="auto"/>
              </w:rPr>
            </w:pPr>
          </w:p>
        </w:tc>
        <w:tc>
          <w:tcPr>
            <w:tcW w:w="416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429</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40" w:type="dxa"/>
            <w:vAlign w:val="bottom"/>
            <w:gridSpan w:val="2"/>
          </w:tcPr>
          <w:p>
            <w:pPr>
              <w:spacing w:after="0"/>
              <w:rPr>
                <w:sz w:val="20"/>
                <w:szCs w:val="20"/>
                <w:color w:val="auto"/>
              </w:rPr>
            </w:pPr>
            <w:r>
              <w:rPr>
                <w:rFonts w:ascii="Arial" w:cs="Arial" w:eastAsia="Arial" w:hAnsi="Arial"/>
                <w:sz w:val="16"/>
                <w:szCs w:val="16"/>
                <w:color w:val="auto"/>
              </w:rPr>
              <w:t>Personnel related liabilities (note 10)</w:t>
            </w:r>
          </w:p>
        </w:tc>
        <w:tc>
          <w:tcPr>
            <w:tcW w:w="4160" w:type="dxa"/>
            <w:vAlign w:val="bottom"/>
            <w:vMerge w:val="continue"/>
          </w:tcPr>
          <w:p>
            <w:pPr>
              <w:spacing w:after="0"/>
              <w:rPr>
                <w:sz w:val="16"/>
                <w:szCs w:val="16"/>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6"/>
                <w:szCs w:val="16"/>
                <w:color w:val="auto"/>
              </w:rPr>
              <w:t>Deferred government grants (note 22)</w:t>
            </w:r>
          </w:p>
        </w:tc>
        <w:tc>
          <w:tcPr>
            <w:tcW w:w="4160" w:type="dxa"/>
            <w:vAlign w:val="bottom"/>
          </w:tcPr>
          <w:p>
            <w:pPr>
              <w:jc w:val="right"/>
              <w:ind w:right="280"/>
              <w:spacing w:after="0"/>
              <w:rPr>
                <w:sz w:val="20"/>
                <w:szCs w:val="20"/>
                <w:color w:val="auto"/>
              </w:rPr>
            </w:pPr>
            <w:r>
              <w:rPr>
                <w:rFonts w:ascii="Arial" w:cs="Arial" w:eastAsia="Arial" w:hAnsi="Arial"/>
                <w:sz w:val="16"/>
                <w:szCs w:val="16"/>
                <w:b w:val="1"/>
                <w:bCs w:val="1"/>
                <w:color w:val="auto"/>
              </w:rPr>
              <w:t>887</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Retirement benefit plan net obligation (note 10)</w:t>
            </w:r>
          </w:p>
        </w:tc>
        <w:tc>
          <w:tcPr>
            <w:tcW w:w="41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8,952</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7,189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employee savings scheme liabilities</w:t>
            </w:r>
          </w:p>
        </w:tc>
        <w:tc>
          <w:tcPr>
            <w:tcW w:w="4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8,371</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5,035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1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18,639</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13,183</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Deferred employee savings scheme liabilities are payable more than 5 years from the reporting date </w:t>
      </w:r>
      <w:r>
        <w:rPr>
          <w:rFonts w:ascii="Arial" w:cs="Arial" w:eastAsia="Arial" w:hAnsi="Arial"/>
          <w:sz w:val="16"/>
          <w:szCs w:val="16"/>
          <w:i w:val="1"/>
          <w:iCs w:val="1"/>
          <w:color w:val="auto"/>
        </w:rPr>
        <w:t>(see note 26)</w:t>
      </w:r>
      <w:r>
        <w:rPr>
          <w:rFonts w:ascii="Arial" w:cs="Arial" w:eastAsia="Arial" w:hAnsi="Arial"/>
          <w:sz w:val="16"/>
          <w:szCs w:val="16"/>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20. Accrued and other liabilities </w:t>
            </w:r>
            <w:r>
              <w:rPr>
                <w:rFonts w:ascii="Arial" w:cs="Arial" w:eastAsia="Arial" w:hAnsi="Arial"/>
                <w:sz w:val="16"/>
                <w:szCs w:val="16"/>
                <w:b w:val="1"/>
                <w:bCs w:val="1"/>
                <w:i w:val="1"/>
                <w:iCs w:val="1"/>
                <w:color w:val="auto"/>
              </w:rPr>
              <w:t>(continued)</w:t>
            </w:r>
          </w:p>
        </w:tc>
        <w:tc>
          <w:tcPr>
            <w:tcW w:w="5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Current accrued and other liabilities</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Personnel related liabilities</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135,349</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159,339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Facility and information system related liabilities</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14,182</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22,517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General overhead liabilities</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31,126</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Other liabilities</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7,584</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18,608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Short term government grants (note 22)</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54</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188,295</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229,764</w:t>
            </w:r>
          </w:p>
        </w:tc>
        <w:tc>
          <w:tcPr>
            <w:tcW w:w="0" w:type="dxa"/>
            <w:vAlign w:val="bottom"/>
          </w:tcPr>
          <w:p>
            <w:pPr>
              <w:spacing w:after="0"/>
              <w:rPr>
                <w:sz w:val="1"/>
                <w:szCs w:val="1"/>
                <w:color w:val="auto"/>
              </w:rPr>
            </w:pPr>
          </w:p>
        </w:tc>
      </w:tr>
      <w:tr>
        <w:trPr>
          <w:trHeight w:val="396"/>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21. Provisions</w:t>
            </w:r>
          </w:p>
        </w:tc>
        <w:tc>
          <w:tcPr>
            <w:tcW w:w="5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Non-current other liabilities</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provision (note 8)</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1,083</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 consideration (note 14)</w:t>
            </w:r>
          </w:p>
        </w:tc>
        <w:tc>
          <w:tcPr>
            <w:tcW w:w="57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6,000</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7,083</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Current liabilities</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4400" w:type="dxa"/>
            <w:vAlign w:val="bottom"/>
            <w:gridSpan w:val="2"/>
            <w:vMerge w:val="continue"/>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Restructuring provision (note 8)</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1,349</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1,349</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396"/>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22. Deferred government grants</w:t>
            </w:r>
          </w:p>
        </w:tc>
        <w:tc>
          <w:tcPr>
            <w:tcW w:w="5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At beginning of year</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1,002</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Repayment</w:t>
            </w:r>
          </w:p>
        </w:tc>
        <w:tc>
          <w:tcPr>
            <w:tcW w:w="5720" w:type="dxa"/>
            <w:vAlign w:val="bottom"/>
          </w:tcPr>
          <w:p>
            <w:pPr>
              <w:jc w:val="right"/>
              <w:ind w:right="30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Amortised during the year</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44</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57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(105)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end of year</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941</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572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54</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w:t>
            </w:r>
          </w:p>
        </w:tc>
        <w:tc>
          <w:tcPr>
            <w:tcW w:w="57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887</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7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941</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tcPr>
          <w:p>
            <w:pPr>
              <w:jc w:val="right"/>
              <w:ind w:right="4240"/>
              <w:spacing w:after="0"/>
              <w:rPr>
                <w:sz w:val="20"/>
                <w:szCs w:val="20"/>
                <w:color w:val="auto"/>
              </w:rPr>
            </w:pPr>
            <w:r>
              <w:rPr>
                <w:rFonts w:ascii="Arial" w:cs="Arial" w:eastAsia="Arial" w:hAnsi="Arial"/>
                <w:sz w:val="16"/>
                <w:szCs w:val="16"/>
                <w:color w:val="auto"/>
              </w:rPr>
              <w:t>81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Deferred government grants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During the year ended 31 December 2015, the Company repaid $159,000 in respect of certain government grants received.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Bank credit lines and loan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Reconcilation of opening to closing net debt: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Other</w:t>
            </w:r>
          </w:p>
        </w:tc>
        <w:tc>
          <w:tcPr>
            <w:tcW w:w="1240" w:type="dxa"/>
            <w:vAlign w:val="bottom"/>
            <w:tcBorders>
              <w:top w:val="single" w:sz="8" w:color="auto"/>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Pr>
          <w:p>
            <w:pPr>
              <w:jc w:val="right"/>
              <w:ind w:right="420"/>
              <w:spacing w:after="0"/>
              <w:rPr>
                <w:sz w:val="20"/>
                <w:szCs w:val="20"/>
                <w:color w:val="auto"/>
              </w:rPr>
            </w:pPr>
            <w:r>
              <w:rPr>
                <w:rFonts w:ascii="Arial" w:cs="Arial" w:eastAsia="Arial" w:hAnsi="Arial"/>
                <w:sz w:val="16"/>
                <w:szCs w:val="16"/>
                <w:b w:val="1"/>
                <w:bCs w:val="1"/>
                <w:color w:val="auto"/>
              </w:rPr>
              <w:t>Drawn</w:t>
            </w:r>
          </w:p>
        </w:tc>
        <w:tc>
          <w:tcPr>
            <w:tcW w:w="150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Arial" w:cs="Arial" w:eastAsia="Arial" w:hAnsi="Arial"/>
                <w:sz w:val="16"/>
                <w:szCs w:val="16"/>
                <w:b w:val="1"/>
                <w:bCs w:val="1"/>
                <w:color w:val="auto"/>
              </w:rPr>
              <w:t>Net cash</w:t>
            </w:r>
          </w:p>
        </w:tc>
        <w:tc>
          <w:tcPr>
            <w:tcW w:w="1540" w:type="dxa"/>
            <w:vAlign w:val="bottom"/>
          </w:tcPr>
          <w:p>
            <w:pPr>
              <w:jc w:val="right"/>
              <w:ind w:right="280"/>
              <w:spacing w:after="0"/>
              <w:rPr>
                <w:sz w:val="20"/>
                <w:szCs w:val="20"/>
                <w:color w:val="auto"/>
              </w:rPr>
            </w:pPr>
            <w:r>
              <w:rPr>
                <w:rFonts w:ascii="Arial" w:cs="Arial" w:eastAsia="Arial" w:hAnsi="Arial"/>
                <w:sz w:val="16"/>
                <w:szCs w:val="16"/>
                <w:b w:val="1"/>
                <w:bCs w:val="1"/>
                <w:color w:val="auto"/>
              </w:rPr>
              <w:t>non-cash</w:t>
            </w: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Balance</w:t>
            </w:r>
          </w:p>
        </w:tc>
      </w:tr>
      <w:tr>
        <w:trPr>
          <w:trHeight w:val="213"/>
        </w:trPr>
        <w:tc>
          <w:tcPr>
            <w:tcW w:w="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31 Dec 2015</w:t>
            </w: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down</w:t>
            </w: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Repaid</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inflow</w:t>
            </w:r>
          </w:p>
        </w:tc>
        <w:tc>
          <w:tcPr>
            <w:tcW w:w="15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adjustments</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 Dec 2016</w:t>
            </w:r>
          </w:p>
        </w:tc>
      </w:tr>
      <w:tr>
        <w:trPr>
          <w:trHeight w:val="180"/>
        </w:trPr>
        <w:tc>
          <w:tcPr>
            <w:tcW w:w="20" w:type="dxa"/>
            <w:vAlign w:val="bottom"/>
          </w:tcPr>
          <w:p>
            <w:pPr>
              <w:spacing w:after="0"/>
              <w:rPr>
                <w:sz w:val="15"/>
                <w:szCs w:val="15"/>
                <w:color w:val="auto"/>
              </w:rPr>
            </w:pPr>
          </w:p>
        </w:tc>
        <w:tc>
          <w:tcPr>
            <w:tcW w:w="22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cash and cash</w:t>
            </w:r>
          </w:p>
        </w:tc>
        <w:tc>
          <w:tcPr>
            <w:tcW w:w="20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equivalents</w:t>
            </w:r>
          </w:p>
        </w:tc>
        <w:tc>
          <w:tcPr>
            <w:tcW w:w="208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103,911</w:t>
            </w:r>
          </w:p>
        </w:tc>
        <w:tc>
          <w:tcPr>
            <w:tcW w:w="15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90,680</w:t>
            </w:r>
          </w:p>
        </w:tc>
        <w:tc>
          <w:tcPr>
            <w:tcW w:w="15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(2,050)</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192,541</w:t>
            </w:r>
          </w:p>
        </w:tc>
      </w:tr>
      <w:tr>
        <w:trPr>
          <w:trHeight w:val="196"/>
        </w:trPr>
        <w:tc>
          <w:tcPr>
            <w:tcW w:w="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Bank borrowings</w:t>
            </w:r>
          </w:p>
        </w:tc>
        <w:tc>
          <w:tcPr>
            <w:tcW w:w="20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73,000</w:t>
            </w:r>
          </w:p>
        </w:tc>
        <w:tc>
          <w:tcPr>
            <w:tcW w:w="15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(73,000)</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Private placement notes</w:t>
            </w:r>
          </w:p>
        </w:tc>
        <w:tc>
          <w:tcPr>
            <w:tcW w:w="20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rPr>
              <w:t>(348,304)</w:t>
            </w:r>
          </w:p>
        </w:tc>
        <w:tc>
          <w:tcPr>
            <w:tcW w:w="15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(207)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(348,511)</w:t>
            </w:r>
          </w:p>
        </w:tc>
      </w:tr>
      <w:tr>
        <w:trPr>
          <w:trHeight w:val="196"/>
        </w:trPr>
        <w:tc>
          <w:tcPr>
            <w:tcW w:w="2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(244,393)</w:t>
            </w: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73,000</w:t>
            </w:r>
          </w:p>
        </w:tc>
        <w:tc>
          <w:tcPr>
            <w:tcW w:w="15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(73,000)</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90,680</w:t>
            </w:r>
          </w:p>
        </w:tc>
        <w:tc>
          <w:tcPr>
            <w:tcW w:w="15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(2,257)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(155,970)</w:t>
            </w:r>
          </w:p>
        </w:tc>
      </w:tr>
    </w:tbl>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 27 July 2015 the Company entered into a 364 day bridge facility for $350.0 million with two financial institutions. The facility bore interest at LIBOR plus a margin and included certain guarantees and indemnities in favour of the two financial institutions. The bridge facility was repaid in full in December 2015.</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15 December 2015 the Company issued through its subsidiary ICON Investment Five Unlimited Company (the "Issuer") of $350 million aggregate principal amount of its 3.64% Senior Notes. The Senior Notes will mature on 15 December 2020. Interest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Issuer used the proceeds from the sale of the Senior Notes to repay the existing $350 million bridge facility. The Senior Notes are presented net of related financing costs on the Consolidated Statement of Financial Position ($348.5 million at 31 December 2016).</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On 30 June 2014 the Group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each institution. The facility is guaranteed by ICON plc. The facility bears interest at LIBOR plus a margin. $53.0 million was drawn down and fully repaid during the year. The undrawn facility at 31 December 2016 was therefore $100.0 million.</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$20.0 million was drawn down and subsequently repaid by the Group under the terms of a one year uncommitted short term revolving credit facility of $30.0 million. The facility bears interest at LIBOR plus a margin. No amounts were drawn under this facility at 31 December 2016.</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Note Purchase and Guarantee Agreement includes certain financial covenants that require compliance with a consolidated leverage ratio, a minimum EBIT to consolidated net interest charge ratio and a maximum amount of priority debt. The financial covenants are defined in the Note Purchase and Guarantee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23. Bank credit lines and loan facilities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Senior Notes and the Revolving Credit Facility credit agreements also include certain customary covenants that restrict the Group’s ability to enter into certain transactions or events including;</w:t>
      </w:r>
    </w:p>
    <w:p>
      <w:pPr>
        <w:spacing w:after="0" w:line="176"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incur or assume liens or additional debt,</w:t>
      </w:r>
    </w:p>
    <w:p>
      <w:pPr>
        <w:spacing w:after="0" w:line="21"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dispose of assets,</w:t>
      </w:r>
    </w:p>
    <w:p>
      <w:pPr>
        <w:spacing w:after="0" w:line="8"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engage in mergers or reorganisations or</w:t>
      </w:r>
    </w:p>
    <w:p>
      <w:pPr>
        <w:spacing w:after="0" w:line="8"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enter into certain types of transactions with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24. Share capital</w:t>
            </w:r>
          </w:p>
        </w:tc>
        <w:tc>
          <w:tcPr>
            <w:tcW w:w="3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68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Group and Company</w:t>
            </w:r>
          </w:p>
        </w:tc>
        <w:tc>
          <w:tcPr>
            <w:tcW w:w="3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Authorised share capital:</w:t>
            </w:r>
          </w:p>
        </w:tc>
        <w:tc>
          <w:tcPr>
            <w:tcW w:w="4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No. of Ordinary Shares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Ordinary shares of par value €0.06</w:t>
            </w:r>
          </w:p>
        </w:tc>
        <w:tc>
          <w:tcPr>
            <w:tcW w:w="3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28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Allotted, called up and fully paid</w:t>
            </w:r>
          </w:p>
        </w:tc>
        <w:tc>
          <w:tcPr>
            <w:tcW w:w="3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54,530,843 (31 December 2015: 54,958,912) ordinary shares of €0.06 each</w:t>
            </w:r>
          </w:p>
        </w:tc>
        <w:tc>
          <w:tcPr>
            <w:tcW w:w="3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4,611</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Issued, fully paid share capital</w:t>
            </w:r>
          </w:p>
        </w:tc>
        <w:tc>
          <w:tcPr>
            <w:tcW w:w="3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At beginning of year</w:t>
            </w:r>
          </w:p>
        </w:tc>
        <w:tc>
          <w:tcPr>
            <w:tcW w:w="3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4,719</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Employee share options exercised</w:t>
            </w:r>
          </w:p>
        </w:tc>
        <w:tc>
          <w:tcPr>
            <w:tcW w:w="3280" w:type="dxa"/>
            <w:vAlign w:val="bottom"/>
          </w:tcPr>
          <w:p>
            <w:pPr>
              <w:jc w:val="right"/>
              <w:ind w:right="300"/>
              <w:spacing w:after="0"/>
              <w:rPr>
                <w:sz w:val="20"/>
                <w:szCs w:val="20"/>
                <w:color w:val="auto"/>
              </w:rPr>
            </w:pPr>
            <w:r>
              <w:rPr>
                <w:rFonts w:ascii="Arial" w:cs="Arial" w:eastAsia="Arial" w:hAnsi="Arial"/>
                <w:sz w:val="16"/>
                <w:szCs w:val="16"/>
                <w:b w:val="1"/>
                <w:bCs w:val="1"/>
                <w:color w:val="auto"/>
              </w:rPr>
              <w:t>26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Restricted share units</w:t>
            </w:r>
          </w:p>
        </w:tc>
        <w:tc>
          <w:tcPr>
            <w:tcW w:w="3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41</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Repurchase of ordinary shares</w:t>
            </w:r>
          </w:p>
        </w:tc>
        <w:tc>
          <w:tcPr>
            <w:tcW w:w="32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(94)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2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 end of year</w:t>
            </w:r>
          </w:p>
        </w:tc>
        <w:tc>
          <w:tcPr>
            <w:tcW w:w="3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4,692</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During the year ended 31 December 2016, 393,240 options were exercised by employees at an average exercise price of $25.79 per share for total proceeds of $10.1 million. During the year ended 31 December 2016, 296,386 ordinary shares were issued in respect of certain RSUs and 311,492 ordinary shares were issued in respect of PSUs previously awarded by the Company.</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During the year ended 31 December 2015, 773,753 options were exercised by employees at an average exercise price of $27.13 per share for total proceeds of $21.0 million. During the year ended 31 December 2015, 268,870 ordinary shares were issued in respect of certain RSUs and 7,990 ordinary shares were issued in respect of PSUs previously awarded by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Share capital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programme</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At 31 December 2016 a total of 1,429,187 ordinary shares were redeemed by the Company under this buyback programme for a total consideration of $110.0 million. All ordinary shares that were redeemed under the buyback programme were cancelled in accordance with the Constitution of the Company and the nominal value of these shares transferred to a other undenominated capital as required under Irish Company Law.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19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All ordinary shares that were redeemed under the buyback programme were cancelled in accordance with the Constitution of the Company and the nominal value of these shares transferred to other undenominated capital as required under Irish Company Law. The share buyback programme was completed in December 2015, with a total of 6,198,481 ordinary shares redeemed during the year ended 31 December 2015 for total consideration of $457.9 million.</w:t>
      </w:r>
    </w:p>
    <w:p>
      <w:pPr>
        <w:spacing w:after="0" w:line="192"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Capital and reserves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428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428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28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 reserve</w:t>
            </w:r>
          </w:p>
        </w:tc>
        <w:tc>
          <w:tcPr>
            <w:tcW w:w="4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141,890</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108,397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6"/>
                <w:szCs w:val="16"/>
                <w:color w:val="auto"/>
              </w:rPr>
              <w:t>Other undenominated capital</w:t>
            </w:r>
          </w:p>
        </w:tc>
        <w:tc>
          <w:tcPr>
            <w:tcW w:w="4280" w:type="dxa"/>
            <w:vAlign w:val="bottom"/>
          </w:tcPr>
          <w:p>
            <w:pPr>
              <w:jc w:val="right"/>
              <w:ind w:right="300"/>
              <w:spacing w:after="0"/>
              <w:rPr>
                <w:sz w:val="20"/>
                <w:szCs w:val="20"/>
                <w:color w:val="auto"/>
              </w:rPr>
            </w:pPr>
            <w:r>
              <w:rPr>
                <w:rFonts w:ascii="Arial" w:cs="Arial" w:eastAsia="Arial" w:hAnsi="Arial"/>
                <w:sz w:val="16"/>
                <w:szCs w:val="16"/>
                <w:b w:val="1"/>
                <w:bCs w:val="1"/>
                <w:color w:val="auto"/>
              </w:rPr>
              <w:t>809</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428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10,348</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6"/>
                <w:szCs w:val="16"/>
                <w:color w:val="auto"/>
              </w:rPr>
              <w:t>Foreign currency translation reserve</w:t>
            </w:r>
          </w:p>
        </w:tc>
        <w:tc>
          <w:tcPr>
            <w:tcW w:w="4280" w:type="dxa"/>
            <w:vAlign w:val="bottom"/>
          </w:tcPr>
          <w:p>
            <w:pPr>
              <w:jc w:val="right"/>
              <w:ind w:right="240"/>
              <w:spacing w:after="0"/>
              <w:rPr>
                <w:sz w:val="20"/>
                <w:szCs w:val="20"/>
                <w:color w:val="auto"/>
              </w:rPr>
            </w:pPr>
            <w:r>
              <w:rPr>
                <w:rFonts w:ascii="Arial" w:cs="Arial" w:eastAsia="Arial" w:hAnsi="Arial"/>
                <w:sz w:val="16"/>
                <w:szCs w:val="16"/>
                <w:b w:val="1"/>
                <w:bCs w:val="1"/>
                <w:color w:val="auto"/>
              </w:rPr>
              <w:t>(83,809)</w:t>
            </w:r>
          </w:p>
        </w:tc>
        <w:tc>
          <w:tcPr>
            <w:tcW w:w="1320" w:type="dxa"/>
            <w:vAlign w:val="bottom"/>
          </w:tcPr>
          <w:p>
            <w:pPr>
              <w:jc w:val="right"/>
              <w:spacing w:after="0"/>
              <w:rPr>
                <w:sz w:val="20"/>
                <w:szCs w:val="20"/>
                <w:color w:val="auto"/>
              </w:rPr>
            </w:pPr>
            <w:r>
              <w:rPr>
                <w:rFonts w:ascii="Arial" w:cs="Arial" w:eastAsia="Arial" w:hAnsi="Arial"/>
                <w:sz w:val="16"/>
                <w:szCs w:val="16"/>
                <w:color w:val="auto"/>
              </w:rPr>
              <w:t>(62,542)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Current asset investment – fair value reserve</w:t>
            </w:r>
          </w:p>
        </w:tc>
        <w:tc>
          <w:tcPr>
            <w:tcW w:w="42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4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650,583</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491,671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2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719,798</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549,547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based payment reserve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2016 the Group has recognised a cumulative charge for share based payments of $181.9 million net of deferred tax (2015: $148.9 million). The Group has also recognised a cumulative charge of $21.7 million (2015: $17.4 million) in reserves for the current and deferred tax effects of the tax benefits relating to the exercise of employee share options in excess of related cumulative compensation expense. The Group has reclassified a cumulative credit of $61.8 million (2015: $57.9 million) to retained earnings in respect of exercised and expired share 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undenominated capital</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undenominated capital comprises the nominal value of shares repurchased and cancelled by the Group and transferred from share capital to other undenominated capital as required under Irish Company Law. During the year ended 31 December 2016, 1,429,187 (31 December 2015: 6,198,481) ordinary shares were repurchased and cancelled by the Group.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Group has recognised a non-distributable reserve of $0.6 million in accordance with agreements made between the Group and Enterprise Ireland, an Irish government agency. The requirement for these non-distributable reserves will expire between the period 2014 and 2017.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will be amortised to the income statement, net against interest payable, over the period of the Senior Notes. During 2016, $0.9 million was amortised to the income statement.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reserve</w:t>
      </w:r>
    </w:p>
    <w:p>
      <w:pPr>
        <w:spacing w:after="0" w:line="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currency reserve comprises all foreign exchange differences arising from the translation of the financial statements of foreign currency denominated operations of the Group since 1 June 2004, the date of transition to IFRS. As at 31 December 2016, this amounted to a cumulative loss of $69.8 million (2015: loss of $56.9 million). In addition the Group has recognised a cumulative loss for the currency impact of long term funding amounting to $11.7 million at 31 December 2016 (2015: loss of $2.9 million) and a cumulative charge of $2.3 million (2015: charge $2.7 million) for the related tax on the currency impact on long term funding.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25. Capital and reserves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Current asset investments – fair value reserve</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current asset investment – fair value reserve comprises unrealised fair value gains and losses on current asset investments held as available-for-sale. The Group has recognised a gain during the year ended 31 December 2016 of $0.01 million (2015: loss of $0.05 million). Unrealised gains and losses are reclassified to the Consolidated Income Statement on disposal or impairment of the related asset.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Retained earnings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to the profit for the financial year the Group has also recognised the re-measurement of the defined benefit pension scheme in this reserve. In 2016, the Group recognised a re-measurement on the defined benefit pension scheme of $(2.7) million (31 December 2015: a re-measurement of $2.2 million). In 2016, the Group recognised share issue costs of $0.02 million in this reserve. The Group has recognised a credit of $3.9 million (2015: credit of $8.0 million) in respect of exercised and expired share based awards that have been transferred from the Option Reserve. During the year, the Group also participated in a share buyback programme. During the year ended 31 December 2016, the Group redeemed a total of 1,429,187 ordinary shares for total consideration of $110.0 million (2015: 6,198,481 ordinary shares were repurchased by the Group for a total consideration of $457.9 million), see note 24 Share Capital for further detail.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Financial instruments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 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enrollment or investigator recruitment.</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Group’s top five customers accounted for approximately 45% and 49% of net revenue during the years ended 31 December 2016 and 31 December 2015. During the year ended 31 December 2016 26% of the Group’s net revenues were derived from its top customer (2015: 31%). With the exception of this customer, no customer contributed more than 10% of net revenues during the current or prior year.</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maximum exposure of credit risk pertaining to customers is the carrying value of accounts receivable and unbilled revenue balances. The carrying value of accounts receivable and unbilled revenue balances, by geographic region, at 31 December 2016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240" w:type="dxa"/>
            <w:vAlign w:val="bottom"/>
            <w:gridSpan w:val="2"/>
          </w:tcPr>
          <w:p>
            <w:pPr>
              <w:jc w:val="right"/>
              <w:ind w:right="1060"/>
              <w:spacing w:after="0"/>
              <w:rPr>
                <w:sz w:val="20"/>
                <w:szCs w:val="20"/>
                <w:color w:val="auto"/>
              </w:rPr>
            </w:pPr>
            <w:r>
              <w:rPr>
                <w:rFonts w:ascii="Arial" w:cs="Arial" w:eastAsia="Arial" w:hAnsi="Arial"/>
                <w:sz w:val="16"/>
                <w:szCs w:val="16"/>
                <w:b w:val="1"/>
                <w:bCs w:val="1"/>
                <w:color w:val="auto"/>
              </w:rPr>
              <w:t>Accounts Receivable</w:t>
            </w: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Unbilled Revenue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tcPr>
          <w:p>
            <w:pPr>
              <w:jc w:val="right"/>
              <w:ind w:right="300"/>
              <w:spacing w:after="0"/>
              <w:rPr>
                <w:sz w:val="20"/>
                <w:szCs w:val="20"/>
                <w:color w:val="auto"/>
              </w:rPr>
            </w:pPr>
            <w:r>
              <w:rPr>
                <w:rFonts w:ascii="Arial" w:cs="Arial" w:eastAsia="Arial" w:hAnsi="Arial"/>
                <w:sz w:val="16"/>
                <w:szCs w:val="16"/>
                <w:b w:val="1"/>
                <w:bCs w:val="1"/>
                <w:color w:val="auto"/>
              </w:rPr>
              <w:t>31 December</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31 December</w:t>
            </w:r>
          </w:p>
        </w:tc>
        <w:tc>
          <w:tcPr>
            <w:tcW w:w="1960" w:type="dxa"/>
            <w:vAlign w:val="bottom"/>
          </w:tcPr>
          <w:p>
            <w:pPr>
              <w:jc w:val="right"/>
              <w:ind w:right="620"/>
              <w:spacing w:after="0"/>
              <w:rPr>
                <w:sz w:val="20"/>
                <w:szCs w:val="20"/>
                <w:color w:val="auto"/>
              </w:rPr>
            </w:pPr>
            <w:r>
              <w:rPr>
                <w:rFonts w:ascii="Arial" w:cs="Arial" w:eastAsia="Arial" w:hAnsi="Arial"/>
                <w:sz w:val="16"/>
                <w:szCs w:val="16"/>
                <w:b w:val="1"/>
                <w:bCs w:val="1"/>
                <w:color w:val="auto"/>
              </w:rPr>
              <w:t>31 December</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w w:val="87"/>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tcPr>
          <w:p>
            <w:pPr>
              <w:jc w:val="right"/>
              <w:ind w:right="300"/>
              <w:spacing w:after="0"/>
              <w:rPr>
                <w:sz w:val="20"/>
                <w:szCs w:val="20"/>
                <w:color w:val="auto"/>
              </w:rPr>
            </w:pPr>
            <w:r>
              <w:rPr>
                <w:rFonts w:ascii="Arial" w:cs="Arial" w:eastAsia="Arial" w:hAnsi="Arial"/>
                <w:sz w:val="16"/>
                <w:szCs w:val="16"/>
                <w:b w:val="1"/>
                <w:bCs w:val="1"/>
                <w:color w:val="auto"/>
              </w:rPr>
              <w:t>2016</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2015</w:t>
            </w:r>
          </w:p>
        </w:tc>
        <w:tc>
          <w:tcPr>
            <w:tcW w:w="1960" w:type="dxa"/>
            <w:vAlign w:val="bottom"/>
          </w:tcPr>
          <w:p>
            <w:pPr>
              <w:jc w:val="right"/>
              <w:ind w:right="620"/>
              <w:spacing w:after="0"/>
              <w:rPr>
                <w:sz w:val="20"/>
                <w:szCs w:val="20"/>
                <w:color w:val="auto"/>
              </w:rPr>
            </w:pPr>
            <w:r>
              <w:rPr>
                <w:rFonts w:ascii="Arial" w:cs="Arial" w:eastAsia="Arial" w:hAnsi="Arial"/>
                <w:sz w:val="16"/>
                <w:szCs w:val="16"/>
                <w:b w:val="1"/>
                <w:bCs w:val="1"/>
                <w:color w:val="auto"/>
              </w:rPr>
              <w:t>2016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660" w:type="dxa"/>
            <w:vAlign w:val="bottom"/>
          </w:tcPr>
          <w:p>
            <w:pPr>
              <w:jc w:val="right"/>
              <w:ind w:right="30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$’000</w:t>
            </w:r>
          </w:p>
        </w:tc>
        <w:tc>
          <w:tcPr>
            <w:tcW w:w="1960" w:type="dxa"/>
            <w:vAlign w:val="bottom"/>
          </w:tcPr>
          <w:p>
            <w:pPr>
              <w:jc w:val="right"/>
              <w:ind w:right="620"/>
              <w:spacing w:after="0"/>
              <w:rPr>
                <w:sz w:val="20"/>
                <w:szCs w:val="20"/>
                <w:color w:val="auto"/>
              </w:rPr>
            </w:pPr>
            <w:r>
              <w:rPr>
                <w:rFonts w:ascii="Arial" w:cs="Arial" w:eastAsia="Arial" w:hAnsi="Arial"/>
                <w:sz w:val="16"/>
                <w:szCs w:val="16"/>
                <w:b w:val="1"/>
                <w:bCs w:val="1"/>
                <w:color w:val="auto"/>
              </w:rPr>
              <w:t>$’000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366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310,601</w:t>
            </w:r>
          </w:p>
        </w:tc>
        <w:tc>
          <w:tcPr>
            <w:tcW w:w="15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282,621</w:t>
            </w:r>
          </w:p>
        </w:tc>
        <w:tc>
          <w:tcPr>
            <w:tcW w:w="1960" w:type="dxa"/>
            <w:vAlign w:val="bottom"/>
            <w:shd w:val="clear" w:color="auto" w:fill="CCEEFF"/>
          </w:tcPr>
          <w:p>
            <w:pPr>
              <w:jc w:val="right"/>
              <w:ind w:right="620"/>
              <w:spacing w:after="0"/>
              <w:rPr>
                <w:sz w:val="20"/>
                <w:szCs w:val="20"/>
                <w:color w:val="auto"/>
              </w:rPr>
            </w:pPr>
            <w:r>
              <w:rPr>
                <w:rFonts w:ascii="Arial" w:cs="Arial" w:eastAsia="Arial" w:hAnsi="Arial"/>
                <w:sz w:val="16"/>
                <w:szCs w:val="16"/>
                <w:b w:val="1"/>
                <w:bCs w:val="1"/>
                <w:color w:val="auto"/>
              </w:rPr>
              <w:t>119,127</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100,771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United States</w:t>
            </w:r>
          </w:p>
        </w:tc>
        <w:tc>
          <w:tcPr>
            <w:tcW w:w="3660" w:type="dxa"/>
            <w:vAlign w:val="bottom"/>
          </w:tcPr>
          <w:p>
            <w:pPr>
              <w:jc w:val="right"/>
              <w:ind w:right="300"/>
              <w:spacing w:after="0"/>
              <w:rPr>
                <w:sz w:val="20"/>
                <w:szCs w:val="20"/>
                <w:color w:val="auto"/>
              </w:rPr>
            </w:pPr>
            <w:r>
              <w:rPr>
                <w:rFonts w:ascii="Arial" w:cs="Arial" w:eastAsia="Arial" w:hAnsi="Arial"/>
                <w:sz w:val="16"/>
                <w:szCs w:val="16"/>
                <w:b w:val="1"/>
                <w:bCs w:val="1"/>
                <w:color w:val="auto"/>
              </w:rPr>
              <w:t>98,501</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119,934</w:t>
            </w:r>
          </w:p>
        </w:tc>
        <w:tc>
          <w:tcPr>
            <w:tcW w:w="1960" w:type="dxa"/>
            <w:vAlign w:val="bottom"/>
          </w:tcPr>
          <w:p>
            <w:pPr>
              <w:jc w:val="right"/>
              <w:ind w:right="620"/>
              <w:spacing w:after="0"/>
              <w:rPr>
                <w:sz w:val="20"/>
                <w:szCs w:val="20"/>
                <w:color w:val="auto"/>
              </w:rPr>
            </w:pPr>
            <w:r>
              <w:rPr>
                <w:rFonts w:ascii="Arial" w:cs="Arial" w:eastAsia="Arial" w:hAnsi="Arial"/>
                <w:sz w:val="16"/>
                <w:szCs w:val="16"/>
                <w:b w:val="1"/>
                <w:bCs w:val="1"/>
                <w:color w:val="auto"/>
              </w:rPr>
              <w:t>69,268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65,700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Rest of World</w:t>
            </w:r>
          </w:p>
        </w:tc>
        <w:tc>
          <w:tcPr>
            <w:tcW w:w="36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7,127</w:t>
            </w:r>
          </w:p>
        </w:tc>
        <w:tc>
          <w:tcPr>
            <w:tcW w:w="15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6,610</w:t>
            </w:r>
          </w:p>
        </w:tc>
        <w:tc>
          <w:tcPr>
            <w:tcW w:w="19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b w:val="1"/>
                <w:bCs w:val="1"/>
                <w:color w:val="auto"/>
              </w:rPr>
              <w:t>4,292</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7,178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416,229</w:t>
            </w:r>
          </w:p>
        </w:tc>
        <w:tc>
          <w:tcPr>
            <w:tcW w:w="15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409,165</w:t>
            </w:r>
          </w:p>
        </w:tc>
        <w:tc>
          <w:tcPr>
            <w:tcW w:w="19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b w:val="1"/>
                <w:bCs w:val="1"/>
                <w:color w:val="auto"/>
              </w:rPr>
              <w:t>192,687</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173,649</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Credit risk exposure also arises due to the investment of Group surplus cash in various financial instruments. The Group’s treasury function actively manages cash resources and invests surplus cash balances with various financial institutions in accordance with strict credit risk management policies and controls as specified by the Group’s Board of Directors. Credit risk in relation to these balances is managed through on-going monitoring of the credit quality ensuring that funds are invested as per agreed investment guidelines. These balances are classified as cash and cash equivalents or current asset investments depending on the maturity of the related investment. Invested cash comprises of cash and cash equivalents with a maturity of three months or less and credit quality is set at a minimum credit rating of BB+ for overnight maturities and a minimum of A- for any bank deposits greater than overnight and up to three months. Current asset investments comprise investments with maturities of greater than three months. The minimum ratings required for each class of investment are as follows: bank deposits (A-), money market funds (AAA), liquidity funds (AAA) and fixed rate corporate bonds or floating rate notes (A- non-financial, AA- financial).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gridSpan w:val="2"/>
          </w:tcPr>
          <w:p>
            <w:pPr>
              <w:spacing w:after="0"/>
              <w:rPr>
                <w:sz w:val="20"/>
                <w:szCs w:val="20"/>
                <w:color w:val="auto"/>
              </w:rPr>
            </w:pPr>
            <w:r>
              <w:rPr>
                <w:rFonts w:ascii="Arial" w:cs="Arial" w:eastAsia="Arial" w:hAnsi="Arial"/>
                <w:sz w:val="16"/>
                <w:szCs w:val="16"/>
                <w:i w:val="1"/>
                <w:iCs w:val="1"/>
                <w:color w:val="auto"/>
              </w:rPr>
              <w:t>Liquid and capital resources</w:t>
            </w:r>
          </w:p>
        </w:tc>
        <w:tc>
          <w:tcPr>
            <w:tcW w:w="3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6980" w:type="dxa"/>
            <w:vAlign w:val="bottom"/>
            <w:gridSpan w:val="2"/>
          </w:tcPr>
          <w:p>
            <w:pPr>
              <w:spacing w:after="0"/>
              <w:rPr>
                <w:sz w:val="20"/>
                <w:szCs w:val="20"/>
                <w:color w:val="auto"/>
              </w:rPr>
            </w:pPr>
            <w:r>
              <w:rPr>
                <w:rFonts w:ascii="Arial" w:cs="Arial" w:eastAsia="Arial" w:hAnsi="Arial"/>
                <w:sz w:val="16"/>
                <w:szCs w:val="16"/>
                <w:color w:val="auto"/>
              </w:rPr>
              <w:t>The Group’s liquid and capital resources at 31 December 2016 were as follows:</w:t>
            </w:r>
          </w:p>
        </w:tc>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12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12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12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Current asset investments (note 18)</w:t>
            </w:r>
          </w:p>
        </w:tc>
        <w:tc>
          <w:tcPr>
            <w:tcW w:w="312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68,046</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85,990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(note 19)</w:t>
            </w:r>
          </w:p>
        </w:tc>
        <w:tc>
          <w:tcPr>
            <w:tcW w:w="3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192,541</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103,911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liquid resources</w:t>
            </w:r>
          </w:p>
        </w:tc>
        <w:tc>
          <w:tcPr>
            <w:tcW w:w="31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260,587</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189,901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31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977,467</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797,130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Group’s primary objectives in managing its liquid and capital resources are as follows:</w:t>
      </w:r>
    </w:p>
    <w:p>
      <w:pPr>
        <w:spacing w:after="0" w:line="224" w:lineRule="exact"/>
        <w:rPr>
          <w:sz w:val="20"/>
          <w:szCs w:val="20"/>
          <w:color w:val="auto"/>
        </w:rPr>
      </w:pPr>
    </w:p>
    <w:p>
      <w:pPr>
        <w:ind w:left="620" w:hanging="397"/>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maintain adequate resources to fund its continued operations,</w:t>
      </w:r>
    </w:p>
    <w:p>
      <w:pPr>
        <w:spacing w:after="0" w:line="20" w:lineRule="exact"/>
        <w:rPr>
          <w:rFonts w:ascii="Arial" w:cs="Arial" w:eastAsia="Arial" w:hAnsi="Arial"/>
          <w:sz w:val="16"/>
          <w:szCs w:val="16"/>
          <w:color w:val="auto"/>
        </w:rPr>
      </w:pPr>
    </w:p>
    <w:p>
      <w:pPr>
        <w:ind w:left="620" w:hanging="397"/>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ensure availability of sufficient resources to sustain future development and growth of the business,</w:t>
      </w:r>
    </w:p>
    <w:p>
      <w:pPr>
        <w:spacing w:after="0" w:line="8" w:lineRule="exact"/>
        <w:rPr>
          <w:rFonts w:ascii="Arial" w:cs="Arial" w:eastAsia="Arial" w:hAnsi="Arial"/>
          <w:sz w:val="16"/>
          <w:szCs w:val="16"/>
          <w:color w:val="auto"/>
        </w:rPr>
      </w:pPr>
    </w:p>
    <w:p>
      <w:pPr>
        <w:ind w:left="620" w:hanging="397"/>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maintain sufficient resources to mitigate risks and unforeseen events which may arise.</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note 23 Bank Credit Lines and Loan Facilities</w:t>
      </w:r>
      <w:r>
        <w:rPr>
          <w:rFonts w:ascii="Arial" w:cs="Arial" w:eastAsia="Arial" w:hAnsi="Arial"/>
          <w:sz w:val="15"/>
          <w:szCs w:val="15"/>
          <w:i w:val="1"/>
          <w:iCs w:val="1"/>
          <w:color w:val="auto"/>
        </w:rPr>
        <w:t>.</w:t>
      </w:r>
      <w:r>
        <w:rPr>
          <w:rFonts w:ascii="Arial" w:cs="Arial" w:eastAsia="Arial" w:hAnsi="Arial"/>
          <w:sz w:val="15"/>
          <w:szCs w:val="15"/>
          <w:color w:val="auto"/>
        </w:rPr>
        <w:t xml:space="preserve"> There were no funds drawn under the Revolving Credit Facility at 31 December 2016. The Group may raise additional finance through the issuance of ordinary shares or debt as required.</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Revolving Credit Facility bears interest at LIBOR plus a margin. There were no amounts drawn on the Revolving Credit Facility at 31 December 2016.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ended 31 December 2016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1620" w:type="dxa"/>
            <w:vAlign w:val="bottom"/>
          </w:tcPr>
          <w:p>
            <w:pPr>
              <w:jc w:val="right"/>
              <w:ind w:right="396"/>
              <w:spacing w:after="0"/>
              <w:rPr>
                <w:sz w:val="20"/>
                <w:szCs w:val="20"/>
                <w:color w:val="auto"/>
              </w:rPr>
            </w:pPr>
            <w:r>
              <w:rPr>
                <w:rFonts w:ascii="Arial" w:cs="Arial" w:eastAsia="Arial" w:hAnsi="Arial"/>
                <w:sz w:val="13"/>
                <w:szCs w:val="13"/>
                <w:b w:val="1"/>
                <w:bCs w:val="1"/>
                <w:color w:val="auto"/>
              </w:rPr>
              <w:t>Contractual Cash</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6 months</w:t>
            </w:r>
          </w:p>
        </w:tc>
        <w:tc>
          <w:tcPr>
            <w:tcW w:w="1340" w:type="dxa"/>
            <w:vAlign w:val="bottom"/>
          </w:tcPr>
          <w:p>
            <w:pPr>
              <w:jc w:val="right"/>
              <w:ind w:right="396"/>
              <w:spacing w:after="0"/>
              <w:rPr>
                <w:sz w:val="20"/>
                <w:szCs w:val="20"/>
                <w:color w:val="auto"/>
              </w:rPr>
            </w:pPr>
            <w:r>
              <w:rPr>
                <w:rFonts w:ascii="Arial" w:cs="Arial" w:eastAsia="Arial" w:hAnsi="Arial"/>
                <w:sz w:val="13"/>
                <w:szCs w:val="13"/>
                <w:b w:val="1"/>
                <w:bCs w:val="1"/>
                <w:color w:val="auto"/>
              </w:rPr>
              <w:t>6-12</w:t>
            </w:r>
          </w:p>
        </w:tc>
        <w:tc>
          <w:tcPr>
            <w:tcW w:w="134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1-2 years</w:t>
            </w:r>
          </w:p>
        </w:tc>
        <w:tc>
          <w:tcPr>
            <w:tcW w:w="130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2-5 years</w:t>
            </w: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60" w:type="dxa"/>
            <w:vAlign w:val="bottom"/>
          </w:tcPr>
          <w:p>
            <w:pPr>
              <w:jc w:val="right"/>
              <w:ind w:right="176"/>
              <w:spacing w:after="0" w:line="133" w:lineRule="exact"/>
              <w:rPr>
                <w:sz w:val="20"/>
                <w:szCs w:val="20"/>
                <w:color w:val="auto"/>
              </w:rPr>
            </w:pPr>
            <w:r>
              <w:rPr>
                <w:rFonts w:ascii="Arial" w:cs="Arial" w:eastAsia="Arial" w:hAnsi="Arial"/>
                <w:sz w:val="13"/>
                <w:szCs w:val="13"/>
                <w:b w:val="1"/>
                <w:bCs w:val="1"/>
                <w:color w:val="auto"/>
              </w:rPr>
              <w:t>Amount</w:t>
            </w:r>
          </w:p>
        </w:tc>
        <w:tc>
          <w:tcPr>
            <w:tcW w:w="1620" w:type="dxa"/>
            <w:vAlign w:val="bottom"/>
          </w:tcPr>
          <w:p>
            <w:pPr>
              <w:jc w:val="right"/>
              <w:ind w:right="396"/>
              <w:spacing w:after="0" w:line="133" w:lineRule="exact"/>
              <w:rPr>
                <w:sz w:val="20"/>
                <w:szCs w:val="20"/>
                <w:color w:val="auto"/>
              </w:rPr>
            </w:pPr>
            <w:r>
              <w:rPr>
                <w:rFonts w:ascii="Arial" w:cs="Arial" w:eastAsia="Arial" w:hAnsi="Arial"/>
                <w:sz w:val="13"/>
                <w:szCs w:val="13"/>
                <w:b w:val="1"/>
                <w:bCs w:val="1"/>
                <w:color w:val="auto"/>
              </w:rPr>
              <w:t>flows</w:t>
            </w:r>
          </w:p>
        </w:tc>
        <w:tc>
          <w:tcPr>
            <w:tcW w:w="1440" w:type="dxa"/>
            <w:vAlign w:val="bottom"/>
          </w:tcPr>
          <w:p>
            <w:pPr>
              <w:jc w:val="right"/>
              <w:ind w:right="436"/>
              <w:spacing w:after="0" w:line="133" w:lineRule="exact"/>
              <w:rPr>
                <w:sz w:val="20"/>
                <w:szCs w:val="20"/>
                <w:color w:val="auto"/>
              </w:rPr>
            </w:pPr>
            <w:r>
              <w:rPr>
                <w:rFonts w:ascii="Arial" w:cs="Arial" w:eastAsia="Arial" w:hAnsi="Arial"/>
                <w:sz w:val="13"/>
                <w:szCs w:val="13"/>
                <w:b w:val="1"/>
                <w:bCs w:val="1"/>
                <w:color w:val="auto"/>
              </w:rPr>
              <w:t>or less</w:t>
            </w:r>
          </w:p>
        </w:tc>
        <w:tc>
          <w:tcPr>
            <w:tcW w:w="1340" w:type="dxa"/>
            <w:vAlign w:val="bottom"/>
          </w:tcPr>
          <w:p>
            <w:pPr>
              <w:jc w:val="right"/>
              <w:ind w:right="396"/>
              <w:spacing w:after="0" w:line="133" w:lineRule="exact"/>
              <w:rPr>
                <w:sz w:val="20"/>
                <w:szCs w:val="20"/>
                <w:color w:val="auto"/>
              </w:rPr>
            </w:pPr>
            <w:r>
              <w:rPr>
                <w:rFonts w:ascii="Arial" w:cs="Arial" w:eastAsia="Arial" w:hAnsi="Arial"/>
                <w:sz w:val="13"/>
                <w:szCs w:val="13"/>
                <w:b w:val="1"/>
                <w:bCs w:val="1"/>
                <w:color w:val="auto"/>
              </w:rPr>
              <w:t>months</w:t>
            </w:r>
          </w:p>
        </w:tc>
        <w:tc>
          <w:tcPr>
            <w:tcW w:w="13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Senior notes</w:t>
            </w:r>
          </w:p>
        </w:tc>
        <w:tc>
          <w:tcPr>
            <w:tcW w:w="1260" w:type="dxa"/>
            <w:vAlign w:val="bottom"/>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(348,511)</w:t>
            </w:r>
          </w:p>
        </w:tc>
        <w:tc>
          <w:tcPr>
            <w:tcW w:w="1620" w:type="dxa"/>
            <w:vAlign w:val="bottom"/>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(350,000)</w:t>
            </w:r>
          </w:p>
        </w:tc>
        <w:tc>
          <w:tcPr>
            <w:tcW w:w="1440" w:type="dxa"/>
            <w:vAlign w:val="bottom"/>
            <w:shd w:val="clear" w:color="auto" w:fill="CCEEFF"/>
          </w:tcPr>
          <w:p>
            <w:pPr>
              <w:jc w:val="right"/>
              <w:ind w:right="43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96"/>
              <w:spacing w:after="0" w:line="133" w:lineRule="exact"/>
              <w:rPr>
                <w:sz w:val="20"/>
                <w:szCs w:val="20"/>
                <w:color w:val="auto"/>
              </w:rPr>
            </w:pPr>
            <w:r>
              <w:rPr>
                <w:rFonts w:ascii="Arial" w:cs="Arial" w:eastAsia="Arial" w:hAnsi="Arial"/>
                <w:sz w:val="13"/>
                <w:szCs w:val="13"/>
                <w:color w:val="auto"/>
              </w:rPr>
              <w:t>(350,000)</w:t>
            </w:r>
          </w:p>
        </w:tc>
        <w:tc>
          <w:tcPr>
            <w:tcW w:w="1060" w:type="dxa"/>
            <w:vAlign w:val="bottom"/>
            <w:shd w:val="clear" w:color="auto" w:fill="CCEEFF"/>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line="133" w:lineRule="exact"/>
              <w:rPr>
                <w:sz w:val="20"/>
                <w:szCs w:val="20"/>
                <w:color w:val="auto"/>
              </w:rPr>
            </w:pPr>
            <w:r>
              <w:rPr>
                <w:rFonts w:ascii="Arial" w:cs="Arial" w:eastAsia="Arial" w:hAnsi="Arial"/>
                <w:sz w:val="13"/>
                <w:szCs w:val="13"/>
                <w:color w:val="auto"/>
              </w:rPr>
              <w:t>Interest on senior notes</w:t>
            </w:r>
          </w:p>
        </w:tc>
        <w:tc>
          <w:tcPr>
            <w:tcW w:w="126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(566)</w:t>
            </w:r>
          </w:p>
        </w:tc>
        <w:tc>
          <w:tcPr>
            <w:tcW w:w="1620" w:type="dxa"/>
            <w:vAlign w:val="bottom"/>
          </w:tcPr>
          <w:p>
            <w:pPr>
              <w:jc w:val="right"/>
              <w:ind w:right="356"/>
              <w:spacing w:after="0" w:line="133" w:lineRule="exact"/>
              <w:rPr>
                <w:sz w:val="20"/>
                <w:szCs w:val="20"/>
                <w:color w:val="auto"/>
              </w:rPr>
            </w:pPr>
            <w:r>
              <w:rPr>
                <w:rFonts w:ascii="Arial" w:cs="Arial" w:eastAsia="Arial" w:hAnsi="Arial"/>
                <w:sz w:val="13"/>
                <w:szCs w:val="13"/>
                <w:color w:val="auto"/>
              </w:rPr>
              <w:t>(50,960)</w:t>
            </w:r>
          </w:p>
        </w:tc>
        <w:tc>
          <w:tcPr>
            <w:tcW w:w="14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(6,370)</w:t>
            </w:r>
          </w:p>
        </w:tc>
        <w:tc>
          <w:tcPr>
            <w:tcW w:w="134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(6,370)</w:t>
            </w:r>
          </w:p>
        </w:tc>
        <w:tc>
          <w:tcPr>
            <w:tcW w:w="134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(12,740)</w:t>
            </w:r>
          </w:p>
        </w:tc>
        <w:tc>
          <w:tcPr>
            <w:tcW w:w="1300" w:type="dxa"/>
            <w:vAlign w:val="bottom"/>
          </w:tcPr>
          <w:p>
            <w:pPr>
              <w:jc w:val="right"/>
              <w:ind w:right="296"/>
              <w:spacing w:after="0" w:line="133" w:lineRule="exact"/>
              <w:rPr>
                <w:sz w:val="20"/>
                <w:szCs w:val="20"/>
                <w:color w:val="auto"/>
              </w:rPr>
            </w:pPr>
            <w:r>
              <w:rPr>
                <w:rFonts w:ascii="Arial" w:cs="Arial" w:eastAsia="Arial" w:hAnsi="Arial"/>
                <w:sz w:val="13"/>
                <w:szCs w:val="13"/>
                <w:color w:val="auto"/>
              </w:rPr>
              <w:t>(25,480)</w:t>
            </w: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Non-current other liabilities*</w:t>
            </w:r>
          </w:p>
        </w:tc>
        <w:tc>
          <w:tcPr>
            <w:tcW w:w="1260" w:type="dxa"/>
            <w:vAlign w:val="bottom"/>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(14,800)</w:t>
            </w:r>
          </w:p>
        </w:tc>
        <w:tc>
          <w:tcPr>
            <w:tcW w:w="1620" w:type="dxa"/>
            <w:vAlign w:val="bottom"/>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(14,800)</w:t>
            </w:r>
          </w:p>
        </w:tc>
        <w:tc>
          <w:tcPr>
            <w:tcW w:w="1440" w:type="dxa"/>
            <w:vAlign w:val="bottom"/>
            <w:shd w:val="clear" w:color="auto" w:fill="CCEEFF"/>
          </w:tcPr>
          <w:p>
            <w:pPr>
              <w:jc w:val="right"/>
              <w:ind w:right="43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36"/>
              <w:spacing w:after="0" w:line="133" w:lineRule="exact"/>
              <w:rPr>
                <w:sz w:val="20"/>
                <w:szCs w:val="20"/>
                <w:color w:val="auto"/>
              </w:rPr>
            </w:pPr>
            <w:r>
              <w:rPr>
                <w:rFonts w:ascii="Arial" w:cs="Arial" w:eastAsia="Arial" w:hAnsi="Arial"/>
                <w:sz w:val="13"/>
                <w:szCs w:val="13"/>
                <w:color w:val="auto"/>
              </w:rPr>
              <w:t>(6,000)</w:t>
            </w:r>
          </w:p>
        </w:tc>
        <w:tc>
          <w:tcPr>
            <w:tcW w:w="1300" w:type="dxa"/>
            <w:vAlign w:val="bottom"/>
            <w:shd w:val="clear" w:color="auto" w:fill="CCEEFF"/>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line="133" w:lineRule="exact"/>
              <w:rPr>
                <w:sz w:val="20"/>
                <w:szCs w:val="20"/>
                <w:color w:val="auto"/>
              </w:rPr>
            </w:pPr>
            <w:r>
              <w:rPr>
                <w:rFonts w:ascii="Arial" w:cs="Arial" w:eastAsia="Arial" w:hAnsi="Arial"/>
                <w:sz w:val="13"/>
                <w:szCs w:val="13"/>
                <w:color w:val="auto"/>
              </w:rPr>
              <w:t>(8,800)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line="133" w:lineRule="exact"/>
              <w:rPr>
                <w:sz w:val="20"/>
                <w:szCs w:val="20"/>
                <w:color w:val="auto"/>
              </w:rPr>
            </w:pPr>
            <w:r>
              <w:rPr>
                <w:rFonts w:ascii="Arial" w:cs="Arial" w:eastAsia="Arial" w:hAnsi="Arial"/>
                <w:sz w:val="13"/>
                <w:szCs w:val="13"/>
                <w:color w:val="auto"/>
              </w:rPr>
              <w:t>Accounts payable</w:t>
            </w:r>
          </w:p>
        </w:tc>
        <w:tc>
          <w:tcPr>
            <w:tcW w:w="126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(8,696)</w:t>
            </w:r>
          </w:p>
        </w:tc>
        <w:tc>
          <w:tcPr>
            <w:tcW w:w="1620" w:type="dxa"/>
            <w:vAlign w:val="bottom"/>
          </w:tcPr>
          <w:p>
            <w:pPr>
              <w:jc w:val="right"/>
              <w:ind w:right="356"/>
              <w:spacing w:after="0" w:line="133" w:lineRule="exact"/>
              <w:rPr>
                <w:sz w:val="20"/>
                <w:szCs w:val="20"/>
                <w:color w:val="auto"/>
              </w:rPr>
            </w:pPr>
            <w:r>
              <w:rPr>
                <w:rFonts w:ascii="Arial" w:cs="Arial" w:eastAsia="Arial" w:hAnsi="Arial"/>
                <w:sz w:val="13"/>
                <w:szCs w:val="13"/>
                <w:color w:val="auto"/>
              </w:rPr>
              <w:t>(8,696)</w:t>
            </w:r>
          </w:p>
        </w:tc>
        <w:tc>
          <w:tcPr>
            <w:tcW w:w="14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(8,696)</w:t>
            </w:r>
          </w:p>
        </w:tc>
        <w:tc>
          <w:tcPr>
            <w:tcW w:w="13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Accrued and other liabilities*</w:t>
            </w:r>
          </w:p>
        </w:tc>
        <w:tc>
          <w:tcPr>
            <w:tcW w:w="1260" w:type="dxa"/>
            <w:vAlign w:val="bottom"/>
            <w:tcBorders>
              <w:bottom w:val="single" w:sz="8" w:color="auto"/>
            </w:tcBorders>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(188,241)</w:t>
            </w:r>
          </w:p>
        </w:tc>
        <w:tc>
          <w:tcPr>
            <w:tcW w:w="1620" w:type="dxa"/>
            <w:vAlign w:val="bottom"/>
            <w:tcBorders>
              <w:bottom w:val="single" w:sz="8" w:color="auto"/>
            </w:tcBorders>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(188,241)</w:t>
            </w:r>
          </w:p>
        </w:tc>
        <w:tc>
          <w:tcPr>
            <w:tcW w:w="1440" w:type="dxa"/>
            <w:vAlign w:val="bottom"/>
            <w:tcBorders>
              <w:bottom w:val="single" w:sz="8" w:color="auto"/>
            </w:tcBorders>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(188,241)</w:t>
            </w:r>
          </w:p>
        </w:tc>
        <w:tc>
          <w:tcPr>
            <w:tcW w:w="1340" w:type="dxa"/>
            <w:vAlign w:val="bottom"/>
            <w:tcBorders>
              <w:bottom w:val="single" w:sz="8" w:color="auto"/>
            </w:tcBorders>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b w:val="1"/>
                <w:bCs w:val="1"/>
                <w:color w:val="auto"/>
              </w:rPr>
              <w:t>(560,814)</w:t>
            </w:r>
          </w:p>
        </w:tc>
        <w:tc>
          <w:tcPr>
            <w:tcW w:w="162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b w:val="1"/>
                <w:bCs w:val="1"/>
                <w:color w:val="auto"/>
              </w:rPr>
              <w:t>(612,697)</w:t>
            </w:r>
          </w:p>
        </w:tc>
        <w:tc>
          <w:tcPr>
            <w:tcW w:w="1440" w:type="dxa"/>
            <w:vAlign w:val="bottom"/>
            <w:tcBorders>
              <w:bottom w:val="single" w:sz="8" w:color="auto"/>
            </w:tcBorders>
          </w:tcPr>
          <w:p>
            <w:pPr>
              <w:jc w:val="right"/>
              <w:ind w:right="396"/>
              <w:spacing w:after="0" w:line="133" w:lineRule="exact"/>
              <w:rPr>
                <w:sz w:val="20"/>
                <w:szCs w:val="20"/>
                <w:color w:val="auto"/>
              </w:rPr>
            </w:pPr>
            <w:r>
              <w:rPr>
                <w:rFonts w:ascii="Arial" w:cs="Arial" w:eastAsia="Arial" w:hAnsi="Arial"/>
                <w:sz w:val="13"/>
                <w:szCs w:val="13"/>
                <w:b w:val="1"/>
                <w:bCs w:val="1"/>
                <w:color w:val="auto"/>
              </w:rPr>
              <w:t>(203,307)</w:t>
            </w:r>
          </w:p>
        </w:tc>
        <w:tc>
          <w:tcPr>
            <w:tcW w:w="1340" w:type="dxa"/>
            <w:vAlign w:val="bottom"/>
            <w:tcBorders>
              <w:bottom w:val="single" w:sz="8" w:color="auto"/>
            </w:tcBorders>
          </w:tcPr>
          <w:p>
            <w:pPr>
              <w:jc w:val="right"/>
              <w:ind w:right="336"/>
              <w:spacing w:after="0" w:line="133" w:lineRule="exact"/>
              <w:rPr>
                <w:sz w:val="20"/>
                <w:szCs w:val="20"/>
                <w:color w:val="auto"/>
              </w:rPr>
            </w:pPr>
            <w:r>
              <w:rPr>
                <w:rFonts w:ascii="Arial" w:cs="Arial" w:eastAsia="Arial" w:hAnsi="Arial"/>
                <w:sz w:val="13"/>
                <w:szCs w:val="13"/>
                <w:b w:val="1"/>
                <w:bCs w:val="1"/>
                <w:color w:val="auto"/>
              </w:rPr>
              <w:t>(6,370)</w:t>
            </w:r>
          </w:p>
        </w:tc>
        <w:tc>
          <w:tcPr>
            <w:tcW w:w="1340" w:type="dxa"/>
            <w:vAlign w:val="bottom"/>
            <w:tcBorders>
              <w:bottom w:val="single" w:sz="8" w:color="auto"/>
            </w:tcBorders>
          </w:tcPr>
          <w:p>
            <w:pPr>
              <w:jc w:val="right"/>
              <w:ind w:right="336"/>
              <w:spacing w:after="0" w:line="133" w:lineRule="exact"/>
              <w:rPr>
                <w:sz w:val="20"/>
                <w:szCs w:val="20"/>
                <w:color w:val="auto"/>
              </w:rPr>
            </w:pPr>
            <w:r>
              <w:rPr>
                <w:rFonts w:ascii="Arial" w:cs="Arial" w:eastAsia="Arial" w:hAnsi="Arial"/>
                <w:sz w:val="13"/>
                <w:szCs w:val="13"/>
                <w:b w:val="1"/>
                <w:bCs w:val="1"/>
                <w:color w:val="auto"/>
              </w:rPr>
              <w:t>(18,740)</w:t>
            </w:r>
          </w:p>
        </w:tc>
        <w:tc>
          <w:tcPr>
            <w:tcW w:w="1300" w:type="dxa"/>
            <w:vAlign w:val="bottom"/>
            <w:tcBorders>
              <w:bottom w:val="single" w:sz="8" w:color="auto"/>
            </w:tcBorders>
          </w:tcPr>
          <w:p>
            <w:pPr>
              <w:jc w:val="right"/>
              <w:ind w:right="296"/>
              <w:spacing w:after="0" w:line="133" w:lineRule="exact"/>
              <w:rPr>
                <w:sz w:val="20"/>
                <w:szCs w:val="20"/>
                <w:color w:val="auto"/>
              </w:rPr>
            </w:pPr>
            <w:r>
              <w:rPr>
                <w:rFonts w:ascii="Arial" w:cs="Arial" w:eastAsia="Arial" w:hAnsi="Arial"/>
                <w:sz w:val="13"/>
                <w:szCs w:val="13"/>
                <w:b w:val="1"/>
                <w:bCs w:val="1"/>
                <w:color w:val="auto"/>
              </w:rPr>
              <w:t>(375,480)</w:t>
            </w:r>
          </w:p>
        </w:tc>
        <w:tc>
          <w:tcPr>
            <w:tcW w:w="10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rPr>
              <w:t>(8,800)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ended 31 December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1620" w:type="dxa"/>
            <w:vAlign w:val="bottom"/>
          </w:tcPr>
          <w:p>
            <w:pPr>
              <w:jc w:val="right"/>
              <w:ind w:right="396"/>
              <w:spacing w:after="0"/>
              <w:rPr>
                <w:sz w:val="20"/>
                <w:szCs w:val="20"/>
                <w:color w:val="auto"/>
              </w:rPr>
            </w:pPr>
            <w:r>
              <w:rPr>
                <w:rFonts w:ascii="Arial" w:cs="Arial" w:eastAsia="Arial" w:hAnsi="Arial"/>
                <w:sz w:val="13"/>
                <w:szCs w:val="13"/>
                <w:b w:val="1"/>
                <w:bCs w:val="1"/>
                <w:color w:val="auto"/>
              </w:rPr>
              <w:t>Contractual Cash</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6 months</w:t>
            </w:r>
          </w:p>
        </w:tc>
        <w:tc>
          <w:tcPr>
            <w:tcW w:w="1340" w:type="dxa"/>
            <w:vAlign w:val="bottom"/>
          </w:tcPr>
          <w:p>
            <w:pPr>
              <w:jc w:val="right"/>
              <w:ind w:right="396"/>
              <w:spacing w:after="0"/>
              <w:rPr>
                <w:sz w:val="20"/>
                <w:szCs w:val="20"/>
                <w:color w:val="auto"/>
              </w:rPr>
            </w:pPr>
            <w:r>
              <w:rPr>
                <w:rFonts w:ascii="Arial" w:cs="Arial" w:eastAsia="Arial" w:hAnsi="Arial"/>
                <w:sz w:val="13"/>
                <w:szCs w:val="13"/>
                <w:b w:val="1"/>
                <w:bCs w:val="1"/>
                <w:color w:val="auto"/>
              </w:rPr>
              <w:t>6-12</w:t>
            </w:r>
          </w:p>
        </w:tc>
        <w:tc>
          <w:tcPr>
            <w:tcW w:w="134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1-2 years</w:t>
            </w:r>
          </w:p>
        </w:tc>
        <w:tc>
          <w:tcPr>
            <w:tcW w:w="130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2-5 years</w:t>
            </w: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60" w:type="dxa"/>
            <w:vAlign w:val="bottom"/>
          </w:tcPr>
          <w:p>
            <w:pPr>
              <w:jc w:val="right"/>
              <w:ind w:right="176"/>
              <w:spacing w:after="0" w:line="133" w:lineRule="exact"/>
              <w:rPr>
                <w:sz w:val="20"/>
                <w:szCs w:val="20"/>
                <w:color w:val="auto"/>
              </w:rPr>
            </w:pPr>
            <w:r>
              <w:rPr>
                <w:rFonts w:ascii="Arial" w:cs="Arial" w:eastAsia="Arial" w:hAnsi="Arial"/>
                <w:sz w:val="13"/>
                <w:szCs w:val="13"/>
                <w:b w:val="1"/>
                <w:bCs w:val="1"/>
                <w:color w:val="auto"/>
              </w:rPr>
              <w:t>Amount</w:t>
            </w:r>
          </w:p>
        </w:tc>
        <w:tc>
          <w:tcPr>
            <w:tcW w:w="1620" w:type="dxa"/>
            <w:vAlign w:val="bottom"/>
          </w:tcPr>
          <w:p>
            <w:pPr>
              <w:jc w:val="right"/>
              <w:ind w:right="396"/>
              <w:spacing w:after="0" w:line="133" w:lineRule="exact"/>
              <w:rPr>
                <w:sz w:val="20"/>
                <w:szCs w:val="20"/>
                <w:color w:val="auto"/>
              </w:rPr>
            </w:pPr>
            <w:r>
              <w:rPr>
                <w:rFonts w:ascii="Arial" w:cs="Arial" w:eastAsia="Arial" w:hAnsi="Arial"/>
                <w:sz w:val="13"/>
                <w:szCs w:val="13"/>
                <w:b w:val="1"/>
                <w:bCs w:val="1"/>
                <w:color w:val="auto"/>
              </w:rPr>
              <w:t>flows</w:t>
            </w:r>
          </w:p>
        </w:tc>
        <w:tc>
          <w:tcPr>
            <w:tcW w:w="1440" w:type="dxa"/>
            <w:vAlign w:val="bottom"/>
          </w:tcPr>
          <w:p>
            <w:pPr>
              <w:jc w:val="right"/>
              <w:ind w:right="436"/>
              <w:spacing w:after="0" w:line="133" w:lineRule="exact"/>
              <w:rPr>
                <w:sz w:val="20"/>
                <w:szCs w:val="20"/>
                <w:color w:val="auto"/>
              </w:rPr>
            </w:pPr>
            <w:r>
              <w:rPr>
                <w:rFonts w:ascii="Arial" w:cs="Arial" w:eastAsia="Arial" w:hAnsi="Arial"/>
                <w:sz w:val="13"/>
                <w:szCs w:val="13"/>
                <w:b w:val="1"/>
                <w:bCs w:val="1"/>
                <w:color w:val="auto"/>
              </w:rPr>
              <w:t>or less</w:t>
            </w:r>
          </w:p>
        </w:tc>
        <w:tc>
          <w:tcPr>
            <w:tcW w:w="1340" w:type="dxa"/>
            <w:vAlign w:val="bottom"/>
          </w:tcPr>
          <w:p>
            <w:pPr>
              <w:jc w:val="right"/>
              <w:ind w:right="396"/>
              <w:spacing w:after="0" w:line="133" w:lineRule="exact"/>
              <w:rPr>
                <w:sz w:val="20"/>
                <w:szCs w:val="20"/>
                <w:color w:val="auto"/>
              </w:rPr>
            </w:pPr>
            <w:r>
              <w:rPr>
                <w:rFonts w:ascii="Arial" w:cs="Arial" w:eastAsia="Arial" w:hAnsi="Arial"/>
                <w:sz w:val="13"/>
                <w:szCs w:val="13"/>
                <w:b w:val="1"/>
                <w:bCs w:val="1"/>
                <w:color w:val="auto"/>
              </w:rPr>
              <w:t>months</w:t>
            </w:r>
          </w:p>
        </w:tc>
        <w:tc>
          <w:tcPr>
            <w:tcW w:w="13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Senior notes</w:t>
            </w:r>
          </w:p>
        </w:tc>
        <w:tc>
          <w:tcPr>
            <w:tcW w:w="1260" w:type="dxa"/>
            <w:vAlign w:val="bottom"/>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(348,304)</w:t>
            </w:r>
          </w:p>
        </w:tc>
        <w:tc>
          <w:tcPr>
            <w:tcW w:w="1620" w:type="dxa"/>
            <w:vAlign w:val="bottom"/>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(350,000)</w:t>
            </w:r>
          </w:p>
        </w:tc>
        <w:tc>
          <w:tcPr>
            <w:tcW w:w="1440" w:type="dxa"/>
            <w:vAlign w:val="bottom"/>
            <w:shd w:val="clear" w:color="auto" w:fill="CCEEFF"/>
          </w:tcPr>
          <w:p>
            <w:pPr>
              <w:jc w:val="right"/>
              <w:ind w:right="43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96"/>
              <w:spacing w:after="0" w:line="133" w:lineRule="exact"/>
              <w:rPr>
                <w:sz w:val="20"/>
                <w:szCs w:val="20"/>
                <w:color w:val="auto"/>
              </w:rPr>
            </w:pPr>
            <w:r>
              <w:rPr>
                <w:rFonts w:ascii="Arial" w:cs="Arial" w:eastAsia="Arial" w:hAnsi="Arial"/>
                <w:sz w:val="13"/>
                <w:szCs w:val="13"/>
                <w:color w:val="auto"/>
              </w:rPr>
              <w:t>(350,000)</w:t>
            </w:r>
          </w:p>
        </w:tc>
        <w:tc>
          <w:tcPr>
            <w:tcW w:w="1060" w:type="dxa"/>
            <w:vAlign w:val="bottom"/>
            <w:shd w:val="clear" w:color="auto" w:fill="CCEEFF"/>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line="133" w:lineRule="exact"/>
              <w:rPr>
                <w:sz w:val="20"/>
                <w:szCs w:val="20"/>
                <w:color w:val="auto"/>
              </w:rPr>
            </w:pPr>
            <w:r>
              <w:rPr>
                <w:rFonts w:ascii="Arial" w:cs="Arial" w:eastAsia="Arial" w:hAnsi="Arial"/>
                <w:sz w:val="13"/>
                <w:szCs w:val="13"/>
                <w:color w:val="auto"/>
              </w:rPr>
              <w:t>Interest on senior notes</w:t>
            </w:r>
          </w:p>
        </w:tc>
        <w:tc>
          <w:tcPr>
            <w:tcW w:w="126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(566)</w:t>
            </w:r>
          </w:p>
        </w:tc>
        <w:tc>
          <w:tcPr>
            <w:tcW w:w="1620" w:type="dxa"/>
            <w:vAlign w:val="bottom"/>
          </w:tcPr>
          <w:p>
            <w:pPr>
              <w:jc w:val="right"/>
              <w:ind w:right="356"/>
              <w:spacing w:after="0" w:line="133" w:lineRule="exact"/>
              <w:rPr>
                <w:sz w:val="20"/>
                <w:szCs w:val="20"/>
                <w:color w:val="auto"/>
              </w:rPr>
            </w:pPr>
            <w:r>
              <w:rPr>
                <w:rFonts w:ascii="Arial" w:cs="Arial" w:eastAsia="Arial" w:hAnsi="Arial"/>
                <w:sz w:val="13"/>
                <w:szCs w:val="13"/>
                <w:color w:val="auto"/>
              </w:rPr>
              <w:t>(63,700)</w:t>
            </w:r>
          </w:p>
        </w:tc>
        <w:tc>
          <w:tcPr>
            <w:tcW w:w="14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(6,370)</w:t>
            </w:r>
          </w:p>
        </w:tc>
        <w:tc>
          <w:tcPr>
            <w:tcW w:w="134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(6,370)</w:t>
            </w:r>
          </w:p>
        </w:tc>
        <w:tc>
          <w:tcPr>
            <w:tcW w:w="134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(12,740)</w:t>
            </w:r>
          </w:p>
        </w:tc>
        <w:tc>
          <w:tcPr>
            <w:tcW w:w="1300" w:type="dxa"/>
            <w:vAlign w:val="bottom"/>
          </w:tcPr>
          <w:p>
            <w:pPr>
              <w:jc w:val="right"/>
              <w:ind w:right="296"/>
              <w:spacing w:after="0" w:line="133" w:lineRule="exact"/>
              <w:rPr>
                <w:sz w:val="20"/>
                <w:szCs w:val="20"/>
                <w:color w:val="auto"/>
              </w:rPr>
            </w:pPr>
            <w:r>
              <w:rPr>
                <w:rFonts w:ascii="Arial" w:cs="Arial" w:eastAsia="Arial" w:hAnsi="Arial"/>
                <w:sz w:val="13"/>
                <w:szCs w:val="13"/>
                <w:color w:val="auto"/>
              </w:rPr>
              <w:t>(38,220)</w:t>
            </w: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Non-current other liabilities*</w:t>
            </w:r>
          </w:p>
        </w:tc>
        <w:tc>
          <w:tcPr>
            <w:tcW w:w="1260" w:type="dxa"/>
            <w:vAlign w:val="bottom"/>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(5,035)</w:t>
            </w:r>
          </w:p>
        </w:tc>
        <w:tc>
          <w:tcPr>
            <w:tcW w:w="1620" w:type="dxa"/>
            <w:vAlign w:val="bottom"/>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(5,035)</w:t>
            </w:r>
          </w:p>
        </w:tc>
        <w:tc>
          <w:tcPr>
            <w:tcW w:w="1440" w:type="dxa"/>
            <w:vAlign w:val="bottom"/>
            <w:shd w:val="clear" w:color="auto" w:fill="CCEEFF"/>
          </w:tcPr>
          <w:p>
            <w:pPr>
              <w:jc w:val="right"/>
              <w:ind w:right="43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line="133" w:lineRule="exact"/>
              <w:rPr>
                <w:sz w:val="20"/>
                <w:szCs w:val="20"/>
                <w:color w:val="auto"/>
              </w:rPr>
            </w:pPr>
            <w:r>
              <w:rPr>
                <w:rFonts w:ascii="Arial" w:cs="Arial" w:eastAsia="Arial" w:hAnsi="Arial"/>
                <w:sz w:val="13"/>
                <w:szCs w:val="13"/>
                <w:color w:val="auto"/>
              </w:rPr>
              <w:t>(5,035)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line="133" w:lineRule="exact"/>
              <w:rPr>
                <w:sz w:val="20"/>
                <w:szCs w:val="20"/>
                <w:color w:val="auto"/>
              </w:rPr>
            </w:pPr>
            <w:r>
              <w:rPr>
                <w:rFonts w:ascii="Arial" w:cs="Arial" w:eastAsia="Arial" w:hAnsi="Arial"/>
                <w:sz w:val="13"/>
                <w:szCs w:val="13"/>
                <w:color w:val="auto"/>
              </w:rPr>
              <w:t>Accounts payable</w:t>
            </w:r>
          </w:p>
        </w:tc>
        <w:tc>
          <w:tcPr>
            <w:tcW w:w="126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(7,023)</w:t>
            </w:r>
          </w:p>
        </w:tc>
        <w:tc>
          <w:tcPr>
            <w:tcW w:w="1620" w:type="dxa"/>
            <w:vAlign w:val="bottom"/>
          </w:tcPr>
          <w:p>
            <w:pPr>
              <w:jc w:val="right"/>
              <w:ind w:right="356"/>
              <w:spacing w:after="0" w:line="133" w:lineRule="exact"/>
              <w:rPr>
                <w:sz w:val="20"/>
                <w:szCs w:val="20"/>
                <w:color w:val="auto"/>
              </w:rPr>
            </w:pPr>
            <w:r>
              <w:rPr>
                <w:rFonts w:ascii="Arial" w:cs="Arial" w:eastAsia="Arial" w:hAnsi="Arial"/>
                <w:sz w:val="13"/>
                <w:szCs w:val="13"/>
                <w:color w:val="auto"/>
              </w:rPr>
              <w:t>(7,023)</w:t>
            </w:r>
          </w:p>
        </w:tc>
        <w:tc>
          <w:tcPr>
            <w:tcW w:w="14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(7,023)</w:t>
            </w:r>
          </w:p>
        </w:tc>
        <w:tc>
          <w:tcPr>
            <w:tcW w:w="1340" w:type="dxa"/>
            <w:vAlign w:val="bottom"/>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Accrued and other liabilities*</w:t>
            </w:r>
          </w:p>
        </w:tc>
        <w:tc>
          <w:tcPr>
            <w:tcW w:w="1260" w:type="dxa"/>
            <w:vAlign w:val="bottom"/>
            <w:tcBorders>
              <w:bottom w:val="single" w:sz="8" w:color="auto"/>
            </w:tcBorders>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(229,720)</w:t>
            </w:r>
          </w:p>
        </w:tc>
        <w:tc>
          <w:tcPr>
            <w:tcW w:w="1620" w:type="dxa"/>
            <w:vAlign w:val="bottom"/>
            <w:tcBorders>
              <w:bottom w:val="single" w:sz="8" w:color="auto"/>
            </w:tcBorders>
            <w:shd w:val="clear" w:color="auto" w:fill="CCEEFF"/>
          </w:tcPr>
          <w:p>
            <w:pPr>
              <w:jc w:val="right"/>
              <w:ind w:right="356"/>
              <w:spacing w:after="0" w:line="133" w:lineRule="exact"/>
              <w:rPr>
                <w:sz w:val="20"/>
                <w:szCs w:val="20"/>
                <w:color w:val="auto"/>
              </w:rPr>
            </w:pPr>
            <w:r>
              <w:rPr>
                <w:rFonts w:ascii="Arial" w:cs="Arial" w:eastAsia="Arial" w:hAnsi="Arial"/>
                <w:sz w:val="13"/>
                <w:szCs w:val="13"/>
                <w:color w:val="auto"/>
              </w:rPr>
              <w:t>(229,720)</w:t>
            </w:r>
          </w:p>
        </w:tc>
        <w:tc>
          <w:tcPr>
            <w:tcW w:w="1440" w:type="dxa"/>
            <w:vAlign w:val="bottom"/>
            <w:tcBorders>
              <w:bottom w:val="single" w:sz="8" w:color="auto"/>
            </w:tcBorders>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(229,720)</w:t>
            </w:r>
          </w:p>
        </w:tc>
        <w:tc>
          <w:tcPr>
            <w:tcW w:w="1340" w:type="dxa"/>
            <w:vAlign w:val="bottom"/>
            <w:tcBorders>
              <w:bottom w:val="single" w:sz="8" w:color="auto"/>
            </w:tcBorders>
            <w:shd w:val="clear" w:color="auto" w:fill="CCEEFF"/>
          </w:tcPr>
          <w:p>
            <w:pPr>
              <w:jc w:val="right"/>
              <w:ind w:right="396"/>
              <w:spacing w:after="0" w:line="13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376"/>
              <w:spacing w:after="0" w:line="133"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36"/>
              <w:spacing w:after="0" w:line="133"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b w:val="1"/>
                <w:bCs w:val="1"/>
                <w:color w:val="auto"/>
              </w:rPr>
              <w:t>(590,648)</w:t>
            </w:r>
          </w:p>
        </w:tc>
        <w:tc>
          <w:tcPr>
            <w:tcW w:w="162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b w:val="1"/>
                <w:bCs w:val="1"/>
                <w:color w:val="auto"/>
              </w:rPr>
              <w:t>(655,478)</w:t>
            </w:r>
          </w:p>
        </w:tc>
        <w:tc>
          <w:tcPr>
            <w:tcW w:w="1440" w:type="dxa"/>
            <w:vAlign w:val="bottom"/>
            <w:tcBorders>
              <w:bottom w:val="single" w:sz="8" w:color="auto"/>
            </w:tcBorders>
          </w:tcPr>
          <w:p>
            <w:pPr>
              <w:jc w:val="right"/>
              <w:ind w:right="396"/>
              <w:spacing w:after="0" w:line="133" w:lineRule="exact"/>
              <w:rPr>
                <w:sz w:val="20"/>
                <w:szCs w:val="20"/>
                <w:color w:val="auto"/>
              </w:rPr>
            </w:pPr>
            <w:r>
              <w:rPr>
                <w:rFonts w:ascii="Arial" w:cs="Arial" w:eastAsia="Arial" w:hAnsi="Arial"/>
                <w:sz w:val="13"/>
                <w:szCs w:val="13"/>
                <w:b w:val="1"/>
                <w:bCs w:val="1"/>
                <w:color w:val="auto"/>
              </w:rPr>
              <w:t>(243,113)</w:t>
            </w:r>
          </w:p>
        </w:tc>
        <w:tc>
          <w:tcPr>
            <w:tcW w:w="1340" w:type="dxa"/>
            <w:vAlign w:val="bottom"/>
            <w:tcBorders>
              <w:bottom w:val="single" w:sz="8" w:color="auto"/>
            </w:tcBorders>
          </w:tcPr>
          <w:p>
            <w:pPr>
              <w:jc w:val="right"/>
              <w:ind w:right="336"/>
              <w:spacing w:after="0" w:line="133" w:lineRule="exact"/>
              <w:rPr>
                <w:sz w:val="20"/>
                <w:szCs w:val="20"/>
                <w:color w:val="auto"/>
              </w:rPr>
            </w:pPr>
            <w:r>
              <w:rPr>
                <w:rFonts w:ascii="Arial" w:cs="Arial" w:eastAsia="Arial" w:hAnsi="Arial"/>
                <w:sz w:val="13"/>
                <w:szCs w:val="13"/>
                <w:b w:val="1"/>
                <w:bCs w:val="1"/>
                <w:color w:val="auto"/>
              </w:rPr>
              <w:t>(6,370)</w:t>
            </w:r>
          </w:p>
        </w:tc>
        <w:tc>
          <w:tcPr>
            <w:tcW w:w="1340" w:type="dxa"/>
            <w:vAlign w:val="bottom"/>
            <w:tcBorders>
              <w:bottom w:val="single" w:sz="8" w:color="auto"/>
            </w:tcBorders>
          </w:tcPr>
          <w:p>
            <w:pPr>
              <w:jc w:val="right"/>
              <w:ind w:right="336"/>
              <w:spacing w:after="0" w:line="133" w:lineRule="exact"/>
              <w:rPr>
                <w:sz w:val="20"/>
                <w:szCs w:val="20"/>
                <w:color w:val="auto"/>
              </w:rPr>
            </w:pPr>
            <w:r>
              <w:rPr>
                <w:rFonts w:ascii="Arial" w:cs="Arial" w:eastAsia="Arial" w:hAnsi="Arial"/>
                <w:sz w:val="13"/>
                <w:szCs w:val="13"/>
                <w:b w:val="1"/>
                <w:bCs w:val="1"/>
                <w:color w:val="auto"/>
              </w:rPr>
              <w:t>(12,740)</w:t>
            </w:r>
          </w:p>
        </w:tc>
        <w:tc>
          <w:tcPr>
            <w:tcW w:w="1300" w:type="dxa"/>
            <w:vAlign w:val="bottom"/>
            <w:tcBorders>
              <w:bottom w:val="single" w:sz="8" w:color="auto"/>
            </w:tcBorders>
          </w:tcPr>
          <w:p>
            <w:pPr>
              <w:jc w:val="right"/>
              <w:ind w:right="296"/>
              <w:spacing w:after="0" w:line="133" w:lineRule="exact"/>
              <w:rPr>
                <w:sz w:val="20"/>
                <w:szCs w:val="20"/>
                <w:color w:val="auto"/>
              </w:rPr>
            </w:pPr>
            <w:r>
              <w:rPr>
                <w:rFonts w:ascii="Arial" w:cs="Arial" w:eastAsia="Arial" w:hAnsi="Arial"/>
                <w:sz w:val="13"/>
                <w:szCs w:val="13"/>
                <w:b w:val="1"/>
                <w:bCs w:val="1"/>
                <w:color w:val="auto"/>
              </w:rPr>
              <w:t>(388,220)</w:t>
            </w:r>
          </w:p>
        </w:tc>
        <w:tc>
          <w:tcPr>
            <w:tcW w:w="10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rPr>
              <w:t>(5,035)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Non-current other liabilities above excludes retirement plan net benefit obligation (2016: $8.9 million and 2015: $7.2 million) and deferred government grants (2016: $0.9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 and 2015: $1.0 million). Accrued and other liabilities exclude deferred government grants (2016: $54,000 and 2015: $43,000).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the Group’s transaction risk in relation to financial assets and liabilities at 31 December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U.S. Dollar</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Sterling</w:t>
            </w:r>
          </w:p>
        </w:tc>
        <w:tc>
          <w:tcPr>
            <w:tcW w:w="1360" w:type="dxa"/>
            <w:vAlign w:val="bottom"/>
          </w:tcPr>
          <w:p>
            <w:pPr>
              <w:jc w:val="right"/>
              <w:ind w:right="360"/>
              <w:spacing w:after="0"/>
              <w:rPr>
                <w:sz w:val="20"/>
                <w:szCs w:val="20"/>
                <w:color w:val="auto"/>
              </w:rPr>
            </w:pPr>
            <w:r>
              <w:rPr>
                <w:rFonts w:ascii="Arial" w:cs="Arial" w:eastAsia="Arial" w:hAnsi="Arial"/>
                <w:sz w:val="16"/>
                <w:szCs w:val="16"/>
                <w:b w:val="1"/>
                <w:bCs w:val="1"/>
                <w:color w:val="auto"/>
              </w:rPr>
              <w:t>Euro</w:t>
            </w:r>
          </w:p>
        </w:tc>
        <w:tc>
          <w:tcPr>
            <w:tcW w:w="1360" w:type="dxa"/>
            <w:vAlign w:val="bottom"/>
          </w:tcPr>
          <w:p>
            <w:pPr>
              <w:jc w:val="right"/>
              <w:ind w:right="380"/>
              <w:spacing w:after="0"/>
              <w:rPr>
                <w:sz w:val="20"/>
                <w:szCs w:val="20"/>
                <w:color w:val="auto"/>
              </w:rPr>
            </w:pPr>
            <w:r>
              <w:rPr>
                <w:rFonts w:ascii="Arial" w:cs="Arial" w:eastAsia="Arial" w:hAnsi="Arial"/>
                <w:sz w:val="16"/>
                <w:szCs w:val="16"/>
                <w:b w:val="1"/>
                <w:bCs w:val="1"/>
                <w:color w:val="auto"/>
              </w:rPr>
              <w:t>Other</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360"/>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$’000</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1360" w:type="dxa"/>
            <w:vAlign w:val="bottom"/>
          </w:tcPr>
          <w:p>
            <w:pPr>
              <w:jc w:val="right"/>
              <w:ind w:right="360"/>
              <w:spacing w:after="0"/>
              <w:rPr>
                <w:sz w:val="20"/>
                <w:szCs w:val="20"/>
                <w:color w:val="auto"/>
              </w:rPr>
            </w:pPr>
            <w:r>
              <w:rPr>
                <w:rFonts w:ascii="Arial" w:cs="Arial" w:eastAsia="Arial" w:hAnsi="Arial"/>
                <w:sz w:val="16"/>
                <w:szCs w:val="16"/>
                <w:b w:val="1"/>
                <w:bCs w:val="1"/>
                <w:color w:val="auto"/>
              </w:rPr>
              <w:t>$’000</w:t>
            </w:r>
          </w:p>
        </w:tc>
        <w:tc>
          <w:tcPr>
            <w:tcW w:w="1360" w:type="dxa"/>
            <w:vAlign w:val="bottom"/>
          </w:tcPr>
          <w:p>
            <w:pPr>
              <w:jc w:val="right"/>
              <w:ind w:right="380"/>
              <w:spacing w:after="0"/>
              <w:rPr>
                <w:sz w:val="20"/>
                <w:szCs w:val="20"/>
                <w:color w:val="auto"/>
              </w:rPr>
            </w:pPr>
            <w:r>
              <w:rPr>
                <w:rFonts w:ascii="Arial" w:cs="Arial" w:eastAsia="Arial" w:hAnsi="Arial"/>
                <w:sz w:val="16"/>
                <w:szCs w:val="16"/>
                <w:b w:val="1"/>
                <w:bCs w:val="1"/>
                <w:color w:val="auto"/>
              </w:rPr>
              <w:t>$’000</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19,381</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6,461</w:t>
            </w:r>
          </w:p>
        </w:tc>
        <w:tc>
          <w:tcPr>
            <w:tcW w:w="13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31,168</w:t>
            </w: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10,195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Unbilled revenue/payments on account</w:t>
            </w:r>
          </w:p>
        </w:tc>
        <w:tc>
          <w:tcPr>
            <w:tcW w:w="2500" w:type="dxa"/>
            <w:vAlign w:val="bottom"/>
          </w:tcPr>
          <w:p>
            <w:pPr>
              <w:jc w:val="right"/>
              <w:ind w:right="320"/>
              <w:spacing w:after="0"/>
              <w:rPr>
                <w:sz w:val="20"/>
                <w:szCs w:val="20"/>
                <w:color w:val="auto"/>
              </w:rPr>
            </w:pPr>
            <w:r>
              <w:rPr>
                <w:rFonts w:ascii="Arial" w:cs="Arial" w:eastAsia="Arial" w:hAnsi="Arial"/>
                <w:sz w:val="16"/>
                <w:szCs w:val="16"/>
                <w:color w:val="auto"/>
              </w:rPr>
              <w:t>(1,705)</w:t>
            </w:r>
          </w:p>
        </w:tc>
        <w:tc>
          <w:tcPr>
            <w:tcW w:w="1420" w:type="dxa"/>
            <w:vAlign w:val="bottom"/>
          </w:tcPr>
          <w:p>
            <w:pPr>
              <w:jc w:val="right"/>
              <w:ind w:right="340"/>
              <w:spacing w:after="0"/>
              <w:rPr>
                <w:sz w:val="20"/>
                <w:szCs w:val="20"/>
                <w:color w:val="auto"/>
              </w:rPr>
            </w:pPr>
            <w:r>
              <w:rPr>
                <w:rFonts w:ascii="Arial" w:cs="Arial" w:eastAsia="Arial" w:hAnsi="Arial"/>
                <w:sz w:val="16"/>
                <w:szCs w:val="16"/>
                <w:color w:val="auto"/>
              </w:rPr>
              <w:t>(1,862)</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(3,357)</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231</w:t>
            </w:r>
          </w:p>
        </w:tc>
        <w:tc>
          <w:tcPr>
            <w:tcW w:w="1000" w:type="dxa"/>
            <w:vAlign w:val="bottom"/>
          </w:tcPr>
          <w:p>
            <w:pPr>
              <w:jc w:val="right"/>
              <w:spacing w:after="0"/>
              <w:rPr>
                <w:sz w:val="20"/>
                <w:szCs w:val="20"/>
                <w:color w:val="auto"/>
              </w:rPr>
            </w:pPr>
            <w:r>
              <w:rPr>
                <w:rFonts w:ascii="Arial" w:cs="Arial" w:eastAsia="Arial" w:hAnsi="Arial"/>
                <w:sz w:val="16"/>
                <w:szCs w:val="16"/>
                <w:color w:val="auto"/>
              </w:rPr>
              <w:t>(6,693)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4,254</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2,321</w:t>
            </w:r>
          </w:p>
        </w:tc>
        <w:tc>
          <w:tcPr>
            <w:tcW w:w="13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4,525</w:t>
            </w: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2,132</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current assets</w:t>
            </w:r>
          </w:p>
        </w:tc>
        <w:tc>
          <w:tcPr>
            <w:tcW w:w="2500" w:type="dxa"/>
            <w:vAlign w:val="bottom"/>
          </w:tcPr>
          <w:p>
            <w:pPr>
              <w:jc w:val="right"/>
              <w:ind w:right="380"/>
              <w:spacing w:after="0"/>
              <w:rPr>
                <w:sz w:val="20"/>
                <w:szCs w:val="20"/>
                <w:color w:val="auto"/>
              </w:rPr>
            </w:pPr>
            <w:r>
              <w:rPr>
                <w:rFonts w:ascii="Arial" w:cs="Arial" w:eastAsia="Arial" w:hAnsi="Arial"/>
                <w:sz w:val="16"/>
                <w:szCs w:val="16"/>
                <w:color w:val="auto"/>
              </w:rPr>
              <w:t>2,741</w:t>
            </w:r>
          </w:p>
        </w:tc>
        <w:tc>
          <w:tcPr>
            <w:tcW w:w="1420" w:type="dxa"/>
            <w:vAlign w:val="bottom"/>
          </w:tcPr>
          <w:p>
            <w:pPr>
              <w:jc w:val="right"/>
              <w:ind w:right="400"/>
              <w:spacing w:after="0"/>
              <w:rPr>
                <w:sz w:val="20"/>
                <w:szCs w:val="20"/>
                <w:color w:val="auto"/>
              </w:rPr>
            </w:pPr>
            <w:r>
              <w:rPr>
                <w:rFonts w:ascii="Arial" w:cs="Arial" w:eastAsia="Arial" w:hAnsi="Arial"/>
                <w:sz w:val="16"/>
                <w:szCs w:val="16"/>
                <w:color w:val="auto"/>
              </w:rPr>
              <w:t>1,646</w:t>
            </w:r>
          </w:p>
        </w:tc>
        <w:tc>
          <w:tcPr>
            <w:tcW w:w="1360" w:type="dxa"/>
            <w:vAlign w:val="bottom"/>
          </w:tcPr>
          <w:p>
            <w:pPr>
              <w:jc w:val="right"/>
              <w:ind w:right="360"/>
              <w:spacing w:after="0"/>
              <w:rPr>
                <w:sz w:val="20"/>
                <w:szCs w:val="20"/>
                <w:color w:val="auto"/>
              </w:rPr>
            </w:pPr>
            <w:r>
              <w:rPr>
                <w:rFonts w:ascii="Arial" w:cs="Arial" w:eastAsia="Arial" w:hAnsi="Arial"/>
                <w:sz w:val="16"/>
                <w:szCs w:val="16"/>
                <w:color w:val="auto"/>
              </w:rPr>
              <w:t>22,078</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(59)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26,406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62</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2,072</w:t>
            </w:r>
          </w:p>
        </w:tc>
        <w:tc>
          <w:tcPr>
            <w:tcW w:w="136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4</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Accounts payable</w:t>
            </w:r>
          </w:p>
        </w:tc>
        <w:tc>
          <w:tcPr>
            <w:tcW w:w="2500" w:type="dxa"/>
            <w:vAlign w:val="bottom"/>
          </w:tcPr>
          <w:p>
            <w:pPr>
              <w:jc w:val="right"/>
              <w:ind w:right="380"/>
              <w:spacing w:after="0"/>
              <w:rPr>
                <w:sz w:val="20"/>
                <w:szCs w:val="20"/>
                <w:color w:val="auto"/>
              </w:rPr>
            </w:pPr>
            <w:r>
              <w:rPr>
                <w:rFonts w:ascii="Arial" w:cs="Arial" w:eastAsia="Arial" w:hAnsi="Arial"/>
                <w:sz w:val="16"/>
                <w:szCs w:val="16"/>
                <w:color w:val="auto"/>
              </w:rPr>
              <w:t>205</w:t>
            </w:r>
          </w:p>
        </w:tc>
        <w:tc>
          <w:tcPr>
            <w:tcW w:w="1420" w:type="dxa"/>
            <w:vAlign w:val="bottom"/>
          </w:tcPr>
          <w:p>
            <w:pPr>
              <w:jc w:val="right"/>
              <w:ind w:right="340"/>
              <w:spacing w:after="0"/>
              <w:rPr>
                <w:sz w:val="20"/>
                <w:szCs w:val="20"/>
                <w:color w:val="auto"/>
              </w:rPr>
            </w:pPr>
            <w:r>
              <w:rPr>
                <w:rFonts w:ascii="Arial" w:cs="Arial" w:eastAsia="Arial" w:hAnsi="Arial"/>
                <w:sz w:val="16"/>
                <w:szCs w:val="16"/>
                <w:color w:val="auto"/>
              </w:rPr>
              <w:t>(246)</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(1,617)</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(265)</w:t>
            </w:r>
          </w:p>
        </w:tc>
        <w:tc>
          <w:tcPr>
            <w:tcW w:w="1000" w:type="dxa"/>
            <w:vAlign w:val="bottom"/>
          </w:tcPr>
          <w:p>
            <w:pPr>
              <w:jc w:val="right"/>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Accrued and other liabilities</w:t>
            </w:r>
          </w:p>
        </w:tc>
        <w:tc>
          <w:tcPr>
            <w:tcW w:w="2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(865)</w:t>
            </w:r>
          </w:p>
        </w:tc>
        <w:tc>
          <w:tcPr>
            <w:tcW w:w="142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(1,959)</w:t>
            </w:r>
          </w:p>
        </w:tc>
        <w:tc>
          <w:tcPr>
            <w:tcW w:w="13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(21,369)</w:t>
            </w:r>
          </w:p>
        </w:tc>
        <w:tc>
          <w:tcPr>
            <w:tcW w:w="13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(2,325)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Current tax payable</w:t>
            </w:r>
          </w:p>
        </w:tc>
        <w:tc>
          <w:tcPr>
            <w:tcW w:w="25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(6,710)</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(6,709)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Intergroup transactions</w:t>
            </w:r>
          </w:p>
        </w:tc>
        <w:tc>
          <w:tcPr>
            <w:tcW w:w="2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(6,176)</w:t>
            </w:r>
          </w:p>
        </w:tc>
        <w:tc>
          <w:tcPr>
            <w:tcW w:w="14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(1,291)</w:t>
            </w:r>
          </w:p>
        </w:tc>
        <w:tc>
          <w:tcPr>
            <w:tcW w:w="13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1,213</w:t>
            </w:r>
          </w:p>
        </w:tc>
        <w:tc>
          <w:tcPr>
            <w:tcW w:w="13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(23,343)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transaction risk</w:t>
            </w:r>
          </w:p>
        </w:tc>
        <w:tc>
          <w:tcPr>
            <w:tcW w:w="250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17,897</w:t>
            </w:r>
          </w:p>
        </w:tc>
        <w:tc>
          <w:tcPr>
            <w:tcW w:w="14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5,070</w:t>
            </w:r>
          </w:p>
        </w:tc>
        <w:tc>
          <w:tcPr>
            <w:tcW w:w="13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28,003</w:t>
            </w:r>
          </w:p>
        </w:tc>
        <w:tc>
          <w:tcPr>
            <w:tcW w:w="13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(13,429)</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37,541</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6"/>
          <w:szCs w:val="16"/>
          <w:i w:val="1"/>
          <w:iCs w:val="1"/>
          <w:color w:val="auto"/>
        </w:rPr>
        <w:t>Foreign exchange gains and losses recognised on the above balances are recorded in “other operating expenses”. The total foreign exchange loss incurred during the year ending 31 December 2016 amounted to $2.1 million (2015: $3.6 million gain).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the Group’s transaction risk in relation to financial assets and liabilities at 31 December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U.S. Dollar</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Sterling</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Euro</w:t>
            </w:r>
          </w:p>
        </w:tc>
        <w:tc>
          <w:tcPr>
            <w:tcW w:w="1320" w:type="dxa"/>
            <w:vAlign w:val="bottom"/>
          </w:tcPr>
          <w:p>
            <w:pPr>
              <w:jc w:val="right"/>
              <w:ind w:right="380"/>
              <w:spacing w:after="0"/>
              <w:rPr>
                <w:sz w:val="20"/>
                <w:szCs w:val="20"/>
                <w:color w:val="auto"/>
              </w:rPr>
            </w:pPr>
            <w:r>
              <w:rPr>
                <w:rFonts w:ascii="Arial" w:cs="Arial" w:eastAsia="Arial" w:hAnsi="Arial"/>
                <w:sz w:val="16"/>
                <w:szCs w:val="16"/>
                <w:b w:val="1"/>
                <w:bCs w:val="1"/>
                <w:color w:val="auto"/>
              </w:rPr>
              <w:t>Other</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2015</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2015</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2015</w:t>
            </w:r>
          </w:p>
        </w:tc>
        <w:tc>
          <w:tcPr>
            <w:tcW w:w="1320" w:type="dxa"/>
            <w:vAlign w:val="bottom"/>
          </w:tcPr>
          <w:p>
            <w:pPr>
              <w:jc w:val="right"/>
              <w:ind w:right="380"/>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00" w:type="dxa"/>
            <w:vAlign w:val="bottom"/>
          </w:tcPr>
          <w:p>
            <w:pPr>
              <w:jc w:val="right"/>
              <w:ind w:right="380"/>
              <w:spacing w:after="0"/>
              <w:rPr>
                <w:sz w:val="20"/>
                <w:szCs w:val="20"/>
                <w:color w:val="auto"/>
              </w:rPr>
            </w:pPr>
            <w:r>
              <w:rPr>
                <w:rFonts w:ascii="Arial" w:cs="Arial" w:eastAsia="Arial" w:hAnsi="Arial"/>
                <w:sz w:val="16"/>
                <w:szCs w:val="16"/>
                <w:b w:val="1"/>
                <w:bCs w:val="1"/>
                <w:color w:val="auto"/>
              </w:rPr>
              <w:t>$’000</w:t>
            </w:r>
          </w:p>
        </w:tc>
        <w:tc>
          <w:tcPr>
            <w:tcW w:w="142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140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380"/>
              <w:spacing w:after="0"/>
              <w:rPr>
                <w:sz w:val="20"/>
                <w:szCs w:val="20"/>
                <w:color w:val="auto"/>
              </w:rPr>
            </w:pPr>
            <w:r>
              <w:rPr>
                <w:rFonts w:ascii="Arial" w:cs="Arial" w:eastAsia="Arial" w:hAnsi="Arial"/>
                <w:sz w:val="16"/>
                <w:szCs w:val="16"/>
                <w:b w:val="1"/>
                <w:bCs w:val="1"/>
                <w:color w:val="auto"/>
              </w:rPr>
              <w:t>$’000</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12,082</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8,671</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53,626</w:t>
            </w:r>
          </w:p>
        </w:tc>
        <w:tc>
          <w:tcPr>
            <w:tcW w:w="1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6,591</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80,970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Unbilled revenue/payments on account</w:t>
            </w:r>
          </w:p>
        </w:tc>
        <w:tc>
          <w:tcPr>
            <w:tcW w:w="2500" w:type="dxa"/>
            <w:vAlign w:val="bottom"/>
          </w:tcPr>
          <w:p>
            <w:pPr>
              <w:jc w:val="right"/>
              <w:ind w:right="320"/>
              <w:spacing w:after="0"/>
              <w:rPr>
                <w:sz w:val="20"/>
                <w:szCs w:val="20"/>
                <w:color w:val="auto"/>
              </w:rPr>
            </w:pPr>
            <w:r>
              <w:rPr>
                <w:rFonts w:ascii="Arial" w:cs="Arial" w:eastAsia="Arial" w:hAnsi="Arial"/>
                <w:sz w:val="16"/>
                <w:szCs w:val="16"/>
                <w:color w:val="auto"/>
              </w:rPr>
              <w:t>(2,214)</w:t>
            </w:r>
          </w:p>
        </w:tc>
        <w:tc>
          <w:tcPr>
            <w:tcW w:w="1420" w:type="dxa"/>
            <w:vAlign w:val="bottom"/>
          </w:tcPr>
          <w:p>
            <w:pPr>
              <w:jc w:val="right"/>
              <w:ind w:right="340"/>
              <w:spacing w:after="0"/>
              <w:rPr>
                <w:sz w:val="20"/>
                <w:szCs w:val="20"/>
                <w:color w:val="auto"/>
              </w:rPr>
            </w:pPr>
            <w:r>
              <w:rPr>
                <w:rFonts w:ascii="Arial" w:cs="Arial" w:eastAsia="Arial" w:hAnsi="Arial"/>
                <w:sz w:val="16"/>
                <w:szCs w:val="16"/>
                <w:color w:val="auto"/>
              </w:rPr>
              <w:t>(1,398)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(19,101)</w:t>
            </w:r>
          </w:p>
        </w:tc>
        <w:tc>
          <w:tcPr>
            <w:tcW w:w="1320" w:type="dxa"/>
            <w:vAlign w:val="bottom"/>
          </w:tcPr>
          <w:p>
            <w:pPr>
              <w:jc w:val="right"/>
              <w:ind w:right="380"/>
              <w:spacing w:after="0"/>
              <w:rPr>
                <w:sz w:val="20"/>
                <w:szCs w:val="20"/>
                <w:color w:val="auto"/>
              </w:rPr>
            </w:pPr>
            <w:r>
              <w:rPr>
                <w:rFonts w:ascii="Arial" w:cs="Arial" w:eastAsia="Arial" w:hAnsi="Arial"/>
                <w:sz w:val="16"/>
                <w:szCs w:val="16"/>
                <w:color w:val="auto"/>
              </w:rPr>
              <w:t>1,723</w:t>
            </w:r>
          </w:p>
        </w:tc>
        <w:tc>
          <w:tcPr>
            <w:tcW w:w="1000" w:type="dxa"/>
            <w:vAlign w:val="bottom"/>
          </w:tcPr>
          <w:p>
            <w:pPr>
              <w:jc w:val="right"/>
              <w:spacing w:after="0"/>
              <w:rPr>
                <w:sz w:val="20"/>
                <w:szCs w:val="20"/>
                <w:color w:val="auto"/>
              </w:rPr>
            </w:pPr>
            <w:r>
              <w:rPr>
                <w:rFonts w:ascii="Arial" w:cs="Arial" w:eastAsia="Arial" w:hAnsi="Arial"/>
                <w:sz w:val="16"/>
                <w:szCs w:val="16"/>
                <w:color w:val="auto"/>
              </w:rPr>
              <w:t>(20,990)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768</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431</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11,827</w:t>
            </w:r>
          </w:p>
        </w:tc>
        <w:tc>
          <w:tcPr>
            <w:tcW w:w="1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177</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Other current assets</w:t>
            </w:r>
          </w:p>
        </w:tc>
        <w:tc>
          <w:tcPr>
            <w:tcW w:w="2500" w:type="dxa"/>
            <w:vAlign w:val="bottom"/>
          </w:tcPr>
          <w:p>
            <w:pPr>
              <w:jc w:val="right"/>
              <w:ind w:right="320"/>
              <w:spacing w:after="0"/>
              <w:rPr>
                <w:sz w:val="20"/>
                <w:szCs w:val="20"/>
                <w:color w:val="auto"/>
              </w:rPr>
            </w:pPr>
            <w:r>
              <w:rPr>
                <w:rFonts w:ascii="Arial" w:cs="Arial" w:eastAsia="Arial" w:hAnsi="Arial"/>
                <w:sz w:val="16"/>
                <w:szCs w:val="16"/>
                <w:color w:val="auto"/>
              </w:rPr>
              <w:t>(3,629)</w:t>
            </w:r>
          </w:p>
        </w:tc>
        <w:tc>
          <w:tcPr>
            <w:tcW w:w="1420" w:type="dxa"/>
            <w:vAlign w:val="bottom"/>
          </w:tcPr>
          <w:p>
            <w:pPr>
              <w:jc w:val="right"/>
              <w:ind w:right="400"/>
              <w:spacing w:after="0"/>
              <w:rPr>
                <w:sz w:val="20"/>
                <w:szCs w:val="20"/>
                <w:color w:val="auto"/>
              </w:rPr>
            </w:pPr>
            <w:r>
              <w:rPr>
                <w:rFonts w:ascii="Arial" w:cs="Arial" w:eastAsia="Arial" w:hAnsi="Arial"/>
                <w:sz w:val="16"/>
                <w:szCs w:val="16"/>
                <w:color w:val="auto"/>
              </w:rPr>
              <w:t>711</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21,127</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(619)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17,590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230</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210</w:t>
            </w:r>
          </w:p>
        </w:tc>
        <w:tc>
          <w:tcPr>
            <w:tcW w:w="1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Accounts payable</w:t>
            </w:r>
          </w:p>
        </w:tc>
        <w:tc>
          <w:tcPr>
            <w:tcW w:w="2500" w:type="dxa"/>
            <w:vAlign w:val="bottom"/>
          </w:tcPr>
          <w:p>
            <w:pPr>
              <w:jc w:val="right"/>
              <w:ind w:right="320"/>
              <w:spacing w:after="0"/>
              <w:rPr>
                <w:sz w:val="20"/>
                <w:szCs w:val="20"/>
                <w:color w:val="auto"/>
              </w:rPr>
            </w:pPr>
            <w:r>
              <w:rPr>
                <w:rFonts w:ascii="Arial" w:cs="Arial" w:eastAsia="Arial" w:hAnsi="Arial"/>
                <w:sz w:val="16"/>
                <w:szCs w:val="16"/>
                <w:color w:val="auto"/>
              </w:rPr>
              <w:t>(643)</w:t>
            </w:r>
          </w:p>
        </w:tc>
        <w:tc>
          <w:tcPr>
            <w:tcW w:w="1420" w:type="dxa"/>
            <w:vAlign w:val="bottom"/>
          </w:tcPr>
          <w:p>
            <w:pPr>
              <w:jc w:val="right"/>
              <w:ind w:right="340"/>
              <w:spacing w:after="0"/>
              <w:rPr>
                <w:sz w:val="20"/>
                <w:szCs w:val="20"/>
                <w:color w:val="auto"/>
              </w:rPr>
            </w:pPr>
            <w:r>
              <w:rPr>
                <w:rFonts w:ascii="Arial" w:cs="Arial" w:eastAsia="Arial" w:hAnsi="Arial"/>
                <w:sz w:val="16"/>
                <w:szCs w:val="16"/>
                <w:color w:val="auto"/>
              </w:rPr>
              <w:t>(131)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(1,020)</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(146)</w:t>
            </w:r>
          </w:p>
        </w:tc>
        <w:tc>
          <w:tcPr>
            <w:tcW w:w="1000" w:type="dxa"/>
            <w:vAlign w:val="bottom"/>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Accrued and other liabilities</w:t>
            </w:r>
          </w:p>
        </w:tc>
        <w:tc>
          <w:tcPr>
            <w:tcW w:w="25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915</w:t>
            </w:r>
          </w:p>
        </w:tc>
        <w:tc>
          <w:tcPr>
            <w:tcW w:w="14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2,022</w:t>
            </w:r>
          </w:p>
        </w:tc>
        <w:tc>
          <w:tcPr>
            <w:tcW w:w="14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(42,256)</w:t>
            </w:r>
          </w:p>
        </w:tc>
        <w:tc>
          <w:tcPr>
            <w:tcW w:w="1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1,703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Current tax payable</w:t>
            </w:r>
          </w:p>
        </w:tc>
        <w:tc>
          <w:tcPr>
            <w:tcW w:w="25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(17,928)</w:t>
            </w:r>
          </w:p>
        </w:tc>
        <w:tc>
          <w:tcPr>
            <w:tcW w:w="1320" w:type="dxa"/>
            <w:vAlign w:val="bottom"/>
          </w:tcPr>
          <w:p>
            <w:pPr>
              <w:jc w:val="right"/>
              <w:ind w:right="380"/>
              <w:spacing w:after="0"/>
              <w:rPr>
                <w:sz w:val="20"/>
                <w:szCs w:val="20"/>
                <w:color w:val="auto"/>
              </w:rPr>
            </w:pPr>
            <w:r>
              <w:rPr>
                <w:rFonts w:ascii="Arial" w:cs="Arial" w:eastAsia="Arial" w:hAnsi="Arial"/>
                <w:sz w:val="16"/>
                <w:szCs w:val="16"/>
                <w:color w:val="auto"/>
              </w:rPr>
              <w:t>14</w:t>
            </w:r>
          </w:p>
        </w:tc>
        <w:tc>
          <w:tcPr>
            <w:tcW w:w="1000" w:type="dxa"/>
            <w:vAlign w:val="bottom"/>
          </w:tcPr>
          <w:p>
            <w:pPr>
              <w:jc w:val="right"/>
              <w:spacing w:after="0"/>
              <w:rPr>
                <w:sz w:val="20"/>
                <w:szCs w:val="20"/>
                <w:color w:val="auto"/>
              </w:rPr>
            </w:pPr>
            <w:r>
              <w:rPr>
                <w:rFonts w:ascii="Arial" w:cs="Arial" w:eastAsia="Arial" w:hAnsi="Arial"/>
                <w:sz w:val="16"/>
                <w:szCs w:val="16"/>
                <w:color w:val="auto"/>
              </w:rPr>
              <w:t>(17,914)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Intergroup transactions</w:t>
            </w:r>
          </w:p>
        </w:tc>
        <w:tc>
          <w:tcPr>
            <w:tcW w:w="2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(2,580)</w:t>
            </w:r>
          </w:p>
        </w:tc>
        <w:tc>
          <w:tcPr>
            <w:tcW w:w="14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(3,620)</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45,041</w:t>
            </w:r>
          </w:p>
        </w:tc>
        <w:tc>
          <w:tcPr>
            <w:tcW w:w="13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(8,568)</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30,273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transaction risk</w:t>
            </w:r>
          </w:p>
        </w:tc>
        <w:tc>
          <w:tcPr>
            <w:tcW w:w="250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4,929</w:t>
            </w:r>
          </w:p>
        </w:tc>
        <w:tc>
          <w:tcPr>
            <w:tcW w:w="14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6,686</w:t>
            </w:r>
          </w:p>
        </w:tc>
        <w:tc>
          <w:tcPr>
            <w:tcW w:w="14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51,526</w:t>
            </w:r>
          </w:p>
        </w:tc>
        <w:tc>
          <w:tcPr>
            <w:tcW w:w="13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880</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64,021</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Foreign exchange gains and losses recognised on the above balances are recorded in “other operating expenses”. The total foreign exchange gain incurred during the year ending 31 December 2015 amounted to $3.6 million (2014: $5.9 million gain).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b w:val="1"/>
                <w:bCs w:val="1"/>
                <w:i w:val="1"/>
                <w:iCs w:val="1"/>
                <w:color w:val="auto"/>
              </w:rPr>
              <w:t>(continued)</w:t>
            </w: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5140" w:type="dxa"/>
            <w:vAlign w:val="bottom"/>
            <w:gridSpan w:val="2"/>
          </w:tcPr>
          <w:p>
            <w:pPr>
              <w:spacing w:after="0"/>
              <w:rPr>
                <w:sz w:val="20"/>
                <w:szCs w:val="20"/>
                <w:color w:val="auto"/>
              </w:rPr>
            </w:pPr>
            <w:r>
              <w:rPr>
                <w:rFonts w:ascii="Arial" w:cs="Arial" w:eastAsia="Arial" w:hAnsi="Arial"/>
                <w:sz w:val="16"/>
                <w:szCs w:val="16"/>
                <w:color w:val="auto"/>
              </w:rPr>
              <w:t>The following significant exchange rates applied during the year:</w:t>
            </w: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80" w:type="dxa"/>
            <w:vAlign w:val="bottom"/>
          </w:tcPr>
          <w:p>
            <w:pPr>
              <w:jc w:val="right"/>
              <w:ind w:right="240"/>
              <w:spacing w:after="0"/>
              <w:rPr>
                <w:sz w:val="20"/>
                <w:szCs w:val="20"/>
                <w:color w:val="auto"/>
              </w:rPr>
            </w:pPr>
            <w:r>
              <w:rPr>
                <w:rFonts w:ascii="Arial" w:cs="Arial" w:eastAsia="Arial" w:hAnsi="Arial"/>
                <w:sz w:val="16"/>
                <w:szCs w:val="16"/>
                <w:b w:val="1"/>
                <w:bCs w:val="1"/>
                <w:color w:val="auto"/>
              </w:rPr>
              <w:t>Average Rate</w:t>
            </w:r>
          </w:p>
        </w:tc>
        <w:tc>
          <w:tcPr>
            <w:tcW w:w="1320" w:type="dxa"/>
            <w:vAlign w:val="bottom"/>
          </w:tcPr>
          <w:p>
            <w:pPr>
              <w:spacing w:after="0"/>
              <w:rPr>
                <w:sz w:val="24"/>
                <w:szCs w:val="24"/>
                <w:color w:val="auto"/>
              </w:rPr>
            </w:pPr>
          </w:p>
        </w:tc>
        <w:tc>
          <w:tcPr>
            <w:tcW w:w="1860" w:type="dxa"/>
            <w:vAlign w:val="bottom"/>
          </w:tcPr>
          <w:p>
            <w:pPr>
              <w:jc w:val="right"/>
              <w:ind w:right="220"/>
              <w:spacing w:after="0"/>
              <w:rPr>
                <w:sz w:val="20"/>
                <w:szCs w:val="20"/>
                <w:color w:val="auto"/>
              </w:rPr>
            </w:pPr>
            <w:r>
              <w:rPr>
                <w:rFonts w:ascii="Arial" w:cs="Arial" w:eastAsia="Arial" w:hAnsi="Arial"/>
                <w:sz w:val="16"/>
                <w:szCs w:val="16"/>
                <w:b w:val="1"/>
                <w:bCs w:val="1"/>
                <w:color w:val="auto"/>
              </w:rPr>
              <w:t>Closing Rate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80" w:type="dxa"/>
            <w:vAlign w:val="bottom"/>
          </w:tcPr>
          <w:p>
            <w:pPr>
              <w:jc w:val="right"/>
              <w:ind w:right="8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500"/>
              <w:spacing w:after="0"/>
              <w:rPr>
                <w:sz w:val="20"/>
                <w:szCs w:val="20"/>
                <w:color w:val="auto"/>
              </w:rPr>
            </w:pPr>
            <w:r>
              <w:rPr>
                <w:rFonts w:ascii="Arial" w:cs="Arial" w:eastAsia="Arial" w:hAnsi="Arial"/>
                <w:sz w:val="16"/>
                <w:szCs w:val="16"/>
                <w:color w:val="auto"/>
              </w:rPr>
              <w:t>2015</w:t>
            </w:r>
          </w:p>
        </w:tc>
        <w:tc>
          <w:tcPr>
            <w:tcW w:w="1860" w:type="dxa"/>
            <w:vAlign w:val="bottom"/>
          </w:tcPr>
          <w:p>
            <w:pPr>
              <w:jc w:val="right"/>
              <w:ind w:right="760"/>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Euro 1:$</w:t>
            </w:r>
          </w:p>
        </w:tc>
        <w:tc>
          <w:tcPr>
            <w:tcW w:w="22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b w:val="1"/>
                <w:bCs w:val="1"/>
                <w:color w:val="auto"/>
              </w:rPr>
              <w:t>1.1060</w:t>
            </w:r>
          </w:p>
        </w:tc>
        <w:tc>
          <w:tcPr>
            <w:tcW w:w="13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1.1123</w:t>
            </w:r>
          </w:p>
        </w:tc>
        <w:tc>
          <w:tcPr>
            <w:tcW w:w="18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1.0517</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1.0862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Pound Sterling 1:$</w:t>
            </w:r>
          </w:p>
        </w:tc>
        <w:tc>
          <w:tcPr>
            <w:tcW w:w="22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b w:val="1"/>
                <w:bCs w:val="1"/>
                <w:color w:val="auto"/>
              </w:rPr>
              <w:t>1.3684</w:t>
            </w:r>
          </w:p>
        </w:tc>
        <w:tc>
          <w:tcPr>
            <w:tcW w:w="13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1.5307</w:t>
            </w:r>
          </w:p>
        </w:tc>
        <w:tc>
          <w:tcPr>
            <w:tcW w:w="18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b w:val="1"/>
                <w:bCs w:val="1"/>
                <w:color w:val="auto"/>
              </w:rPr>
              <w:t>1.2340</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simultaneous ten percent strengthening or weakening of the US Dollar, Euro and Sterling against all other currencies (which remained constant) would have increased or decreased profit and equity by $1.63 million, $2.55 million and $0.46 million respectively (31 December 2015 $0.45 million, $4.68 million and $0.61 million respectively) as a consequence of the retranslation of foreign currency denominated financial assets and liabilities at those dates. This change in profit and equity is excluding the effect of foreign currency denominated long term loans.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to interest rate risk on surplus cash balances invested, the Group may also be subject to interest rate risk on amounts drawn under negotiated facilities which are subject to variable rates of interest. Details of the Group’s negotiated facility are set out in note 23 Bank Credit Lines and Loan Facilities at 31 December 2016.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2016.</w:t>
      </w:r>
    </w:p>
    <w:p>
      <w:pPr>
        <w:spacing w:after="0" w:line="19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 xml:space="preserve">In December 2015 the Group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Arial" w:cs="Arial" w:eastAsia="Arial" w:hAnsi="Arial"/>
          <w:sz w:val="15"/>
          <w:szCs w:val="15"/>
          <w:i w:val="1"/>
          <w:iCs w:val="1"/>
          <w:color w:val="auto"/>
        </w:rPr>
        <w:t>Financial Instruments: Recognition and Measurement</w:t>
      </w:r>
      <w:r>
        <w:rPr>
          <w:rFonts w:ascii="Arial" w:cs="Arial" w:eastAsia="Arial" w:hAnsi="Arial"/>
          <w:sz w:val="15"/>
          <w:szCs w:val="15"/>
          <w:color w:val="auto"/>
        </w:rPr>
        <w:t>. The realised gain related to this derivative is recorded within comprehensive income and is amortised over the life of the Senior Notes. The effective rate, reflecting the benefit of the gain on the cash flow hedge, on our 5 year Senior Notes is fixed at 3.37%.</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sensitivity analysis below represents the revised amount following the hypothetical change in our interest income and interest expense based on an immediate 1% movement in market interest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00" w:type="dxa"/>
            <w:vAlign w:val="bottom"/>
          </w:tcPr>
          <w:p>
            <w:pPr>
              <w:jc w:val="right"/>
              <w:ind w:right="220"/>
              <w:spacing w:after="0"/>
              <w:rPr>
                <w:sz w:val="20"/>
                <w:szCs w:val="20"/>
                <w:color w:val="auto"/>
              </w:rPr>
            </w:pPr>
            <w:r>
              <w:rPr>
                <w:rFonts w:ascii="Arial" w:cs="Arial" w:eastAsia="Arial" w:hAnsi="Arial"/>
                <w:sz w:val="16"/>
                <w:szCs w:val="16"/>
                <w:b w:val="1"/>
                <w:bCs w:val="1"/>
                <w:color w:val="auto"/>
              </w:rPr>
              <w:t>Interest Income</w:t>
            </w:r>
          </w:p>
        </w:tc>
        <w:tc>
          <w:tcPr>
            <w:tcW w:w="1240" w:type="dxa"/>
            <w:vAlign w:val="bottom"/>
          </w:tcPr>
          <w:p>
            <w:pPr>
              <w:spacing w:after="0"/>
              <w:rPr>
                <w:sz w:val="16"/>
                <w:szCs w:val="16"/>
                <w:color w:val="auto"/>
              </w:rPr>
            </w:pPr>
          </w:p>
        </w:tc>
        <w:tc>
          <w:tcPr>
            <w:tcW w:w="1960" w:type="dxa"/>
            <w:vAlign w:val="bottom"/>
          </w:tcPr>
          <w:p>
            <w:pPr>
              <w:jc w:val="right"/>
              <w:ind w:right="180"/>
              <w:spacing w:after="0"/>
              <w:rPr>
                <w:sz w:val="20"/>
                <w:szCs w:val="20"/>
                <w:color w:val="auto"/>
              </w:rPr>
            </w:pPr>
            <w:r>
              <w:rPr>
                <w:rFonts w:ascii="Arial" w:cs="Arial" w:eastAsia="Arial" w:hAnsi="Arial"/>
                <w:sz w:val="16"/>
                <w:szCs w:val="16"/>
                <w:b w:val="1"/>
                <w:bCs w:val="1"/>
                <w:color w:val="auto"/>
              </w:rPr>
              <w:t>Interest Expense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00" w:type="dxa"/>
            <w:vAlign w:val="bottom"/>
          </w:tcPr>
          <w:p>
            <w:pPr>
              <w:jc w:val="right"/>
              <w:ind w:right="860"/>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480"/>
              <w:spacing w:after="0"/>
              <w:rPr>
                <w:sz w:val="20"/>
                <w:szCs w:val="20"/>
                <w:color w:val="auto"/>
              </w:rPr>
            </w:pPr>
            <w:r>
              <w:rPr>
                <w:rFonts w:ascii="Arial" w:cs="Arial" w:eastAsia="Arial" w:hAnsi="Arial"/>
                <w:sz w:val="16"/>
                <w:szCs w:val="16"/>
                <w:color w:val="auto"/>
              </w:rPr>
              <w:t>2015</w:t>
            </w:r>
          </w:p>
        </w:tc>
        <w:tc>
          <w:tcPr>
            <w:tcW w:w="1960" w:type="dxa"/>
            <w:vAlign w:val="bottom"/>
          </w:tcPr>
          <w:p>
            <w:pPr>
              <w:jc w:val="right"/>
              <w:ind w:right="840"/>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00" w:type="dxa"/>
            <w:vAlign w:val="bottom"/>
          </w:tcPr>
          <w:p>
            <w:pPr>
              <w:jc w:val="right"/>
              <w:ind w:right="86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480"/>
              <w:spacing w:after="0"/>
              <w:rPr>
                <w:sz w:val="20"/>
                <w:szCs w:val="20"/>
                <w:color w:val="auto"/>
              </w:rPr>
            </w:pPr>
            <w:r>
              <w:rPr>
                <w:rFonts w:ascii="Arial" w:cs="Arial" w:eastAsia="Arial" w:hAnsi="Arial"/>
                <w:sz w:val="16"/>
                <w:szCs w:val="16"/>
                <w:color w:val="auto"/>
              </w:rPr>
              <w:t>$’000</w:t>
            </w:r>
          </w:p>
        </w:tc>
        <w:tc>
          <w:tcPr>
            <w:tcW w:w="1960" w:type="dxa"/>
            <w:vAlign w:val="bottom"/>
          </w:tcPr>
          <w:p>
            <w:pPr>
              <w:jc w:val="right"/>
              <w:ind w:right="840"/>
              <w:spacing w:after="0"/>
              <w:rPr>
                <w:sz w:val="20"/>
                <w:szCs w:val="20"/>
                <w:color w:val="auto"/>
              </w:rPr>
            </w:pPr>
            <w:r>
              <w:rPr>
                <w:rFonts w:ascii="Arial" w:cs="Arial" w:eastAsia="Arial" w:hAnsi="Arial"/>
                <w:sz w:val="16"/>
                <w:szCs w:val="16"/>
                <w:b w:val="1"/>
                <w:bCs w:val="1"/>
                <w:color w:val="auto"/>
              </w:rPr>
              <w:t>$’000</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gridSpan w:val="2"/>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 reported</w:t>
            </w:r>
          </w:p>
        </w:tc>
        <w:tc>
          <w:tcPr>
            <w:tcW w:w="4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b w:val="1"/>
                <w:bCs w:val="1"/>
                <w:color w:val="auto"/>
              </w:rPr>
              <w:t>1,484</w:t>
            </w:r>
          </w:p>
        </w:tc>
        <w:tc>
          <w:tcPr>
            <w:tcW w:w="12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1,306</w:t>
            </w:r>
          </w:p>
        </w:tc>
        <w:tc>
          <w:tcPr>
            <w:tcW w:w="196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b w:val="1"/>
                <w:bCs w:val="1"/>
                <w:color w:val="auto"/>
              </w:rPr>
              <w:t>13,006</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7"/>
              </w:rPr>
              <w:t>1%</w:t>
            </w:r>
          </w:p>
        </w:tc>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Increase</w:t>
            </w:r>
          </w:p>
        </w:tc>
        <w:tc>
          <w:tcPr>
            <w:tcW w:w="4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b w:val="1"/>
                <w:bCs w:val="1"/>
                <w:color w:val="auto"/>
              </w:rPr>
              <w:t>3,990</w:t>
            </w:r>
          </w:p>
        </w:tc>
        <w:tc>
          <w:tcPr>
            <w:tcW w:w="12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3,521</w:t>
            </w:r>
          </w:p>
        </w:tc>
        <w:tc>
          <w:tcPr>
            <w:tcW w:w="196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b w:val="1"/>
                <w:bCs w:val="1"/>
                <w:color w:val="auto"/>
              </w:rPr>
              <w:t>13,168</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7"/>
              </w:rPr>
              <w:t>1%</w:t>
            </w:r>
          </w:p>
        </w:tc>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Decrease</w:t>
            </w:r>
          </w:p>
        </w:tc>
        <w:tc>
          <w:tcPr>
            <w:tcW w:w="4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b w:val="1"/>
                <w:bCs w:val="1"/>
                <w:color w:val="auto"/>
              </w:rPr>
              <w:t>31</w:t>
            </w:r>
          </w:p>
        </w:tc>
        <w:tc>
          <w:tcPr>
            <w:tcW w:w="12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b w:val="1"/>
                <w:bCs w:val="1"/>
                <w:color w:val="auto"/>
              </w:rPr>
              <w:t>12,845</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3,748</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Values</w:t>
      </w:r>
    </w:p>
    <w:p>
      <w:pPr>
        <w:spacing w:after="0" w:line="22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Inputs are based upon unadjusted quoted prices for identical instruments traded in active markets.</w:t>
      </w:r>
    </w:p>
    <w:p>
      <w:pPr>
        <w:spacing w:after="0" w:line="200" w:lineRule="exact"/>
        <w:rPr>
          <w:sz w:val="20"/>
          <w:szCs w:val="20"/>
          <w:color w:val="auto"/>
        </w:rPr>
      </w:pPr>
    </w:p>
    <w:p>
      <w:pPr>
        <w:ind w:left="1300" w:right="100" w:hanging="1308"/>
        <w:spacing w:after="0" w:line="264" w:lineRule="auto"/>
        <w:tabs>
          <w:tab w:leader="none" w:pos="128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6"/>
          <w:szCs w:val="16"/>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2" w:lineRule="exact"/>
        <w:rPr>
          <w:sz w:val="20"/>
          <w:szCs w:val="20"/>
          <w:color w:val="auto"/>
        </w:rPr>
      </w:pPr>
    </w:p>
    <w:p>
      <w:pPr>
        <w:ind w:left="1300" w:right="380" w:hanging="1308"/>
        <w:spacing w:after="0" w:line="277" w:lineRule="auto"/>
        <w:tabs>
          <w:tab w:leader="none" w:pos="128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6"/>
          <w:szCs w:val="16"/>
          <w:color w:val="auto"/>
        </w:rPr>
        <w:t>Inputs are generally unobservable and typically reflect management’s estimates of assumptions that market participants would use in pricing the asset or liability.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financial assets together with the carrying amounts shown in the Statement of Financial Position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2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2015</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60" w:type="dxa"/>
            <w:vAlign w:val="bottom"/>
          </w:tcPr>
          <w:p>
            <w:pPr>
              <w:jc w:val="right"/>
              <w:ind w:right="280"/>
              <w:spacing w:after="0"/>
              <w:rPr>
                <w:sz w:val="20"/>
                <w:szCs w:val="20"/>
                <w:color w:val="auto"/>
              </w:rPr>
            </w:pPr>
            <w:r>
              <w:rPr>
                <w:rFonts w:ascii="Arial" w:cs="Arial" w:eastAsia="Arial" w:hAnsi="Arial"/>
                <w:sz w:val="16"/>
                <w:szCs w:val="16"/>
                <w:b w:val="1"/>
                <w:bCs w:val="1"/>
                <w:color w:val="auto"/>
              </w:rPr>
              <w:t>Carrying</w:t>
            </w: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Fair</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Carrying</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60" w:type="dxa"/>
            <w:vAlign w:val="bottom"/>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Value</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Amount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1580" w:type="dxa"/>
            <w:vAlign w:val="bottom"/>
          </w:tcPr>
          <w:p>
            <w:pPr>
              <w:spacing w:after="0"/>
              <w:rPr>
                <w:sz w:val="16"/>
                <w:szCs w:val="16"/>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9"/>
        </w:trPr>
        <w:tc>
          <w:tcPr>
            <w:tcW w:w="3640" w:type="dxa"/>
            <w:vAlign w:val="bottom"/>
            <w:vMerge w:val="restart"/>
          </w:tcPr>
          <w:p>
            <w:pPr>
              <w:spacing w:after="0"/>
              <w:rPr>
                <w:sz w:val="20"/>
                <w:szCs w:val="20"/>
                <w:color w:val="auto"/>
              </w:rPr>
            </w:pPr>
            <w:r>
              <w:rPr>
                <w:rFonts w:ascii="Arial" w:cs="Arial" w:eastAsia="Arial" w:hAnsi="Arial"/>
                <w:sz w:val="16"/>
                <w:szCs w:val="16"/>
                <w:b w:val="1"/>
                <w:bCs w:val="1"/>
                <w:color w:val="auto"/>
              </w:rPr>
              <w:t>Financial Assets</w:t>
            </w:r>
          </w:p>
        </w:tc>
        <w:tc>
          <w:tcPr>
            <w:tcW w:w="32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62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3640" w:type="dxa"/>
            <w:vAlign w:val="bottom"/>
            <w:vMerge w:val="continue"/>
          </w:tcPr>
          <w:p>
            <w:pPr>
              <w:spacing w:after="0"/>
              <w:rPr>
                <w:sz w:val="16"/>
                <w:szCs w:val="16"/>
                <w:color w:val="auto"/>
              </w:rPr>
            </w:pPr>
          </w:p>
        </w:tc>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Current asset investments</w:t>
            </w:r>
          </w:p>
        </w:tc>
        <w:tc>
          <w:tcPr>
            <w:tcW w:w="3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68,046</w:t>
            </w:r>
          </w:p>
        </w:tc>
        <w:tc>
          <w:tcPr>
            <w:tcW w:w="16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68,046</w:t>
            </w:r>
          </w:p>
        </w:tc>
        <w:tc>
          <w:tcPr>
            <w:tcW w:w="15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85,990</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85,990</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40" w:type="dxa"/>
            <w:vAlign w:val="bottom"/>
            <w:tcBorders>
              <w:bottom w:val="single" w:sz="8" w:color="auto"/>
            </w:tcBorders>
            <w:shd w:val="clear" w:color="auto" w:fill="CCEEFF"/>
          </w:tcPr>
          <w:p>
            <w:pPr>
              <w:spacing w:after="0"/>
              <w:rPr>
                <w:sz w:val="20"/>
                <w:szCs w:val="20"/>
                <w:color w:val="auto"/>
              </w:rPr>
            </w:pPr>
          </w:p>
        </w:tc>
        <w:tc>
          <w:tcPr>
            <w:tcW w:w="3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68,046</w:t>
            </w:r>
          </w:p>
        </w:tc>
        <w:tc>
          <w:tcPr>
            <w:tcW w:w="16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68,046</w:t>
            </w:r>
          </w:p>
        </w:tc>
        <w:tc>
          <w:tcPr>
            <w:tcW w:w="15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85,990</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Financial instruments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ind w:right="20"/>
        <w:spacing w:after="0" w:line="351" w:lineRule="auto"/>
        <w:rPr>
          <w:sz w:val="20"/>
          <w:szCs w:val="20"/>
          <w:color w:val="auto"/>
        </w:rPr>
      </w:pPr>
      <w:r>
        <w:rPr>
          <w:rFonts w:ascii="Arial" w:cs="Arial" w:eastAsia="Arial" w:hAnsi="Arial"/>
          <w:sz w:val="14"/>
          <w:szCs w:val="14"/>
          <w:color w:val="auto"/>
        </w:rPr>
        <w:t>The carrying values of accounts receivable (less impairment provision), unbilled revenue,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Group’s Senior Notes (private placement debt) is carried at $350.0 million (prior to related financing costs). The carrying value at 31 December 2016, closely approximates fair value.</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reconciliation from the opening balances to the closing balances for Level 3 fair values:</w:t>
      </w:r>
    </w:p>
    <w:p>
      <w:pPr>
        <w:spacing w:after="0" w:line="220" w:lineRule="exact"/>
        <w:rPr>
          <w:sz w:val="20"/>
          <w:szCs w:val="20"/>
          <w:color w:val="auto"/>
        </w:rPr>
      </w:pPr>
    </w:p>
    <w:p>
      <w:pPr>
        <w:ind w:left="8980"/>
        <w:spacing w:after="0"/>
        <w:tabs>
          <w:tab w:leader="none" w:pos="10600" w:val="left"/>
        </w:tabs>
        <w:rPr>
          <w:sz w:val="20"/>
          <w:szCs w:val="20"/>
          <w:color w:val="auto"/>
        </w:rPr>
      </w:pPr>
      <w:r>
        <w:rPr>
          <w:rFonts w:ascii="Arial" w:cs="Arial" w:eastAsia="Arial" w:hAnsi="Arial"/>
          <w:sz w:val="16"/>
          <w:szCs w:val="16"/>
          <w:b w:val="1"/>
          <w:bCs w:val="1"/>
          <w:color w:val="auto"/>
        </w:rPr>
        <w:t>Contingent</w:t>
      </w:r>
      <w:r>
        <w:rPr>
          <w:sz w:val="20"/>
          <w:szCs w:val="20"/>
          <w:color w:val="auto"/>
        </w:rPr>
        <w:tab/>
      </w:r>
      <w:r>
        <w:rPr>
          <w:rFonts w:ascii="Arial" w:cs="Arial" w:eastAsia="Arial" w:hAnsi="Arial"/>
          <w:sz w:val="16"/>
          <w:szCs w:val="16"/>
          <w:color w:val="auto"/>
        </w:rPr>
        <w:t>Contingent</w:t>
      </w:r>
    </w:p>
    <w:p>
      <w:pPr>
        <w:spacing w:after="0" w:line="25" w:lineRule="exact"/>
        <w:rPr>
          <w:sz w:val="20"/>
          <w:szCs w:val="20"/>
          <w:color w:val="auto"/>
        </w:rPr>
      </w:pPr>
    </w:p>
    <w:p>
      <w:pPr>
        <w:ind w:left="8760"/>
        <w:spacing w:after="0"/>
        <w:tabs>
          <w:tab w:leader="none" w:pos="10400" w:val="left"/>
        </w:tabs>
        <w:rPr>
          <w:sz w:val="20"/>
          <w:szCs w:val="20"/>
          <w:color w:val="auto"/>
        </w:rPr>
      </w:pPr>
      <w:r>
        <w:rPr>
          <w:rFonts w:ascii="Arial" w:cs="Arial" w:eastAsia="Arial" w:hAnsi="Arial"/>
          <w:sz w:val="16"/>
          <w:szCs w:val="16"/>
          <w:b w:val="1"/>
          <w:bCs w:val="1"/>
          <w:color w:val="auto"/>
        </w:rPr>
        <w:t>Consideration</w:t>
      </w:r>
      <w:r>
        <w:rPr>
          <w:sz w:val="20"/>
          <w:szCs w:val="20"/>
          <w:color w:val="auto"/>
        </w:rPr>
        <w:tab/>
      </w:r>
      <w:r>
        <w:rPr>
          <w:rFonts w:ascii="Arial" w:cs="Arial" w:eastAsia="Arial" w:hAnsi="Arial"/>
          <w:sz w:val="16"/>
          <w:szCs w:val="16"/>
          <w:color w:val="auto"/>
        </w:rPr>
        <w:t>Consideration</w:t>
      </w:r>
    </w:p>
    <w:p>
      <w:pPr>
        <w:spacing w:after="0" w:line="8" w:lineRule="exact"/>
        <w:rPr>
          <w:sz w:val="20"/>
          <w:szCs w:val="20"/>
          <w:color w:val="auto"/>
        </w:rPr>
      </w:pPr>
    </w:p>
    <w:p>
      <w:pPr>
        <w:ind w:left="9420"/>
        <w:spacing w:after="0"/>
        <w:tabs>
          <w:tab w:leader="none" w:pos="109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color w:val="auto"/>
        </w:rPr>
        <w:t>2015</w:t>
      </w:r>
    </w:p>
    <w:p>
      <w:pPr>
        <w:spacing w:after="0" w:line="8" w:lineRule="exact"/>
        <w:rPr>
          <w:sz w:val="20"/>
          <w:szCs w:val="20"/>
          <w:color w:val="auto"/>
        </w:rPr>
      </w:pPr>
    </w:p>
    <w:p>
      <w:pPr>
        <w:ind w:left="9360"/>
        <w:spacing w:after="0"/>
        <w:tabs>
          <w:tab w:leader="none" w:pos="10940" w:val="left"/>
        </w:tabs>
        <w:rPr>
          <w:sz w:val="20"/>
          <w:szCs w:val="20"/>
          <w:color w:val="auto"/>
        </w:rPr>
      </w:pPr>
      <w:r>
        <w:rPr>
          <w:rFonts w:ascii="Arial" w:cs="Arial" w:eastAsia="Arial" w:hAnsi="Arial"/>
          <w:sz w:val="16"/>
          <w:szCs w:val="16"/>
          <w:b w:val="1"/>
          <w:bCs w:val="1"/>
          <w:color w:val="auto"/>
        </w:rPr>
        <w:t>$’000</w:t>
      </w:r>
      <w:r>
        <w:rPr>
          <w:sz w:val="20"/>
          <w:szCs w:val="20"/>
          <w:color w:val="auto"/>
        </w:rPr>
        <w:tab/>
      </w:r>
      <w:r>
        <w:rPr>
          <w:rFonts w:ascii="Arial" w:cs="Arial" w:eastAsia="Arial" w:hAnsi="Arial"/>
          <w:sz w:val="14"/>
          <w:szCs w:val="14"/>
          <w:color w:val="auto"/>
        </w:rPr>
        <w:t>$’000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Opening balance</w:t>
            </w:r>
          </w:p>
        </w:tc>
        <w:tc>
          <w:tcPr>
            <w:tcW w:w="4340" w:type="dxa"/>
            <w:vAlign w:val="bottom"/>
            <w:shd w:val="clear" w:color="auto" w:fill="CCEEFF"/>
          </w:tcPr>
          <w:p>
            <w:pPr>
              <w:jc w:val="right"/>
              <w:ind w:right="6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In respect of a business combination (note 14)</w:t>
            </w:r>
          </w:p>
        </w:tc>
        <w:tc>
          <w:tcPr>
            <w:tcW w:w="4340" w:type="dxa"/>
            <w:vAlign w:val="bottom"/>
          </w:tcPr>
          <w:p>
            <w:pPr>
              <w:jc w:val="right"/>
              <w:ind w:right="680"/>
              <w:spacing w:after="0"/>
              <w:rPr>
                <w:sz w:val="20"/>
                <w:szCs w:val="20"/>
                <w:color w:val="auto"/>
              </w:rPr>
            </w:pPr>
            <w:r>
              <w:rPr>
                <w:rFonts w:ascii="Arial" w:cs="Arial" w:eastAsia="Arial" w:hAnsi="Arial"/>
                <w:sz w:val="16"/>
                <w:szCs w:val="16"/>
                <w:b w:val="1"/>
                <w:bCs w:val="1"/>
                <w:color w:val="auto"/>
              </w:rPr>
              <w:t>6,000</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Payments made during the year</w:t>
            </w:r>
          </w:p>
        </w:tc>
        <w:tc>
          <w:tcPr>
            <w:tcW w:w="43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Closing balance</w:t>
            </w:r>
          </w:p>
        </w:tc>
        <w:tc>
          <w:tcPr>
            <w:tcW w:w="43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6"/>
                <w:szCs w:val="16"/>
                <w:b w:val="1"/>
                <w:bCs w:val="1"/>
                <w:color w:val="auto"/>
              </w:rPr>
              <w:t>6,000</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valuation techniques used in measuring Level 3 fair values, as well as significant unobservable inputs used: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3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Type</w:t>
            </w:r>
          </w:p>
        </w:tc>
        <w:tc>
          <w:tcPr>
            <w:tcW w:w="30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Valuation Technique</w:t>
            </w:r>
          </w:p>
        </w:tc>
        <w:tc>
          <w:tcPr>
            <w:tcW w:w="29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Significant</w:t>
            </w:r>
          </w:p>
        </w:tc>
        <w:tc>
          <w:tcPr>
            <w:tcW w:w="30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Inter-relationship between</w:t>
            </w: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Unobservable Inputs</w:t>
            </w:r>
          </w:p>
        </w:tc>
        <w:tc>
          <w:tcPr>
            <w:tcW w:w="308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significant unobservable inputs</w:t>
            </w:r>
          </w:p>
        </w:tc>
      </w:tr>
      <w:tr>
        <w:trPr>
          <w:trHeight w:val="213"/>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and fair value measurement</w:t>
            </w:r>
          </w:p>
        </w:tc>
      </w:tr>
      <w:tr>
        <w:trPr>
          <w:trHeight w:val="180"/>
        </w:trPr>
        <w:tc>
          <w:tcPr>
            <w:tcW w:w="2320" w:type="dxa"/>
            <w:vAlign w:val="bottom"/>
            <w:tcBorders>
              <w:left w:val="single" w:sz="8" w:color="auto"/>
              <w:right w:val="single" w:sz="8" w:color="auto"/>
            </w:tcBorders>
            <w:shd w:val="clear" w:color="auto" w:fill="CCEEFF"/>
          </w:tcPr>
          <w:p>
            <w:pPr>
              <w:ind w:left="160"/>
              <w:spacing w:after="0" w:line="180" w:lineRule="exact"/>
              <w:rPr>
                <w:sz w:val="20"/>
                <w:szCs w:val="20"/>
                <w:color w:val="auto"/>
              </w:rPr>
            </w:pPr>
            <w:r>
              <w:rPr>
                <w:rFonts w:ascii="Arial" w:cs="Arial" w:eastAsia="Arial" w:hAnsi="Arial"/>
                <w:sz w:val="16"/>
                <w:szCs w:val="16"/>
                <w:color w:val="auto"/>
              </w:rPr>
              <w:t>Contingent Consideration</w:t>
            </w:r>
          </w:p>
        </w:tc>
        <w:tc>
          <w:tcPr>
            <w:tcW w:w="3060" w:type="dxa"/>
            <w:vAlign w:val="bottom"/>
            <w:tcBorders>
              <w:right w:val="single" w:sz="8" w:color="auto"/>
            </w:tcBorders>
            <w:shd w:val="clear" w:color="auto" w:fill="CCEEFF"/>
          </w:tcPr>
          <w:p>
            <w:pPr>
              <w:ind w:left="140"/>
              <w:spacing w:after="0" w:line="180" w:lineRule="exact"/>
              <w:rPr>
                <w:sz w:val="20"/>
                <w:szCs w:val="20"/>
                <w:color w:val="auto"/>
              </w:rPr>
            </w:pPr>
            <w:r>
              <w:rPr>
                <w:rFonts w:ascii="Arial" w:cs="Arial" w:eastAsia="Arial" w:hAnsi="Arial"/>
                <w:sz w:val="16"/>
                <w:szCs w:val="16"/>
                <w:color w:val="auto"/>
                <w:w w:val="90"/>
              </w:rPr>
              <w:t>The valuation model considers the estimated</w:t>
            </w:r>
          </w:p>
        </w:tc>
        <w:tc>
          <w:tcPr>
            <w:tcW w:w="2980" w:type="dxa"/>
            <w:vAlign w:val="bottom"/>
            <w:tcBorders>
              <w:right w:val="single" w:sz="8" w:color="auto"/>
            </w:tcBorders>
            <w:shd w:val="clear" w:color="auto" w:fill="CCEEFF"/>
          </w:tcPr>
          <w:p>
            <w:pPr>
              <w:ind w:left="160"/>
              <w:spacing w:after="0" w:line="180" w:lineRule="exact"/>
              <w:rPr>
                <w:sz w:val="20"/>
                <w:szCs w:val="20"/>
                <w:color w:val="auto"/>
              </w:rPr>
            </w:pPr>
            <w:r>
              <w:rPr>
                <w:rFonts w:ascii="Arial" w:cs="Arial" w:eastAsia="Arial" w:hAnsi="Arial"/>
                <w:sz w:val="16"/>
                <w:szCs w:val="16"/>
                <w:color w:val="auto"/>
              </w:rPr>
              <w:t>(1)Forecast future cash flows</w:t>
            </w:r>
          </w:p>
        </w:tc>
        <w:tc>
          <w:tcPr>
            <w:tcW w:w="3080" w:type="dxa"/>
            <w:vAlign w:val="bottom"/>
            <w:tcBorders>
              <w:right w:val="single" w:sz="8" w:color="auto"/>
            </w:tcBorders>
            <w:shd w:val="clear" w:color="auto" w:fill="CCEEFF"/>
          </w:tcPr>
          <w:p>
            <w:pPr>
              <w:ind w:left="140"/>
              <w:spacing w:after="0" w:line="180" w:lineRule="exact"/>
              <w:rPr>
                <w:sz w:val="20"/>
                <w:szCs w:val="20"/>
                <w:color w:val="auto"/>
              </w:rPr>
            </w:pPr>
            <w:r>
              <w:rPr>
                <w:rFonts w:ascii="Arial" w:cs="Arial" w:eastAsia="Arial" w:hAnsi="Arial"/>
                <w:sz w:val="16"/>
                <w:szCs w:val="16"/>
                <w:color w:val="auto"/>
              </w:rPr>
              <w:t>The estimated fair value would increase</w:t>
            </w:r>
          </w:p>
        </w:tc>
      </w:tr>
      <w:tr>
        <w:trPr>
          <w:trHeight w:val="192"/>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3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future cash flows of the entity.</w:t>
            </w:r>
          </w:p>
        </w:tc>
        <w:tc>
          <w:tcPr>
            <w:tcW w:w="298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(2)Forecast annual growth rate</w:t>
            </w:r>
          </w:p>
        </w:tc>
        <w:tc>
          <w:tcPr>
            <w:tcW w:w="30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0"/>
              </w:rPr>
              <w:t>(decrease) if the forecasted future cash flows</w:t>
            </w:r>
          </w:p>
        </w:tc>
      </w:tr>
      <w:tr>
        <w:trPr>
          <w:trHeight w:val="192"/>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3060" w:type="dxa"/>
            <w:vAlign w:val="bottom"/>
            <w:tcBorders>
              <w:right w:val="single" w:sz="8" w:color="auto"/>
            </w:tcBorders>
            <w:shd w:val="clear" w:color="auto" w:fill="CCEEFF"/>
          </w:tcPr>
          <w:p>
            <w:pPr>
              <w:spacing w:after="0"/>
              <w:rPr>
                <w:sz w:val="16"/>
                <w:szCs w:val="16"/>
                <w:color w:val="auto"/>
              </w:rPr>
            </w:pPr>
          </w:p>
        </w:tc>
        <w:tc>
          <w:tcPr>
            <w:tcW w:w="2980" w:type="dxa"/>
            <w:vAlign w:val="bottom"/>
            <w:tcBorders>
              <w:right w:val="single" w:sz="8" w:color="auto"/>
            </w:tcBorders>
            <w:shd w:val="clear" w:color="auto" w:fill="CCEEFF"/>
          </w:tcPr>
          <w:p>
            <w:pPr>
              <w:spacing w:after="0"/>
              <w:rPr>
                <w:sz w:val="16"/>
                <w:szCs w:val="16"/>
                <w:color w:val="auto"/>
              </w:rPr>
            </w:pPr>
          </w:p>
        </w:tc>
        <w:tc>
          <w:tcPr>
            <w:tcW w:w="30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9"/>
              </w:rPr>
              <w:t>were higher (lower) or if the entity missed</w:t>
            </w:r>
          </w:p>
        </w:tc>
      </w:tr>
      <w:tr>
        <w:trPr>
          <w:trHeight w:val="209"/>
        </w:trPr>
        <w:tc>
          <w:tcPr>
            <w:tcW w:w="23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060" w:type="dxa"/>
            <w:vAlign w:val="bottom"/>
            <w:tcBorders>
              <w:bottom w:val="single" w:sz="8" w:color="auto"/>
              <w:right w:val="single" w:sz="8" w:color="auto"/>
            </w:tcBorders>
            <w:shd w:val="clear" w:color="auto" w:fill="CCEEFF"/>
          </w:tcPr>
          <w:p>
            <w:pPr>
              <w:spacing w:after="0"/>
              <w:rPr>
                <w:sz w:val="18"/>
                <w:szCs w:val="18"/>
                <w:color w:val="auto"/>
              </w:rPr>
            </w:pP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30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agreed targets.</w:t>
            </w:r>
          </w:p>
        </w:tc>
      </w:tr>
      <w:tr>
        <w:trPr>
          <w:trHeight w:val="781"/>
        </w:trPr>
        <w:tc>
          <w:tcPr>
            <w:tcW w:w="2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80" w:type="dxa"/>
            <w:vAlign w:val="bottom"/>
          </w:tcPr>
          <w:p>
            <w:pPr>
              <w:ind w:left="260"/>
              <w:spacing w:after="0"/>
              <w:rPr>
                <w:sz w:val="20"/>
                <w:szCs w:val="20"/>
                <w:color w:val="auto"/>
              </w:rPr>
            </w:pPr>
            <w:r>
              <w:rPr>
                <w:rFonts w:ascii="Arial" w:cs="Arial" w:eastAsia="Arial" w:hAnsi="Arial"/>
                <w:sz w:val="16"/>
                <w:szCs w:val="16"/>
                <w:color w:val="auto"/>
              </w:rPr>
              <w:t>93</w:t>
            </w:r>
          </w:p>
        </w:tc>
        <w:tc>
          <w:tcPr>
            <w:tcW w:w="3080" w:type="dxa"/>
            <w:vAlign w:val="bottom"/>
          </w:tcPr>
          <w:p>
            <w:pPr>
              <w:spacing w:after="0"/>
              <w:rPr>
                <w:sz w:val="24"/>
                <w:szCs w:val="24"/>
                <w:color w:val="auto"/>
              </w:rPr>
            </w:pPr>
          </w:p>
        </w:tc>
      </w:tr>
      <w:tr>
        <w:trPr>
          <w:trHeight w:val="52"/>
        </w:trPr>
        <w:tc>
          <w:tcPr>
            <w:tcW w:w="232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39" w:right="2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Lease commitments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Group has several non-cancellable operating leases, primarily for facilities, that expire over the next 10 years. These leases generally contain renewal options and require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Group to pay all executory costs such as maintenance and insurance. Future minimum rental commitments for operating leases with non-cancellable terms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44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44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44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6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444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34,682</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Between one and two years</w:t>
            </w:r>
          </w:p>
        </w:tc>
        <w:tc>
          <w:tcPr>
            <w:tcW w:w="4440" w:type="dxa"/>
            <w:vAlign w:val="bottom"/>
          </w:tcPr>
          <w:p>
            <w:pPr>
              <w:jc w:val="right"/>
              <w:ind w:right="280"/>
              <w:spacing w:after="0"/>
              <w:rPr>
                <w:sz w:val="20"/>
                <w:szCs w:val="20"/>
                <w:color w:val="auto"/>
              </w:rPr>
            </w:pPr>
            <w:r>
              <w:rPr>
                <w:rFonts w:ascii="Arial" w:cs="Arial" w:eastAsia="Arial" w:hAnsi="Arial"/>
                <w:sz w:val="16"/>
                <w:szCs w:val="16"/>
                <w:b w:val="1"/>
                <w:bCs w:val="1"/>
                <w:color w:val="auto"/>
              </w:rPr>
              <w:t>28,219</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26,784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Between two and three years</w:t>
            </w:r>
          </w:p>
        </w:tc>
        <w:tc>
          <w:tcPr>
            <w:tcW w:w="444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21,358</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20,547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Between three and four years</w:t>
            </w:r>
          </w:p>
        </w:tc>
        <w:tc>
          <w:tcPr>
            <w:tcW w:w="4440" w:type="dxa"/>
            <w:vAlign w:val="bottom"/>
          </w:tcPr>
          <w:p>
            <w:pPr>
              <w:jc w:val="right"/>
              <w:ind w:right="280"/>
              <w:spacing w:after="0"/>
              <w:rPr>
                <w:sz w:val="20"/>
                <w:szCs w:val="20"/>
                <w:color w:val="auto"/>
              </w:rPr>
            </w:pPr>
            <w:r>
              <w:rPr>
                <w:rFonts w:ascii="Arial" w:cs="Arial" w:eastAsia="Arial" w:hAnsi="Arial"/>
                <w:sz w:val="16"/>
                <w:szCs w:val="16"/>
                <w:b w:val="1"/>
                <w:bCs w:val="1"/>
                <w:color w:val="auto"/>
              </w:rPr>
              <w:t>15,646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Between four and five years</w:t>
            </w:r>
          </w:p>
        </w:tc>
        <w:tc>
          <w:tcPr>
            <w:tcW w:w="444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12,477</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More than five years</w:t>
            </w:r>
          </w:p>
        </w:tc>
        <w:tc>
          <w:tcPr>
            <w:tcW w:w="44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40,132</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6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4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152,514</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157,652</w:t>
            </w:r>
          </w:p>
        </w:tc>
        <w:tc>
          <w:tcPr>
            <w:tcW w:w="0" w:type="dxa"/>
            <w:vAlign w:val="bottom"/>
          </w:tcPr>
          <w:p>
            <w:pPr>
              <w:spacing w:after="0"/>
              <w:rPr>
                <w:sz w:val="1"/>
                <w:szCs w:val="1"/>
                <w:color w:val="auto"/>
              </w:rPr>
            </w:pPr>
          </w:p>
        </w:tc>
      </w:tr>
      <w:tr>
        <w:trPr>
          <w:trHeight w:val="396"/>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28. Commitments and contingencies</w:t>
            </w:r>
          </w:p>
        </w:tc>
        <w:tc>
          <w:tcPr>
            <w:tcW w:w="4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660" w:type="dxa"/>
            <w:vAlign w:val="bottom"/>
            <w:gridSpan w:val="2"/>
          </w:tcPr>
          <w:p>
            <w:pPr>
              <w:spacing w:after="0"/>
              <w:rPr>
                <w:sz w:val="20"/>
                <w:szCs w:val="20"/>
                <w:color w:val="auto"/>
              </w:rPr>
            </w:pPr>
            <w:r>
              <w:rPr>
                <w:rFonts w:ascii="Arial" w:cs="Arial" w:eastAsia="Arial" w:hAnsi="Arial"/>
                <w:sz w:val="16"/>
                <w:szCs w:val="16"/>
                <w:color w:val="auto"/>
              </w:rPr>
              <w:t>(a) Capital commitments</w:t>
            </w:r>
          </w:p>
        </w:tc>
        <w:tc>
          <w:tcPr>
            <w:tcW w:w="4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capital commitments for the purchase of property, plant and equipment were authorised by the Group at 31 December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520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52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20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Contracted for</w:t>
            </w:r>
          </w:p>
        </w:tc>
        <w:tc>
          <w:tcPr>
            <w:tcW w:w="52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8,322</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8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2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8,322</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13,757</w:t>
            </w:r>
          </w:p>
        </w:tc>
        <w:tc>
          <w:tcPr>
            <w:tcW w:w="0" w:type="dxa"/>
            <w:vAlign w:val="bottom"/>
          </w:tcPr>
          <w:p>
            <w:pPr>
              <w:spacing w:after="0"/>
              <w:rPr>
                <w:sz w:val="1"/>
                <w:szCs w:val="1"/>
                <w:color w:val="auto"/>
              </w:rPr>
            </w:pPr>
          </w:p>
        </w:tc>
      </w:tr>
      <w:tr>
        <w:trPr>
          <w:trHeight w:val="396"/>
        </w:trPr>
        <w:tc>
          <w:tcPr>
            <w:tcW w:w="4900" w:type="dxa"/>
            <w:vAlign w:val="bottom"/>
            <w:gridSpan w:val="2"/>
          </w:tcPr>
          <w:p>
            <w:pPr>
              <w:spacing w:after="0"/>
              <w:rPr>
                <w:sz w:val="20"/>
                <w:szCs w:val="20"/>
                <w:color w:val="auto"/>
              </w:rPr>
            </w:pPr>
            <w:r>
              <w:rPr>
                <w:rFonts w:ascii="Arial" w:cs="Arial" w:eastAsia="Arial" w:hAnsi="Arial"/>
                <w:sz w:val="16"/>
                <w:szCs w:val="16"/>
                <w:color w:val="auto"/>
              </w:rPr>
              <w:t>(b) Guarantees</w:t>
            </w:r>
          </w:p>
        </w:tc>
        <w:tc>
          <w:tcPr>
            <w:tcW w:w="5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note 23, the Senior Notes are guaranteed by ICON plc.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9" w:name="page110"/>
    <w:bookmarkEnd w:id="109"/>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28. Commitments and contingencies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The Company has guaranteed all of the liabilities referred to in Section 357(1) (b) of the Companies Act 2014 in respect of the whole of the financial year ending 31 December 2016 for the subsidiary companies listed below. These subsidiaries are availing of the exemption under Section 357 of the Companies Act 2014 not to file statutory financial statements.</w:t>
      </w:r>
    </w:p>
    <w:p>
      <w:pPr>
        <w:spacing w:after="0" w:line="186" w:lineRule="exact"/>
        <w:rPr>
          <w:sz w:val="20"/>
          <w:szCs w:val="20"/>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Clinical Research Limited</w:t>
      </w:r>
    </w:p>
    <w:p>
      <w:pPr>
        <w:spacing w:after="0" w:line="20"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DOCS Resourcing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Holdings Unlimited Company</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Timpani Unlimited Company</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Clinical Research Property Holdings (Ireland)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Clinical Research Property Development (Ireland)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Holdings Clinical Research International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Clinical International Unlimited Company</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Investments One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Investments Two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Investments Three Limited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Investments Four Unlimited Company</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ICON Investments Five Unlimited Company</w:t>
      </w:r>
    </w:p>
    <w:p>
      <w:pPr>
        <w:spacing w:after="0" w:line="211" w:lineRule="exact"/>
        <w:rPr>
          <w:rFonts w:ascii="Arial" w:cs="Arial" w:eastAsia="Arial" w:hAnsi="Arial"/>
          <w:sz w:val="16"/>
          <w:szCs w:val="16"/>
          <w:color w:val="auto"/>
        </w:rPr>
      </w:pPr>
    </w:p>
    <w:p>
      <w:pPr>
        <w:ind w:left="224" w:hanging="224"/>
        <w:spacing w:after="0"/>
        <w:tabs>
          <w:tab w:leader="none" w:pos="2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Contractual obligations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represents Group contractual obligations and commercial commitments as at 31 December 2016:</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Payments due by period</w:t>
            </w: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3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20" w:type="dxa"/>
            <w:vAlign w:val="bottom"/>
          </w:tcPr>
          <w:p>
            <w:pPr>
              <w:jc w:val="right"/>
              <w:ind w:right="400"/>
              <w:spacing w:after="0"/>
              <w:rPr>
                <w:sz w:val="20"/>
                <w:szCs w:val="20"/>
                <w:color w:val="auto"/>
              </w:rPr>
            </w:pPr>
            <w:r>
              <w:rPr>
                <w:rFonts w:ascii="Arial" w:cs="Arial" w:eastAsia="Arial" w:hAnsi="Arial"/>
                <w:sz w:val="16"/>
                <w:szCs w:val="16"/>
                <w:b w:val="1"/>
                <w:bCs w:val="1"/>
                <w:color w:val="auto"/>
              </w:rPr>
              <w:t>Less than</w:t>
            </w:r>
          </w:p>
        </w:tc>
        <w:tc>
          <w:tcPr>
            <w:tcW w:w="1540" w:type="dxa"/>
            <w:vAlign w:val="bottom"/>
          </w:tcPr>
          <w:p>
            <w:pPr>
              <w:jc w:val="right"/>
              <w:ind w:right="540"/>
              <w:spacing w:after="0"/>
              <w:rPr>
                <w:sz w:val="20"/>
                <w:szCs w:val="20"/>
                <w:color w:val="auto"/>
              </w:rPr>
            </w:pPr>
            <w:r>
              <w:rPr>
                <w:rFonts w:ascii="Arial" w:cs="Arial" w:eastAsia="Arial" w:hAnsi="Arial"/>
                <w:sz w:val="16"/>
                <w:szCs w:val="16"/>
                <w:b w:val="1"/>
                <w:bCs w:val="1"/>
                <w:color w:val="auto"/>
              </w:rPr>
              <w:t>1 to 3</w:t>
            </w:r>
          </w:p>
        </w:tc>
        <w:tc>
          <w:tcPr>
            <w:tcW w:w="1380" w:type="dxa"/>
            <w:vAlign w:val="bottom"/>
          </w:tcPr>
          <w:p>
            <w:pPr>
              <w:jc w:val="right"/>
              <w:ind w:right="340"/>
              <w:spacing w:after="0"/>
              <w:rPr>
                <w:sz w:val="20"/>
                <w:szCs w:val="20"/>
                <w:color w:val="auto"/>
              </w:rPr>
            </w:pPr>
            <w:r>
              <w:rPr>
                <w:rFonts w:ascii="Arial" w:cs="Arial" w:eastAsia="Arial" w:hAnsi="Arial"/>
                <w:sz w:val="16"/>
                <w:szCs w:val="16"/>
                <w:b w:val="1"/>
                <w:bCs w:val="1"/>
                <w:color w:val="auto"/>
              </w:rPr>
              <w:t>3 to 5</w:t>
            </w: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More than</w:t>
            </w:r>
          </w:p>
        </w:tc>
      </w:tr>
      <w:tr>
        <w:trPr>
          <w:trHeight w:val="192"/>
        </w:trPr>
        <w:tc>
          <w:tcPr>
            <w:tcW w:w="3280" w:type="dxa"/>
            <w:vAlign w:val="bottom"/>
          </w:tcPr>
          <w:p>
            <w:pPr>
              <w:spacing w:after="0"/>
              <w:rPr>
                <w:sz w:val="16"/>
                <w:szCs w:val="16"/>
                <w:color w:val="auto"/>
              </w:rPr>
            </w:pPr>
          </w:p>
        </w:tc>
        <w:tc>
          <w:tcPr>
            <w:tcW w:w="2360" w:type="dxa"/>
            <w:vAlign w:val="bottom"/>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1620" w:type="dxa"/>
            <w:vAlign w:val="bottom"/>
          </w:tcPr>
          <w:p>
            <w:pPr>
              <w:jc w:val="right"/>
              <w:ind w:right="400"/>
              <w:spacing w:after="0"/>
              <w:rPr>
                <w:sz w:val="20"/>
                <w:szCs w:val="20"/>
                <w:color w:val="auto"/>
              </w:rPr>
            </w:pPr>
            <w:r>
              <w:rPr>
                <w:rFonts w:ascii="Arial" w:cs="Arial" w:eastAsia="Arial" w:hAnsi="Arial"/>
                <w:sz w:val="16"/>
                <w:szCs w:val="16"/>
                <w:b w:val="1"/>
                <w:bCs w:val="1"/>
                <w:color w:val="auto"/>
              </w:rPr>
              <w:t>1 year</w:t>
            </w:r>
          </w:p>
        </w:tc>
        <w:tc>
          <w:tcPr>
            <w:tcW w:w="1540" w:type="dxa"/>
            <w:vAlign w:val="bottom"/>
          </w:tcPr>
          <w:p>
            <w:pPr>
              <w:jc w:val="right"/>
              <w:ind w:right="540"/>
              <w:spacing w:after="0"/>
              <w:rPr>
                <w:sz w:val="20"/>
                <w:szCs w:val="20"/>
                <w:color w:val="auto"/>
              </w:rPr>
            </w:pPr>
            <w:r>
              <w:rPr>
                <w:rFonts w:ascii="Arial" w:cs="Arial" w:eastAsia="Arial" w:hAnsi="Arial"/>
                <w:sz w:val="16"/>
                <w:szCs w:val="16"/>
                <w:b w:val="1"/>
                <w:bCs w:val="1"/>
                <w:color w:val="auto"/>
              </w:rPr>
              <w:t>years</w:t>
            </w:r>
          </w:p>
        </w:tc>
        <w:tc>
          <w:tcPr>
            <w:tcW w:w="1380" w:type="dxa"/>
            <w:vAlign w:val="bottom"/>
          </w:tcPr>
          <w:p>
            <w:pPr>
              <w:jc w:val="right"/>
              <w:ind w:right="340"/>
              <w:spacing w:after="0"/>
              <w:rPr>
                <w:sz w:val="20"/>
                <w:szCs w:val="20"/>
                <w:color w:val="auto"/>
              </w:rPr>
            </w:pPr>
            <w:r>
              <w:rPr>
                <w:rFonts w:ascii="Arial" w:cs="Arial" w:eastAsia="Arial" w:hAnsi="Arial"/>
                <w:sz w:val="16"/>
                <w:szCs w:val="16"/>
                <w:b w:val="1"/>
                <w:bCs w:val="1"/>
                <w:color w:val="auto"/>
              </w:rPr>
              <w:t>years</w:t>
            </w: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5 years</w:t>
            </w:r>
          </w:p>
        </w:tc>
      </w:tr>
      <w:tr>
        <w:trPr>
          <w:trHeight w:val="209"/>
        </w:trPr>
        <w:tc>
          <w:tcPr>
            <w:tcW w:w="3280" w:type="dxa"/>
            <w:vAlign w:val="bottom"/>
          </w:tcPr>
          <w:p>
            <w:pPr>
              <w:spacing w:after="0"/>
              <w:rPr>
                <w:sz w:val="18"/>
                <w:szCs w:val="18"/>
                <w:color w:val="auto"/>
              </w:rPr>
            </w:pPr>
          </w:p>
        </w:tc>
        <w:tc>
          <w:tcPr>
            <w:tcW w:w="236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1620" w:type="dxa"/>
            <w:vAlign w:val="bottom"/>
          </w:tcPr>
          <w:p>
            <w:pPr>
              <w:jc w:val="right"/>
              <w:ind w:right="400"/>
              <w:spacing w:after="0"/>
              <w:rPr>
                <w:sz w:val="20"/>
                <w:szCs w:val="20"/>
                <w:color w:val="auto"/>
              </w:rPr>
            </w:pPr>
            <w:r>
              <w:rPr>
                <w:rFonts w:ascii="Arial" w:cs="Arial" w:eastAsia="Arial" w:hAnsi="Arial"/>
                <w:sz w:val="16"/>
                <w:szCs w:val="16"/>
                <w:b w:val="1"/>
                <w:bCs w:val="1"/>
                <w:color w:val="auto"/>
              </w:rPr>
              <w:t>$’000</w:t>
            </w:r>
          </w:p>
        </w:tc>
        <w:tc>
          <w:tcPr>
            <w:tcW w:w="1540" w:type="dxa"/>
            <w:vAlign w:val="bottom"/>
          </w:tcPr>
          <w:p>
            <w:pPr>
              <w:jc w:val="right"/>
              <w:ind w:right="540"/>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192"/>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commitments</w:t>
            </w:r>
          </w:p>
        </w:tc>
        <w:tc>
          <w:tcPr>
            <w:tcW w:w="236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152,514</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34,682</w:t>
            </w:r>
          </w:p>
        </w:tc>
        <w:tc>
          <w:tcPr>
            <w:tcW w:w="15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49,577</w:t>
            </w:r>
          </w:p>
        </w:tc>
        <w:tc>
          <w:tcPr>
            <w:tcW w:w="1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28,123</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40,132</w:t>
            </w:r>
          </w:p>
        </w:tc>
      </w:tr>
      <w:tr>
        <w:trPr>
          <w:trHeight w:val="192"/>
        </w:trPr>
        <w:tc>
          <w:tcPr>
            <w:tcW w:w="3280" w:type="dxa"/>
            <w:vAlign w:val="bottom"/>
          </w:tcPr>
          <w:p>
            <w:pPr>
              <w:spacing w:after="0"/>
              <w:rPr>
                <w:sz w:val="20"/>
                <w:szCs w:val="20"/>
                <w:color w:val="auto"/>
              </w:rPr>
            </w:pPr>
            <w:r>
              <w:rPr>
                <w:rFonts w:ascii="Arial" w:cs="Arial" w:eastAsia="Arial" w:hAnsi="Arial"/>
                <w:sz w:val="16"/>
                <w:szCs w:val="16"/>
                <w:color w:val="auto"/>
              </w:rPr>
              <w:t>Capital commitments</w:t>
            </w:r>
          </w:p>
        </w:tc>
        <w:tc>
          <w:tcPr>
            <w:tcW w:w="2360" w:type="dxa"/>
            <w:vAlign w:val="bottom"/>
          </w:tcPr>
          <w:p>
            <w:pPr>
              <w:jc w:val="right"/>
              <w:ind w:right="400"/>
              <w:spacing w:after="0"/>
              <w:rPr>
                <w:sz w:val="20"/>
                <w:szCs w:val="20"/>
                <w:color w:val="auto"/>
              </w:rPr>
            </w:pPr>
            <w:r>
              <w:rPr>
                <w:rFonts w:ascii="Arial" w:cs="Arial" w:eastAsia="Arial" w:hAnsi="Arial"/>
                <w:sz w:val="16"/>
                <w:szCs w:val="16"/>
                <w:color w:val="auto"/>
              </w:rPr>
              <w:t>8,322</w:t>
            </w:r>
          </w:p>
        </w:tc>
        <w:tc>
          <w:tcPr>
            <w:tcW w:w="1620" w:type="dxa"/>
            <w:vAlign w:val="bottom"/>
          </w:tcPr>
          <w:p>
            <w:pPr>
              <w:jc w:val="right"/>
              <w:ind w:right="400"/>
              <w:spacing w:after="0"/>
              <w:rPr>
                <w:sz w:val="20"/>
                <w:szCs w:val="20"/>
                <w:color w:val="auto"/>
              </w:rPr>
            </w:pPr>
            <w:r>
              <w:rPr>
                <w:rFonts w:ascii="Arial" w:cs="Arial" w:eastAsia="Arial" w:hAnsi="Arial"/>
                <w:sz w:val="16"/>
                <w:szCs w:val="16"/>
                <w:color w:val="auto"/>
              </w:rPr>
              <w:t>8,322</w:t>
            </w:r>
          </w:p>
        </w:tc>
        <w:tc>
          <w:tcPr>
            <w:tcW w:w="154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92"/>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236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350,000</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350,000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196"/>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on Senior Notes</w:t>
            </w:r>
          </w:p>
        </w:tc>
        <w:tc>
          <w:tcPr>
            <w:tcW w:w="23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50,960</w:t>
            </w:r>
          </w:p>
        </w:tc>
        <w:tc>
          <w:tcPr>
            <w:tcW w:w="16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12,740</w:t>
            </w: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25,480</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12,740</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2"/>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3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561,796</w:t>
            </w:r>
          </w:p>
        </w:tc>
        <w:tc>
          <w:tcPr>
            <w:tcW w:w="162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55,744</w:t>
            </w:r>
          </w:p>
        </w:tc>
        <w:tc>
          <w:tcPr>
            <w:tcW w:w="154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b w:val="1"/>
                <w:bCs w:val="1"/>
                <w:color w:val="auto"/>
              </w:rPr>
              <w:t>75,057</w:t>
            </w:r>
          </w:p>
        </w:tc>
        <w:tc>
          <w:tcPr>
            <w:tcW w:w="13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390,863</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40,132</w:t>
            </w:r>
          </w:p>
        </w:tc>
      </w:tr>
    </w:tbl>
    <w:p>
      <w:pPr>
        <w:spacing w:after="0" w:line="204"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The Group expects to spend approximately $45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29. Litigation</w:t>
      </w:r>
    </w:p>
    <w:p>
      <w:pPr>
        <w:spacing w:after="0" w:line="228"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18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339" w:right="219" w:bottom="1440" w:gutter="0" w:footer="0" w:header="0"/>
        </w:sectPr>
      </w:pPr>
    </w:p>
    <w:bookmarkStart w:id="110" w:name="page111"/>
    <w:bookmarkEnd w:id="110"/>
    <w:p>
      <w:pPr>
        <w:ind w:left="4"/>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30. Related parties</w:t>
      </w:r>
    </w:p>
    <w:p>
      <w:pPr>
        <w:spacing w:after="0" w:line="228" w:lineRule="exact"/>
        <w:rPr>
          <w:sz w:val="20"/>
          <w:szCs w:val="20"/>
          <w:color w:val="auto"/>
        </w:rPr>
      </w:pPr>
    </w:p>
    <w:p>
      <w:pPr>
        <w:ind w:left="204" w:hanging="204"/>
        <w:spacing w:after="0"/>
        <w:tabs>
          <w:tab w:leader="none" w:pos="204"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Transactions with Directors and Executive Officers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total compensation of the Directors and Executive Officers (key management remuneration) for the years ended 31 December 2016 and 2015 was as follows:</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Year ended</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31 December</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Salary and fees</w:t>
            </w:r>
          </w:p>
        </w:tc>
        <w:tc>
          <w:tcPr>
            <w:tcW w:w="49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3,606</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Bonus</w:t>
            </w: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1,133</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 benefits</w:t>
            </w:r>
          </w:p>
        </w:tc>
        <w:tc>
          <w:tcPr>
            <w:tcW w:w="49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119</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Pension contributions</w:t>
            </w:r>
          </w:p>
        </w:tc>
        <w:tc>
          <w:tcPr>
            <w:tcW w:w="4960" w:type="dxa"/>
            <w:vAlign w:val="bottom"/>
          </w:tcPr>
          <w:p>
            <w:pPr>
              <w:jc w:val="right"/>
              <w:ind w:right="280"/>
              <w:spacing w:after="0"/>
              <w:rPr>
                <w:sz w:val="20"/>
                <w:szCs w:val="20"/>
                <w:color w:val="auto"/>
              </w:rPr>
            </w:pPr>
            <w:r>
              <w:rPr>
                <w:rFonts w:ascii="Arial" w:cs="Arial" w:eastAsia="Arial" w:hAnsi="Arial"/>
                <w:sz w:val="16"/>
                <w:szCs w:val="16"/>
                <w:b w:val="1"/>
                <w:bCs w:val="1"/>
                <w:color w:val="auto"/>
              </w:rPr>
              <w:t>393</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Share based payments</w:t>
            </w:r>
          </w:p>
        </w:tc>
        <w:tc>
          <w:tcPr>
            <w:tcW w:w="49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16,534</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9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21,785</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23,018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Details of ordinary shares, share options, RSUs and PSUs held by the Directors and Executive Officers are set out in note 9.</w:t>
      </w:r>
    </w:p>
    <w:p>
      <w:pPr>
        <w:spacing w:after="0" w:line="224" w:lineRule="exact"/>
        <w:rPr>
          <w:sz w:val="20"/>
          <w:szCs w:val="20"/>
          <w:color w:val="auto"/>
        </w:rPr>
      </w:pPr>
    </w:p>
    <w:p>
      <w:pPr>
        <w:ind w:left="4" w:right="500"/>
        <w:spacing w:after="0" w:line="277" w:lineRule="auto"/>
        <w:rPr>
          <w:sz w:val="20"/>
          <w:szCs w:val="20"/>
          <w:color w:val="auto"/>
        </w:rPr>
      </w:pPr>
      <w:r>
        <w:rPr>
          <w:rFonts w:ascii="Arial" w:cs="Arial" w:eastAsia="Arial" w:hAnsi="Arial"/>
          <w:sz w:val="16"/>
          <w:szCs w:val="16"/>
          <w:color w:val="auto"/>
        </w:rPr>
        <w:t>Details of transactions entered into by Directors and Key Executive Officers in shares and share options of the Company during the year ended 31 December 2016 were as follows: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Share options exercised and sold</w:t>
            </w:r>
          </w:p>
        </w:tc>
        <w:tc>
          <w:tcPr>
            <w:tcW w:w="4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Average</w:t>
            </w:r>
          </w:p>
        </w:tc>
        <w:tc>
          <w:tcPr>
            <w:tcW w:w="440" w:type="dxa"/>
            <w:vAlign w:val="bottom"/>
          </w:tcPr>
          <w:p>
            <w:pPr>
              <w:spacing w:after="0"/>
              <w:rPr>
                <w:sz w:val="18"/>
                <w:szCs w:val="18"/>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800" w:type="dxa"/>
            <w:vAlign w:val="bottom"/>
          </w:tcPr>
          <w:p>
            <w:pPr>
              <w:jc w:val="right"/>
              <w:ind w:right="40"/>
              <w:spacing w:after="0"/>
              <w:rPr>
                <w:sz w:val="20"/>
                <w:szCs w:val="20"/>
                <w:color w:val="auto"/>
              </w:rPr>
            </w:pPr>
            <w:r>
              <w:rPr>
                <w:rFonts w:ascii="Arial" w:cs="Arial" w:eastAsia="Arial" w:hAnsi="Arial"/>
                <w:sz w:val="16"/>
                <w:szCs w:val="16"/>
                <w:b w:val="1"/>
                <w:bCs w:val="1"/>
                <w:color w:val="auto"/>
              </w:rPr>
              <w:t>Number of</w:t>
            </w:r>
          </w:p>
        </w:tc>
        <w:tc>
          <w:tcPr>
            <w:tcW w:w="4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Exercise</w:t>
            </w:r>
          </w:p>
        </w:tc>
        <w:tc>
          <w:tcPr>
            <w:tcW w:w="44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Vest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800" w:type="dxa"/>
            <w:vAlign w:val="bottom"/>
          </w:tcPr>
          <w:p>
            <w:pPr>
              <w:jc w:val="right"/>
              <w:ind w:right="40"/>
              <w:spacing w:after="0"/>
              <w:rPr>
                <w:sz w:val="20"/>
                <w:szCs w:val="20"/>
                <w:color w:val="auto"/>
              </w:rPr>
            </w:pPr>
            <w:r>
              <w:rPr>
                <w:rFonts w:ascii="Arial" w:cs="Arial" w:eastAsia="Arial" w:hAnsi="Arial"/>
                <w:sz w:val="16"/>
                <w:szCs w:val="16"/>
                <w:b w:val="1"/>
                <w:bCs w:val="1"/>
                <w:color w:val="auto"/>
              </w:rPr>
              <w:t>Share Options</w:t>
            </w:r>
          </w:p>
        </w:tc>
        <w:tc>
          <w:tcPr>
            <w:tcW w:w="4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Price</w:t>
            </w:r>
          </w:p>
        </w:tc>
        <w:tc>
          <w:tcPr>
            <w:tcW w:w="4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27,921</w:t>
            </w:r>
          </w:p>
        </w:tc>
        <w:tc>
          <w:tcPr>
            <w:tcW w:w="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35.57</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76.38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8,025</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30.94</w:t>
            </w: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 William Hall</w:t>
            </w:r>
          </w:p>
        </w:tc>
        <w:tc>
          <w:tcPr>
            <w:tcW w:w="4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8,500</w:t>
            </w:r>
          </w:p>
        </w:tc>
        <w:tc>
          <w:tcPr>
            <w:tcW w:w="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36.35</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83.21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Dr. Ronan Lambe</w:t>
            </w:r>
          </w:p>
        </w:tc>
        <w:tc>
          <w:tcPr>
            <w:tcW w:w="4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2,000</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22.26</w:t>
            </w: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Thomas Lynch</w:t>
            </w:r>
          </w:p>
        </w:tc>
        <w:tc>
          <w:tcPr>
            <w:tcW w:w="4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6,000</w:t>
            </w:r>
          </w:p>
        </w:tc>
        <w:tc>
          <w:tcPr>
            <w:tcW w:w="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24.50</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9,910</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29.33</w:t>
            </w: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73.16</w:t>
            </w:r>
          </w:p>
        </w:tc>
        <w:tc>
          <w:tcPr>
            <w:tcW w:w="0" w:type="dxa"/>
            <w:vAlign w:val="bottom"/>
          </w:tcPr>
          <w:p>
            <w:pPr>
              <w:spacing w:after="0"/>
              <w:rPr>
                <w:sz w:val="1"/>
                <w:szCs w:val="1"/>
                <w:color w:val="auto"/>
              </w:rPr>
            </w:pPr>
          </w:p>
        </w:tc>
      </w:tr>
      <w:tr>
        <w:trPr>
          <w:trHeight w:val="408"/>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Shares sold</w:t>
            </w: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Number</w:t>
            </w:r>
          </w:p>
        </w:tc>
        <w:tc>
          <w:tcPr>
            <w:tcW w:w="440" w:type="dxa"/>
            <w:vAlign w:val="bottom"/>
          </w:tcPr>
          <w:p>
            <w:pPr>
              <w:spacing w:after="0"/>
              <w:rPr>
                <w:sz w:val="24"/>
                <w:szCs w:val="24"/>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Sales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of Shares</w:t>
            </w:r>
          </w:p>
        </w:tc>
        <w:tc>
          <w:tcPr>
            <w:tcW w:w="4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John Climax</w:t>
            </w:r>
          </w:p>
        </w:tc>
        <w:tc>
          <w:tcPr>
            <w:tcW w:w="48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84.13</w:t>
            </w:r>
          </w:p>
        </w:tc>
        <w:tc>
          <w:tcPr>
            <w:tcW w:w="0" w:type="dxa"/>
            <w:vAlign w:val="bottom"/>
          </w:tcPr>
          <w:p>
            <w:pPr>
              <w:spacing w:after="0"/>
              <w:rPr>
                <w:sz w:val="1"/>
                <w:szCs w:val="1"/>
                <w:color w:val="auto"/>
              </w:rPr>
            </w:pPr>
          </w:p>
        </w:tc>
      </w:tr>
      <w:tr>
        <w:trPr>
          <w:trHeight w:val="408"/>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RSUs vested</w:t>
            </w: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Number</w:t>
            </w:r>
          </w:p>
        </w:tc>
        <w:tc>
          <w:tcPr>
            <w:tcW w:w="44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Vest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of Shares</w:t>
            </w:r>
          </w:p>
        </w:tc>
        <w:tc>
          <w:tcPr>
            <w:tcW w:w="4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8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91,594</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67.45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33,111</w:t>
            </w: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Ciaran Murray</w:t>
            </w:r>
          </w:p>
        </w:tc>
        <w:tc>
          <w:tcPr>
            <w:tcW w:w="48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214,218</w:t>
            </w:r>
          </w:p>
        </w:tc>
        <w:tc>
          <w:tcPr>
            <w:tcW w:w="4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14,768</w:t>
            </w: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800" w:type="dxa"/>
            <w:vAlign w:val="bottom"/>
          </w:tcPr>
          <w:p>
            <w:pPr>
              <w:jc w:val="right"/>
              <w:ind w:right="2840"/>
              <w:spacing w:after="0"/>
              <w:rPr>
                <w:sz w:val="20"/>
                <w:szCs w:val="20"/>
                <w:color w:val="auto"/>
              </w:rPr>
            </w:pPr>
            <w:r>
              <w:rPr>
                <w:rFonts w:ascii="Arial" w:cs="Arial" w:eastAsia="Arial" w:hAnsi="Arial"/>
                <w:sz w:val="16"/>
                <w:szCs w:val="16"/>
                <w:color w:val="auto"/>
              </w:rPr>
              <w:t>96</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339" w:right="21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Related parties </w:t>
      </w:r>
      <w:r>
        <w:rPr>
          <w:rFonts w:ascii="Arial" w:cs="Arial" w:eastAsia="Arial" w:hAnsi="Arial"/>
          <w:sz w:val="16"/>
          <w:szCs w:val="16"/>
          <w:b w:val="1"/>
          <w:bCs w:val="1"/>
          <w:i w:val="1"/>
          <w:iCs w:val="1"/>
          <w:color w:val="auto"/>
        </w:rPr>
        <w:t>(continued)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RSUs sold</w:t>
            </w:r>
          </w:p>
        </w:tc>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580" w:type="dxa"/>
            <w:vAlign w:val="bottom"/>
          </w:tcPr>
          <w:p>
            <w:pPr>
              <w:jc w:val="right"/>
              <w:ind w:right="40"/>
              <w:spacing w:after="0"/>
              <w:rPr>
                <w:sz w:val="20"/>
                <w:szCs w:val="20"/>
                <w:color w:val="auto"/>
              </w:rPr>
            </w:pPr>
            <w:r>
              <w:rPr>
                <w:rFonts w:ascii="Arial" w:cs="Arial" w:eastAsia="Arial" w:hAnsi="Arial"/>
                <w:sz w:val="16"/>
                <w:szCs w:val="16"/>
                <w:b w:val="1"/>
                <w:bCs w:val="1"/>
                <w:color w:val="auto"/>
              </w:rPr>
              <w:t>Number</w:t>
            </w:r>
          </w:p>
        </w:tc>
        <w:tc>
          <w:tcPr>
            <w:tcW w:w="54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Sales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580" w:type="dxa"/>
            <w:vAlign w:val="bottom"/>
          </w:tcPr>
          <w:p>
            <w:pPr>
              <w:jc w:val="right"/>
              <w:ind w:right="40"/>
              <w:spacing w:after="0"/>
              <w:rPr>
                <w:sz w:val="20"/>
                <w:szCs w:val="20"/>
                <w:color w:val="auto"/>
              </w:rPr>
            </w:pPr>
            <w:r>
              <w:rPr>
                <w:rFonts w:ascii="Arial" w:cs="Arial" w:eastAsia="Arial" w:hAnsi="Arial"/>
                <w:sz w:val="16"/>
                <w:szCs w:val="16"/>
                <w:b w:val="1"/>
                <w:bCs w:val="1"/>
                <w:color w:val="auto"/>
              </w:rPr>
              <w:t>of Shares</w:t>
            </w:r>
          </w:p>
        </w:tc>
        <w:tc>
          <w:tcPr>
            <w:tcW w:w="5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Dr. Steve Cutler</w:t>
            </w:r>
          </w:p>
        </w:tc>
        <w:tc>
          <w:tcPr>
            <w:tcW w:w="4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73,768</w:t>
            </w:r>
          </w:p>
        </w:tc>
        <w:tc>
          <w:tcPr>
            <w:tcW w:w="5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Brennan</w:t>
            </w:r>
          </w:p>
        </w:tc>
        <w:tc>
          <w:tcPr>
            <w:tcW w:w="4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31,750</w:t>
            </w:r>
          </w:p>
        </w:tc>
        <w:tc>
          <w:tcPr>
            <w:tcW w:w="5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Ciaran Murray</w:t>
            </w:r>
          </w:p>
        </w:tc>
        <w:tc>
          <w:tcPr>
            <w:tcW w:w="4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244,216</w:t>
            </w:r>
          </w:p>
        </w:tc>
        <w:tc>
          <w:tcPr>
            <w:tcW w:w="5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72.61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Diarmaid Cunningham</w:t>
            </w:r>
          </w:p>
        </w:tc>
        <w:tc>
          <w:tcPr>
            <w:tcW w:w="4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14,860</w:t>
            </w:r>
          </w:p>
        </w:tc>
        <w:tc>
          <w:tcPr>
            <w:tcW w:w="5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71.56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i w:val="1"/>
          <w:iCs w:val="1"/>
          <w:color w:val="auto"/>
        </w:rPr>
        <w:t>Other Related Party Transactions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Subsidiaries of the Company earned revenue of $100,000 (2015: $100,000) from Dignity Sciences Limited during the year. Dr. John Climax is Chief Executive Officer and both Dr. John Climax and Dr. Ronan Lambe are Directors and shareholders of Dignity Sciences Limited. $45,700 was recorded as due from Dignity Sciences Limited at 31 December 2016. The contract terms were agreed on an arm’s length basis.</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On 22 July 2016, Mr. Thomas Lynch retired as a Director of the Company, having previously resigned as Chairman of the Company in March 2016. The Company entered into an agreement with a company controlled by Mr. Lynch, for the provision of consultancy services for a period of three years from 1 August 2016, at an agreed fee of €231,750 ($256,315) per annum. €96,560 was recorded as due to Mr. Lynch under the terms of this agreement at 31 December 2016. Mr. Lynch also agreed to certain restrictions that will apply to him during the period of the consultancy agreement including non-disclosure, non-competition and non-solicitation.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Subsequent events</w:t>
      </w:r>
    </w:p>
    <w:p>
      <w:pPr>
        <w:spacing w:after="0" w:line="228"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On 1 March 2017, Mr. Ciaran Murray transitioned from Chief Executive Officer to Executive Chairman of the Board of Directors and Dr. Steve Cutler was appointed Chief Executive Officer. On this date, Declan McKeon stepped down as Chairman of the Board of Directors and was appointed lead independent director.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Subsidiary Undertakings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As at 31 December 2016 the Group had the following principal subsidiary undertakings: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360" w:type="dxa"/>
            <w:vAlign w:val="bottom"/>
          </w:tcPr>
          <w:p>
            <w:pPr>
              <w:ind w:left="860"/>
              <w:spacing w:after="0"/>
              <w:rPr>
                <w:sz w:val="20"/>
                <w:szCs w:val="20"/>
                <w:color w:val="auto"/>
              </w:rPr>
            </w:pPr>
            <w:r>
              <w:rPr>
                <w:rFonts w:ascii="Arial" w:cs="Arial" w:eastAsia="Arial" w:hAnsi="Arial"/>
                <w:sz w:val="16"/>
                <w:szCs w:val="16"/>
                <w:b w:val="1"/>
                <w:bCs w:val="1"/>
                <w:color w:val="auto"/>
              </w:rPr>
              <w:t>Registered Office</w:t>
            </w:r>
          </w:p>
        </w:tc>
        <w:tc>
          <w:tcPr>
            <w:tcW w:w="2100" w:type="dxa"/>
            <w:vAlign w:val="bottom"/>
          </w:tcPr>
          <w:p>
            <w:pPr>
              <w:ind w:left="620"/>
              <w:spacing w:after="0"/>
              <w:rPr>
                <w:sz w:val="20"/>
                <w:szCs w:val="20"/>
                <w:color w:val="auto"/>
              </w:rPr>
            </w:pPr>
            <w:r>
              <w:rPr>
                <w:rFonts w:ascii="Arial" w:cs="Arial" w:eastAsia="Arial" w:hAnsi="Arial"/>
                <w:sz w:val="16"/>
                <w:szCs w:val="16"/>
                <w:b w:val="1"/>
                <w:bCs w:val="1"/>
                <w:color w:val="auto"/>
              </w:rPr>
              <w:t>Nature of</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100" w:type="dxa"/>
            <w:vAlign w:val="bottom"/>
          </w:tcPr>
          <w:p>
            <w:pPr>
              <w:ind w:left="620"/>
              <w:spacing w:after="0"/>
              <w:rPr>
                <w:sz w:val="20"/>
                <w:szCs w:val="20"/>
                <w:color w:val="auto"/>
              </w:rPr>
            </w:pPr>
            <w:r>
              <w:rPr>
                <w:rFonts w:ascii="Arial" w:cs="Arial" w:eastAsia="Arial" w:hAnsi="Arial"/>
                <w:sz w:val="16"/>
                <w:szCs w:val="16"/>
                <w:b w:val="1"/>
                <w:bCs w:val="1"/>
                <w:color w:val="auto"/>
              </w:rPr>
              <w:t>business</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3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S.A.</w:t>
            </w:r>
          </w:p>
        </w:tc>
        <w:tc>
          <w:tcPr>
            <w:tcW w:w="3360" w:type="dxa"/>
            <w:vAlign w:val="bottom"/>
            <w:shd w:val="clear" w:color="auto" w:fill="CCEEFF"/>
          </w:tcPr>
          <w:p>
            <w:pPr>
              <w:ind w:left="860"/>
              <w:spacing w:after="0" w:line="180" w:lineRule="exact"/>
              <w:rPr>
                <w:sz w:val="20"/>
                <w:szCs w:val="20"/>
                <w:color w:val="auto"/>
              </w:rPr>
            </w:pPr>
            <w:r>
              <w:rPr>
                <w:rFonts w:ascii="Arial" w:cs="Arial" w:eastAsia="Arial" w:hAnsi="Arial"/>
                <w:sz w:val="16"/>
                <w:szCs w:val="16"/>
                <w:color w:val="auto"/>
              </w:rPr>
              <w:t>Avenida Leandro N. Alem</w:t>
            </w:r>
          </w:p>
        </w:tc>
        <w:tc>
          <w:tcPr>
            <w:tcW w:w="2100" w:type="dxa"/>
            <w:vAlign w:val="bottom"/>
            <w:shd w:val="clear" w:color="auto" w:fill="CCEEFF"/>
          </w:tcPr>
          <w:p>
            <w:pPr>
              <w:ind w:left="62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3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1110,</w:t>
            </w:r>
          </w:p>
        </w:tc>
        <w:tc>
          <w:tcPr>
            <w:tcW w:w="21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3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Piso 13°,</w:t>
            </w:r>
          </w:p>
        </w:tc>
        <w:tc>
          <w:tcPr>
            <w:tcW w:w="2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3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Ciudad Autónoma de Buenos</w:t>
            </w:r>
          </w:p>
        </w:tc>
        <w:tc>
          <w:tcPr>
            <w:tcW w:w="2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3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Aires,</w:t>
            </w:r>
          </w:p>
        </w:tc>
        <w:tc>
          <w:tcPr>
            <w:tcW w:w="2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Argentina</w:t>
            </w:r>
          </w:p>
        </w:tc>
        <w:tc>
          <w:tcPr>
            <w:tcW w:w="2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300" w:type="dxa"/>
            <w:vAlign w:val="bottom"/>
          </w:tcPr>
          <w:p>
            <w:pPr>
              <w:spacing w:after="0" w:line="180" w:lineRule="exact"/>
              <w:rPr>
                <w:sz w:val="20"/>
                <w:szCs w:val="20"/>
                <w:color w:val="auto"/>
              </w:rPr>
            </w:pPr>
            <w:r>
              <w:rPr>
                <w:rFonts w:ascii="Arial" w:cs="Arial" w:eastAsia="Arial" w:hAnsi="Arial"/>
                <w:sz w:val="16"/>
                <w:szCs w:val="16"/>
                <w:color w:val="auto"/>
              </w:rPr>
              <w:t>ICON Clinical Research PTY Limited</w:t>
            </w:r>
          </w:p>
        </w:tc>
        <w:tc>
          <w:tcPr>
            <w:tcW w:w="3360" w:type="dxa"/>
            <w:vAlign w:val="bottom"/>
          </w:tcPr>
          <w:p>
            <w:pPr>
              <w:ind w:left="860"/>
              <w:spacing w:after="0" w:line="180" w:lineRule="exact"/>
              <w:rPr>
                <w:sz w:val="20"/>
                <w:szCs w:val="20"/>
                <w:color w:val="auto"/>
              </w:rPr>
            </w:pPr>
            <w:r>
              <w:rPr>
                <w:rFonts w:ascii="Arial" w:cs="Arial" w:eastAsia="Arial" w:hAnsi="Arial"/>
                <w:sz w:val="16"/>
                <w:szCs w:val="16"/>
                <w:color w:val="auto"/>
              </w:rPr>
              <w:t>Suite 201,</w:t>
            </w:r>
          </w:p>
        </w:tc>
        <w:tc>
          <w:tcPr>
            <w:tcW w:w="2100" w:type="dxa"/>
            <w:vAlign w:val="bottom"/>
          </w:tcPr>
          <w:p>
            <w:pPr>
              <w:ind w:left="62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360" w:type="dxa"/>
            <w:vAlign w:val="bottom"/>
          </w:tcPr>
          <w:p>
            <w:pPr>
              <w:ind w:left="860"/>
              <w:spacing w:after="0"/>
              <w:rPr>
                <w:sz w:val="20"/>
                <w:szCs w:val="20"/>
                <w:color w:val="auto"/>
              </w:rPr>
            </w:pPr>
            <w:r>
              <w:rPr>
                <w:rFonts w:ascii="Arial" w:cs="Arial" w:eastAsia="Arial" w:hAnsi="Arial"/>
                <w:sz w:val="16"/>
                <w:szCs w:val="16"/>
                <w:color w:val="auto"/>
              </w:rPr>
              <w:t>Level 2, 2-4 Lyon Park Road,</w:t>
            </w:r>
          </w:p>
        </w:tc>
        <w:tc>
          <w:tcPr>
            <w:tcW w:w="2100" w:type="dxa"/>
            <w:vAlign w:val="bottom"/>
          </w:tcPr>
          <w:p>
            <w:pPr>
              <w:ind w:left="62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360" w:type="dxa"/>
            <w:vAlign w:val="bottom"/>
          </w:tcPr>
          <w:p>
            <w:pPr>
              <w:ind w:left="860"/>
              <w:spacing w:after="0"/>
              <w:rPr>
                <w:sz w:val="20"/>
                <w:szCs w:val="20"/>
                <w:color w:val="auto"/>
              </w:rPr>
            </w:pPr>
            <w:r>
              <w:rPr>
                <w:rFonts w:ascii="Arial" w:cs="Arial" w:eastAsia="Arial" w:hAnsi="Arial"/>
                <w:sz w:val="16"/>
                <w:szCs w:val="16"/>
                <w:color w:val="auto"/>
              </w:rPr>
              <w:t>North Ryde,</w:t>
            </w:r>
          </w:p>
        </w:tc>
        <w:tc>
          <w:tcPr>
            <w:tcW w:w="2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360" w:type="dxa"/>
            <w:vAlign w:val="bottom"/>
          </w:tcPr>
          <w:p>
            <w:pPr>
              <w:ind w:left="860"/>
              <w:spacing w:after="0"/>
              <w:rPr>
                <w:sz w:val="20"/>
                <w:szCs w:val="20"/>
                <w:color w:val="auto"/>
              </w:rPr>
            </w:pPr>
            <w:r>
              <w:rPr>
                <w:rFonts w:ascii="Arial" w:cs="Arial" w:eastAsia="Arial" w:hAnsi="Arial"/>
                <w:sz w:val="16"/>
                <w:szCs w:val="16"/>
                <w:color w:val="auto"/>
              </w:rPr>
              <w:t>NSW 2113</w:t>
            </w:r>
          </w:p>
        </w:tc>
        <w:tc>
          <w:tcPr>
            <w:tcW w:w="2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360" w:type="dxa"/>
            <w:vAlign w:val="bottom"/>
          </w:tcPr>
          <w:p>
            <w:pPr>
              <w:ind w:left="860"/>
              <w:spacing w:after="0"/>
              <w:rPr>
                <w:sz w:val="20"/>
                <w:szCs w:val="20"/>
                <w:color w:val="auto"/>
              </w:rPr>
            </w:pPr>
            <w:r>
              <w:rPr>
                <w:rFonts w:ascii="Arial" w:cs="Arial" w:eastAsia="Arial" w:hAnsi="Arial"/>
                <w:sz w:val="16"/>
                <w:szCs w:val="16"/>
                <w:color w:val="auto"/>
              </w:rPr>
              <w:t>Australia</w:t>
            </w:r>
          </w:p>
        </w:tc>
        <w:tc>
          <w:tcPr>
            <w:tcW w:w="2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60" w:type="dxa"/>
            <w:vAlign w:val="bottom"/>
          </w:tcPr>
          <w:p>
            <w:pPr>
              <w:ind w:left="2320"/>
              <w:spacing w:after="0"/>
              <w:rPr>
                <w:sz w:val="20"/>
                <w:szCs w:val="20"/>
                <w:color w:val="auto"/>
              </w:rPr>
            </w:pPr>
            <w:r>
              <w:rPr>
                <w:rFonts w:ascii="Arial" w:cs="Arial" w:eastAsia="Arial" w:hAnsi="Arial"/>
                <w:sz w:val="16"/>
                <w:szCs w:val="16"/>
                <w:color w:val="auto"/>
              </w:rPr>
              <w:t>97</w:t>
            </w:r>
          </w:p>
        </w:tc>
        <w:tc>
          <w:tcPr>
            <w:tcW w:w="2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9" w:right="2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200" w:type="dxa"/>
            <w:vAlign w:val="bottom"/>
          </w:tcPr>
          <w:p>
            <w:pPr>
              <w:ind w:left="540"/>
              <w:spacing w:after="0"/>
              <w:rPr>
                <w:sz w:val="20"/>
                <w:szCs w:val="20"/>
                <w:color w:val="auto"/>
              </w:rPr>
            </w:pPr>
            <w:r>
              <w:rPr>
                <w:rFonts w:ascii="Arial" w:cs="Arial" w:eastAsia="Arial" w:hAnsi="Arial"/>
                <w:sz w:val="16"/>
                <w:szCs w:val="16"/>
                <w:b w:val="1"/>
                <w:bCs w:val="1"/>
                <w:color w:val="auto"/>
              </w:rPr>
              <w:t>Registered Office</w:t>
            </w:r>
          </w:p>
        </w:tc>
        <w:tc>
          <w:tcPr>
            <w:tcW w:w="1940" w:type="dxa"/>
            <w:vAlign w:val="bottom"/>
          </w:tcPr>
          <w:p>
            <w:pPr>
              <w:ind w:left="460"/>
              <w:spacing w:after="0"/>
              <w:rPr>
                <w:sz w:val="20"/>
                <w:szCs w:val="20"/>
                <w:color w:val="auto"/>
              </w:rPr>
            </w:pPr>
            <w:r>
              <w:rPr>
                <w:rFonts w:ascii="Arial" w:cs="Arial" w:eastAsia="Arial" w:hAnsi="Arial"/>
                <w:sz w:val="16"/>
                <w:szCs w:val="16"/>
                <w:b w:val="1"/>
                <w:bCs w:val="1"/>
                <w:color w:val="auto"/>
              </w:rPr>
              <w:t>Nature of</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40" w:type="dxa"/>
            <w:vAlign w:val="bottom"/>
          </w:tcPr>
          <w:p>
            <w:pPr>
              <w:ind w:left="460"/>
              <w:spacing w:after="0"/>
              <w:rPr>
                <w:sz w:val="20"/>
                <w:szCs w:val="20"/>
                <w:color w:val="auto"/>
              </w:rPr>
            </w:pPr>
            <w:r>
              <w:rPr>
                <w:rFonts w:ascii="Arial" w:cs="Arial" w:eastAsia="Arial" w:hAnsi="Arial"/>
                <w:sz w:val="16"/>
                <w:szCs w:val="16"/>
                <w:b w:val="1"/>
                <w:bCs w:val="1"/>
                <w:color w:val="auto"/>
              </w:rPr>
              <w:t>business</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Austria GmbH</w:t>
            </w:r>
          </w:p>
        </w:tc>
        <w:tc>
          <w:tcPr>
            <w:tcW w:w="320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Pyrkergasse 10/6,</w:t>
            </w:r>
          </w:p>
        </w:tc>
        <w:tc>
          <w:tcPr>
            <w:tcW w:w="19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1190 Vienna,</w:t>
            </w:r>
          </w:p>
        </w:tc>
        <w:tc>
          <w:tcPr>
            <w:tcW w:w="1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Austria</w:t>
            </w:r>
          </w:p>
        </w:tc>
        <w:tc>
          <w:tcPr>
            <w:tcW w:w="19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DOCS International Belgium N.V.</w:t>
            </w:r>
          </w:p>
        </w:tc>
        <w:tc>
          <w:tcPr>
            <w:tcW w:w="3200" w:type="dxa"/>
            <w:vAlign w:val="bottom"/>
          </w:tcPr>
          <w:p>
            <w:pPr>
              <w:ind w:left="540"/>
              <w:spacing w:after="0" w:line="180" w:lineRule="exact"/>
              <w:rPr>
                <w:sz w:val="20"/>
                <w:szCs w:val="20"/>
                <w:color w:val="auto"/>
              </w:rPr>
            </w:pPr>
            <w:r>
              <w:rPr>
                <w:rFonts w:ascii="Arial" w:cs="Arial" w:eastAsia="Arial" w:hAnsi="Arial"/>
                <w:sz w:val="16"/>
                <w:szCs w:val="16"/>
                <w:color w:val="auto"/>
              </w:rPr>
              <w:t>Interleuvenlaan 62,</w:t>
            </w:r>
          </w:p>
        </w:tc>
        <w:tc>
          <w:tcPr>
            <w:tcW w:w="1940" w:type="dxa"/>
            <w:vAlign w:val="bottom"/>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3001 Heverlee,</w:t>
            </w:r>
          </w:p>
        </w:tc>
        <w:tc>
          <w:tcPr>
            <w:tcW w:w="1940" w:type="dxa"/>
            <w:vAlign w:val="bottom"/>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Belgium</w:t>
            </w:r>
          </w:p>
        </w:tc>
        <w:tc>
          <w:tcPr>
            <w:tcW w:w="1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Pesquisas Clínicas LTDA.</w:t>
            </w:r>
          </w:p>
        </w:tc>
        <w:tc>
          <w:tcPr>
            <w:tcW w:w="320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Av. Ibirapuera 2332,</w:t>
            </w:r>
          </w:p>
        </w:tc>
        <w:tc>
          <w:tcPr>
            <w:tcW w:w="19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Torre II 4º Andar,</w:t>
            </w:r>
          </w:p>
        </w:tc>
        <w:tc>
          <w:tcPr>
            <w:tcW w:w="1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São Paulo, SP,</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Brazil</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CEP 04028-003</w:t>
            </w:r>
          </w:p>
        </w:tc>
        <w:tc>
          <w:tcPr>
            <w:tcW w:w="19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Clinical Research EOOD</w:t>
            </w:r>
          </w:p>
        </w:tc>
        <w:tc>
          <w:tcPr>
            <w:tcW w:w="3200" w:type="dxa"/>
            <w:vAlign w:val="bottom"/>
          </w:tcPr>
          <w:p>
            <w:pPr>
              <w:ind w:left="540"/>
              <w:spacing w:after="0" w:line="180" w:lineRule="exact"/>
              <w:rPr>
                <w:sz w:val="20"/>
                <w:szCs w:val="20"/>
                <w:color w:val="auto"/>
              </w:rPr>
            </w:pPr>
            <w:r>
              <w:rPr>
                <w:rFonts w:ascii="Arial" w:cs="Arial" w:eastAsia="Arial" w:hAnsi="Arial"/>
                <w:sz w:val="16"/>
                <w:szCs w:val="16"/>
                <w:color w:val="auto"/>
              </w:rPr>
              <w:t>2A, Saborna Str.,</w:t>
            </w:r>
          </w:p>
        </w:tc>
        <w:tc>
          <w:tcPr>
            <w:tcW w:w="1940" w:type="dxa"/>
            <w:vAlign w:val="bottom"/>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4th floor, Sofia – 1000,</w:t>
            </w:r>
          </w:p>
        </w:tc>
        <w:tc>
          <w:tcPr>
            <w:tcW w:w="1940" w:type="dxa"/>
            <w:vAlign w:val="bottom"/>
          </w:tcPr>
          <w:p>
            <w:pPr>
              <w:ind w:left="460"/>
              <w:spacing w:after="0"/>
              <w:rPr>
                <w:sz w:val="20"/>
                <w:szCs w:val="20"/>
                <w:color w:val="auto"/>
              </w:rPr>
            </w:pPr>
            <w:r>
              <w:rPr>
                <w:rFonts w:ascii="Arial" w:cs="Arial" w:eastAsia="Arial" w:hAnsi="Arial"/>
                <w:sz w:val="16"/>
                <w:szCs w:val="16"/>
                <w:color w:val="auto"/>
              </w:rPr>
              <w:t>service</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Republic of Bulgaria</w:t>
            </w:r>
          </w:p>
        </w:tc>
        <w:tc>
          <w:tcPr>
            <w:tcW w:w="1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(Canada) Inc.</w:t>
            </w:r>
          </w:p>
        </w:tc>
        <w:tc>
          <w:tcPr>
            <w:tcW w:w="320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7405 Trans-Canada Highway,</w:t>
            </w:r>
          </w:p>
        </w:tc>
        <w:tc>
          <w:tcPr>
            <w:tcW w:w="19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Suite 300 Saint-Laurent,</w:t>
            </w:r>
          </w:p>
        </w:tc>
        <w:tc>
          <w:tcPr>
            <w:tcW w:w="1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Quebec, H4T 1Z2</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Canada</w:t>
            </w:r>
          </w:p>
        </w:tc>
        <w:tc>
          <w:tcPr>
            <w:tcW w:w="19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Oxford Outcomes LTD.</w:t>
            </w:r>
          </w:p>
        </w:tc>
        <w:tc>
          <w:tcPr>
            <w:tcW w:w="3200" w:type="dxa"/>
            <w:vAlign w:val="bottom"/>
          </w:tcPr>
          <w:p>
            <w:pPr>
              <w:ind w:left="540"/>
              <w:spacing w:after="0" w:line="180" w:lineRule="exact"/>
              <w:rPr>
                <w:sz w:val="20"/>
                <w:szCs w:val="20"/>
                <w:color w:val="auto"/>
              </w:rPr>
            </w:pPr>
            <w:r>
              <w:rPr>
                <w:rFonts w:ascii="Arial" w:cs="Arial" w:eastAsia="Arial" w:hAnsi="Arial"/>
                <w:sz w:val="16"/>
                <w:szCs w:val="16"/>
                <w:color w:val="auto"/>
              </w:rPr>
              <w:t>19th Floor,</w:t>
            </w:r>
          </w:p>
        </w:tc>
        <w:tc>
          <w:tcPr>
            <w:tcW w:w="1940" w:type="dxa"/>
            <w:vAlign w:val="bottom"/>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885 West Georgia Street,</w:t>
            </w:r>
          </w:p>
        </w:tc>
        <w:tc>
          <w:tcPr>
            <w:tcW w:w="1940" w:type="dxa"/>
            <w:vAlign w:val="bottom"/>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Vancouver BC, V6C 3H4</w:t>
            </w: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Canada</w:t>
            </w:r>
          </w:p>
        </w:tc>
        <w:tc>
          <w:tcPr>
            <w:tcW w:w="1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Chile Limitada</w:t>
            </w:r>
          </w:p>
        </w:tc>
        <w:tc>
          <w:tcPr>
            <w:tcW w:w="320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Huerfanos 770,</w:t>
            </w:r>
          </w:p>
        </w:tc>
        <w:tc>
          <w:tcPr>
            <w:tcW w:w="19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Piso 4,</w:t>
            </w:r>
          </w:p>
        </w:tc>
        <w:tc>
          <w:tcPr>
            <w:tcW w:w="1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Oficina 402,</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Santiago,</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Chile</w:t>
            </w:r>
          </w:p>
        </w:tc>
        <w:tc>
          <w:tcPr>
            <w:tcW w:w="19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Clinical Research (Beijing No.2) Co., Ltd</w:t>
            </w:r>
          </w:p>
        </w:tc>
        <w:tc>
          <w:tcPr>
            <w:tcW w:w="3200" w:type="dxa"/>
            <w:vAlign w:val="bottom"/>
          </w:tcPr>
          <w:p>
            <w:pPr>
              <w:ind w:left="540"/>
              <w:spacing w:after="0" w:line="180" w:lineRule="exact"/>
              <w:rPr>
                <w:sz w:val="20"/>
                <w:szCs w:val="20"/>
                <w:color w:val="auto"/>
              </w:rPr>
            </w:pPr>
            <w:r>
              <w:rPr>
                <w:rFonts w:ascii="Arial" w:cs="Arial" w:eastAsia="Arial" w:hAnsi="Arial"/>
                <w:sz w:val="16"/>
                <w:szCs w:val="16"/>
                <w:color w:val="auto"/>
              </w:rPr>
              <w:t>Room 335,</w:t>
            </w:r>
          </w:p>
        </w:tc>
        <w:tc>
          <w:tcPr>
            <w:tcW w:w="1940" w:type="dxa"/>
            <w:vAlign w:val="bottom"/>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No.8, An Ning Zhuang East Road,</w:t>
            </w:r>
          </w:p>
        </w:tc>
        <w:tc>
          <w:tcPr>
            <w:tcW w:w="1940" w:type="dxa"/>
            <w:vAlign w:val="bottom"/>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Haidian District,</w:t>
            </w: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Beijing,</w:t>
            </w: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0" w:type="dxa"/>
            <w:vAlign w:val="bottom"/>
          </w:tcPr>
          <w:p>
            <w:pPr>
              <w:ind w:left="540"/>
              <w:spacing w:after="0"/>
              <w:rPr>
                <w:sz w:val="20"/>
                <w:szCs w:val="20"/>
                <w:color w:val="auto"/>
              </w:rPr>
            </w:pPr>
            <w:r>
              <w:rPr>
                <w:rFonts w:ascii="Arial" w:cs="Arial" w:eastAsia="Arial" w:hAnsi="Arial"/>
                <w:sz w:val="16"/>
                <w:szCs w:val="16"/>
                <w:color w:val="auto"/>
              </w:rPr>
              <w:t>China</w:t>
            </w:r>
          </w:p>
        </w:tc>
        <w:tc>
          <w:tcPr>
            <w:tcW w:w="1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(Beijing) Co., Ltd</w:t>
            </w:r>
          </w:p>
        </w:tc>
        <w:tc>
          <w:tcPr>
            <w:tcW w:w="320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Room B1101,</w:t>
            </w:r>
          </w:p>
        </w:tc>
        <w:tc>
          <w:tcPr>
            <w:tcW w:w="19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Tower No. 1,</w:t>
            </w:r>
          </w:p>
        </w:tc>
        <w:tc>
          <w:tcPr>
            <w:tcW w:w="1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 36 North 3rd Ring Road East,</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Dong Cheng District,</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Beijing, 100013</w:t>
            </w:r>
          </w:p>
        </w:tc>
        <w:tc>
          <w:tcPr>
            <w:tcW w:w="1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China</w:t>
            </w:r>
          </w:p>
        </w:tc>
        <w:tc>
          <w:tcPr>
            <w:tcW w:w="19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0" w:type="dxa"/>
            <w:vAlign w:val="bottom"/>
          </w:tcPr>
          <w:p>
            <w:pPr>
              <w:ind w:left="2000"/>
              <w:spacing w:after="0"/>
              <w:rPr>
                <w:sz w:val="20"/>
                <w:szCs w:val="20"/>
                <w:color w:val="auto"/>
              </w:rPr>
            </w:pPr>
            <w:r>
              <w:rPr>
                <w:rFonts w:ascii="Arial" w:cs="Arial" w:eastAsia="Arial" w:hAnsi="Arial"/>
                <w:sz w:val="16"/>
                <w:szCs w:val="16"/>
                <w:color w:val="auto"/>
              </w:rPr>
              <w:t>98</w:t>
            </w:r>
          </w:p>
        </w:tc>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9" w:right="2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Registered Office</w:t>
            </w:r>
          </w:p>
        </w:tc>
        <w:tc>
          <w:tcPr>
            <w:tcW w:w="1980" w:type="dxa"/>
            <w:vAlign w:val="bottom"/>
          </w:tcPr>
          <w:p>
            <w:pPr>
              <w:ind w:left="500"/>
              <w:spacing w:after="0"/>
              <w:rPr>
                <w:sz w:val="20"/>
                <w:szCs w:val="20"/>
                <w:color w:val="auto"/>
              </w:rPr>
            </w:pPr>
            <w:r>
              <w:rPr>
                <w:rFonts w:ascii="Arial" w:cs="Arial" w:eastAsia="Arial" w:hAnsi="Arial"/>
                <w:sz w:val="16"/>
                <w:szCs w:val="16"/>
                <w:b w:val="1"/>
                <w:bCs w:val="1"/>
                <w:color w:val="auto"/>
              </w:rPr>
              <w:t>Nature of</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980" w:type="dxa"/>
            <w:vAlign w:val="bottom"/>
          </w:tcPr>
          <w:p>
            <w:pPr>
              <w:ind w:left="500"/>
              <w:spacing w:after="0"/>
              <w:rPr>
                <w:sz w:val="20"/>
                <w:szCs w:val="20"/>
                <w:color w:val="auto"/>
              </w:rPr>
            </w:pPr>
            <w:r>
              <w:rPr>
                <w:rFonts w:ascii="Arial" w:cs="Arial" w:eastAsia="Arial" w:hAnsi="Arial"/>
                <w:sz w:val="16"/>
                <w:szCs w:val="16"/>
                <w:b w:val="1"/>
                <w:bCs w:val="1"/>
                <w:color w:val="auto"/>
              </w:rPr>
              <w:t>business</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Ispitivanja ICON d.o.o</w:t>
            </w:r>
          </w:p>
        </w:tc>
        <w:tc>
          <w:tcPr>
            <w:tcW w:w="298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Zagreb,</w:t>
            </w:r>
          </w:p>
        </w:tc>
        <w:tc>
          <w:tcPr>
            <w:tcW w:w="198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ICON Research Ltd.</w:t>
            </w: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Radnicka cesta 80,</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Croatia</w:t>
            </w:r>
          </w:p>
        </w:tc>
        <w:tc>
          <w:tcPr>
            <w:tcW w:w="1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ICON Clinical Research s.r.o.</w:t>
            </w:r>
          </w:p>
        </w:tc>
        <w:tc>
          <w:tcPr>
            <w:tcW w:w="2980" w:type="dxa"/>
            <w:vAlign w:val="bottom"/>
          </w:tcPr>
          <w:p>
            <w:pPr>
              <w:ind w:left="360"/>
              <w:spacing w:after="0" w:line="180" w:lineRule="exact"/>
              <w:rPr>
                <w:sz w:val="20"/>
                <w:szCs w:val="20"/>
                <w:color w:val="auto"/>
              </w:rPr>
            </w:pPr>
            <w:r>
              <w:rPr>
                <w:rFonts w:ascii="Arial" w:cs="Arial" w:eastAsia="Arial" w:hAnsi="Arial"/>
                <w:sz w:val="16"/>
                <w:szCs w:val="16"/>
                <w:color w:val="auto"/>
              </w:rPr>
              <w:t>V parku 2335/20,</w:t>
            </w:r>
          </w:p>
        </w:tc>
        <w:tc>
          <w:tcPr>
            <w:tcW w:w="1980" w:type="dxa"/>
            <w:vAlign w:val="bottom"/>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Praha 4 - Chodov,</w:t>
            </w:r>
          </w:p>
        </w:tc>
        <w:tc>
          <w:tcPr>
            <w:tcW w:w="1980" w:type="dxa"/>
            <w:vAlign w:val="bottom"/>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PSČ 148 00</w:t>
            </w: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Czech Republic</w:t>
            </w:r>
          </w:p>
        </w:tc>
        <w:tc>
          <w:tcPr>
            <w:tcW w:w="1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Nordic Countries A/S</w:t>
            </w:r>
          </w:p>
        </w:tc>
        <w:tc>
          <w:tcPr>
            <w:tcW w:w="298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Havnegade 29,</w:t>
            </w:r>
          </w:p>
        </w:tc>
        <w:tc>
          <w:tcPr>
            <w:tcW w:w="198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1058 København K,</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Denmark</w:t>
            </w:r>
          </w:p>
        </w:tc>
        <w:tc>
          <w:tcPr>
            <w:tcW w:w="1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DOCS International Finland Oy</w:t>
            </w:r>
          </w:p>
        </w:tc>
        <w:tc>
          <w:tcPr>
            <w:tcW w:w="2980" w:type="dxa"/>
            <w:vAlign w:val="bottom"/>
          </w:tcPr>
          <w:p>
            <w:pPr>
              <w:ind w:left="360"/>
              <w:spacing w:after="0" w:line="180" w:lineRule="exact"/>
              <w:rPr>
                <w:sz w:val="20"/>
                <w:szCs w:val="20"/>
                <w:color w:val="auto"/>
              </w:rPr>
            </w:pPr>
            <w:r>
              <w:rPr>
                <w:rFonts w:ascii="Arial" w:cs="Arial" w:eastAsia="Arial" w:hAnsi="Arial"/>
                <w:sz w:val="16"/>
                <w:szCs w:val="16"/>
                <w:color w:val="auto"/>
              </w:rPr>
              <w:t>Mannerheimintie 12B,</w:t>
            </w:r>
          </w:p>
        </w:tc>
        <w:tc>
          <w:tcPr>
            <w:tcW w:w="1980" w:type="dxa"/>
            <w:vAlign w:val="bottom"/>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00100 Helsinki,</w:t>
            </w:r>
          </w:p>
        </w:tc>
        <w:tc>
          <w:tcPr>
            <w:tcW w:w="1980" w:type="dxa"/>
            <w:vAlign w:val="bottom"/>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Finland</w:t>
            </w:r>
          </w:p>
        </w:tc>
        <w:tc>
          <w:tcPr>
            <w:tcW w:w="1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France S.A.S.</w:t>
            </w:r>
          </w:p>
        </w:tc>
        <w:tc>
          <w:tcPr>
            <w:tcW w:w="298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55 Avenue des Champs Pierreux,</w:t>
            </w:r>
          </w:p>
        </w:tc>
        <w:tc>
          <w:tcPr>
            <w:tcW w:w="198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Immeuble le Capitole,</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92000 Nanterre,</w:t>
            </w: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France</w:t>
            </w:r>
          </w:p>
        </w:tc>
        <w:tc>
          <w:tcPr>
            <w:tcW w:w="1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ICON Clinical Research S.A.R.L.</w:t>
            </w:r>
          </w:p>
        </w:tc>
        <w:tc>
          <w:tcPr>
            <w:tcW w:w="2980" w:type="dxa"/>
            <w:vAlign w:val="bottom"/>
          </w:tcPr>
          <w:p>
            <w:pPr>
              <w:ind w:left="360"/>
              <w:spacing w:after="0" w:line="180" w:lineRule="exact"/>
              <w:rPr>
                <w:sz w:val="20"/>
                <w:szCs w:val="20"/>
                <w:color w:val="auto"/>
              </w:rPr>
            </w:pPr>
            <w:r>
              <w:rPr>
                <w:rFonts w:ascii="Arial" w:cs="Arial" w:eastAsia="Arial" w:hAnsi="Arial"/>
                <w:sz w:val="16"/>
                <w:szCs w:val="16"/>
                <w:color w:val="auto"/>
              </w:rPr>
              <w:t>55 Avenue des Champs Pierreux,</w:t>
            </w:r>
          </w:p>
        </w:tc>
        <w:tc>
          <w:tcPr>
            <w:tcW w:w="1980" w:type="dxa"/>
            <w:vAlign w:val="bottom"/>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Immeuble le Capitole,</w:t>
            </w:r>
          </w:p>
        </w:tc>
        <w:tc>
          <w:tcPr>
            <w:tcW w:w="1980" w:type="dxa"/>
            <w:vAlign w:val="bottom"/>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92000 Nanterre,</w:t>
            </w: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France</w:t>
            </w:r>
          </w:p>
        </w:tc>
        <w:tc>
          <w:tcPr>
            <w:tcW w:w="1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Germany GmbH</w:t>
            </w:r>
          </w:p>
        </w:tc>
        <w:tc>
          <w:tcPr>
            <w:tcW w:w="298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Theresienhöhe 28,</w:t>
            </w:r>
          </w:p>
        </w:tc>
        <w:tc>
          <w:tcPr>
            <w:tcW w:w="198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80339 München,</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Germany</w:t>
            </w:r>
          </w:p>
        </w:tc>
        <w:tc>
          <w:tcPr>
            <w:tcW w:w="1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ICON Clinical Research GmbH</w:t>
            </w:r>
          </w:p>
        </w:tc>
        <w:tc>
          <w:tcPr>
            <w:tcW w:w="2980" w:type="dxa"/>
            <w:vAlign w:val="bottom"/>
          </w:tcPr>
          <w:p>
            <w:pPr>
              <w:ind w:left="360"/>
              <w:spacing w:after="0" w:line="180" w:lineRule="exact"/>
              <w:rPr>
                <w:sz w:val="20"/>
                <w:szCs w:val="20"/>
                <w:color w:val="auto"/>
              </w:rPr>
            </w:pPr>
            <w:r>
              <w:rPr>
                <w:rFonts w:ascii="Arial" w:cs="Arial" w:eastAsia="Arial" w:hAnsi="Arial"/>
                <w:sz w:val="16"/>
                <w:szCs w:val="16"/>
                <w:color w:val="auto"/>
              </w:rPr>
              <w:t>Heinrich-Hertz-Straße 26,</w:t>
            </w:r>
          </w:p>
        </w:tc>
        <w:tc>
          <w:tcPr>
            <w:tcW w:w="1980" w:type="dxa"/>
            <w:vAlign w:val="bottom"/>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63225,</w:t>
            </w:r>
          </w:p>
        </w:tc>
        <w:tc>
          <w:tcPr>
            <w:tcW w:w="1980" w:type="dxa"/>
            <w:vAlign w:val="bottom"/>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Langen,</w:t>
            </w: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Hessen,</w:t>
            </w: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Germany</w:t>
            </w:r>
          </w:p>
        </w:tc>
        <w:tc>
          <w:tcPr>
            <w:tcW w:w="1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Hong Kong Limited</w:t>
            </w:r>
          </w:p>
        </w:tc>
        <w:tc>
          <w:tcPr>
            <w:tcW w:w="298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Level 43,</w:t>
            </w:r>
          </w:p>
        </w:tc>
        <w:tc>
          <w:tcPr>
            <w:tcW w:w="198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A/A Tower,</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183 Electric Road,</w:t>
            </w: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North Point,</w:t>
            </w: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Hong Kong</w:t>
            </w:r>
          </w:p>
        </w:tc>
        <w:tc>
          <w:tcPr>
            <w:tcW w:w="1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tcPr>
          <w:p>
            <w:pPr>
              <w:spacing w:after="0" w:line="180" w:lineRule="exact"/>
              <w:rPr>
                <w:sz w:val="20"/>
                <w:szCs w:val="20"/>
                <w:color w:val="auto"/>
              </w:rPr>
            </w:pPr>
            <w:r>
              <w:rPr>
                <w:rFonts w:ascii="Arial" w:cs="Arial" w:eastAsia="Arial" w:hAnsi="Arial"/>
                <w:sz w:val="16"/>
                <w:szCs w:val="16"/>
                <w:color w:val="auto"/>
              </w:rPr>
              <w:t>ICON Klinikai Kutató Korlátolt Felelősségű Társaság</w:t>
            </w:r>
          </w:p>
        </w:tc>
        <w:tc>
          <w:tcPr>
            <w:tcW w:w="2980" w:type="dxa"/>
            <w:vAlign w:val="bottom"/>
          </w:tcPr>
          <w:p>
            <w:pPr>
              <w:ind w:left="360"/>
              <w:spacing w:after="0" w:line="180" w:lineRule="exact"/>
              <w:rPr>
                <w:sz w:val="20"/>
                <w:szCs w:val="20"/>
                <w:color w:val="auto"/>
              </w:rPr>
            </w:pPr>
            <w:r>
              <w:rPr>
                <w:rFonts w:ascii="Arial" w:cs="Arial" w:eastAsia="Arial" w:hAnsi="Arial"/>
                <w:sz w:val="16"/>
                <w:szCs w:val="16"/>
                <w:color w:val="auto"/>
              </w:rPr>
              <w:t>1037 Budapest,</w:t>
            </w:r>
          </w:p>
        </w:tc>
        <w:tc>
          <w:tcPr>
            <w:tcW w:w="1980" w:type="dxa"/>
            <w:vAlign w:val="bottom"/>
          </w:tcPr>
          <w:p>
            <w:pPr>
              <w:ind w:left="5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3820" w:type="dxa"/>
            <w:vAlign w:val="bottom"/>
            <w:gridSpan w:val="2"/>
          </w:tcPr>
          <w:p>
            <w:pPr>
              <w:spacing w:after="0"/>
              <w:rPr>
                <w:sz w:val="20"/>
                <w:szCs w:val="20"/>
                <w:color w:val="auto"/>
              </w:rPr>
            </w:pPr>
            <w:r>
              <w:rPr>
                <w:rFonts w:ascii="Arial" w:cs="Arial" w:eastAsia="Arial" w:hAnsi="Arial"/>
                <w:sz w:val="16"/>
                <w:szCs w:val="16"/>
                <w:color w:val="auto"/>
              </w:rPr>
              <w:t>(ICON Clinical Research Limited Liability Company)</w:t>
            </w:r>
          </w:p>
        </w:tc>
        <w:tc>
          <w:tcPr>
            <w:tcW w:w="2980" w:type="dxa"/>
            <w:vAlign w:val="bottom"/>
          </w:tcPr>
          <w:p>
            <w:pPr>
              <w:ind w:left="360"/>
              <w:spacing w:after="0"/>
              <w:rPr>
                <w:sz w:val="20"/>
                <w:szCs w:val="20"/>
                <w:color w:val="auto"/>
              </w:rPr>
            </w:pPr>
            <w:r>
              <w:rPr>
                <w:rFonts w:ascii="Arial" w:cs="Arial" w:eastAsia="Arial" w:hAnsi="Arial"/>
                <w:sz w:val="16"/>
                <w:szCs w:val="16"/>
                <w:color w:val="auto"/>
              </w:rPr>
              <w:t>Szépvölgyi út 39.,</w:t>
            </w:r>
          </w:p>
        </w:tc>
        <w:tc>
          <w:tcPr>
            <w:tcW w:w="1980" w:type="dxa"/>
            <w:vAlign w:val="bottom"/>
          </w:tcPr>
          <w:p>
            <w:pPr>
              <w:ind w:left="5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Hungary</w:t>
            </w:r>
          </w:p>
        </w:tc>
        <w:tc>
          <w:tcPr>
            <w:tcW w:w="1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Arial" w:cs="Arial" w:eastAsia="Arial" w:hAnsi="Arial"/>
                <w:sz w:val="16"/>
                <w:szCs w:val="16"/>
                <w:color w:val="auto"/>
              </w:rPr>
              <w:t>99</w:t>
            </w:r>
          </w:p>
        </w:tc>
        <w:tc>
          <w:tcPr>
            <w:tcW w:w="1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55" w:right="2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Registered Office</w:t>
            </w:r>
          </w:p>
        </w:tc>
        <w:tc>
          <w:tcPr>
            <w:tcW w:w="2080" w:type="dxa"/>
            <w:vAlign w:val="bottom"/>
          </w:tcPr>
          <w:p>
            <w:pPr>
              <w:ind w:left="600"/>
              <w:spacing w:after="0"/>
              <w:rPr>
                <w:sz w:val="20"/>
                <w:szCs w:val="20"/>
                <w:color w:val="auto"/>
              </w:rPr>
            </w:pPr>
            <w:r>
              <w:rPr>
                <w:rFonts w:ascii="Arial" w:cs="Arial" w:eastAsia="Arial" w:hAnsi="Arial"/>
                <w:sz w:val="16"/>
                <w:szCs w:val="16"/>
                <w:b w:val="1"/>
                <w:bCs w:val="1"/>
                <w:color w:val="auto"/>
              </w:rPr>
              <w:t>Nature of</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ind w:left="600"/>
              <w:spacing w:after="0"/>
              <w:rPr>
                <w:sz w:val="20"/>
                <w:szCs w:val="20"/>
                <w:color w:val="auto"/>
              </w:rPr>
            </w:pPr>
            <w:r>
              <w:rPr>
                <w:rFonts w:ascii="Arial" w:cs="Arial" w:eastAsia="Arial" w:hAnsi="Arial"/>
                <w:sz w:val="16"/>
                <w:szCs w:val="16"/>
                <w:b w:val="1"/>
                <w:bCs w:val="1"/>
                <w:color w:val="auto"/>
              </w:rPr>
              <w:t>business</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India Private Limited</w:t>
            </w:r>
          </w:p>
        </w:tc>
        <w:tc>
          <w:tcPr>
            <w:tcW w:w="3040" w:type="dxa"/>
            <w:vAlign w:val="bottom"/>
            <w:shd w:val="clear" w:color="auto" w:fill="CCEEFF"/>
          </w:tcPr>
          <w:p>
            <w:pPr>
              <w:ind w:left="520"/>
              <w:spacing w:after="0" w:line="180" w:lineRule="exact"/>
              <w:rPr>
                <w:sz w:val="20"/>
                <w:szCs w:val="20"/>
                <w:color w:val="auto"/>
              </w:rPr>
            </w:pPr>
            <w:r>
              <w:rPr>
                <w:rFonts w:ascii="Arial" w:cs="Arial" w:eastAsia="Arial" w:hAnsi="Arial"/>
                <w:sz w:val="16"/>
                <w:szCs w:val="16"/>
                <w:color w:val="auto"/>
              </w:rPr>
              <w:t>RMZ Millenia Business Park,</w:t>
            </w:r>
          </w:p>
        </w:tc>
        <w:tc>
          <w:tcPr>
            <w:tcW w:w="2080" w:type="dxa"/>
            <w:vAlign w:val="bottom"/>
            <w:shd w:val="clear" w:color="auto" w:fill="CCEEFF"/>
          </w:tcPr>
          <w:p>
            <w:pPr>
              <w:ind w:left="6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Building 3A, 2nd Floor,</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 143, Dr. M G R Road,</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Kandanchavady,</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Chennai,</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Tamil Nadu - 600096</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India</w:t>
            </w:r>
          </w:p>
        </w:tc>
        <w:tc>
          <w:tcPr>
            <w:tcW w:w="20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tcPr>
          <w:p>
            <w:pPr>
              <w:spacing w:after="0" w:line="180" w:lineRule="exact"/>
              <w:rPr>
                <w:sz w:val="20"/>
                <w:szCs w:val="20"/>
                <w:color w:val="auto"/>
              </w:rPr>
            </w:pPr>
            <w:r>
              <w:rPr>
                <w:rFonts w:ascii="Arial" w:cs="Arial" w:eastAsia="Arial" w:hAnsi="Arial"/>
                <w:sz w:val="16"/>
                <w:szCs w:val="16"/>
                <w:color w:val="auto"/>
              </w:rPr>
              <w:t>DOCS Resourcing Limited</w:t>
            </w:r>
          </w:p>
        </w:tc>
        <w:tc>
          <w:tcPr>
            <w:tcW w:w="3040" w:type="dxa"/>
            <w:vAlign w:val="bottom"/>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tcPr>
          <w:p>
            <w:pPr>
              <w:ind w:left="6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tcPr>
          <w:p>
            <w:pPr>
              <w:ind w:left="6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International Unlimited Company</w:t>
            </w:r>
          </w:p>
        </w:tc>
        <w:tc>
          <w:tcPr>
            <w:tcW w:w="3040" w:type="dxa"/>
            <w:vAlign w:val="bottom"/>
            <w:shd w:val="clear" w:color="auto" w:fill="CCEEFF"/>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shd w:val="clear" w:color="auto" w:fill="CCEEFF"/>
          </w:tcPr>
          <w:p>
            <w:pPr>
              <w:ind w:left="6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services</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tcPr>
          <w:p>
            <w:pPr>
              <w:spacing w:after="0" w:line="180" w:lineRule="exact"/>
              <w:rPr>
                <w:sz w:val="20"/>
                <w:szCs w:val="20"/>
                <w:color w:val="auto"/>
              </w:rPr>
            </w:pPr>
            <w:r>
              <w:rPr>
                <w:rFonts w:ascii="Arial" w:cs="Arial" w:eastAsia="Arial" w:hAnsi="Arial"/>
                <w:sz w:val="16"/>
                <w:szCs w:val="16"/>
                <w:color w:val="auto"/>
              </w:rPr>
              <w:t>ICON Clinical Research Limited</w:t>
            </w:r>
          </w:p>
        </w:tc>
        <w:tc>
          <w:tcPr>
            <w:tcW w:w="3040" w:type="dxa"/>
            <w:vAlign w:val="bottom"/>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tcPr>
          <w:p>
            <w:pPr>
              <w:ind w:left="6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tcPr>
          <w:p>
            <w:pPr>
              <w:ind w:left="6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Property</w:t>
            </w:r>
          </w:p>
        </w:tc>
        <w:tc>
          <w:tcPr>
            <w:tcW w:w="3040" w:type="dxa"/>
            <w:vAlign w:val="bottom"/>
            <w:shd w:val="clear" w:color="auto" w:fill="CCEEFF"/>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shd w:val="clear" w:color="auto" w:fill="CCEEFF"/>
          </w:tcPr>
          <w:p>
            <w:pPr>
              <w:ind w:left="600"/>
              <w:spacing w:after="0" w:line="180" w:lineRule="exact"/>
              <w:rPr>
                <w:sz w:val="20"/>
                <w:szCs w:val="20"/>
                <w:color w:val="auto"/>
              </w:rPr>
            </w:pPr>
            <w:r>
              <w:rPr>
                <w:rFonts w:ascii="Arial" w:cs="Arial" w:eastAsia="Arial" w:hAnsi="Arial"/>
                <w:sz w:val="16"/>
                <w:szCs w:val="16"/>
                <w:color w:val="auto"/>
              </w:rPr>
              <w:t>Property</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Development (Ireland) Limited</w:t>
            </w: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management</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company</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tcPr>
          <w:p>
            <w:pPr>
              <w:spacing w:after="0" w:line="180" w:lineRule="exact"/>
              <w:rPr>
                <w:sz w:val="20"/>
                <w:szCs w:val="20"/>
                <w:color w:val="auto"/>
              </w:rPr>
            </w:pPr>
            <w:r>
              <w:rPr>
                <w:rFonts w:ascii="Arial" w:cs="Arial" w:eastAsia="Arial" w:hAnsi="Arial"/>
                <w:sz w:val="16"/>
                <w:szCs w:val="16"/>
                <w:color w:val="auto"/>
              </w:rPr>
              <w:t>ICON Holdings Unlimited Company</w:t>
            </w:r>
          </w:p>
        </w:tc>
        <w:tc>
          <w:tcPr>
            <w:tcW w:w="3040" w:type="dxa"/>
            <w:vAlign w:val="bottom"/>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tcPr>
          <w:p>
            <w:pPr>
              <w:ind w:left="600"/>
              <w:spacing w:after="0" w:line="180" w:lineRule="exact"/>
              <w:rPr>
                <w:sz w:val="20"/>
                <w:szCs w:val="20"/>
                <w:color w:val="auto"/>
              </w:rPr>
            </w:pPr>
            <w:r>
              <w:rPr>
                <w:rFonts w:ascii="Arial" w:cs="Arial" w:eastAsia="Arial" w:hAnsi="Arial"/>
                <w:sz w:val="16"/>
                <w:szCs w:val="16"/>
                <w:color w:val="auto"/>
              </w:rPr>
              <w:t>Investment</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tcPr>
          <w:p>
            <w:pPr>
              <w:ind w:left="600"/>
              <w:spacing w:after="0"/>
              <w:rPr>
                <w:sz w:val="20"/>
                <w:szCs w:val="20"/>
                <w:color w:val="auto"/>
              </w:rPr>
            </w:pPr>
            <w:r>
              <w:rPr>
                <w:rFonts w:ascii="Arial" w:cs="Arial" w:eastAsia="Arial" w:hAnsi="Arial"/>
                <w:sz w:val="16"/>
                <w:szCs w:val="16"/>
                <w:color w:val="auto"/>
              </w:rPr>
              <w:t>holding company</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Holdings Clinical Research</w:t>
            </w:r>
          </w:p>
        </w:tc>
        <w:tc>
          <w:tcPr>
            <w:tcW w:w="3040" w:type="dxa"/>
            <w:vAlign w:val="bottom"/>
            <w:shd w:val="clear" w:color="auto" w:fill="CCEEFF"/>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shd w:val="clear" w:color="auto" w:fill="CCEEFF"/>
          </w:tcPr>
          <w:p>
            <w:pPr>
              <w:ind w:left="600"/>
              <w:spacing w:after="0" w:line="180" w:lineRule="exact"/>
              <w:rPr>
                <w:sz w:val="20"/>
                <w:szCs w:val="20"/>
                <w:color w:val="auto"/>
              </w:rPr>
            </w:pPr>
            <w:r>
              <w:rPr>
                <w:rFonts w:ascii="Arial" w:cs="Arial" w:eastAsia="Arial" w:hAnsi="Arial"/>
                <w:sz w:val="16"/>
                <w:szCs w:val="16"/>
                <w:color w:val="auto"/>
              </w:rPr>
              <w:t>Investment</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International Limited</w:t>
            </w: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holding company</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tcPr>
          <w:p>
            <w:pPr>
              <w:spacing w:after="0" w:line="180" w:lineRule="exact"/>
              <w:rPr>
                <w:sz w:val="20"/>
                <w:szCs w:val="20"/>
                <w:color w:val="auto"/>
              </w:rPr>
            </w:pPr>
            <w:r>
              <w:rPr>
                <w:rFonts w:ascii="Arial" w:cs="Arial" w:eastAsia="Arial" w:hAnsi="Arial"/>
                <w:sz w:val="16"/>
                <w:szCs w:val="16"/>
                <w:color w:val="auto"/>
              </w:rPr>
              <w:t>ICON Investments Five Unlimited Company</w:t>
            </w:r>
          </w:p>
        </w:tc>
        <w:tc>
          <w:tcPr>
            <w:tcW w:w="3040" w:type="dxa"/>
            <w:vAlign w:val="bottom"/>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tcPr>
          <w:p>
            <w:pPr>
              <w:ind w:left="600"/>
              <w:spacing w:after="0" w:line="180" w:lineRule="exact"/>
              <w:rPr>
                <w:sz w:val="20"/>
                <w:szCs w:val="20"/>
                <w:color w:val="auto"/>
              </w:rPr>
            </w:pPr>
            <w:r>
              <w:rPr>
                <w:rFonts w:ascii="Arial" w:cs="Arial" w:eastAsia="Arial" w:hAnsi="Arial"/>
                <w:sz w:val="16"/>
                <w:szCs w:val="16"/>
                <w:color w:val="auto"/>
              </w:rPr>
              <w:t>Investment</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tcPr>
          <w:p>
            <w:pPr>
              <w:ind w:left="600"/>
              <w:spacing w:after="0"/>
              <w:rPr>
                <w:sz w:val="20"/>
                <w:szCs w:val="20"/>
                <w:color w:val="auto"/>
              </w:rPr>
            </w:pPr>
            <w:r>
              <w:rPr>
                <w:rFonts w:ascii="Arial" w:cs="Arial" w:eastAsia="Arial" w:hAnsi="Arial"/>
                <w:sz w:val="16"/>
                <w:szCs w:val="16"/>
                <w:color w:val="auto"/>
              </w:rPr>
              <w:t>holding and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tcPr>
          <w:p>
            <w:pPr>
              <w:ind w:left="600"/>
              <w:spacing w:after="0"/>
              <w:rPr>
                <w:sz w:val="20"/>
                <w:szCs w:val="20"/>
                <w:color w:val="auto"/>
              </w:rPr>
            </w:pPr>
            <w:r>
              <w:rPr>
                <w:rFonts w:ascii="Arial" w:cs="Arial" w:eastAsia="Arial" w:hAnsi="Arial"/>
                <w:sz w:val="16"/>
                <w:szCs w:val="16"/>
                <w:color w:val="auto"/>
              </w:rPr>
              <w:t>financing</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tcPr>
          <w:p>
            <w:pPr>
              <w:ind w:left="600"/>
              <w:spacing w:after="0"/>
              <w:rPr>
                <w:sz w:val="20"/>
                <w:szCs w:val="20"/>
                <w:color w:val="auto"/>
              </w:rPr>
            </w:pPr>
            <w:r>
              <w:rPr>
                <w:rFonts w:ascii="Arial" w:cs="Arial" w:eastAsia="Arial" w:hAnsi="Arial"/>
                <w:sz w:val="16"/>
                <w:szCs w:val="16"/>
                <w:color w:val="auto"/>
              </w:rPr>
              <w:t>company</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Investments Four Unlimited Company</w:t>
            </w:r>
          </w:p>
        </w:tc>
        <w:tc>
          <w:tcPr>
            <w:tcW w:w="3040" w:type="dxa"/>
            <w:vAlign w:val="bottom"/>
            <w:shd w:val="clear" w:color="auto" w:fill="CCEEFF"/>
          </w:tcPr>
          <w:p>
            <w:pPr>
              <w:ind w:left="520"/>
              <w:spacing w:after="0" w:line="180" w:lineRule="exact"/>
              <w:rPr>
                <w:sz w:val="20"/>
                <w:szCs w:val="20"/>
                <w:color w:val="auto"/>
              </w:rPr>
            </w:pPr>
            <w:r>
              <w:rPr>
                <w:rFonts w:ascii="Arial" w:cs="Arial" w:eastAsia="Arial" w:hAnsi="Arial"/>
                <w:sz w:val="16"/>
                <w:szCs w:val="16"/>
                <w:color w:val="auto"/>
              </w:rPr>
              <w:t>South County Business Park,</w:t>
            </w:r>
          </w:p>
        </w:tc>
        <w:tc>
          <w:tcPr>
            <w:tcW w:w="2080" w:type="dxa"/>
            <w:vAlign w:val="bottom"/>
            <w:shd w:val="clear" w:color="auto" w:fill="CCEEFF"/>
          </w:tcPr>
          <w:p>
            <w:pPr>
              <w:ind w:left="600"/>
              <w:spacing w:after="0" w:line="180" w:lineRule="exact"/>
              <w:rPr>
                <w:sz w:val="20"/>
                <w:szCs w:val="20"/>
                <w:color w:val="auto"/>
              </w:rPr>
            </w:pPr>
            <w:r>
              <w:rPr>
                <w:rFonts w:ascii="Arial" w:cs="Arial" w:eastAsia="Arial" w:hAnsi="Arial"/>
                <w:sz w:val="16"/>
                <w:szCs w:val="16"/>
                <w:color w:val="auto"/>
              </w:rPr>
              <w:t>Investment</w:t>
            </w:r>
          </w:p>
        </w:tc>
        <w:tc>
          <w:tcPr>
            <w:tcW w:w="2660" w:type="dxa"/>
            <w:vAlign w:val="bottom"/>
            <w:shd w:val="clear" w:color="auto" w:fill="CCEEFF"/>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Leopardstown,</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holding and</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Dublin 18,</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financing</w:t>
            </w: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Republic of Ireland</w:t>
            </w: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company</w:t>
            </w: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40" w:type="dxa"/>
            <w:vAlign w:val="bottom"/>
          </w:tcPr>
          <w:p>
            <w:pPr>
              <w:spacing w:after="0" w:line="180" w:lineRule="exact"/>
              <w:rPr>
                <w:sz w:val="20"/>
                <w:szCs w:val="20"/>
                <w:color w:val="auto"/>
              </w:rPr>
            </w:pPr>
            <w:r>
              <w:rPr>
                <w:rFonts w:ascii="Arial" w:cs="Arial" w:eastAsia="Arial" w:hAnsi="Arial"/>
                <w:sz w:val="16"/>
                <w:szCs w:val="16"/>
                <w:color w:val="auto"/>
              </w:rPr>
              <w:t>ICON Clinical Research Israel LTD.</w:t>
            </w:r>
          </w:p>
        </w:tc>
        <w:tc>
          <w:tcPr>
            <w:tcW w:w="3040" w:type="dxa"/>
            <w:vAlign w:val="bottom"/>
          </w:tcPr>
          <w:p>
            <w:pPr>
              <w:ind w:left="520"/>
              <w:spacing w:after="0" w:line="180" w:lineRule="exact"/>
              <w:rPr>
                <w:sz w:val="20"/>
                <w:szCs w:val="20"/>
                <w:color w:val="auto"/>
              </w:rPr>
            </w:pPr>
            <w:r>
              <w:rPr>
                <w:rFonts w:ascii="Arial" w:cs="Arial" w:eastAsia="Arial" w:hAnsi="Arial"/>
                <w:sz w:val="16"/>
                <w:szCs w:val="16"/>
                <w:color w:val="auto"/>
              </w:rPr>
              <w:t>6 Haba'al Shem Tov st.,</w:t>
            </w:r>
          </w:p>
        </w:tc>
        <w:tc>
          <w:tcPr>
            <w:tcW w:w="2080" w:type="dxa"/>
            <w:vAlign w:val="bottom"/>
          </w:tcPr>
          <w:p>
            <w:pPr>
              <w:ind w:left="600"/>
              <w:spacing w:after="0" w:line="180" w:lineRule="exact"/>
              <w:rPr>
                <w:sz w:val="20"/>
                <w:szCs w:val="20"/>
                <w:color w:val="auto"/>
              </w:rPr>
            </w:pPr>
            <w:r>
              <w:rPr>
                <w:rFonts w:ascii="Arial" w:cs="Arial" w:eastAsia="Arial" w:hAnsi="Arial"/>
                <w:sz w:val="16"/>
                <w:szCs w:val="16"/>
                <w:color w:val="auto"/>
              </w:rPr>
              <w:t>Clinical research</w:t>
            </w:r>
          </w:p>
        </w:tc>
        <w:tc>
          <w:tcPr>
            <w:tcW w:w="2660" w:type="dxa"/>
            <w:vAlign w:val="bottom"/>
          </w:tcPr>
          <w:p>
            <w:pPr>
              <w:ind w:left="3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North Industrial Area,</w:t>
            </w:r>
          </w:p>
        </w:tc>
        <w:tc>
          <w:tcPr>
            <w:tcW w:w="2080" w:type="dxa"/>
            <w:vAlign w:val="bottom"/>
          </w:tcPr>
          <w:p>
            <w:pPr>
              <w:ind w:left="600"/>
              <w:spacing w:after="0"/>
              <w:rPr>
                <w:sz w:val="20"/>
                <w:szCs w:val="20"/>
                <w:color w:val="auto"/>
              </w:rPr>
            </w:pPr>
            <w:r>
              <w:rPr>
                <w:rFonts w:ascii="Arial" w:cs="Arial" w:eastAsia="Arial" w:hAnsi="Arial"/>
                <w:sz w:val="16"/>
                <w:szCs w:val="16"/>
                <w:color w:val="auto"/>
              </w:rPr>
              <w:t>services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Lod,</w:t>
            </w:r>
          </w:p>
        </w:tc>
        <w:tc>
          <w:tcPr>
            <w:tcW w:w="2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40" w:type="dxa"/>
            <w:vAlign w:val="bottom"/>
          </w:tcPr>
          <w:p>
            <w:pPr>
              <w:ind w:left="520"/>
              <w:spacing w:after="0"/>
              <w:rPr>
                <w:sz w:val="20"/>
                <w:szCs w:val="20"/>
                <w:color w:val="auto"/>
              </w:rPr>
            </w:pPr>
            <w:r>
              <w:rPr>
                <w:rFonts w:ascii="Arial" w:cs="Arial" w:eastAsia="Arial" w:hAnsi="Arial"/>
                <w:sz w:val="16"/>
                <w:szCs w:val="16"/>
                <w:color w:val="auto"/>
              </w:rPr>
              <w:t>Israel, 7128906</w:t>
            </w:r>
          </w:p>
        </w:tc>
        <w:tc>
          <w:tcPr>
            <w:tcW w:w="20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40" w:type="dxa"/>
            <w:vAlign w:val="bottom"/>
          </w:tcPr>
          <w:p>
            <w:pPr>
              <w:ind w:left="1940"/>
              <w:spacing w:after="0"/>
              <w:rPr>
                <w:sz w:val="20"/>
                <w:szCs w:val="20"/>
                <w:color w:val="auto"/>
              </w:rPr>
            </w:pPr>
            <w:r>
              <w:rPr>
                <w:rFonts w:ascii="Arial" w:cs="Arial" w:eastAsia="Arial" w:hAnsi="Arial"/>
                <w:sz w:val="16"/>
                <w:szCs w:val="16"/>
                <w:color w:val="auto"/>
              </w:rPr>
              <w:t>100</w:t>
            </w:r>
          </w:p>
        </w:tc>
        <w:tc>
          <w:tcPr>
            <w:tcW w:w="2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9" w:right="2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360" w:type="dxa"/>
            <w:vAlign w:val="bottom"/>
          </w:tcPr>
          <w:p>
            <w:pPr>
              <w:ind w:left="540"/>
              <w:spacing w:after="0"/>
              <w:rPr>
                <w:sz w:val="20"/>
                <w:szCs w:val="20"/>
                <w:color w:val="auto"/>
              </w:rPr>
            </w:pPr>
            <w:r>
              <w:rPr>
                <w:rFonts w:ascii="Arial" w:cs="Arial" w:eastAsia="Arial" w:hAnsi="Arial"/>
                <w:sz w:val="16"/>
                <w:szCs w:val="16"/>
                <w:b w:val="1"/>
                <w:bCs w:val="1"/>
                <w:color w:val="auto"/>
              </w:rPr>
              <w:t>Registered Office</w:t>
            </w:r>
          </w:p>
        </w:tc>
        <w:tc>
          <w:tcPr>
            <w:tcW w:w="2040" w:type="dxa"/>
            <w:vAlign w:val="bottom"/>
          </w:tcPr>
          <w:p>
            <w:pPr>
              <w:ind w:left="300"/>
              <w:spacing w:after="0"/>
              <w:rPr>
                <w:sz w:val="20"/>
                <w:szCs w:val="20"/>
                <w:color w:val="auto"/>
              </w:rPr>
            </w:pPr>
            <w:r>
              <w:rPr>
                <w:rFonts w:ascii="Arial" w:cs="Arial" w:eastAsia="Arial" w:hAnsi="Arial"/>
                <w:sz w:val="16"/>
                <w:szCs w:val="16"/>
                <w:b w:val="1"/>
                <w:bCs w:val="1"/>
                <w:color w:val="auto"/>
              </w:rPr>
              <w:t>Nature of</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40" w:type="dxa"/>
            <w:vAlign w:val="bottom"/>
          </w:tcPr>
          <w:p>
            <w:pPr>
              <w:ind w:left="300"/>
              <w:spacing w:after="0"/>
              <w:rPr>
                <w:sz w:val="20"/>
                <w:szCs w:val="20"/>
                <w:color w:val="auto"/>
              </w:rPr>
            </w:pPr>
            <w:r>
              <w:rPr>
                <w:rFonts w:ascii="Arial" w:cs="Arial" w:eastAsia="Arial" w:hAnsi="Arial"/>
                <w:sz w:val="16"/>
                <w:szCs w:val="16"/>
                <w:b w:val="1"/>
                <w:bCs w:val="1"/>
                <w:color w:val="auto"/>
              </w:rPr>
              <w:t>business</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Italia S.R.L.</w:t>
            </w:r>
          </w:p>
        </w:tc>
        <w:tc>
          <w:tcPr>
            <w:tcW w:w="336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Via Benigno Crespi, 23,</w:t>
            </w:r>
          </w:p>
        </w:tc>
        <w:tc>
          <w:tcPr>
            <w:tcW w:w="204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20159 Milano,</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Italy</w:t>
            </w:r>
          </w:p>
        </w:tc>
        <w:tc>
          <w:tcPr>
            <w:tcW w:w="20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Japan K.K.</w:t>
            </w:r>
          </w:p>
        </w:tc>
        <w:tc>
          <w:tcPr>
            <w:tcW w:w="3360" w:type="dxa"/>
            <w:vAlign w:val="bottom"/>
          </w:tcPr>
          <w:p>
            <w:pPr>
              <w:ind w:left="540"/>
              <w:spacing w:after="0" w:line="180" w:lineRule="exact"/>
              <w:rPr>
                <w:sz w:val="20"/>
                <w:szCs w:val="20"/>
                <w:color w:val="auto"/>
              </w:rPr>
            </w:pPr>
            <w:r>
              <w:rPr>
                <w:rFonts w:ascii="Arial" w:cs="Arial" w:eastAsia="Arial" w:hAnsi="Arial"/>
                <w:sz w:val="16"/>
                <w:szCs w:val="16"/>
                <w:color w:val="auto"/>
              </w:rPr>
              <w:t>6F-7F MD Kanda Building,</w:t>
            </w:r>
          </w:p>
        </w:tc>
        <w:tc>
          <w:tcPr>
            <w:tcW w:w="2040" w:type="dxa"/>
            <w:vAlign w:val="bottom"/>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9-1 Kanda-Mitoshirocho,</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Chiyoda-Ku,</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Tokyo, 101-0053</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Japan</w:t>
            </w:r>
          </w:p>
        </w:tc>
        <w:tc>
          <w:tcPr>
            <w:tcW w:w="2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Niphix G.K.</w:t>
            </w:r>
          </w:p>
        </w:tc>
        <w:tc>
          <w:tcPr>
            <w:tcW w:w="336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21-7 Kabutocho,</w:t>
            </w:r>
          </w:p>
        </w:tc>
        <w:tc>
          <w:tcPr>
            <w:tcW w:w="204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Nihonbashi, Chuo-ku,</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Tokyo, 103-0026</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Japan</w:t>
            </w:r>
          </w:p>
        </w:tc>
        <w:tc>
          <w:tcPr>
            <w:tcW w:w="20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Investments Limited</w:t>
            </w:r>
          </w:p>
        </w:tc>
        <w:tc>
          <w:tcPr>
            <w:tcW w:w="3360" w:type="dxa"/>
            <w:vAlign w:val="bottom"/>
          </w:tcPr>
          <w:p>
            <w:pPr>
              <w:ind w:left="540"/>
              <w:spacing w:after="0" w:line="180" w:lineRule="exact"/>
              <w:rPr>
                <w:sz w:val="20"/>
                <w:szCs w:val="20"/>
                <w:color w:val="auto"/>
              </w:rPr>
            </w:pPr>
            <w:r>
              <w:rPr>
                <w:rFonts w:ascii="Arial" w:cs="Arial" w:eastAsia="Arial" w:hAnsi="Arial"/>
                <w:sz w:val="16"/>
                <w:szCs w:val="16"/>
                <w:color w:val="auto"/>
              </w:rPr>
              <w:t>PO Box 76,</w:t>
            </w:r>
          </w:p>
        </w:tc>
        <w:tc>
          <w:tcPr>
            <w:tcW w:w="2040" w:type="dxa"/>
            <w:vAlign w:val="bottom"/>
          </w:tcPr>
          <w:p>
            <w:pPr>
              <w:ind w:left="300"/>
              <w:spacing w:after="0" w:line="180" w:lineRule="exact"/>
              <w:rPr>
                <w:sz w:val="20"/>
                <w:szCs w:val="20"/>
                <w:color w:val="auto"/>
              </w:rPr>
            </w:pPr>
            <w:r>
              <w:rPr>
                <w:rFonts w:ascii="Arial" w:cs="Arial" w:eastAsia="Arial" w:hAnsi="Arial"/>
                <w:sz w:val="16"/>
                <w:szCs w:val="16"/>
                <w:color w:val="auto"/>
              </w:rPr>
              <w:t>Investment holding</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Kleinwort Benson House,</w:t>
            </w:r>
          </w:p>
        </w:tc>
        <w:tc>
          <w:tcPr>
            <w:tcW w:w="2040" w:type="dxa"/>
            <w:vAlign w:val="bottom"/>
          </w:tcPr>
          <w:p>
            <w:pPr>
              <w:ind w:left="300"/>
              <w:spacing w:after="0"/>
              <w:rPr>
                <w:sz w:val="20"/>
                <w:szCs w:val="20"/>
                <w:color w:val="auto"/>
              </w:rPr>
            </w:pPr>
            <w:r>
              <w:rPr>
                <w:rFonts w:ascii="Arial" w:cs="Arial" w:eastAsia="Arial" w:hAnsi="Arial"/>
                <w:sz w:val="16"/>
                <w:szCs w:val="16"/>
                <w:color w:val="auto"/>
              </w:rPr>
              <w:t>company</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Wests Centre,</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St. Helier, JE4 8PQ</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Jersey</w:t>
            </w:r>
          </w:p>
        </w:tc>
        <w:tc>
          <w:tcPr>
            <w:tcW w:w="2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Korea Yuhan Hoesa</w:t>
            </w:r>
          </w:p>
        </w:tc>
        <w:tc>
          <w:tcPr>
            <w:tcW w:w="336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18th Floor,</w:t>
            </w:r>
          </w:p>
        </w:tc>
        <w:tc>
          <w:tcPr>
            <w:tcW w:w="204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Capital Tower,</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142, Teheran-ro,</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Gangnam-gu,</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Seoul,</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135-924</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Republic of Korea</w:t>
            </w:r>
          </w:p>
        </w:tc>
        <w:tc>
          <w:tcPr>
            <w:tcW w:w="20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CRO Malaysia SDN. BHD.</w:t>
            </w:r>
          </w:p>
        </w:tc>
        <w:tc>
          <w:tcPr>
            <w:tcW w:w="3360" w:type="dxa"/>
            <w:vAlign w:val="bottom"/>
          </w:tcPr>
          <w:p>
            <w:pPr>
              <w:ind w:left="540"/>
              <w:spacing w:after="0" w:line="180" w:lineRule="exact"/>
              <w:rPr>
                <w:sz w:val="20"/>
                <w:szCs w:val="20"/>
                <w:color w:val="auto"/>
              </w:rPr>
            </w:pPr>
            <w:r>
              <w:rPr>
                <w:rFonts w:ascii="Arial" w:cs="Arial" w:eastAsia="Arial" w:hAnsi="Arial"/>
                <w:sz w:val="16"/>
                <w:szCs w:val="16"/>
                <w:color w:val="auto"/>
              </w:rPr>
              <w:t>Level 11,</w:t>
            </w:r>
          </w:p>
        </w:tc>
        <w:tc>
          <w:tcPr>
            <w:tcW w:w="2040" w:type="dxa"/>
            <w:vAlign w:val="bottom"/>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1 Sentral,</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Jalan Travers,</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Kuala Lumpur Sentral,</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50470 Kuala Lumpur,</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Malaysia</w:t>
            </w:r>
          </w:p>
        </w:tc>
        <w:tc>
          <w:tcPr>
            <w:tcW w:w="2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México, S.A. de C.V.</w:t>
            </w:r>
          </w:p>
        </w:tc>
        <w:tc>
          <w:tcPr>
            <w:tcW w:w="336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Av. Barranca del Muerto 329 3rd Floor,</w:t>
            </w:r>
          </w:p>
        </w:tc>
        <w:tc>
          <w:tcPr>
            <w:tcW w:w="204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Col. San Jose Insugentes,</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03900 Mexico D.F.</w:t>
            </w:r>
          </w:p>
        </w:tc>
        <w:tc>
          <w:tcPr>
            <w:tcW w:w="20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DOCS Insourcing B.V.</w:t>
            </w:r>
          </w:p>
        </w:tc>
        <w:tc>
          <w:tcPr>
            <w:tcW w:w="3360" w:type="dxa"/>
            <w:vAlign w:val="bottom"/>
          </w:tcPr>
          <w:p>
            <w:pPr>
              <w:ind w:left="540"/>
              <w:spacing w:after="0" w:line="180" w:lineRule="exact"/>
              <w:rPr>
                <w:sz w:val="20"/>
                <w:szCs w:val="20"/>
                <w:color w:val="auto"/>
              </w:rPr>
            </w:pPr>
            <w:r>
              <w:rPr>
                <w:rFonts w:ascii="Arial" w:cs="Arial" w:eastAsia="Arial" w:hAnsi="Arial"/>
                <w:sz w:val="16"/>
                <w:szCs w:val="16"/>
                <w:color w:val="auto"/>
              </w:rPr>
              <w:t>Boeing Avenue 62-68,</w:t>
            </w:r>
          </w:p>
        </w:tc>
        <w:tc>
          <w:tcPr>
            <w:tcW w:w="2040" w:type="dxa"/>
            <w:vAlign w:val="bottom"/>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1119PE Schiphol-Rijk,</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Netherlands</w:t>
            </w:r>
          </w:p>
        </w:tc>
        <w:tc>
          <w:tcPr>
            <w:tcW w:w="2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B.V.</w:t>
            </w:r>
          </w:p>
        </w:tc>
        <w:tc>
          <w:tcPr>
            <w:tcW w:w="336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rPr>
              <w:t>Boeing Avenue 62-68,</w:t>
            </w:r>
          </w:p>
        </w:tc>
        <w:tc>
          <w:tcPr>
            <w:tcW w:w="204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1119PE Schiphol-Rijk,</w:t>
            </w: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3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Netherlands</w:t>
            </w:r>
          </w:p>
        </w:tc>
        <w:tc>
          <w:tcPr>
            <w:tcW w:w="20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line="180" w:lineRule="exact"/>
              <w:rPr>
                <w:sz w:val="20"/>
                <w:szCs w:val="20"/>
                <w:color w:val="auto"/>
              </w:rPr>
            </w:pPr>
            <w:r>
              <w:rPr>
                <w:rFonts w:ascii="Arial" w:cs="Arial" w:eastAsia="Arial" w:hAnsi="Arial"/>
                <w:sz w:val="16"/>
                <w:szCs w:val="16"/>
                <w:color w:val="auto"/>
              </w:rPr>
              <w:t>ICON Clinical Research (New Zealand) Limited</w:t>
            </w:r>
          </w:p>
        </w:tc>
        <w:tc>
          <w:tcPr>
            <w:tcW w:w="3360" w:type="dxa"/>
            <w:vAlign w:val="bottom"/>
          </w:tcPr>
          <w:p>
            <w:pPr>
              <w:ind w:left="540"/>
              <w:spacing w:after="0" w:line="180" w:lineRule="exact"/>
              <w:rPr>
                <w:sz w:val="20"/>
                <w:szCs w:val="20"/>
                <w:color w:val="auto"/>
              </w:rPr>
            </w:pPr>
            <w:r>
              <w:rPr>
                <w:rFonts w:ascii="Arial" w:cs="Arial" w:eastAsia="Arial" w:hAnsi="Arial"/>
                <w:sz w:val="16"/>
                <w:szCs w:val="16"/>
                <w:color w:val="auto"/>
              </w:rPr>
              <w:t>Plaza Level,</w:t>
            </w:r>
          </w:p>
        </w:tc>
        <w:tc>
          <w:tcPr>
            <w:tcW w:w="2040" w:type="dxa"/>
            <w:vAlign w:val="bottom"/>
          </w:tcPr>
          <w:p>
            <w:pPr>
              <w:ind w:left="30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41 Shortland Street,</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Auckland,</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ind w:left="540"/>
              <w:spacing w:after="0"/>
              <w:rPr>
                <w:sz w:val="20"/>
                <w:szCs w:val="20"/>
                <w:color w:val="auto"/>
              </w:rPr>
            </w:pPr>
            <w:r>
              <w:rPr>
                <w:rFonts w:ascii="Arial" w:cs="Arial" w:eastAsia="Arial" w:hAnsi="Arial"/>
                <w:sz w:val="16"/>
                <w:szCs w:val="16"/>
                <w:color w:val="auto"/>
              </w:rPr>
              <w:t>New Zealand 1010</w:t>
            </w:r>
          </w:p>
        </w:tc>
        <w:tc>
          <w:tcPr>
            <w:tcW w:w="2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060" w:type="dxa"/>
            <w:vAlign w:val="bottom"/>
          </w:tcPr>
          <w:p>
            <w:pPr>
              <w:ind w:left="480"/>
              <w:spacing w:after="0"/>
              <w:rPr>
                <w:sz w:val="20"/>
                <w:szCs w:val="20"/>
                <w:color w:val="auto"/>
              </w:rPr>
            </w:pPr>
            <w:r>
              <w:rPr>
                <w:rFonts w:ascii="Arial" w:cs="Arial" w:eastAsia="Arial" w:hAnsi="Arial"/>
                <w:sz w:val="16"/>
                <w:szCs w:val="16"/>
                <w:b w:val="1"/>
                <w:bCs w:val="1"/>
                <w:color w:val="auto"/>
              </w:rPr>
              <w:t>Registered Office</w:t>
            </w:r>
          </w:p>
        </w:tc>
        <w:tc>
          <w:tcPr>
            <w:tcW w:w="2280" w:type="dxa"/>
            <w:vAlign w:val="bottom"/>
          </w:tcPr>
          <w:p>
            <w:pPr>
              <w:ind w:left="540"/>
              <w:spacing w:after="0"/>
              <w:rPr>
                <w:sz w:val="20"/>
                <w:szCs w:val="20"/>
                <w:color w:val="auto"/>
              </w:rPr>
            </w:pPr>
            <w:r>
              <w:rPr>
                <w:rFonts w:ascii="Arial" w:cs="Arial" w:eastAsia="Arial" w:hAnsi="Arial"/>
                <w:sz w:val="16"/>
                <w:szCs w:val="16"/>
                <w:b w:val="1"/>
                <w:bCs w:val="1"/>
                <w:color w:val="auto"/>
              </w:rPr>
              <w:t>Nature of</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80" w:type="dxa"/>
            <w:vAlign w:val="bottom"/>
          </w:tcPr>
          <w:p>
            <w:pPr>
              <w:ind w:left="540"/>
              <w:spacing w:after="0"/>
              <w:rPr>
                <w:sz w:val="20"/>
                <w:szCs w:val="20"/>
                <w:color w:val="auto"/>
              </w:rPr>
            </w:pPr>
            <w:r>
              <w:rPr>
                <w:rFonts w:ascii="Arial" w:cs="Arial" w:eastAsia="Arial" w:hAnsi="Arial"/>
                <w:sz w:val="16"/>
                <w:szCs w:val="16"/>
                <w:b w:val="1"/>
                <w:bCs w:val="1"/>
                <w:color w:val="auto"/>
              </w:rPr>
              <w:t>business</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Peru S.A.</w:t>
            </w:r>
          </w:p>
        </w:tc>
        <w:tc>
          <w:tcPr>
            <w:tcW w:w="3060" w:type="dxa"/>
            <w:vAlign w:val="bottom"/>
            <w:shd w:val="clear" w:color="auto" w:fill="CCEEFF"/>
          </w:tcPr>
          <w:p>
            <w:pPr>
              <w:ind w:left="480"/>
              <w:spacing w:after="0" w:line="180" w:lineRule="exact"/>
              <w:rPr>
                <w:sz w:val="20"/>
                <w:szCs w:val="20"/>
                <w:color w:val="auto"/>
              </w:rPr>
            </w:pPr>
            <w:r>
              <w:rPr>
                <w:rFonts w:ascii="Arial" w:cs="Arial" w:eastAsia="Arial" w:hAnsi="Arial"/>
                <w:sz w:val="16"/>
                <w:szCs w:val="16"/>
                <w:color w:val="auto"/>
              </w:rPr>
              <w:t>Av. Paseo de la Republica 5895,</w:t>
            </w:r>
          </w:p>
        </w:tc>
        <w:tc>
          <w:tcPr>
            <w:tcW w:w="228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Oficina 606,</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Miraflores,</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Lima 18,</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Peru</w:t>
            </w:r>
          </w:p>
        </w:tc>
        <w:tc>
          <w:tcPr>
            <w:tcW w:w="2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tcPr>
          <w:p>
            <w:pPr>
              <w:spacing w:after="0" w:line="180" w:lineRule="exact"/>
              <w:rPr>
                <w:sz w:val="20"/>
                <w:szCs w:val="20"/>
                <w:color w:val="auto"/>
              </w:rPr>
            </w:pPr>
            <w:r>
              <w:rPr>
                <w:rFonts w:ascii="Arial" w:cs="Arial" w:eastAsia="Arial" w:hAnsi="Arial"/>
                <w:sz w:val="16"/>
                <w:szCs w:val="16"/>
                <w:color w:val="auto"/>
              </w:rPr>
              <w:t>ICON Clinical Research Services Philippines, Inc.</w:t>
            </w:r>
          </w:p>
        </w:tc>
        <w:tc>
          <w:tcPr>
            <w:tcW w:w="3060" w:type="dxa"/>
            <w:vAlign w:val="bottom"/>
          </w:tcPr>
          <w:p>
            <w:pPr>
              <w:ind w:left="480"/>
              <w:spacing w:after="0" w:line="180" w:lineRule="exact"/>
              <w:rPr>
                <w:sz w:val="20"/>
                <w:szCs w:val="20"/>
                <w:color w:val="auto"/>
              </w:rPr>
            </w:pPr>
            <w:r>
              <w:rPr>
                <w:rFonts w:ascii="Arial" w:cs="Arial" w:eastAsia="Arial" w:hAnsi="Arial"/>
                <w:sz w:val="16"/>
                <w:szCs w:val="16"/>
                <w:color w:val="auto"/>
              </w:rPr>
              <w:t>24th Floor Salcedo Towers,</w:t>
            </w:r>
          </w:p>
        </w:tc>
        <w:tc>
          <w:tcPr>
            <w:tcW w:w="2280" w:type="dxa"/>
            <w:vAlign w:val="bottom"/>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169 H.V. Dela Costa Street,</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Salcedo Village,</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Makati City,</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Philippines 1227</w:t>
            </w:r>
          </w:p>
        </w:tc>
        <w:tc>
          <w:tcPr>
            <w:tcW w:w="2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Poland Sp. z o.o.</w:t>
            </w:r>
          </w:p>
        </w:tc>
        <w:tc>
          <w:tcPr>
            <w:tcW w:w="3060" w:type="dxa"/>
            <w:vAlign w:val="bottom"/>
            <w:shd w:val="clear" w:color="auto" w:fill="CCEEFF"/>
          </w:tcPr>
          <w:p>
            <w:pPr>
              <w:ind w:left="480"/>
              <w:spacing w:after="0" w:line="180" w:lineRule="exact"/>
              <w:rPr>
                <w:sz w:val="20"/>
                <w:szCs w:val="20"/>
                <w:color w:val="auto"/>
              </w:rPr>
            </w:pPr>
            <w:r>
              <w:rPr>
                <w:rFonts w:ascii="Arial" w:cs="Arial" w:eastAsia="Arial" w:hAnsi="Arial"/>
                <w:sz w:val="16"/>
                <w:szCs w:val="16"/>
                <w:color w:val="auto"/>
              </w:rPr>
              <w:t>Ul. Grojecka 5,</w:t>
            </w:r>
          </w:p>
        </w:tc>
        <w:tc>
          <w:tcPr>
            <w:tcW w:w="228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02-019 Warsaw,</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Poland</w:t>
            </w:r>
          </w:p>
        </w:tc>
        <w:tc>
          <w:tcPr>
            <w:tcW w:w="2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tcPr>
          <w:p>
            <w:pPr>
              <w:spacing w:after="0" w:line="180" w:lineRule="exact"/>
              <w:rPr>
                <w:sz w:val="20"/>
                <w:szCs w:val="20"/>
                <w:color w:val="auto"/>
              </w:rPr>
            </w:pPr>
            <w:r>
              <w:rPr>
                <w:rFonts w:ascii="Arial" w:cs="Arial" w:eastAsia="Arial" w:hAnsi="Arial"/>
                <w:sz w:val="16"/>
                <w:szCs w:val="16"/>
                <w:color w:val="auto"/>
              </w:rPr>
              <w:t>ICON Clinical Research Sp. z o.o.</w:t>
            </w:r>
          </w:p>
        </w:tc>
        <w:tc>
          <w:tcPr>
            <w:tcW w:w="3060" w:type="dxa"/>
            <w:vAlign w:val="bottom"/>
          </w:tcPr>
          <w:p>
            <w:pPr>
              <w:ind w:left="480"/>
              <w:spacing w:after="0" w:line="180" w:lineRule="exact"/>
              <w:rPr>
                <w:sz w:val="20"/>
                <w:szCs w:val="20"/>
                <w:color w:val="auto"/>
              </w:rPr>
            </w:pPr>
            <w:r>
              <w:rPr>
                <w:rFonts w:ascii="Arial" w:cs="Arial" w:eastAsia="Arial" w:hAnsi="Arial"/>
                <w:sz w:val="16"/>
                <w:szCs w:val="16"/>
                <w:color w:val="auto"/>
              </w:rPr>
              <w:t>Al. Jerozolimskie 56C,</w:t>
            </w:r>
          </w:p>
        </w:tc>
        <w:tc>
          <w:tcPr>
            <w:tcW w:w="2280" w:type="dxa"/>
            <w:vAlign w:val="bottom"/>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00-803,</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Warsaw,</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Poland</w:t>
            </w:r>
          </w:p>
        </w:tc>
        <w:tc>
          <w:tcPr>
            <w:tcW w:w="2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S.R.L.</w:t>
            </w:r>
          </w:p>
        </w:tc>
        <w:tc>
          <w:tcPr>
            <w:tcW w:w="3060" w:type="dxa"/>
            <w:vAlign w:val="bottom"/>
            <w:shd w:val="clear" w:color="auto" w:fill="CCEEFF"/>
          </w:tcPr>
          <w:p>
            <w:pPr>
              <w:ind w:left="480"/>
              <w:spacing w:after="0" w:line="180" w:lineRule="exact"/>
              <w:rPr>
                <w:sz w:val="20"/>
                <w:szCs w:val="20"/>
                <w:color w:val="auto"/>
              </w:rPr>
            </w:pPr>
            <w:r>
              <w:rPr>
                <w:rFonts w:ascii="Arial" w:cs="Arial" w:eastAsia="Arial" w:hAnsi="Arial"/>
                <w:sz w:val="16"/>
                <w:szCs w:val="16"/>
                <w:color w:val="auto"/>
              </w:rPr>
              <w:t>Calea Floreasca,</w:t>
            </w:r>
          </w:p>
        </w:tc>
        <w:tc>
          <w:tcPr>
            <w:tcW w:w="228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Nr 133-137, Et. 3,</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Bucuruesti,</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Sector 1,</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Romania</w:t>
            </w:r>
          </w:p>
        </w:tc>
        <w:tc>
          <w:tcPr>
            <w:tcW w:w="2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ind w:left="20"/>
              <w:spacing w:after="0" w:line="180" w:lineRule="exact"/>
              <w:rPr>
                <w:sz w:val="20"/>
                <w:szCs w:val="20"/>
                <w:color w:val="auto"/>
              </w:rPr>
            </w:pPr>
            <w:r>
              <w:rPr>
                <w:rFonts w:ascii="Arial" w:cs="Arial" w:eastAsia="Arial" w:hAnsi="Arial"/>
                <w:sz w:val="16"/>
                <w:szCs w:val="16"/>
                <w:color w:val="auto"/>
              </w:rPr>
              <w:t>ICON Clinical Research (Rus) LLC</w:t>
            </w:r>
          </w:p>
        </w:tc>
        <w:tc>
          <w:tcPr>
            <w:tcW w:w="3060" w:type="dxa"/>
            <w:vAlign w:val="bottom"/>
          </w:tcPr>
          <w:p>
            <w:pPr>
              <w:ind w:left="480"/>
              <w:spacing w:after="0" w:line="180" w:lineRule="exact"/>
              <w:rPr>
                <w:sz w:val="20"/>
                <w:szCs w:val="20"/>
                <w:color w:val="auto"/>
              </w:rPr>
            </w:pPr>
            <w:r>
              <w:rPr>
                <w:rFonts w:ascii="Arial" w:cs="Arial" w:eastAsia="Arial" w:hAnsi="Arial"/>
                <w:sz w:val="16"/>
                <w:szCs w:val="16"/>
                <w:color w:val="auto"/>
              </w:rPr>
              <w:t>24D Smolnaya Street,</w:t>
            </w:r>
          </w:p>
        </w:tc>
        <w:tc>
          <w:tcPr>
            <w:tcW w:w="2280" w:type="dxa"/>
            <w:vAlign w:val="bottom"/>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Moscow, 125445,</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2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d.o.o. Beograd</w:t>
            </w:r>
          </w:p>
        </w:tc>
        <w:tc>
          <w:tcPr>
            <w:tcW w:w="3060" w:type="dxa"/>
            <w:vAlign w:val="bottom"/>
            <w:shd w:val="clear" w:color="auto" w:fill="CCEEFF"/>
          </w:tcPr>
          <w:p>
            <w:pPr>
              <w:ind w:left="480"/>
              <w:spacing w:after="0" w:line="180" w:lineRule="exact"/>
              <w:rPr>
                <w:sz w:val="20"/>
                <w:szCs w:val="20"/>
                <w:color w:val="auto"/>
              </w:rPr>
            </w:pPr>
            <w:r>
              <w:rPr>
                <w:rFonts w:ascii="Arial" w:cs="Arial" w:eastAsia="Arial" w:hAnsi="Arial"/>
                <w:sz w:val="16"/>
                <w:szCs w:val="16"/>
                <w:color w:val="auto"/>
              </w:rPr>
              <w:t>4th Floor,</w:t>
            </w:r>
          </w:p>
        </w:tc>
        <w:tc>
          <w:tcPr>
            <w:tcW w:w="228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Bulevar Zorana Djindjica 64a,</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11070 Belgrade,</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Serbia</w:t>
            </w:r>
          </w:p>
        </w:tc>
        <w:tc>
          <w:tcPr>
            <w:tcW w:w="2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tcPr>
          <w:p>
            <w:pPr>
              <w:spacing w:after="0" w:line="180" w:lineRule="exact"/>
              <w:rPr>
                <w:sz w:val="20"/>
                <w:szCs w:val="20"/>
                <w:color w:val="auto"/>
              </w:rPr>
            </w:pPr>
            <w:r>
              <w:rPr>
                <w:rFonts w:ascii="Arial" w:cs="Arial" w:eastAsia="Arial" w:hAnsi="Arial"/>
                <w:sz w:val="16"/>
                <w:szCs w:val="16"/>
                <w:color w:val="auto"/>
              </w:rPr>
              <w:t>ICON Clinical Research (Pte) Limited</w:t>
            </w:r>
          </w:p>
        </w:tc>
        <w:tc>
          <w:tcPr>
            <w:tcW w:w="3060" w:type="dxa"/>
            <w:vAlign w:val="bottom"/>
          </w:tcPr>
          <w:p>
            <w:pPr>
              <w:ind w:left="480"/>
              <w:spacing w:after="0" w:line="180" w:lineRule="exact"/>
              <w:rPr>
                <w:sz w:val="20"/>
                <w:szCs w:val="20"/>
                <w:color w:val="auto"/>
              </w:rPr>
            </w:pPr>
            <w:r>
              <w:rPr>
                <w:rFonts w:ascii="Arial" w:cs="Arial" w:eastAsia="Arial" w:hAnsi="Arial"/>
                <w:sz w:val="16"/>
                <w:szCs w:val="16"/>
                <w:color w:val="auto"/>
              </w:rPr>
              <w:t>24 Raffles Place #24-03,</w:t>
            </w:r>
          </w:p>
        </w:tc>
        <w:tc>
          <w:tcPr>
            <w:tcW w:w="2280" w:type="dxa"/>
            <w:vAlign w:val="bottom"/>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Clifford Centre,</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Singapore 048621</w:t>
            </w:r>
          </w:p>
        </w:tc>
        <w:tc>
          <w:tcPr>
            <w:tcW w:w="2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Slovakia, s.r.o.</w:t>
            </w:r>
          </w:p>
        </w:tc>
        <w:tc>
          <w:tcPr>
            <w:tcW w:w="3060" w:type="dxa"/>
            <w:vAlign w:val="bottom"/>
            <w:shd w:val="clear" w:color="auto" w:fill="CCEEFF"/>
          </w:tcPr>
          <w:p>
            <w:pPr>
              <w:ind w:left="480"/>
              <w:spacing w:after="0" w:line="180" w:lineRule="exact"/>
              <w:rPr>
                <w:sz w:val="20"/>
                <w:szCs w:val="20"/>
                <w:color w:val="auto"/>
              </w:rPr>
            </w:pPr>
            <w:r>
              <w:rPr>
                <w:rFonts w:ascii="Arial" w:cs="Arial" w:eastAsia="Arial" w:hAnsi="Arial"/>
                <w:sz w:val="16"/>
                <w:szCs w:val="16"/>
                <w:color w:val="auto"/>
              </w:rPr>
              <w:t>Suché m</w:t>
            </w:r>
            <w:r>
              <w:rPr>
                <w:rFonts w:ascii="MS PGothic" w:cs="MS PGothic" w:eastAsia="MS PGothic" w:hAnsi="MS PGothic"/>
                <w:sz w:val="16"/>
                <w:szCs w:val="16"/>
                <w:color w:val="auto"/>
              </w:rPr>
              <w:t>☒</w:t>
            </w:r>
            <w:r>
              <w:rPr>
                <w:rFonts w:ascii="Arial" w:cs="Arial" w:eastAsia="Arial" w:hAnsi="Arial"/>
                <w:sz w:val="16"/>
                <w:szCs w:val="16"/>
                <w:color w:val="auto"/>
              </w:rPr>
              <w:t>to 1,</w:t>
            </w:r>
          </w:p>
        </w:tc>
        <w:tc>
          <w:tcPr>
            <w:tcW w:w="2280" w:type="dxa"/>
            <w:vAlign w:val="bottom"/>
            <w:shd w:val="clear" w:color="auto" w:fill="CCEEFF"/>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811 03 Bratislava,</w:t>
            </w: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Slovak Republic</w:t>
            </w:r>
          </w:p>
        </w:tc>
        <w:tc>
          <w:tcPr>
            <w:tcW w:w="2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80" w:type="dxa"/>
            <w:vAlign w:val="bottom"/>
          </w:tcPr>
          <w:p>
            <w:pPr>
              <w:spacing w:after="0" w:line="180" w:lineRule="exact"/>
              <w:rPr>
                <w:sz w:val="20"/>
                <w:szCs w:val="20"/>
                <w:color w:val="auto"/>
              </w:rPr>
            </w:pPr>
            <w:r>
              <w:rPr>
                <w:rFonts w:ascii="Arial" w:cs="Arial" w:eastAsia="Arial" w:hAnsi="Arial"/>
                <w:sz w:val="16"/>
                <w:szCs w:val="16"/>
                <w:color w:val="auto"/>
              </w:rPr>
              <w:t>ICON Clinical Research España, S.L.</w:t>
            </w:r>
          </w:p>
        </w:tc>
        <w:tc>
          <w:tcPr>
            <w:tcW w:w="3060" w:type="dxa"/>
            <w:vAlign w:val="bottom"/>
          </w:tcPr>
          <w:p>
            <w:pPr>
              <w:ind w:left="480"/>
              <w:spacing w:after="0" w:line="180" w:lineRule="exact"/>
              <w:rPr>
                <w:sz w:val="20"/>
                <w:szCs w:val="20"/>
                <w:color w:val="auto"/>
              </w:rPr>
            </w:pPr>
            <w:r>
              <w:rPr>
                <w:rFonts w:ascii="Arial" w:cs="Arial" w:eastAsia="Arial" w:hAnsi="Arial"/>
                <w:sz w:val="16"/>
                <w:szCs w:val="16"/>
                <w:color w:val="auto"/>
              </w:rPr>
              <w:t>Calle Josep Pla,</w:t>
            </w:r>
          </w:p>
        </w:tc>
        <w:tc>
          <w:tcPr>
            <w:tcW w:w="2280" w:type="dxa"/>
            <w:vAlign w:val="bottom"/>
          </w:tcPr>
          <w:p>
            <w:pPr>
              <w:ind w:left="54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Numero 2, Torre Diagonal Mar,</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Piso 11, Modulo 1,</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Barcelona,</w:t>
            </w:r>
          </w:p>
        </w:tc>
        <w:tc>
          <w:tcPr>
            <w:tcW w:w="2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ind w:left="480"/>
              <w:spacing w:after="0"/>
              <w:rPr>
                <w:sz w:val="20"/>
                <w:szCs w:val="20"/>
                <w:color w:val="auto"/>
              </w:rPr>
            </w:pPr>
            <w:r>
              <w:rPr>
                <w:rFonts w:ascii="Arial" w:cs="Arial" w:eastAsia="Arial" w:hAnsi="Arial"/>
                <w:sz w:val="16"/>
                <w:szCs w:val="16"/>
                <w:color w:val="auto"/>
              </w:rPr>
              <w:t>Spain</w:t>
            </w:r>
          </w:p>
        </w:tc>
        <w:tc>
          <w:tcPr>
            <w:tcW w:w="2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600" w:type="dxa"/>
            <w:vAlign w:val="bottom"/>
          </w:tcPr>
          <w:p>
            <w:pPr>
              <w:ind w:left="220"/>
              <w:spacing w:after="0"/>
              <w:rPr>
                <w:sz w:val="20"/>
                <w:szCs w:val="20"/>
                <w:color w:val="auto"/>
              </w:rPr>
            </w:pPr>
            <w:r>
              <w:rPr>
                <w:rFonts w:ascii="Arial" w:cs="Arial" w:eastAsia="Arial" w:hAnsi="Arial"/>
                <w:sz w:val="16"/>
                <w:szCs w:val="16"/>
                <w:b w:val="1"/>
                <w:bCs w:val="1"/>
                <w:color w:val="auto"/>
              </w:rPr>
              <w:t>Registered Office</w:t>
            </w:r>
          </w:p>
        </w:tc>
        <w:tc>
          <w:tcPr>
            <w:tcW w:w="2440" w:type="dxa"/>
            <w:vAlign w:val="bottom"/>
          </w:tcPr>
          <w:p>
            <w:pPr>
              <w:ind w:left="700"/>
              <w:spacing w:after="0"/>
              <w:rPr>
                <w:sz w:val="20"/>
                <w:szCs w:val="20"/>
                <w:color w:val="auto"/>
              </w:rPr>
            </w:pPr>
            <w:r>
              <w:rPr>
                <w:rFonts w:ascii="Arial" w:cs="Arial" w:eastAsia="Arial" w:hAnsi="Arial"/>
                <w:sz w:val="16"/>
                <w:szCs w:val="16"/>
                <w:b w:val="1"/>
                <w:bCs w:val="1"/>
                <w:color w:val="auto"/>
              </w:rPr>
              <w:t>Nature of</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40" w:type="dxa"/>
            <w:vAlign w:val="bottom"/>
          </w:tcPr>
          <w:p>
            <w:pPr>
              <w:ind w:left="700"/>
              <w:spacing w:after="0"/>
              <w:rPr>
                <w:sz w:val="20"/>
                <w:szCs w:val="20"/>
                <w:color w:val="auto"/>
              </w:rPr>
            </w:pPr>
            <w:r>
              <w:rPr>
                <w:rFonts w:ascii="Arial" w:cs="Arial" w:eastAsia="Arial" w:hAnsi="Arial"/>
                <w:sz w:val="16"/>
                <w:szCs w:val="16"/>
                <w:b w:val="1"/>
                <w:bCs w:val="1"/>
                <w:color w:val="auto"/>
              </w:rPr>
              <w:t>business</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International Sweden AB</w:t>
            </w:r>
          </w:p>
        </w:tc>
        <w:tc>
          <w:tcPr>
            <w:tcW w:w="2600" w:type="dxa"/>
            <w:vAlign w:val="bottom"/>
            <w:shd w:val="clear" w:color="auto" w:fill="CCEEFF"/>
          </w:tcPr>
          <w:p>
            <w:pPr>
              <w:ind w:left="220"/>
              <w:spacing w:after="0" w:line="180" w:lineRule="exact"/>
              <w:rPr>
                <w:sz w:val="20"/>
                <w:szCs w:val="20"/>
                <w:color w:val="auto"/>
              </w:rPr>
            </w:pPr>
            <w:r>
              <w:rPr>
                <w:rFonts w:ascii="Arial" w:cs="Arial" w:eastAsia="Arial" w:hAnsi="Arial"/>
                <w:sz w:val="16"/>
                <w:szCs w:val="16"/>
                <w:color w:val="auto"/>
              </w:rPr>
              <w:t>Gustav III Boulevard 34,</w:t>
            </w:r>
          </w:p>
        </w:tc>
        <w:tc>
          <w:tcPr>
            <w:tcW w:w="244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shd w:val="clear" w:color="auto" w:fill="CCEEFF"/>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5th floor,</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169 73 Solna,</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Sweden</w:t>
            </w:r>
          </w:p>
        </w:tc>
        <w:tc>
          <w:tcPr>
            <w:tcW w:w="24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tcPr>
          <w:p>
            <w:pPr>
              <w:spacing w:after="0" w:line="180" w:lineRule="exact"/>
              <w:rPr>
                <w:sz w:val="20"/>
                <w:szCs w:val="20"/>
                <w:color w:val="auto"/>
              </w:rPr>
            </w:pPr>
            <w:r>
              <w:rPr>
                <w:rFonts w:ascii="Arial" w:cs="Arial" w:eastAsia="Arial" w:hAnsi="Arial"/>
                <w:sz w:val="16"/>
                <w:szCs w:val="16"/>
                <w:color w:val="auto"/>
              </w:rPr>
              <w:t>DOCS International Switzerland GmbH</w:t>
            </w:r>
          </w:p>
        </w:tc>
        <w:tc>
          <w:tcPr>
            <w:tcW w:w="2600" w:type="dxa"/>
            <w:vAlign w:val="bottom"/>
          </w:tcPr>
          <w:p>
            <w:pPr>
              <w:ind w:left="220"/>
              <w:spacing w:after="0" w:line="180" w:lineRule="exact"/>
              <w:rPr>
                <w:sz w:val="20"/>
                <w:szCs w:val="20"/>
                <w:color w:val="auto"/>
              </w:rPr>
            </w:pPr>
            <w:r>
              <w:rPr>
                <w:rFonts w:ascii="Arial" w:cs="Arial" w:eastAsia="Arial" w:hAnsi="Arial"/>
                <w:sz w:val="16"/>
                <w:szCs w:val="16"/>
                <w:color w:val="auto"/>
              </w:rPr>
              <w:t>Gewerbestrasse 24,</w:t>
            </w:r>
          </w:p>
        </w:tc>
        <w:tc>
          <w:tcPr>
            <w:tcW w:w="2440" w:type="dxa"/>
            <w:vAlign w:val="bottom"/>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4123 Allschwil,</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Switzerland</w:t>
            </w: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(Switzerland) GmbH</w:t>
            </w:r>
          </w:p>
        </w:tc>
        <w:tc>
          <w:tcPr>
            <w:tcW w:w="2600" w:type="dxa"/>
            <w:vAlign w:val="bottom"/>
            <w:shd w:val="clear" w:color="auto" w:fill="CCEEFF"/>
          </w:tcPr>
          <w:p>
            <w:pPr>
              <w:ind w:left="220"/>
              <w:spacing w:after="0" w:line="180" w:lineRule="exact"/>
              <w:rPr>
                <w:sz w:val="20"/>
                <w:szCs w:val="20"/>
                <w:color w:val="auto"/>
              </w:rPr>
            </w:pPr>
            <w:r>
              <w:rPr>
                <w:rFonts w:ascii="Arial" w:cs="Arial" w:eastAsia="Arial" w:hAnsi="Arial"/>
                <w:sz w:val="16"/>
                <w:szCs w:val="16"/>
                <w:color w:val="auto"/>
              </w:rPr>
              <w:t>Gewerbestrasse 24,</w:t>
            </w:r>
          </w:p>
        </w:tc>
        <w:tc>
          <w:tcPr>
            <w:tcW w:w="244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shd w:val="clear" w:color="auto" w:fill="CCEEFF"/>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4123 Allschwil,</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Switzerland</w:t>
            </w:r>
          </w:p>
        </w:tc>
        <w:tc>
          <w:tcPr>
            <w:tcW w:w="24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020" w:type="dxa"/>
            <w:vAlign w:val="bottom"/>
            <w:gridSpan w:val="2"/>
          </w:tcPr>
          <w:p>
            <w:pPr>
              <w:spacing w:after="0"/>
              <w:rPr>
                <w:sz w:val="20"/>
                <w:szCs w:val="20"/>
                <w:color w:val="auto"/>
              </w:rPr>
            </w:pPr>
            <w:r>
              <w:rPr>
                <w:rFonts w:ascii="Arial" w:cs="Arial" w:eastAsia="Arial" w:hAnsi="Arial"/>
                <w:sz w:val="16"/>
                <w:szCs w:val="16"/>
                <w:color w:val="auto"/>
              </w:rPr>
              <w:t>ICON Clinical Research Taiwan Limited</w:t>
            </w:r>
          </w:p>
        </w:tc>
        <w:tc>
          <w:tcPr>
            <w:tcW w:w="2600" w:type="dxa"/>
            <w:vAlign w:val="bottom"/>
          </w:tcPr>
          <w:p>
            <w:pPr>
              <w:ind w:left="220"/>
              <w:spacing w:after="0"/>
              <w:rPr>
                <w:sz w:val="20"/>
                <w:szCs w:val="20"/>
                <w:color w:val="auto"/>
              </w:rPr>
            </w:pPr>
            <w:r>
              <w:rPr>
                <w:rFonts w:ascii="Arial" w:cs="Arial" w:eastAsia="Arial" w:hAnsi="Arial"/>
                <w:sz w:val="16"/>
                <w:szCs w:val="16"/>
                <w:color w:val="auto"/>
              </w:rPr>
              <w:t>2F, No. 96, Sec. 1,</w:t>
            </w:r>
          </w:p>
        </w:tc>
        <w:tc>
          <w:tcPr>
            <w:tcW w:w="2440" w:type="dxa"/>
            <w:vAlign w:val="bottom"/>
          </w:tcPr>
          <w:p>
            <w:pPr>
              <w:ind w:left="700"/>
              <w:spacing w:after="0"/>
              <w:rPr>
                <w:sz w:val="20"/>
                <w:szCs w:val="20"/>
                <w:color w:val="auto"/>
              </w:rPr>
            </w:pPr>
            <w:r>
              <w:rPr>
                <w:rFonts w:ascii="Arial" w:cs="Arial" w:eastAsia="Arial" w:hAnsi="Arial"/>
                <w:sz w:val="16"/>
                <w:szCs w:val="16"/>
                <w:color w:val="auto"/>
                <w:w w:val="94"/>
              </w:rPr>
              <w:t>Clinical research services</w:t>
            </w:r>
          </w:p>
        </w:tc>
        <w:tc>
          <w:tcPr>
            <w:tcW w:w="2380" w:type="dxa"/>
            <w:vAlign w:val="bottom"/>
          </w:tcPr>
          <w:p>
            <w:pPr>
              <w:ind w:left="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Chien Kou North Road,</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Taipei 10495,</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Taiwan, R.O.C.</w:t>
            </w: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Clinical Research (Thailand) Limited</w:t>
            </w:r>
          </w:p>
        </w:tc>
        <w:tc>
          <w:tcPr>
            <w:tcW w:w="2600" w:type="dxa"/>
            <w:vAlign w:val="bottom"/>
            <w:shd w:val="clear" w:color="auto" w:fill="CCEEFF"/>
          </w:tcPr>
          <w:p>
            <w:pPr>
              <w:ind w:left="220"/>
              <w:spacing w:after="0" w:line="180" w:lineRule="exact"/>
              <w:rPr>
                <w:sz w:val="20"/>
                <w:szCs w:val="20"/>
                <w:color w:val="auto"/>
              </w:rPr>
            </w:pPr>
            <w:r>
              <w:rPr>
                <w:rFonts w:ascii="Arial" w:cs="Arial" w:eastAsia="Arial" w:hAnsi="Arial"/>
                <w:sz w:val="16"/>
                <w:szCs w:val="16"/>
                <w:color w:val="auto"/>
              </w:rPr>
              <w:t>1 Empire Tower,</w:t>
            </w:r>
          </w:p>
        </w:tc>
        <w:tc>
          <w:tcPr>
            <w:tcW w:w="244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shd w:val="clear" w:color="auto" w:fill="CCEEFF"/>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24th Floor, Unit 2408,</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Sathorn Road,</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Yannawa, Sathorn,</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Bangkok, 10120</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Thailand</w:t>
            </w:r>
          </w:p>
        </w:tc>
        <w:tc>
          <w:tcPr>
            <w:tcW w:w="24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tcPr>
          <w:p>
            <w:pPr>
              <w:spacing w:after="0" w:line="180" w:lineRule="exact"/>
              <w:rPr>
                <w:sz w:val="20"/>
                <w:szCs w:val="20"/>
                <w:color w:val="auto"/>
              </w:rPr>
            </w:pPr>
            <w:r>
              <w:rPr>
                <w:rFonts w:ascii="Arial" w:cs="Arial" w:eastAsia="Arial" w:hAnsi="Arial"/>
                <w:sz w:val="16"/>
                <w:szCs w:val="16"/>
                <w:color w:val="auto"/>
                <w:w w:val="99"/>
              </w:rPr>
              <w:t>ICON Ankara Klinik Arastirma Dis Ticaret Anonim Sirketi</w:t>
            </w:r>
          </w:p>
        </w:tc>
        <w:tc>
          <w:tcPr>
            <w:tcW w:w="2600" w:type="dxa"/>
            <w:vAlign w:val="bottom"/>
          </w:tcPr>
          <w:p>
            <w:pPr>
              <w:ind w:left="220"/>
              <w:spacing w:after="0" w:line="180" w:lineRule="exact"/>
              <w:rPr>
                <w:sz w:val="20"/>
                <w:szCs w:val="20"/>
                <w:color w:val="auto"/>
              </w:rPr>
            </w:pPr>
            <w:r>
              <w:rPr>
                <w:rFonts w:ascii="Arial" w:cs="Arial" w:eastAsia="Arial" w:hAnsi="Arial"/>
                <w:sz w:val="16"/>
                <w:szCs w:val="16"/>
                <w:color w:val="auto"/>
              </w:rPr>
              <w:t>Sogutozu mah,</w:t>
            </w:r>
          </w:p>
        </w:tc>
        <w:tc>
          <w:tcPr>
            <w:tcW w:w="2440" w:type="dxa"/>
            <w:vAlign w:val="bottom"/>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Eskisehir Yolu Cad.2176.,</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SK No.9,</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Posta Kodu: 06510,</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Cankaya Ankara,</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Turkey</w:t>
            </w: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Aptiv Solutions (UK) Ltd</w:t>
            </w:r>
          </w:p>
        </w:tc>
        <w:tc>
          <w:tcPr>
            <w:tcW w:w="2600" w:type="dxa"/>
            <w:vAlign w:val="bottom"/>
            <w:shd w:val="clear" w:color="auto" w:fill="CCEEFF"/>
          </w:tcPr>
          <w:p>
            <w:pPr>
              <w:ind w:left="220"/>
              <w:spacing w:after="0" w:line="180" w:lineRule="exact"/>
              <w:rPr>
                <w:sz w:val="20"/>
                <w:szCs w:val="20"/>
                <w:color w:val="auto"/>
              </w:rPr>
            </w:pPr>
            <w:r>
              <w:rPr>
                <w:rFonts w:ascii="Arial" w:cs="Arial" w:eastAsia="Arial" w:hAnsi="Arial"/>
                <w:sz w:val="16"/>
                <w:szCs w:val="16"/>
                <w:color w:val="auto"/>
              </w:rPr>
              <w:t>100 Park Drive,</w:t>
            </w:r>
          </w:p>
        </w:tc>
        <w:tc>
          <w:tcPr>
            <w:tcW w:w="244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shd w:val="clear" w:color="auto" w:fill="CCEEFF"/>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Milton Park,</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Abingdon,</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Oxfordshire,</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OX14 4RY</w:t>
            </w: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4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tcPr>
          <w:p>
            <w:pPr>
              <w:spacing w:after="0" w:line="180" w:lineRule="exact"/>
              <w:rPr>
                <w:sz w:val="20"/>
                <w:szCs w:val="20"/>
                <w:color w:val="auto"/>
              </w:rPr>
            </w:pPr>
            <w:r>
              <w:rPr>
                <w:rFonts w:ascii="Arial" w:cs="Arial" w:eastAsia="Arial" w:hAnsi="Arial"/>
                <w:sz w:val="16"/>
                <w:szCs w:val="16"/>
                <w:color w:val="auto"/>
              </w:rPr>
              <w:t>DOCS International UK Limited</w:t>
            </w:r>
          </w:p>
        </w:tc>
        <w:tc>
          <w:tcPr>
            <w:tcW w:w="2600" w:type="dxa"/>
            <w:vAlign w:val="bottom"/>
          </w:tcPr>
          <w:p>
            <w:pPr>
              <w:ind w:left="220"/>
              <w:spacing w:after="0" w:line="180" w:lineRule="exact"/>
              <w:rPr>
                <w:sz w:val="20"/>
                <w:szCs w:val="20"/>
                <w:color w:val="auto"/>
              </w:rPr>
            </w:pPr>
            <w:r>
              <w:rPr>
                <w:rFonts w:ascii="Arial" w:cs="Arial" w:eastAsia="Arial" w:hAnsi="Arial"/>
                <w:sz w:val="16"/>
                <w:szCs w:val="16"/>
                <w:color w:val="auto"/>
              </w:rPr>
              <w:t>Concept House,</w:t>
            </w:r>
          </w:p>
        </w:tc>
        <w:tc>
          <w:tcPr>
            <w:tcW w:w="2440" w:type="dxa"/>
            <w:vAlign w:val="bottom"/>
          </w:tcPr>
          <w:p>
            <w:pPr>
              <w:ind w:left="700"/>
              <w:spacing w:after="0" w:line="180" w:lineRule="exact"/>
              <w:rPr>
                <w:sz w:val="20"/>
                <w:szCs w:val="20"/>
                <w:color w:val="auto"/>
              </w:rPr>
            </w:pPr>
            <w:r>
              <w:rPr>
                <w:rFonts w:ascii="Arial" w:cs="Arial" w:eastAsia="Arial" w:hAnsi="Arial"/>
                <w:sz w:val="16"/>
                <w:szCs w:val="16"/>
                <w:color w:val="auto"/>
                <w:w w:val="94"/>
              </w:rPr>
              <w:t>Clinical research services</w:t>
            </w:r>
          </w:p>
        </w:tc>
        <w:tc>
          <w:tcPr>
            <w:tcW w:w="2380" w:type="dxa"/>
            <w:vAlign w:val="bottom"/>
          </w:tcPr>
          <w:p>
            <w:pPr>
              <w:ind w:left="8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6 Stoneycroft Rise,</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Chandlers Ford,</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Eastleigh,</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Hampshire,</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SO53 3LD</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020" w:type="dxa"/>
            <w:vAlign w:val="bottom"/>
            <w:gridSpan w:val="2"/>
          </w:tcPr>
          <w:p>
            <w:pPr>
              <w:spacing w:after="0"/>
              <w:rPr>
                <w:sz w:val="20"/>
                <w:szCs w:val="20"/>
                <w:color w:val="auto"/>
              </w:rPr>
            </w:pPr>
            <w:r>
              <w:rPr>
                <w:rFonts w:ascii="Arial" w:cs="Arial" w:eastAsia="Arial" w:hAnsi="Arial"/>
                <w:sz w:val="16"/>
                <w:szCs w:val="16"/>
                <w:color w:val="auto"/>
              </w:rPr>
              <w:t>ICON Development Solutions Limited</w:t>
            </w:r>
          </w:p>
        </w:tc>
        <w:tc>
          <w:tcPr>
            <w:tcW w:w="2600" w:type="dxa"/>
            <w:vAlign w:val="bottom"/>
          </w:tcPr>
          <w:p>
            <w:pPr>
              <w:ind w:left="220"/>
              <w:spacing w:after="0"/>
              <w:rPr>
                <w:sz w:val="20"/>
                <w:szCs w:val="20"/>
                <w:color w:val="auto"/>
              </w:rPr>
            </w:pPr>
            <w:r>
              <w:rPr>
                <w:rFonts w:ascii="Arial" w:cs="Arial" w:eastAsia="Arial" w:hAnsi="Arial"/>
                <w:sz w:val="16"/>
                <w:szCs w:val="16"/>
                <w:color w:val="auto"/>
              </w:rPr>
              <w:t>Concept House,</w:t>
            </w:r>
          </w:p>
        </w:tc>
        <w:tc>
          <w:tcPr>
            <w:tcW w:w="2440" w:type="dxa"/>
            <w:vAlign w:val="bottom"/>
          </w:tcPr>
          <w:p>
            <w:pPr>
              <w:ind w:left="700"/>
              <w:spacing w:after="0"/>
              <w:rPr>
                <w:sz w:val="20"/>
                <w:szCs w:val="20"/>
                <w:color w:val="auto"/>
              </w:rPr>
            </w:pPr>
            <w:r>
              <w:rPr>
                <w:rFonts w:ascii="Arial" w:cs="Arial" w:eastAsia="Arial" w:hAnsi="Arial"/>
                <w:sz w:val="16"/>
                <w:szCs w:val="16"/>
                <w:color w:val="auto"/>
                <w:w w:val="94"/>
              </w:rPr>
              <w:t>Clinical research services</w:t>
            </w:r>
          </w:p>
        </w:tc>
        <w:tc>
          <w:tcPr>
            <w:tcW w:w="2380" w:type="dxa"/>
            <w:vAlign w:val="bottom"/>
          </w:tcPr>
          <w:p>
            <w:pPr>
              <w:ind w:left="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6 Stoneycroft Rise,</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Chandlers Ford,</w:t>
            </w:r>
          </w:p>
        </w:tc>
        <w:tc>
          <w:tcPr>
            <w:tcW w:w="2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Eastleigh,</w:t>
            </w: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-487680</wp:posOffset>
            </wp:positionV>
            <wp:extent cx="7261860" cy="8540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85407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6"/>
          <w:szCs w:val="16"/>
          <w:color w:val="auto"/>
        </w:rPr>
        <w:t>Hampshire,</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SO53 3LD</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020" w:type="dxa"/>
            <w:vAlign w:val="bottom"/>
          </w:tcPr>
          <w:p>
            <w:pPr>
              <w:ind w:left="640"/>
              <w:spacing w:after="0"/>
              <w:rPr>
                <w:sz w:val="20"/>
                <w:szCs w:val="20"/>
                <w:color w:val="auto"/>
              </w:rPr>
            </w:pPr>
            <w:r>
              <w:rPr>
                <w:rFonts w:ascii="Arial" w:cs="Arial" w:eastAsia="Arial" w:hAnsi="Arial"/>
                <w:sz w:val="16"/>
                <w:szCs w:val="16"/>
                <w:b w:val="1"/>
                <w:bCs w:val="1"/>
                <w:color w:val="auto"/>
              </w:rPr>
              <w:t>Registered Office</w:t>
            </w:r>
          </w:p>
        </w:tc>
        <w:tc>
          <w:tcPr>
            <w:tcW w:w="2420" w:type="dxa"/>
            <w:vAlign w:val="bottom"/>
          </w:tcPr>
          <w:p>
            <w:pPr>
              <w:ind w:left="680"/>
              <w:spacing w:after="0"/>
              <w:rPr>
                <w:sz w:val="20"/>
                <w:szCs w:val="20"/>
                <w:color w:val="auto"/>
              </w:rPr>
            </w:pPr>
            <w:r>
              <w:rPr>
                <w:rFonts w:ascii="Arial" w:cs="Arial" w:eastAsia="Arial" w:hAnsi="Arial"/>
                <w:sz w:val="16"/>
                <w:szCs w:val="16"/>
                <w:b w:val="1"/>
                <w:bCs w:val="1"/>
                <w:color w:val="auto"/>
              </w:rPr>
              <w:t>Nature of</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20" w:type="dxa"/>
            <w:vAlign w:val="bottom"/>
          </w:tcPr>
          <w:p>
            <w:pPr>
              <w:ind w:left="680"/>
              <w:spacing w:after="0"/>
              <w:rPr>
                <w:sz w:val="20"/>
                <w:szCs w:val="20"/>
                <w:color w:val="auto"/>
              </w:rPr>
            </w:pPr>
            <w:r>
              <w:rPr>
                <w:rFonts w:ascii="Arial" w:cs="Arial" w:eastAsia="Arial" w:hAnsi="Arial"/>
                <w:sz w:val="16"/>
                <w:szCs w:val="16"/>
                <w:b w:val="1"/>
                <w:bCs w:val="1"/>
                <w:color w:val="auto"/>
              </w:rPr>
              <w:t>business</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DOCS Ukraine LLC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4th Floor,</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St. Poleva 24,</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Kiev,</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Ukraine, 03056</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tcPr>
          <w:p>
            <w:pPr>
              <w:spacing w:after="0" w:line="180" w:lineRule="exact"/>
              <w:rPr>
                <w:sz w:val="20"/>
                <w:szCs w:val="20"/>
                <w:color w:val="auto"/>
              </w:rPr>
            </w:pPr>
            <w:r>
              <w:rPr>
                <w:rFonts w:ascii="Arial" w:cs="Arial" w:eastAsia="Arial" w:hAnsi="Arial"/>
                <w:sz w:val="16"/>
                <w:szCs w:val="16"/>
                <w:color w:val="auto"/>
              </w:rPr>
              <w:t>ICON Clinical Research LLC</w:t>
            </w:r>
          </w:p>
        </w:tc>
        <w:tc>
          <w:tcPr>
            <w:tcW w:w="3020" w:type="dxa"/>
            <w:vAlign w:val="bottom"/>
          </w:tcPr>
          <w:p>
            <w:pPr>
              <w:ind w:left="640"/>
              <w:spacing w:after="0" w:line="180" w:lineRule="exact"/>
              <w:rPr>
                <w:sz w:val="20"/>
                <w:szCs w:val="20"/>
                <w:color w:val="auto"/>
              </w:rPr>
            </w:pPr>
            <w:r>
              <w:rPr>
                <w:rFonts w:ascii="Arial" w:cs="Arial" w:eastAsia="Arial" w:hAnsi="Arial"/>
                <w:sz w:val="16"/>
                <w:szCs w:val="16"/>
                <w:color w:val="auto"/>
              </w:rPr>
              <w:t>4th Floor,</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St. Poleva 24,</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Kiev,</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Ukraine, 03056</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Early Phase Services, LLC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8307 Gault Lane,</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San Antonio,</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TX 78209-1015</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tcPr>
          <w:p>
            <w:pPr>
              <w:spacing w:after="0" w:line="180" w:lineRule="exact"/>
              <w:rPr>
                <w:sz w:val="20"/>
                <w:szCs w:val="20"/>
                <w:color w:val="auto"/>
              </w:rPr>
            </w:pPr>
            <w:r>
              <w:rPr>
                <w:rFonts w:ascii="Arial" w:cs="Arial" w:eastAsia="Arial" w:hAnsi="Arial"/>
                <w:sz w:val="16"/>
                <w:szCs w:val="16"/>
                <w:color w:val="auto"/>
              </w:rPr>
              <w:t>Beacon Bioscience, Inc</w:t>
            </w:r>
          </w:p>
        </w:tc>
        <w:tc>
          <w:tcPr>
            <w:tcW w:w="3020" w:type="dxa"/>
            <w:vAlign w:val="bottom"/>
          </w:tcPr>
          <w:p>
            <w:pPr>
              <w:ind w:left="640"/>
              <w:spacing w:after="0" w:line="180" w:lineRule="exact"/>
              <w:rPr>
                <w:sz w:val="20"/>
                <w:szCs w:val="20"/>
                <w:color w:val="auto"/>
              </w:rPr>
            </w:pPr>
            <w:r>
              <w:rPr>
                <w:rFonts w:ascii="Arial" w:cs="Arial" w:eastAsia="Arial" w:hAnsi="Arial"/>
                <w:sz w:val="16"/>
                <w:szCs w:val="16"/>
                <w:color w:val="auto"/>
              </w:rPr>
              <w:t>2100 Pennbrook Parkway,</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North Wales,</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PA 19454</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C4 MedSolutions, LLC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Yardley,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PA 19067</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tcPr>
          <w:p>
            <w:pPr>
              <w:spacing w:after="0" w:line="180" w:lineRule="exact"/>
              <w:rPr>
                <w:sz w:val="20"/>
                <w:szCs w:val="20"/>
                <w:color w:val="auto"/>
              </w:rPr>
            </w:pPr>
            <w:r>
              <w:rPr>
                <w:rFonts w:ascii="Arial" w:cs="Arial" w:eastAsia="Arial" w:hAnsi="Arial"/>
                <w:sz w:val="16"/>
                <w:szCs w:val="16"/>
                <w:color w:val="auto"/>
              </w:rPr>
              <w:t>CHC Group, LLC</w:t>
            </w:r>
          </w:p>
        </w:tc>
        <w:tc>
          <w:tcPr>
            <w:tcW w:w="3020" w:type="dxa"/>
            <w:vAlign w:val="bottom"/>
          </w:tcPr>
          <w:p>
            <w:pPr>
              <w:ind w:left="64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Yardley,</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PA 19067</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Global Pharmaceutical Strategies Group, LLC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Yardley,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PA 19067</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tcPr>
          <w:p>
            <w:pPr>
              <w:spacing w:after="0" w:line="180" w:lineRule="exact"/>
              <w:rPr>
                <w:sz w:val="20"/>
                <w:szCs w:val="20"/>
                <w:color w:val="auto"/>
              </w:rPr>
            </w:pPr>
            <w:r>
              <w:rPr>
                <w:rFonts w:ascii="Arial" w:cs="Arial" w:eastAsia="Arial" w:hAnsi="Arial"/>
                <w:sz w:val="16"/>
                <w:szCs w:val="16"/>
                <w:color w:val="auto"/>
              </w:rPr>
              <w:t>ICON Clinical Research LLC</w:t>
            </w:r>
          </w:p>
        </w:tc>
        <w:tc>
          <w:tcPr>
            <w:tcW w:w="3020" w:type="dxa"/>
            <w:vAlign w:val="bottom"/>
          </w:tcPr>
          <w:p>
            <w:pPr>
              <w:ind w:left="640"/>
              <w:spacing w:after="0" w:line="180" w:lineRule="exact"/>
              <w:rPr>
                <w:sz w:val="20"/>
                <w:szCs w:val="20"/>
                <w:color w:val="auto"/>
              </w:rPr>
            </w:pPr>
            <w:r>
              <w:rPr>
                <w:rFonts w:ascii="Arial" w:cs="Arial" w:eastAsia="Arial" w:hAnsi="Arial"/>
                <w:sz w:val="16"/>
                <w:szCs w:val="16"/>
                <w:color w:val="auto"/>
              </w:rPr>
              <w:t>2100 Pennbrook Parkway,</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North Wales,</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PA 19454</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ICON Laboratory Services, Inc.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123 Smith Street,</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Farmingdale,</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NY 11735</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tcPr>
          <w:p>
            <w:pPr>
              <w:spacing w:after="0" w:line="180" w:lineRule="exact"/>
              <w:rPr>
                <w:sz w:val="20"/>
                <w:szCs w:val="20"/>
                <w:color w:val="auto"/>
              </w:rPr>
            </w:pPr>
            <w:r>
              <w:rPr>
                <w:rFonts w:ascii="Arial" w:cs="Arial" w:eastAsia="Arial" w:hAnsi="Arial"/>
                <w:sz w:val="16"/>
                <w:szCs w:val="16"/>
                <w:color w:val="auto"/>
              </w:rPr>
              <w:t>ICON US Holdings Inc.</w:t>
            </w:r>
          </w:p>
        </w:tc>
        <w:tc>
          <w:tcPr>
            <w:tcW w:w="3020" w:type="dxa"/>
            <w:vAlign w:val="bottom"/>
          </w:tcPr>
          <w:p>
            <w:pPr>
              <w:ind w:left="640"/>
              <w:spacing w:after="0" w:line="180" w:lineRule="exact"/>
              <w:rPr>
                <w:sz w:val="20"/>
                <w:szCs w:val="20"/>
                <w:color w:val="auto"/>
              </w:rPr>
            </w:pPr>
            <w:r>
              <w:rPr>
                <w:rFonts w:ascii="Arial" w:cs="Arial" w:eastAsia="Arial" w:hAnsi="Arial"/>
                <w:sz w:val="16"/>
                <w:szCs w:val="16"/>
                <w:color w:val="auto"/>
              </w:rPr>
              <w:t>2100 Pennbrook Parkway,</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North Wales,</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PA 19454</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20" w:type="dxa"/>
            <w:vAlign w:val="bottom"/>
          </w:tcPr>
          <w:p>
            <w:pPr>
              <w:ind w:left="64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MMMM Group, LLC</w:t>
            </w:r>
          </w:p>
        </w:tc>
        <w:tc>
          <w:tcPr>
            <w:tcW w:w="302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Yardley,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PA 19067</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260" w:type="dxa"/>
            <w:vAlign w:val="bottom"/>
          </w:tcPr>
          <w:p>
            <w:pPr>
              <w:ind w:left="780"/>
              <w:spacing w:after="0"/>
              <w:rPr>
                <w:sz w:val="20"/>
                <w:szCs w:val="20"/>
                <w:color w:val="auto"/>
              </w:rPr>
            </w:pPr>
            <w:r>
              <w:rPr>
                <w:rFonts w:ascii="Arial" w:cs="Arial" w:eastAsia="Arial" w:hAnsi="Arial"/>
                <w:sz w:val="16"/>
                <w:szCs w:val="16"/>
                <w:b w:val="1"/>
                <w:bCs w:val="1"/>
                <w:color w:val="auto"/>
              </w:rPr>
              <w:t>Registered office</w:t>
            </w:r>
          </w:p>
        </w:tc>
        <w:tc>
          <w:tcPr>
            <w:tcW w:w="2320" w:type="dxa"/>
            <w:vAlign w:val="bottom"/>
          </w:tcPr>
          <w:p>
            <w:pPr>
              <w:ind w:left="580"/>
              <w:spacing w:after="0"/>
              <w:rPr>
                <w:sz w:val="20"/>
                <w:szCs w:val="20"/>
                <w:color w:val="auto"/>
              </w:rPr>
            </w:pPr>
            <w:r>
              <w:rPr>
                <w:rFonts w:ascii="Arial" w:cs="Arial" w:eastAsia="Arial" w:hAnsi="Arial"/>
                <w:sz w:val="16"/>
                <w:szCs w:val="16"/>
                <w:b w:val="1"/>
                <w:bCs w:val="1"/>
                <w:color w:val="auto"/>
              </w:rPr>
              <w:t>Nature of</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20" w:type="dxa"/>
            <w:vAlign w:val="bottom"/>
          </w:tcPr>
          <w:p>
            <w:pPr>
              <w:ind w:left="580"/>
              <w:spacing w:after="0"/>
              <w:rPr>
                <w:sz w:val="20"/>
                <w:szCs w:val="20"/>
                <w:color w:val="auto"/>
              </w:rPr>
            </w:pPr>
            <w:r>
              <w:rPr>
                <w:rFonts w:ascii="Arial" w:cs="Arial" w:eastAsia="Arial" w:hAnsi="Arial"/>
                <w:sz w:val="16"/>
                <w:szCs w:val="16"/>
                <w:b w:val="1"/>
                <w:bCs w:val="1"/>
                <w:color w:val="auto"/>
              </w:rPr>
              <w:t>business</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PriceSpective LLC</w:t>
            </w:r>
          </w:p>
        </w:tc>
        <w:tc>
          <w:tcPr>
            <w:tcW w:w="3260" w:type="dxa"/>
            <w:vAlign w:val="bottom"/>
            <w:shd w:val="clear" w:color="auto" w:fill="CCEEFF"/>
          </w:tcPr>
          <w:p>
            <w:pPr>
              <w:ind w:left="780"/>
              <w:spacing w:after="0" w:line="180" w:lineRule="exact"/>
              <w:rPr>
                <w:sz w:val="20"/>
                <w:szCs w:val="20"/>
                <w:color w:val="auto"/>
              </w:rPr>
            </w:pPr>
            <w:r>
              <w:rPr>
                <w:rFonts w:ascii="Arial" w:cs="Arial" w:eastAsia="Arial" w:hAnsi="Arial"/>
                <w:sz w:val="16"/>
                <w:szCs w:val="16"/>
                <w:color w:val="auto"/>
              </w:rPr>
              <w:t>2100 Pennbrook Parkway,</w:t>
            </w:r>
          </w:p>
        </w:tc>
        <w:tc>
          <w:tcPr>
            <w:tcW w:w="2320" w:type="dxa"/>
            <w:vAlign w:val="bottom"/>
            <w:shd w:val="clear" w:color="auto" w:fill="CCEEFF"/>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North Wales,</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PA 19454</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USA</w:t>
            </w:r>
          </w:p>
        </w:tc>
        <w:tc>
          <w:tcPr>
            <w:tcW w:w="2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tcPr>
          <w:p>
            <w:pPr>
              <w:spacing w:after="0" w:line="180" w:lineRule="exact"/>
              <w:rPr>
                <w:sz w:val="20"/>
                <w:szCs w:val="20"/>
                <w:color w:val="auto"/>
              </w:rPr>
            </w:pPr>
            <w:r>
              <w:rPr>
                <w:rFonts w:ascii="Arial" w:cs="Arial" w:eastAsia="Arial" w:hAnsi="Arial"/>
                <w:sz w:val="16"/>
                <w:szCs w:val="16"/>
                <w:color w:val="auto"/>
              </w:rPr>
              <w:t>PubsHub LLC</w:t>
            </w:r>
          </w:p>
        </w:tc>
        <w:tc>
          <w:tcPr>
            <w:tcW w:w="3260" w:type="dxa"/>
            <w:vAlign w:val="bottom"/>
          </w:tcPr>
          <w:p>
            <w:pPr>
              <w:ind w:left="780"/>
              <w:spacing w:after="0" w:line="180" w:lineRule="exact"/>
              <w:rPr>
                <w:sz w:val="20"/>
                <w:szCs w:val="20"/>
                <w:color w:val="auto"/>
              </w:rPr>
            </w:pPr>
            <w:r>
              <w:rPr>
                <w:rFonts w:ascii="Arial" w:cs="Arial" w:eastAsia="Arial" w:hAnsi="Arial"/>
                <w:sz w:val="16"/>
                <w:szCs w:val="16"/>
                <w:color w:val="auto"/>
              </w:rPr>
              <w:t>780 Township Line Road,</w:t>
            </w:r>
          </w:p>
        </w:tc>
        <w:tc>
          <w:tcPr>
            <w:tcW w:w="2320" w:type="dxa"/>
            <w:vAlign w:val="bottom"/>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Yardley,</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PA 19067</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USA</w:t>
            </w:r>
          </w:p>
        </w:tc>
        <w:tc>
          <w:tcPr>
            <w:tcW w:w="2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Christie Clinic, LLC</w:t>
            </w:r>
          </w:p>
        </w:tc>
        <w:tc>
          <w:tcPr>
            <w:tcW w:w="3260" w:type="dxa"/>
            <w:vAlign w:val="bottom"/>
            <w:shd w:val="clear" w:color="auto" w:fill="CCEEFF"/>
          </w:tcPr>
          <w:p>
            <w:pPr>
              <w:ind w:left="780"/>
              <w:spacing w:after="0" w:line="180" w:lineRule="exact"/>
              <w:rPr>
                <w:sz w:val="20"/>
                <w:szCs w:val="20"/>
                <w:color w:val="auto"/>
              </w:rPr>
            </w:pPr>
            <w:r>
              <w:rPr>
                <w:rFonts w:ascii="Arial" w:cs="Arial" w:eastAsia="Arial" w:hAnsi="Arial"/>
                <w:sz w:val="16"/>
                <w:szCs w:val="16"/>
                <w:color w:val="auto"/>
              </w:rPr>
              <w:t>101 West University Avenue,</w:t>
            </w:r>
          </w:p>
        </w:tc>
        <w:tc>
          <w:tcPr>
            <w:tcW w:w="2320" w:type="dxa"/>
            <w:vAlign w:val="bottom"/>
            <w:shd w:val="clear" w:color="auto" w:fill="CCEEFF"/>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Champaign,</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IL 61820</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USA</w:t>
            </w:r>
          </w:p>
        </w:tc>
        <w:tc>
          <w:tcPr>
            <w:tcW w:w="2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tcPr>
          <w:p>
            <w:pPr>
              <w:spacing w:after="0" w:line="180" w:lineRule="exact"/>
              <w:rPr>
                <w:sz w:val="20"/>
                <w:szCs w:val="20"/>
                <w:color w:val="auto"/>
              </w:rPr>
            </w:pPr>
            <w:r>
              <w:rPr>
                <w:rFonts w:ascii="Arial" w:cs="Arial" w:eastAsia="Arial" w:hAnsi="Arial"/>
                <w:sz w:val="16"/>
                <w:szCs w:val="16"/>
                <w:color w:val="auto"/>
              </w:rPr>
              <w:t>DOCS Global, Inc.</w:t>
            </w:r>
          </w:p>
        </w:tc>
        <w:tc>
          <w:tcPr>
            <w:tcW w:w="3260" w:type="dxa"/>
            <w:vAlign w:val="bottom"/>
          </w:tcPr>
          <w:p>
            <w:pPr>
              <w:ind w:left="780"/>
              <w:spacing w:after="0" w:line="180" w:lineRule="exact"/>
              <w:rPr>
                <w:sz w:val="20"/>
                <w:szCs w:val="20"/>
                <w:color w:val="auto"/>
              </w:rPr>
            </w:pPr>
            <w:r>
              <w:rPr>
                <w:rFonts w:ascii="Arial" w:cs="Arial" w:eastAsia="Arial" w:hAnsi="Arial"/>
                <w:sz w:val="16"/>
                <w:szCs w:val="16"/>
                <w:color w:val="auto"/>
              </w:rPr>
              <w:t>2100 Pennbrook Parkway,</w:t>
            </w:r>
          </w:p>
        </w:tc>
        <w:tc>
          <w:tcPr>
            <w:tcW w:w="2320" w:type="dxa"/>
            <w:vAlign w:val="bottom"/>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North Wales,</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PA 19454</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USA</w:t>
            </w:r>
          </w:p>
        </w:tc>
        <w:tc>
          <w:tcPr>
            <w:tcW w:w="2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Managed Care Strategic Solutions, L.L.C.</w:t>
            </w:r>
          </w:p>
        </w:tc>
        <w:tc>
          <w:tcPr>
            <w:tcW w:w="3260" w:type="dxa"/>
            <w:vAlign w:val="bottom"/>
            <w:shd w:val="clear" w:color="auto" w:fill="CCEEFF"/>
          </w:tcPr>
          <w:p>
            <w:pPr>
              <w:ind w:left="780"/>
              <w:spacing w:after="0" w:line="180" w:lineRule="exact"/>
              <w:rPr>
                <w:sz w:val="20"/>
                <w:szCs w:val="20"/>
                <w:color w:val="auto"/>
              </w:rPr>
            </w:pPr>
            <w:r>
              <w:rPr>
                <w:rFonts w:ascii="Arial" w:cs="Arial" w:eastAsia="Arial" w:hAnsi="Arial"/>
                <w:sz w:val="16"/>
                <w:szCs w:val="16"/>
                <w:color w:val="auto"/>
              </w:rPr>
              <w:t>780 Township Line Road,</w:t>
            </w:r>
          </w:p>
        </w:tc>
        <w:tc>
          <w:tcPr>
            <w:tcW w:w="2320" w:type="dxa"/>
            <w:vAlign w:val="bottom"/>
            <w:shd w:val="clear" w:color="auto" w:fill="CCEEFF"/>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Yardley,</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PA 19067</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USA</w:t>
            </w:r>
          </w:p>
        </w:tc>
        <w:tc>
          <w:tcPr>
            <w:tcW w:w="2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tcPr>
          <w:p>
            <w:pPr>
              <w:spacing w:after="0" w:line="180" w:lineRule="exact"/>
              <w:rPr>
                <w:sz w:val="20"/>
                <w:szCs w:val="20"/>
                <w:color w:val="auto"/>
              </w:rPr>
            </w:pPr>
            <w:r>
              <w:rPr>
                <w:rFonts w:ascii="Arial" w:cs="Arial" w:eastAsia="Arial" w:hAnsi="Arial"/>
                <w:sz w:val="16"/>
                <w:szCs w:val="16"/>
                <w:color w:val="auto"/>
              </w:rPr>
              <w:t>PMG Research of Charlotte, LLC</w:t>
            </w:r>
          </w:p>
        </w:tc>
        <w:tc>
          <w:tcPr>
            <w:tcW w:w="3260" w:type="dxa"/>
            <w:vAlign w:val="bottom"/>
          </w:tcPr>
          <w:p>
            <w:pPr>
              <w:ind w:left="780"/>
              <w:spacing w:after="0" w:line="180" w:lineRule="exact"/>
              <w:rPr>
                <w:sz w:val="20"/>
                <w:szCs w:val="20"/>
                <w:color w:val="auto"/>
              </w:rPr>
            </w:pPr>
            <w:r>
              <w:rPr>
                <w:rFonts w:ascii="Arial" w:cs="Arial" w:eastAsia="Arial" w:hAnsi="Arial"/>
                <w:sz w:val="16"/>
                <w:szCs w:val="16"/>
                <w:color w:val="auto"/>
              </w:rPr>
              <w:t>1700 Abbey Place,</w:t>
            </w:r>
          </w:p>
        </w:tc>
        <w:tc>
          <w:tcPr>
            <w:tcW w:w="2320" w:type="dxa"/>
            <w:vAlign w:val="bottom"/>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Suite 201,</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Charlotte,</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North Carolina 28209</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USA</w:t>
            </w:r>
          </w:p>
        </w:tc>
        <w:tc>
          <w:tcPr>
            <w:tcW w:w="2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Hickory, LLC</w:t>
            </w:r>
          </w:p>
        </w:tc>
        <w:tc>
          <w:tcPr>
            <w:tcW w:w="3260" w:type="dxa"/>
            <w:vAlign w:val="bottom"/>
            <w:shd w:val="clear" w:color="auto" w:fill="CCEEFF"/>
          </w:tcPr>
          <w:p>
            <w:pPr>
              <w:ind w:left="780"/>
              <w:spacing w:after="0" w:line="180" w:lineRule="exact"/>
              <w:rPr>
                <w:sz w:val="20"/>
                <w:szCs w:val="20"/>
                <w:color w:val="auto"/>
              </w:rPr>
            </w:pPr>
            <w:r>
              <w:rPr>
                <w:rFonts w:ascii="Arial" w:cs="Arial" w:eastAsia="Arial" w:hAnsi="Arial"/>
                <w:sz w:val="16"/>
                <w:szCs w:val="16"/>
                <w:color w:val="auto"/>
              </w:rPr>
              <w:t>1781 Tate Boulevard SE,</w:t>
            </w:r>
          </w:p>
        </w:tc>
        <w:tc>
          <w:tcPr>
            <w:tcW w:w="2320" w:type="dxa"/>
            <w:vAlign w:val="bottom"/>
            <w:shd w:val="clear" w:color="auto" w:fill="CCEEFF"/>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Suite 202,</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Hickory,</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North Carolina 28602</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USA</w:t>
            </w:r>
          </w:p>
        </w:tc>
        <w:tc>
          <w:tcPr>
            <w:tcW w:w="2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tcPr>
          <w:p>
            <w:pPr>
              <w:spacing w:after="0" w:line="180" w:lineRule="exact"/>
              <w:rPr>
                <w:sz w:val="20"/>
                <w:szCs w:val="20"/>
                <w:color w:val="auto"/>
              </w:rPr>
            </w:pPr>
            <w:r>
              <w:rPr>
                <w:rFonts w:ascii="Arial" w:cs="Arial" w:eastAsia="Arial" w:hAnsi="Arial"/>
                <w:sz w:val="16"/>
                <w:szCs w:val="16"/>
                <w:color w:val="auto"/>
              </w:rPr>
              <w:t>PMG Research of Raleigh, LLC</w:t>
            </w:r>
          </w:p>
        </w:tc>
        <w:tc>
          <w:tcPr>
            <w:tcW w:w="3260" w:type="dxa"/>
            <w:vAlign w:val="bottom"/>
          </w:tcPr>
          <w:p>
            <w:pPr>
              <w:ind w:left="780"/>
              <w:spacing w:after="0" w:line="180" w:lineRule="exact"/>
              <w:rPr>
                <w:sz w:val="20"/>
                <w:szCs w:val="20"/>
                <w:color w:val="auto"/>
              </w:rPr>
            </w:pPr>
            <w:r>
              <w:rPr>
                <w:rFonts w:ascii="Arial" w:cs="Arial" w:eastAsia="Arial" w:hAnsi="Arial"/>
                <w:sz w:val="16"/>
                <w:szCs w:val="16"/>
                <w:color w:val="auto"/>
              </w:rPr>
              <w:t>3521 Haworth Drive,</w:t>
            </w:r>
          </w:p>
        </w:tc>
        <w:tc>
          <w:tcPr>
            <w:tcW w:w="2320" w:type="dxa"/>
            <w:vAlign w:val="bottom"/>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Suite 100,</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Raleigh,</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North Carolina 27609</w:t>
            </w: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60" w:type="dxa"/>
            <w:vAlign w:val="bottom"/>
          </w:tcPr>
          <w:p>
            <w:pPr>
              <w:ind w:left="780"/>
              <w:spacing w:after="0"/>
              <w:rPr>
                <w:sz w:val="20"/>
                <w:szCs w:val="20"/>
                <w:color w:val="auto"/>
              </w:rPr>
            </w:pPr>
            <w:r>
              <w:rPr>
                <w:rFonts w:ascii="Arial" w:cs="Arial" w:eastAsia="Arial" w:hAnsi="Arial"/>
                <w:sz w:val="16"/>
                <w:szCs w:val="16"/>
                <w:color w:val="auto"/>
              </w:rPr>
              <w:t>USA</w:t>
            </w:r>
          </w:p>
        </w:tc>
        <w:tc>
          <w:tcPr>
            <w:tcW w:w="2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Rocky Mount, LLC</w:t>
            </w:r>
          </w:p>
        </w:tc>
        <w:tc>
          <w:tcPr>
            <w:tcW w:w="3260" w:type="dxa"/>
            <w:vAlign w:val="bottom"/>
            <w:shd w:val="clear" w:color="auto" w:fill="CCEEFF"/>
          </w:tcPr>
          <w:p>
            <w:pPr>
              <w:ind w:left="780"/>
              <w:spacing w:after="0" w:line="180" w:lineRule="exact"/>
              <w:rPr>
                <w:sz w:val="20"/>
                <w:szCs w:val="20"/>
                <w:color w:val="auto"/>
              </w:rPr>
            </w:pPr>
            <w:r>
              <w:rPr>
                <w:rFonts w:ascii="Arial" w:cs="Arial" w:eastAsia="Arial" w:hAnsi="Arial"/>
                <w:sz w:val="16"/>
                <w:szCs w:val="16"/>
                <w:color w:val="auto"/>
              </w:rPr>
              <w:t>901 N. Winstead Avenue,</w:t>
            </w:r>
          </w:p>
        </w:tc>
        <w:tc>
          <w:tcPr>
            <w:tcW w:w="2320" w:type="dxa"/>
            <w:vAlign w:val="bottom"/>
            <w:shd w:val="clear" w:color="auto" w:fill="CCEEFF"/>
          </w:tcPr>
          <w:p>
            <w:pPr>
              <w:ind w:left="5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Rocky Mount,</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North Carolina 27804</w:t>
            </w:r>
          </w:p>
        </w:tc>
        <w:tc>
          <w:tcPr>
            <w:tcW w:w="23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USA</w:t>
            </w:r>
          </w:p>
        </w:tc>
        <w:tc>
          <w:tcPr>
            <w:tcW w:w="2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Registered office</w:t>
            </w:r>
          </w:p>
        </w:tc>
        <w:tc>
          <w:tcPr>
            <w:tcW w:w="2420" w:type="dxa"/>
            <w:vAlign w:val="bottom"/>
          </w:tcPr>
          <w:p>
            <w:pPr>
              <w:ind w:left="680"/>
              <w:spacing w:after="0"/>
              <w:rPr>
                <w:sz w:val="20"/>
                <w:szCs w:val="20"/>
                <w:color w:val="auto"/>
              </w:rPr>
            </w:pPr>
            <w:r>
              <w:rPr>
                <w:rFonts w:ascii="Arial" w:cs="Arial" w:eastAsia="Arial" w:hAnsi="Arial"/>
                <w:sz w:val="16"/>
                <w:szCs w:val="16"/>
                <w:b w:val="1"/>
                <w:bCs w:val="1"/>
                <w:color w:val="auto"/>
              </w:rPr>
              <w:t>Nature of</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Proportion held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ind w:left="680"/>
              <w:spacing w:after="0"/>
              <w:rPr>
                <w:sz w:val="20"/>
                <w:szCs w:val="20"/>
                <w:color w:val="auto"/>
              </w:rPr>
            </w:pPr>
            <w:r>
              <w:rPr>
                <w:rFonts w:ascii="Arial" w:cs="Arial" w:eastAsia="Arial" w:hAnsi="Arial"/>
                <w:sz w:val="16"/>
                <w:szCs w:val="16"/>
                <w:b w:val="1"/>
                <w:bCs w:val="1"/>
                <w:color w:val="auto"/>
              </w:rPr>
              <w:t>business</w:t>
            </w:r>
          </w:p>
        </w:tc>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Group</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Salisbury, LLC</w:t>
            </w:r>
          </w:p>
        </w:tc>
        <w:tc>
          <w:tcPr>
            <w:tcW w:w="308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rPr>
              <w:t>410 Mocksville Avenue,</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Salisbury,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North Carolina 28144</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tcPr>
          <w:p>
            <w:pPr>
              <w:spacing w:after="0" w:line="180" w:lineRule="exact"/>
              <w:rPr>
                <w:sz w:val="20"/>
                <w:szCs w:val="20"/>
                <w:color w:val="auto"/>
              </w:rPr>
            </w:pPr>
            <w:r>
              <w:rPr>
                <w:rFonts w:ascii="Arial" w:cs="Arial" w:eastAsia="Arial" w:hAnsi="Arial"/>
                <w:sz w:val="16"/>
                <w:szCs w:val="16"/>
                <w:color w:val="auto"/>
              </w:rPr>
              <w:t>PMG Research of Wilmington, LLC</w:t>
            </w:r>
          </w:p>
        </w:tc>
        <w:tc>
          <w:tcPr>
            <w:tcW w:w="3080" w:type="dxa"/>
            <w:vAlign w:val="bottom"/>
          </w:tcPr>
          <w:p>
            <w:pPr>
              <w:ind w:left="700"/>
              <w:spacing w:after="0" w:line="180" w:lineRule="exact"/>
              <w:rPr>
                <w:sz w:val="20"/>
                <w:szCs w:val="20"/>
                <w:color w:val="auto"/>
              </w:rPr>
            </w:pPr>
            <w:r>
              <w:rPr>
                <w:rFonts w:ascii="Arial" w:cs="Arial" w:eastAsia="Arial" w:hAnsi="Arial"/>
                <w:sz w:val="16"/>
                <w:szCs w:val="16"/>
                <w:color w:val="auto"/>
              </w:rPr>
              <w:t>1907 Tradd Court,</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Wilmington,</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North Carolina 28401</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Winston-Salem, LLC</w:t>
            </w:r>
          </w:p>
        </w:tc>
        <w:tc>
          <w:tcPr>
            <w:tcW w:w="308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rPr>
              <w:t>1901 S. Hawthorne Road,</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Suite 306,</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Winston-Salem,</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North Carolina 27103</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tcPr>
          <w:p>
            <w:pPr>
              <w:spacing w:after="0" w:line="180" w:lineRule="exact"/>
              <w:rPr>
                <w:sz w:val="20"/>
                <w:szCs w:val="20"/>
                <w:color w:val="auto"/>
              </w:rPr>
            </w:pPr>
            <w:r>
              <w:rPr>
                <w:rFonts w:ascii="Arial" w:cs="Arial" w:eastAsia="Arial" w:hAnsi="Arial"/>
                <w:sz w:val="16"/>
                <w:szCs w:val="16"/>
                <w:color w:val="auto"/>
              </w:rPr>
              <w:t>PMG Research, Inc.</w:t>
            </w:r>
          </w:p>
        </w:tc>
        <w:tc>
          <w:tcPr>
            <w:tcW w:w="3080" w:type="dxa"/>
            <w:vAlign w:val="bottom"/>
          </w:tcPr>
          <w:p>
            <w:pPr>
              <w:ind w:left="700"/>
              <w:spacing w:after="0" w:line="180" w:lineRule="exact"/>
              <w:rPr>
                <w:sz w:val="20"/>
                <w:szCs w:val="20"/>
                <w:color w:val="auto"/>
              </w:rPr>
            </w:pPr>
            <w:r>
              <w:rPr>
                <w:rFonts w:ascii="Arial" w:cs="Arial" w:eastAsia="Arial" w:hAnsi="Arial"/>
                <w:sz w:val="16"/>
                <w:szCs w:val="16"/>
                <w:color w:val="auto"/>
              </w:rPr>
              <w:t>4505 Country Club Rd.,</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Suite 110,</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Winston-Salem,</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NC 27104</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Complete Healthcare Communications LLC</w:t>
            </w:r>
          </w:p>
        </w:tc>
        <w:tc>
          <w:tcPr>
            <w:tcW w:w="308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Yardley,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 19067</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tcPr>
          <w:p>
            <w:pPr>
              <w:spacing w:after="0" w:line="180" w:lineRule="exact"/>
              <w:rPr>
                <w:sz w:val="20"/>
                <w:szCs w:val="20"/>
                <w:color w:val="auto"/>
              </w:rPr>
            </w:pPr>
            <w:r>
              <w:rPr>
                <w:rFonts w:ascii="Arial" w:cs="Arial" w:eastAsia="Arial" w:hAnsi="Arial"/>
                <w:sz w:val="16"/>
                <w:szCs w:val="16"/>
                <w:color w:val="auto"/>
              </w:rPr>
              <w:t>Complete Publication Solutions, LLC</w:t>
            </w:r>
          </w:p>
        </w:tc>
        <w:tc>
          <w:tcPr>
            <w:tcW w:w="3080" w:type="dxa"/>
            <w:vAlign w:val="bottom"/>
          </w:tcPr>
          <w:p>
            <w:pPr>
              <w:ind w:left="700"/>
              <w:spacing w:after="0" w:line="180" w:lineRule="exact"/>
              <w:rPr>
                <w:sz w:val="20"/>
                <w:szCs w:val="20"/>
                <w:color w:val="auto"/>
              </w:rPr>
            </w:pPr>
            <w:r>
              <w:rPr>
                <w:rFonts w:ascii="Arial" w:cs="Arial" w:eastAsia="Arial" w:hAnsi="Arial"/>
                <w:sz w:val="16"/>
                <w:szCs w:val="16"/>
                <w:color w:val="auto"/>
              </w:rPr>
              <w:t>780 Township Line Road,</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Yardley,</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PA 19067</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PMG Research of Charleston, LLC</w:t>
            </w:r>
          </w:p>
        </w:tc>
        <w:tc>
          <w:tcPr>
            <w:tcW w:w="308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rPr>
              <w:t>180 Wingo Way,</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Suite 203,</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Mt. Pleasant,</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South Carolina 29464</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USA</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tcPr>
          <w:p>
            <w:pPr>
              <w:spacing w:after="0" w:line="180" w:lineRule="exact"/>
              <w:rPr>
                <w:sz w:val="20"/>
                <w:szCs w:val="20"/>
                <w:color w:val="auto"/>
              </w:rPr>
            </w:pPr>
            <w:r>
              <w:rPr>
                <w:rFonts w:ascii="Arial" w:cs="Arial" w:eastAsia="Arial" w:hAnsi="Arial"/>
                <w:sz w:val="16"/>
                <w:szCs w:val="16"/>
                <w:color w:val="auto"/>
              </w:rPr>
              <w:t>PMG Research of Bristol, LLC</w:t>
            </w:r>
          </w:p>
        </w:tc>
        <w:tc>
          <w:tcPr>
            <w:tcW w:w="3080" w:type="dxa"/>
            <w:vAlign w:val="bottom"/>
          </w:tcPr>
          <w:p>
            <w:pPr>
              <w:ind w:left="700"/>
              <w:spacing w:after="0" w:line="180" w:lineRule="exact"/>
              <w:rPr>
                <w:sz w:val="20"/>
                <w:szCs w:val="20"/>
                <w:color w:val="auto"/>
              </w:rPr>
            </w:pPr>
            <w:r>
              <w:rPr>
                <w:rFonts w:ascii="Arial" w:cs="Arial" w:eastAsia="Arial" w:hAnsi="Arial"/>
                <w:sz w:val="16"/>
                <w:szCs w:val="16"/>
                <w:color w:val="auto"/>
              </w:rPr>
              <w:t>1958 West State Street,</w:t>
            </w:r>
          </w:p>
        </w:tc>
        <w:tc>
          <w:tcPr>
            <w:tcW w:w="2420" w:type="dxa"/>
            <w:vAlign w:val="bottom"/>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Bristol,</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Tennessee 37620</w:t>
            </w: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80" w:type="dxa"/>
            <w:vAlign w:val="bottom"/>
          </w:tcPr>
          <w:p>
            <w:pPr>
              <w:ind w:left="700"/>
              <w:spacing w:after="0"/>
              <w:rPr>
                <w:sz w:val="20"/>
                <w:szCs w:val="20"/>
                <w:color w:val="auto"/>
              </w:rPr>
            </w:pPr>
            <w:r>
              <w:rPr>
                <w:rFonts w:ascii="Arial" w:cs="Arial" w:eastAsia="Arial" w:hAnsi="Arial"/>
                <w:sz w:val="16"/>
                <w:szCs w:val="16"/>
                <w:color w:val="auto"/>
              </w:rPr>
              <w:t>USA</w:t>
            </w: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Addplan Inc</w:t>
            </w:r>
          </w:p>
        </w:tc>
        <w:tc>
          <w:tcPr>
            <w:tcW w:w="3080" w:type="dxa"/>
            <w:vAlign w:val="bottom"/>
            <w:shd w:val="clear" w:color="auto" w:fill="CCEEFF"/>
          </w:tcPr>
          <w:p>
            <w:pPr>
              <w:ind w:left="700"/>
              <w:spacing w:after="0" w:line="180" w:lineRule="exact"/>
              <w:rPr>
                <w:sz w:val="20"/>
                <w:szCs w:val="20"/>
                <w:color w:val="auto"/>
              </w:rPr>
            </w:pPr>
            <w:r>
              <w:rPr>
                <w:rFonts w:ascii="Arial" w:cs="Arial" w:eastAsia="Arial" w:hAnsi="Arial"/>
                <w:sz w:val="16"/>
                <w:szCs w:val="16"/>
                <w:color w:val="auto"/>
              </w:rPr>
              <w:t>2100 Pennbrook Parkway,</w:t>
            </w:r>
          </w:p>
        </w:tc>
        <w:tc>
          <w:tcPr>
            <w:tcW w:w="2420" w:type="dxa"/>
            <w:vAlign w:val="bottom"/>
            <w:shd w:val="clear" w:color="auto" w:fill="CCEEFF"/>
          </w:tcPr>
          <w:p>
            <w:pPr>
              <w:ind w:left="680"/>
              <w:spacing w:after="0" w:line="180" w:lineRule="exact"/>
              <w:rPr>
                <w:sz w:val="20"/>
                <w:szCs w:val="20"/>
                <w:color w:val="auto"/>
              </w:rPr>
            </w:pPr>
            <w:r>
              <w:rPr>
                <w:rFonts w:ascii="Arial" w:cs="Arial" w:eastAsia="Arial" w:hAnsi="Arial"/>
                <w:sz w:val="16"/>
                <w:szCs w:val="16"/>
                <w:color w:val="auto"/>
                <w:w w:val="94"/>
              </w:rPr>
              <w:t>Clinical research services</w:t>
            </w:r>
          </w:p>
        </w:tc>
        <w:tc>
          <w:tcPr>
            <w:tcW w:w="24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North Wales,</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Montgomery County,</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 19454</w:t>
            </w: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United States</w:t>
            </w:r>
          </w:p>
        </w:tc>
        <w:tc>
          <w:tcPr>
            <w:tcW w:w="2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Clinical Research Management, Inc.</w:t>
            </w:r>
          </w:p>
        </w:tc>
        <w:tc>
          <w:tcPr>
            <w:tcW w:w="3080" w:type="dxa"/>
            <w:vAlign w:val="bottom"/>
          </w:tcPr>
          <w:p>
            <w:pPr>
              <w:ind w:left="700"/>
              <w:spacing w:after="0"/>
              <w:rPr>
                <w:sz w:val="20"/>
                <w:szCs w:val="20"/>
                <w:color w:val="auto"/>
              </w:rPr>
            </w:pPr>
            <w:r>
              <w:rPr>
                <w:rFonts w:ascii="Arial" w:cs="Arial" w:eastAsia="Arial" w:hAnsi="Arial"/>
                <w:sz w:val="16"/>
                <w:szCs w:val="16"/>
                <w:color w:val="auto"/>
              </w:rPr>
              <w:t>1265 Ridge Road,</w:t>
            </w:r>
          </w:p>
        </w:tc>
        <w:tc>
          <w:tcPr>
            <w:tcW w:w="2420" w:type="dxa"/>
            <w:vAlign w:val="bottom"/>
          </w:tcPr>
          <w:p>
            <w:pPr>
              <w:ind w:left="680"/>
              <w:spacing w:after="0"/>
              <w:rPr>
                <w:sz w:val="20"/>
                <w:szCs w:val="20"/>
                <w:color w:val="auto"/>
              </w:rPr>
            </w:pPr>
            <w:r>
              <w:rPr>
                <w:rFonts w:ascii="Arial" w:cs="Arial" w:eastAsia="Arial" w:hAnsi="Arial"/>
                <w:sz w:val="16"/>
                <w:szCs w:val="16"/>
                <w:color w:val="auto"/>
                <w:w w:val="94"/>
              </w:rPr>
              <w:t>Clinical research services</w:t>
            </w:r>
          </w:p>
        </w:tc>
        <w:tc>
          <w:tcPr>
            <w:tcW w:w="2400" w:type="dxa"/>
            <w:vAlign w:val="bottom"/>
          </w:tcPr>
          <w:p>
            <w:pPr>
              <w:ind w:left="1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ind w:left="4240"/>
        <w:spacing w:after="0"/>
        <w:rPr>
          <w:sz w:val="20"/>
          <w:szCs w:val="20"/>
          <w:color w:val="auto"/>
        </w:rPr>
      </w:pPr>
      <w:r>
        <w:rPr>
          <w:rFonts w:ascii="Arial" w:cs="Arial" w:eastAsia="Arial" w:hAnsi="Arial"/>
          <w:sz w:val="16"/>
          <w:szCs w:val="16"/>
          <w:color w:val="auto"/>
        </w:rPr>
        <w:t>Hinckley,</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OH 44233</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majority of which is held directly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 xml:space="preserve">Notes to Consolidated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Approval of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approved these financial statements on 25 April 2017.</w:t>
      </w:r>
    </w:p>
    <w:p>
      <w:pPr>
        <w:spacing w:after="0" w:line="200" w:lineRule="exact"/>
        <w:rPr>
          <w:sz w:val="20"/>
          <w:szCs w:val="20"/>
          <w:color w:val="auto"/>
        </w:rPr>
      </w:pPr>
    </w:p>
    <w:p>
      <w:pPr>
        <w:spacing w:after="0" w:line="345"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Company Statement of Financial Position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440" w:type="dxa"/>
            <w:vAlign w:val="bottom"/>
          </w:tcPr>
          <w:p>
            <w:pPr>
              <w:jc w:val="right"/>
              <w:ind w:right="381"/>
              <w:spacing w:after="0"/>
              <w:rPr>
                <w:sz w:val="20"/>
                <w:szCs w:val="20"/>
                <w:color w:val="auto"/>
              </w:rPr>
            </w:pPr>
            <w:r>
              <w:rPr>
                <w:rFonts w:ascii="Arial" w:cs="Arial" w:eastAsia="Arial" w:hAnsi="Arial"/>
                <w:sz w:val="16"/>
                <w:szCs w:val="16"/>
                <w:b w:val="1"/>
                <w:bCs w:val="1"/>
                <w:i w:val="1"/>
                <w:iCs w:val="1"/>
                <w:color w:val="auto"/>
              </w:rPr>
              <w:t>Note</w:t>
            </w: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w:t>
            </w:r>
          </w:p>
        </w:tc>
        <w:tc>
          <w:tcPr>
            <w:tcW w:w="2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25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2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4440" w:type="dxa"/>
            <w:vAlign w:val="bottom"/>
            <w:shd w:val="clear" w:color="auto" w:fill="CCEEFF"/>
          </w:tcPr>
          <w:p>
            <w:pPr>
              <w:jc w:val="right"/>
              <w:ind w:right="441"/>
              <w:spacing w:after="0"/>
              <w:rPr>
                <w:sz w:val="20"/>
                <w:szCs w:val="20"/>
                <w:color w:val="auto"/>
              </w:rPr>
            </w:pPr>
            <w:r>
              <w:rPr>
                <w:rFonts w:ascii="Arial" w:cs="Arial" w:eastAsia="Arial" w:hAnsi="Arial"/>
                <w:sz w:val="16"/>
                <w:szCs w:val="16"/>
                <w:i w:val="1"/>
                <w:iCs w:val="1"/>
                <w:color w:val="auto"/>
              </w:rPr>
              <w:t>1</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Intangible assets</w:t>
            </w:r>
          </w:p>
        </w:tc>
        <w:tc>
          <w:tcPr>
            <w:tcW w:w="2500" w:type="dxa"/>
            <w:vAlign w:val="bottom"/>
          </w:tcPr>
          <w:p>
            <w:pPr>
              <w:spacing w:after="0"/>
              <w:rPr>
                <w:sz w:val="16"/>
                <w:szCs w:val="16"/>
                <w:color w:val="auto"/>
              </w:rPr>
            </w:pPr>
          </w:p>
        </w:tc>
        <w:tc>
          <w:tcPr>
            <w:tcW w:w="4440" w:type="dxa"/>
            <w:vAlign w:val="bottom"/>
          </w:tcPr>
          <w:p>
            <w:pPr>
              <w:jc w:val="right"/>
              <w:ind w:right="441"/>
              <w:spacing w:after="0"/>
              <w:rPr>
                <w:sz w:val="20"/>
                <w:szCs w:val="20"/>
                <w:color w:val="auto"/>
              </w:rPr>
            </w:pPr>
            <w:r>
              <w:rPr>
                <w:rFonts w:ascii="Arial" w:cs="Arial" w:eastAsia="Arial" w:hAnsi="Arial"/>
                <w:sz w:val="16"/>
                <w:szCs w:val="16"/>
                <w:i w:val="1"/>
                <w:iCs w:val="1"/>
                <w:color w:val="auto"/>
              </w:rPr>
              <w:t>2</w:t>
            </w: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62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w w:val="90"/>
              </w:rPr>
              <w:t>Investment in subsidiaries</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jc w:val="right"/>
              <w:ind w:right="441"/>
              <w:spacing w:after="0"/>
              <w:rPr>
                <w:sz w:val="20"/>
                <w:szCs w:val="20"/>
                <w:color w:val="auto"/>
              </w:rPr>
            </w:pPr>
            <w:r>
              <w:rPr>
                <w:rFonts w:ascii="Arial" w:cs="Arial" w:eastAsia="Arial" w:hAnsi="Arial"/>
                <w:sz w:val="16"/>
                <w:szCs w:val="16"/>
                <w:i w:val="1"/>
                <w:iCs w:val="1"/>
                <w:color w:val="auto"/>
              </w:rPr>
              <w:t>3</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346,406</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355,853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asset</w:t>
            </w:r>
          </w:p>
        </w:tc>
        <w:tc>
          <w:tcPr>
            <w:tcW w:w="25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i w:val="1"/>
                <w:iCs w:val="1"/>
                <w:color w:val="auto"/>
              </w:rPr>
              <w:t>4</w:t>
            </w: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548</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8"/>
              </w:rPr>
              <w:t>Total non-current assets</w:t>
            </w:r>
          </w:p>
        </w:tc>
        <w:tc>
          <w:tcPr>
            <w:tcW w:w="2500" w:type="dxa"/>
            <w:vAlign w:val="bottom"/>
            <w:tcBorders>
              <w:bottom w:val="single" w:sz="8" w:color="auto"/>
            </w:tcBorders>
            <w:shd w:val="clear" w:color="auto" w:fill="CCEEFF"/>
          </w:tcPr>
          <w:p>
            <w:pPr>
              <w:spacing w:after="0"/>
              <w:rPr>
                <w:sz w:val="20"/>
                <w:szCs w:val="20"/>
                <w:color w:val="auto"/>
              </w:rPr>
            </w:pPr>
          </w:p>
        </w:tc>
        <w:tc>
          <w:tcPr>
            <w:tcW w:w="44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347,345</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356,875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6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Other current assets</w:t>
            </w:r>
          </w:p>
        </w:tc>
        <w:tc>
          <w:tcPr>
            <w:tcW w:w="2500" w:type="dxa"/>
            <w:vAlign w:val="bottom"/>
          </w:tcPr>
          <w:p>
            <w:pPr>
              <w:spacing w:after="0"/>
              <w:rPr>
                <w:sz w:val="16"/>
                <w:szCs w:val="16"/>
                <w:color w:val="auto"/>
              </w:rPr>
            </w:pPr>
          </w:p>
        </w:tc>
        <w:tc>
          <w:tcPr>
            <w:tcW w:w="4440" w:type="dxa"/>
            <w:vAlign w:val="bottom"/>
          </w:tcPr>
          <w:p>
            <w:pPr>
              <w:jc w:val="right"/>
              <w:ind w:right="441"/>
              <w:spacing w:after="0"/>
              <w:rPr>
                <w:sz w:val="20"/>
                <w:szCs w:val="20"/>
                <w:color w:val="auto"/>
              </w:rPr>
            </w:pPr>
            <w:r>
              <w:rPr>
                <w:rFonts w:ascii="Arial" w:cs="Arial" w:eastAsia="Arial" w:hAnsi="Arial"/>
                <w:sz w:val="16"/>
                <w:szCs w:val="16"/>
                <w:i w:val="1"/>
                <w:iCs w:val="1"/>
                <w:color w:val="auto"/>
              </w:rPr>
              <w:t>5</w:t>
            </w: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3,394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due from subsidiary undertakings</w:t>
            </w:r>
          </w:p>
        </w:tc>
        <w:tc>
          <w:tcPr>
            <w:tcW w:w="4440" w:type="dxa"/>
            <w:vAlign w:val="bottom"/>
            <w:shd w:val="clear" w:color="auto" w:fill="CCEEFF"/>
          </w:tcPr>
          <w:p>
            <w:pPr>
              <w:jc w:val="right"/>
              <w:ind w:right="441"/>
              <w:spacing w:after="0"/>
              <w:rPr>
                <w:sz w:val="20"/>
                <w:szCs w:val="20"/>
                <w:color w:val="auto"/>
              </w:rPr>
            </w:pPr>
            <w:r>
              <w:rPr>
                <w:rFonts w:ascii="Arial" w:cs="Arial" w:eastAsia="Arial" w:hAnsi="Arial"/>
                <w:sz w:val="16"/>
                <w:szCs w:val="16"/>
                <w:i w:val="1"/>
                <w:iCs w:val="1"/>
                <w:color w:val="auto"/>
              </w:rPr>
              <w:t>6</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410,730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149,989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color w:val="auto"/>
                <w:w w:val="95"/>
              </w:rPr>
              <w:t>Current taxes receivable</w:t>
            </w: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51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Cash and cash equivalents</w:t>
            </w:r>
          </w:p>
        </w:tc>
        <w:tc>
          <w:tcPr>
            <w:tcW w:w="2500" w:type="dxa"/>
            <w:vAlign w:val="bottom"/>
            <w:tcBorders>
              <w:bottom w:val="single" w:sz="8" w:color="auto"/>
            </w:tcBorders>
            <w:shd w:val="clear" w:color="auto" w:fill="CCEEFF"/>
          </w:tcPr>
          <w:p>
            <w:pPr>
              <w:spacing w:after="0"/>
              <w:rPr>
                <w:sz w:val="17"/>
                <w:szCs w:val="17"/>
                <w:color w:val="auto"/>
              </w:rPr>
            </w:pPr>
          </w:p>
        </w:tc>
        <w:tc>
          <w:tcPr>
            <w:tcW w:w="44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32,294</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5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446,469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154,230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shd w:val="clear" w:color="auto" w:fill="CCEEFF"/>
          </w:tcPr>
          <w:p>
            <w:pPr>
              <w:spacing w:after="0"/>
              <w:rPr>
                <w:sz w:val="17"/>
                <w:szCs w:val="17"/>
                <w:color w:val="auto"/>
              </w:rPr>
            </w:pPr>
          </w:p>
        </w:tc>
        <w:tc>
          <w:tcPr>
            <w:tcW w:w="44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w:t>
            </w:r>
          </w:p>
        </w:tc>
        <w:tc>
          <w:tcPr>
            <w:tcW w:w="25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793,814</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511,105</w:t>
            </w:r>
          </w:p>
        </w:tc>
        <w:tc>
          <w:tcPr>
            <w:tcW w:w="0" w:type="dxa"/>
            <w:vAlign w:val="bottom"/>
          </w:tcPr>
          <w:p>
            <w:pPr>
              <w:spacing w:after="0"/>
              <w:rPr>
                <w:sz w:val="1"/>
                <w:szCs w:val="1"/>
                <w:color w:val="auto"/>
              </w:rPr>
            </w:pPr>
          </w:p>
        </w:tc>
      </w:tr>
      <w:tr>
        <w:trPr>
          <w:trHeight w:val="20"/>
        </w:trPr>
        <w:tc>
          <w:tcPr>
            <w:tcW w:w="17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spacing w:after="0"/>
              <w:rPr>
                <w:sz w:val="15"/>
                <w:szCs w:val="15"/>
                <w:color w:val="auto"/>
              </w:rPr>
            </w:pPr>
          </w:p>
        </w:tc>
        <w:tc>
          <w:tcPr>
            <w:tcW w:w="444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4,692</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Share premium</w:t>
            </w: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252,977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242,864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undenominated capital</w:t>
            </w: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809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Share based payment reserve</w:t>
            </w:r>
          </w:p>
        </w:tc>
        <w:tc>
          <w:tcPr>
            <w:tcW w:w="4440" w:type="dxa"/>
            <w:vAlign w:val="bottom"/>
          </w:tcPr>
          <w:p>
            <w:pPr>
              <w:spacing w:after="0"/>
              <w:rPr>
                <w:sz w:val="16"/>
                <w:szCs w:val="16"/>
                <w:color w:val="auto"/>
              </w:rPr>
            </w:pP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120,241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83,781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(107,391)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(109,998)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25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493,294</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274,888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Attributable to equity holders</w:t>
            </w:r>
          </w:p>
        </w:tc>
        <w:tc>
          <w:tcPr>
            <w:tcW w:w="44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764,622</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496,969</w:t>
            </w:r>
          </w:p>
        </w:tc>
        <w:tc>
          <w:tcPr>
            <w:tcW w:w="0" w:type="dxa"/>
            <w:vAlign w:val="bottom"/>
          </w:tcPr>
          <w:p>
            <w:pPr>
              <w:spacing w:after="0"/>
              <w:rPr>
                <w:sz w:val="1"/>
                <w:szCs w:val="1"/>
                <w:color w:val="auto"/>
              </w:rPr>
            </w:pPr>
          </w:p>
        </w:tc>
      </w:tr>
      <w:tr>
        <w:trPr>
          <w:trHeight w:val="196"/>
        </w:trPr>
        <w:tc>
          <w:tcPr>
            <w:tcW w:w="170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2500" w:type="dxa"/>
            <w:vAlign w:val="bottom"/>
            <w:tcBorders>
              <w:top w:val="single" w:sz="8" w:color="auto"/>
              <w:bottom w:val="single" w:sz="8" w:color="auto"/>
            </w:tcBorders>
            <w:shd w:val="clear" w:color="auto" w:fill="CCEEFF"/>
          </w:tcPr>
          <w:p>
            <w:pPr>
              <w:spacing w:after="0"/>
              <w:rPr>
                <w:sz w:val="17"/>
                <w:szCs w:val="17"/>
                <w:color w:val="auto"/>
              </w:rPr>
            </w:pPr>
          </w:p>
        </w:tc>
        <w:tc>
          <w:tcPr>
            <w:tcW w:w="44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764,622</w:t>
            </w:r>
          </w:p>
        </w:tc>
        <w:tc>
          <w:tcPr>
            <w:tcW w:w="1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496,969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Non-current other liabilities</w:t>
            </w:r>
          </w:p>
        </w:tc>
        <w:tc>
          <w:tcPr>
            <w:tcW w:w="44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i w:val="1"/>
                <w:iCs w:val="1"/>
                <w:color w:val="auto"/>
              </w:rPr>
              <w:t>7</w:t>
            </w: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non-current liabilities</w:t>
            </w:r>
          </w:p>
        </w:tc>
        <w:tc>
          <w:tcPr>
            <w:tcW w:w="4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50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Amounts due to subsidiary undertakings</w:t>
            </w:r>
          </w:p>
        </w:tc>
        <w:tc>
          <w:tcPr>
            <w:tcW w:w="4440" w:type="dxa"/>
            <w:vAlign w:val="bottom"/>
          </w:tcPr>
          <w:p>
            <w:pPr>
              <w:jc w:val="right"/>
              <w:ind w:right="441"/>
              <w:spacing w:after="0"/>
              <w:rPr>
                <w:sz w:val="20"/>
                <w:szCs w:val="20"/>
                <w:color w:val="auto"/>
              </w:rPr>
            </w:pPr>
            <w:r>
              <w:rPr>
                <w:rFonts w:ascii="Arial" w:cs="Arial" w:eastAsia="Arial" w:hAnsi="Arial"/>
                <w:sz w:val="16"/>
                <w:szCs w:val="16"/>
                <w:i w:val="1"/>
                <w:iCs w:val="1"/>
                <w:color w:val="auto"/>
              </w:rPr>
              <w:t>6</w:t>
            </w:r>
          </w:p>
        </w:tc>
        <w:tc>
          <w:tcPr>
            <w:tcW w:w="1600" w:type="dxa"/>
            <w:vAlign w:val="bottom"/>
          </w:tcPr>
          <w:p>
            <w:pPr>
              <w:jc w:val="right"/>
              <w:ind w:right="180"/>
              <w:spacing w:after="0"/>
              <w:rPr>
                <w:sz w:val="20"/>
                <w:szCs w:val="20"/>
                <w:color w:val="auto"/>
              </w:rPr>
            </w:pPr>
            <w:r>
              <w:rPr>
                <w:rFonts w:ascii="Arial" w:cs="Arial" w:eastAsia="Arial" w:hAnsi="Arial"/>
                <w:sz w:val="16"/>
                <w:szCs w:val="16"/>
                <w:b w:val="1"/>
                <w:bCs w:val="1"/>
                <w:color w:val="auto"/>
              </w:rPr>
              <w:t>18,816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and other liabilities</w:t>
            </w:r>
          </w:p>
        </w:tc>
        <w:tc>
          <w:tcPr>
            <w:tcW w:w="4440" w:type="dxa"/>
            <w:vAlign w:val="bottom"/>
            <w:shd w:val="clear" w:color="auto" w:fill="CCEEFF"/>
          </w:tcPr>
          <w:p>
            <w:pPr>
              <w:jc w:val="right"/>
              <w:ind w:right="441"/>
              <w:spacing w:after="0"/>
              <w:rPr>
                <w:sz w:val="20"/>
                <w:szCs w:val="20"/>
                <w:color w:val="auto"/>
              </w:rPr>
            </w:pPr>
            <w:r>
              <w:rPr>
                <w:rFonts w:ascii="Arial" w:cs="Arial" w:eastAsia="Arial" w:hAnsi="Arial"/>
                <w:sz w:val="16"/>
                <w:szCs w:val="16"/>
                <w:i w:val="1"/>
                <w:iCs w:val="1"/>
                <w:color w:val="auto"/>
              </w:rPr>
              <w:t>7</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9,478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13,643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taxes payable</w:t>
            </w:r>
          </w:p>
        </w:tc>
        <w:tc>
          <w:tcPr>
            <w:tcW w:w="25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888</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7"/>
              </w:rPr>
              <w:t>Total current liabilities</w:t>
            </w:r>
          </w:p>
        </w:tc>
        <w:tc>
          <w:tcPr>
            <w:tcW w:w="2500" w:type="dxa"/>
            <w:vAlign w:val="bottom"/>
            <w:tcBorders>
              <w:bottom w:val="single" w:sz="8" w:color="auto"/>
            </w:tcBorders>
            <w:shd w:val="clear" w:color="auto" w:fill="CCEEFF"/>
          </w:tcPr>
          <w:p>
            <w:pPr>
              <w:spacing w:after="0"/>
              <w:rPr>
                <w:sz w:val="17"/>
                <w:szCs w:val="17"/>
                <w:color w:val="auto"/>
              </w:rPr>
            </w:pPr>
          </w:p>
        </w:tc>
        <w:tc>
          <w:tcPr>
            <w:tcW w:w="44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29,192</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14,136</w:t>
            </w:r>
          </w:p>
        </w:tc>
        <w:tc>
          <w:tcPr>
            <w:tcW w:w="0" w:type="dxa"/>
            <w:vAlign w:val="bottom"/>
          </w:tcPr>
          <w:p>
            <w:pPr>
              <w:spacing w:after="0"/>
              <w:rPr>
                <w:sz w:val="1"/>
                <w:szCs w:val="1"/>
                <w:color w:val="auto"/>
              </w:rPr>
            </w:pPr>
          </w:p>
        </w:tc>
      </w:tr>
      <w:tr>
        <w:trPr>
          <w:trHeight w:val="196"/>
        </w:trPr>
        <w:tc>
          <w:tcPr>
            <w:tcW w:w="170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500" w:type="dxa"/>
            <w:vAlign w:val="bottom"/>
            <w:tcBorders>
              <w:top w:val="single" w:sz="8" w:color="auto"/>
              <w:bottom w:val="single" w:sz="8" w:color="auto"/>
            </w:tcBorders>
            <w:shd w:val="clear" w:color="auto" w:fill="CCEEFF"/>
          </w:tcPr>
          <w:p>
            <w:pPr>
              <w:spacing w:after="0"/>
              <w:rPr>
                <w:sz w:val="17"/>
                <w:szCs w:val="17"/>
                <w:color w:val="auto"/>
              </w:rPr>
            </w:pPr>
          </w:p>
        </w:tc>
        <w:tc>
          <w:tcPr>
            <w:tcW w:w="44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29,192</w:t>
            </w:r>
          </w:p>
        </w:tc>
        <w:tc>
          <w:tcPr>
            <w:tcW w:w="1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14,136</w:t>
            </w:r>
          </w:p>
        </w:tc>
        <w:tc>
          <w:tcPr>
            <w:tcW w:w="0" w:type="dxa"/>
            <w:vAlign w:val="bottom"/>
          </w:tcPr>
          <w:p>
            <w:pPr>
              <w:spacing w:after="0"/>
              <w:rPr>
                <w:sz w:val="1"/>
                <w:szCs w:val="1"/>
                <w:color w:val="auto"/>
              </w:rPr>
            </w:pPr>
          </w:p>
        </w:tc>
      </w:tr>
      <w:tr>
        <w:trPr>
          <w:trHeight w:val="196"/>
        </w:trPr>
        <w:tc>
          <w:tcPr>
            <w:tcW w:w="4200" w:type="dxa"/>
            <w:vAlign w:val="bottom"/>
            <w:gridSpan w:val="3"/>
          </w:tcPr>
          <w:p>
            <w:pPr>
              <w:spacing w:after="0"/>
              <w:rPr>
                <w:sz w:val="17"/>
                <w:szCs w:val="17"/>
                <w:color w:val="auto"/>
              </w:rPr>
            </w:pPr>
          </w:p>
        </w:tc>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444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793,814</w:t>
            </w:r>
          </w:p>
        </w:tc>
        <w:tc>
          <w:tcPr>
            <w:tcW w:w="1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511,105</w:t>
            </w:r>
          </w:p>
        </w:tc>
        <w:tc>
          <w:tcPr>
            <w:tcW w:w="0" w:type="dxa"/>
            <w:vAlign w:val="bottom"/>
          </w:tcPr>
          <w:p>
            <w:pPr>
              <w:spacing w:after="0"/>
              <w:rPr>
                <w:sz w:val="1"/>
                <w:szCs w:val="1"/>
                <w:color w:val="auto"/>
              </w:rPr>
            </w:pPr>
          </w:p>
        </w:tc>
      </w:tr>
      <w:tr>
        <w:trPr>
          <w:trHeight w:val="396"/>
        </w:trPr>
        <w:tc>
          <w:tcPr>
            <w:tcW w:w="1700" w:type="dxa"/>
            <w:vAlign w:val="bottom"/>
            <w:gridSpan w:val="2"/>
          </w:tcPr>
          <w:p>
            <w:pPr>
              <w:spacing w:after="0"/>
              <w:rPr>
                <w:sz w:val="20"/>
                <w:szCs w:val="20"/>
                <w:color w:val="auto"/>
              </w:rPr>
            </w:pPr>
            <w:r>
              <w:rPr>
                <w:rFonts w:ascii="Arial" w:cs="Arial" w:eastAsia="Arial" w:hAnsi="Arial"/>
                <w:sz w:val="16"/>
                <w:szCs w:val="16"/>
                <w:b w:val="1"/>
                <w:bCs w:val="1"/>
                <w:color w:val="auto"/>
                <w:w w:val="97"/>
              </w:rPr>
              <w:t>On behalf of the Board</w:t>
            </w:r>
          </w:p>
        </w:tc>
        <w:tc>
          <w:tcPr>
            <w:tcW w:w="2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700" w:type="dxa"/>
            <w:vAlign w:val="bottom"/>
            <w:gridSpan w:val="2"/>
          </w:tcPr>
          <w:p>
            <w:pPr>
              <w:spacing w:after="0"/>
              <w:rPr>
                <w:sz w:val="20"/>
                <w:szCs w:val="20"/>
                <w:color w:val="auto"/>
              </w:rPr>
            </w:pPr>
            <w:r>
              <w:rPr>
                <w:rFonts w:ascii="Arial" w:cs="Arial" w:eastAsia="Arial" w:hAnsi="Arial"/>
                <w:sz w:val="16"/>
                <w:szCs w:val="16"/>
                <w:color w:val="auto"/>
              </w:rPr>
              <w:t>Ciaran Murray</w:t>
            </w:r>
          </w:p>
        </w:tc>
        <w:tc>
          <w:tcPr>
            <w:tcW w:w="2500" w:type="dxa"/>
            <w:vAlign w:val="bottom"/>
          </w:tcPr>
          <w:p>
            <w:pPr>
              <w:ind w:left="20"/>
              <w:spacing w:after="0"/>
              <w:rPr>
                <w:sz w:val="20"/>
                <w:szCs w:val="20"/>
                <w:color w:val="auto"/>
              </w:rPr>
            </w:pPr>
            <w:r>
              <w:rPr>
                <w:rFonts w:ascii="Arial" w:cs="Arial" w:eastAsia="Arial" w:hAnsi="Arial"/>
                <w:sz w:val="16"/>
                <w:szCs w:val="16"/>
                <w:color w:val="auto"/>
              </w:rPr>
              <w:t>Declan McKeon</w:t>
            </w: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00" w:type="dxa"/>
            <w:vAlign w:val="bottom"/>
            <w:gridSpan w:val="2"/>
          </w:tcPr>
          <w:p>
            <w:pPr>
              <w:spacing w:after="0"/>
              <w:rPr>
                <w:sz w:val="20"/>
                <w:szCs w:val="20"/>
                <w:color w:val="auto"/>
              </w:rPr>
            </w:pPr>
            <w:r>
              <w:rPr>
                <w:rFonts w:ascii="Arial" w:cs="Arial" w:eastAsia="Arial" w:hAnsi="Arial"/>
                <w:sz w:val="16"/>
                <w:szCs w:val="16"/>
                <w:color w:val="auto"/>
              </w:rPr>
              <w:t>Executive Chairman</w:t>
            </w:r>
          </w:p>
        </w:tc>
        <w:tc>
          <w:tcPr>
            <w:tcW w:w="2500" w:type="dxa"/>
            <w:vAlign w:val="bottom"/>
          </w:tcPr>
          <w:p>
            <w:pPr>
              <w:ind w:left="20"/>
              <w:spacing w:after="0"/>
              <w:rPr>
                <w:sz w:val="20"/>
                <w:szCs w:val="20"/>
                <w:color w:val="auto"/>
              </w:rPr>
            </w:pPr>
            <w:r>
              <w:rPr>
                <w:rFonts w:ascii="Arial" w:cs="Arial" w:eastAsia="Arial" w:hAnsi="Arial"/>
                <w:sz w:val="16"/>
                <w:szCs w:val="16"/>
                <w:color w:val="auto"/>
              </w:rPr>
              <w:t>Director</w:t>
            </w:r>
          </w:p>
        </w:tc>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40" w:type="dxa"/>
            <w:vAlign w:val="bottom"/>
          </w:tcPr>
          <w:p>
            <w:pPr>
              <w:jc w:val="right"/>
              <w:ind w:right="2741"/>
              <w:spacing w:after="0"/>
              <w:rPr>
                <w:sz w:val="20"/>
                <w:szCs w:val="20"/>
                <w:color w:val="auto"/>
              </w:rPr>
            </w:pPr>
            <w:r>
              <w:rPr>
                <w:rFonts w:ascii="Arial" w:cs="Arial" w:eastAsia="Arial" w:hAnsi="Arial"/>
                <w:sz w:val="13"/>
                <w:szCs w:val="13"/>
                <w:color w:val="auto"/>
              </w:rPr>
              <w:t>108</w:t>
            </w: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i w:val="1"/>
          <w:iCs w:val="1"/>
          <w:color w:val="auto"/>
        </w:rPr>
        <w:t>Company Statement of Changes in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Share</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Based</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Share</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Share</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w w:val="97"/>
              </w:rPr>
              <w:t>Undenominated</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Payment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Currency</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Retained</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of shares</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Capital</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Premium</w:t>
            </w:r>
          </w:p>
        </w:tc>
        <w:tc>
          <w:tcPr>
            <w:tcW w:w="1400" w:type="dxa"/>
            <w:vAlign w:val="bottom"/>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Reserve</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Reserves</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Reserve</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Earnings</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Equity</w:t>
            </w:r>
          </w:p>
        </w:tc>
      </w:tr>
      <w:tr>
        <w:trPr>
          <w:trHeight w:val="213"/>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388"/>
        </w:trPr>
        <w:tc>
          <w:tcPr>
            <w:tcW w:w="20" w:type="dxa"/>
            <w:vAlign w:val="bottom"/>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1 January 2016</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54,958,912</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4,719</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242,864</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715</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83,781</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6,071</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(116,069)</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274,888</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496,969</w:t>
            </w:r>
          </w:p>
        </w:tc>
      </w:tr>
      <w:tr>
        <w:trPr>
          <w:trHeight w:val="176"/>
        </w:trPr>
        <w:tc>
          <w:tcPr>
            <w:tcW w:w="20" w:type="dxa"/>
            <w:vAlign w:val="bottom"/>
          </w:tcPr>
          <w:p>
            <w:pPr>
              <w:spacing w:after="0"/>
              <w:rPr>
                <w:sz w:val="15"/>
                <w:szCs w:val="15"/>
                <w:color w:val="auto"/>
              </w:rPr>
            </w:pPr>
          </w:p>
        </w:tc>
        <w:tc>
          <w:tcPr>
            <w:tcW w:w="2100" w:type="dxa"/>
            <w:vAlign w:val="bottom"/>
          </w:tcPr>
          <w:p>
            <w:pPr>
              <w:spacing w:after="0" w:line="176" w:lineRule="exact"/>
              <w:rPr>
                <w:sz w:val="20"/>
                <w:szCs w:val="20"/>
                <w:color w:val="auto"/>
              </w:rPr>
            </w:pPr>
            <w:r>
              <w:rPr>
                <w:rFonts w:ascii="Arial" w:cs="Arial" w:eastAsia="Arial" w:hAnsi="Arial"/>
                <w:sz w:val="16"/>
                <w:szCs w:val="16"/>
                <w:b w:val="1"/>
                <w:bCs w:val="1"/>
                <w:color w:val="auto"/>
                <w:w w:val="94"/>
              </w:rPr>
              <w:t>Total comprehensive income</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for the year</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324,848</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324,848</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b w:val="1"/>
                <w:bCs w:val="1"/>
                <w:color w:val="auto"/>
                <w:w w:val="92"/>
              </w:rPr>
              <w:t>Other comprehensive income</w:t>
            </w: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2,607</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2,607</w:t>
            </w:r>
          </w:p>
        </w:tc>
      </w:tr>
      <w:tr>
        <w:trPr>
          <w:trHeight w:val="372"/>
        </w:trPr>
        <w:tc>
          <w:tcPr>
            <w:tcW w:w="2120" w:type="dxa"/>
            <w:vAlign w:val="bottom"/>
            <w:gridSpan w:val="2"/>
          </w:tcPr>
          <w:p>
            <w:pPr>
              <w:spacing w:after="0"/>
              <w:rPr>
                <w:sz w:val="20"/>
                <w:szCs w:val="20"/>
                <w:color w:val="auto"/>
              </w:rPr>
            </w:pPr>
            <w:r>
              <w:rPr>
                <w:rFonts w:ascii="Arial" w:cs="Arial" w:eastAsia="Arial" w:hAnsi="Arial"/>
                <w:sz w:val="16"/>
                <w:szCs w:val="16"/>
                <w:color w:val="auto"/>
              </w:rPr>
              <w:t>Total other comprehensive</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9"/>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2,607</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2,607</w:t>
            </w:r>
          </w:p>
        </w:tc>
      </w:tr>
      <w:tr>
        <w:trPr>
          <w:trHeight w:val="372"/>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 the year</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2,607</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324,848</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327,455</w:t>
            </w:r>
          </w:p>
        </w:tc>
      </w:tr>
      <w:tr>
        <w:trPr>
          <w:trHeight w:val="176"/>
        </w:trPr>
        <w:tc>
          <w:tcPr>
            <w:tcW w:w="20" w:type="dxa"/>
            <w:vAlign w:val="bottom"/>
          </w:tcPr>
          <w:p>
            <w:pPr>
              <w:spacing w:after="0"/>
              <w:rPr>
                <w:sz w:val="15"/>
                <w:szCs w:val="15"/>
                <w:color w:val="auto"/>
              </w:rPr>
            </w:pPr>
          </w:p>
        </w:tc>
        <w:tc>
          <w:tcPr>
            <w:tcW w:w="2100" w:type="dxa"/>
            <w:vAlign w:val="bottom"/>
          </w:tcPr>
          <w:p>
            <w:pPr>
              <w:spacing w:after="0" w:line="176" w:lineRule="exact"/>
              <w:rPr>
                <w:sz w:val="20"/>
                <w:szCs w:val="20"/>
                <w:color w:val="auto"/>
              </w:rPr>
            </w:pPr>
            <w:r>
              <w:rPr>
                <w:rFonts w:ascii="Arial" w:cs="Arial" w:eastAsia="Arial" w:hAnsi="Arial"/>
                <w:sz w:val="16"/>
                <w:szCs w:val="16"/>
                <w:b w:val="1"/>
                <w:bCs w:val="1"/>
                <w:color w:val="auto"/>
              </w:rPr>
              <w:t>Transactions with owners,</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recorded directly in equity</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40,310</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40,310</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Exercise of share options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393,240</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10,113</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10,139</w:t>
            </w: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Share issue costs</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w w:val="99"/>
              </w:rPr>
              <w:t>Issue of restricted share units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607,878</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w:t>
            </w: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w w:val="95"/>
              </w:rPr>
              <w:t>Repurchase of ordinary shares</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(1,429,187)</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(110,000)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Share repurchase costs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(275)</w:t>
            </w:r>
          </w:p>
        </w:tc>
        <w:tc>
          <w:tcPr>
            <w:tcW w:w="8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180"/>
        </w:trPr>
        <w:tc>
          <w:tcPr>
            <w:tcW w:w="20" w:type="dxa"/>
            <w:vAlign w:val="bottom"/>
          </w:tcPr>
          <w:p>
            <w:pPr>
              <w:spacing w:after="0"/>
              <w:rPr>
                <w:sz w:val="15"/>
                <w:szCs w:val="15"/>
                <w:color w:val="auto"/>
              </w:rPr>
            </w:pPr>
          </w:p>
        </w:tc>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Transfer of exercised and</w:t>
            </w:r>
          </w:p>
        </w:tc>
        <w:tc>
          <w:tcPr>
            <w:tcW w:w="1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expired share based awards</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(3,850)</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3,850</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372"/>
        </w:trPr>
        <w:tc>
          <w:tcPr>
            <w:tcW w:w="2120" w:type="dxa"/>
            <w:vAlign w:val="bottom"/>
            <w:gridSpan w:val="2"/>
          </w:tcPr>
          <w:p>
            <w:pPr>
              <w:spacing w:after="0"/>
              <w:rPr>
                <w:sz w:val="20"/>
                <w:szCs w:val="20"/>
                <w:color w:val="auto"/>
              </w:rPr>
            </w:pPr>
            <w:r>
              <w:rPr>
                <w:rFonts w:ascii="Arial" w:cs="Arial" w:eastAsia="Arial" w:hAnsi="Arial"/>
                <w:sz w:val="16"/>
                <w:szCs w:val="16"/>
                <w:color w:val="auto"/>
              </w:rPr>
              <w:t>Total contributions by and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9"/>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distributions to owners</w:t>
            </w: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(428,069)</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10,113</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36,460</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(106,442)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(59,802)</w:t>
            </w:r>
          </w:p>
        </w:tc>
      </w:tr>
      <w:tr>
        <w:trPr>
          <w:trHeight w:val="388"/>
        </w:trPr>
        <w:tc>
          <w:tcPr>
            <w:tcW w:w="20" w:type="dxa"/>
            <w:vAlign w:val="bottom"/>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Total transactions with owners</w:t>
            </w:r>
          </w:p>
        </w:tc>
        <w:tc>
          <w:tcPr>
            <w:tcW w:w="11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(428,069)</w:t>
            </w: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10,113</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94</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36,460</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(106,442)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(59,802)</w:t>
            </w:r>
          </w:p>
        </w:tc>
      </w:tr>
      <w:tr>
        <w:trPr>
          <w:trHeight w:val="384"/>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Balance at 31 December 2016</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54,530,843</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4,692</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252,977</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809</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120,241</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6,071</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(113,462)</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493,294</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764,622</w:t>
            </w: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jc w:val="both"/>
        <w:ind w:right="20"/>
        <w:spacing w:after="0" w:line="261" w:lineRule="auto"/>
        <w:rPr>
          <w:sz w:val="20"/>
          <w:szCs w:val="20"/>
          <w:color w:val="auto"/>
        </w:rPr>
      </w:pPr>
      <w:r>
        <w:rPr>
          <w:rFonts w:ascii="Arial" w:cs="Arial" w:eastAsia="Arial" w:hAnsi="Arial"/>
          <w:sz w:val="16"/>
          <w:szCs w:val="16"/>
          <w:i w:val="1"/>
          <w:iCs w:val="1"/>
          <w:color w:val="auto"/>
        </w:rPr>
        <w:t>As permitted by section 504 of the Companies Act 2014, the Company has not presented a Company income statement. The profit for the 2016 financial year of the Company amounted to $324,848,000 (2015: profit $357,096,000)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Company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2015</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Share</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Based</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Share</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Share</w:t>
            </w: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w w:val="95"/>
              </w:rPr>
              <w:t>Undenominated</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Payment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Currency</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Retained</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of shares</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Capital</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Premium</w:t>
            </w:r>
          </w:p>
        </w:tc>
        <w:tc>
          <w:tcPr>
            <w:tcW w:w="1380" w:type="dxa"/>
            <w:vAlign w:val="bottom"/>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Reserve</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Reserves</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Reserve</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Earnings</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Equity</w:t>
            </w:r>
          </w:p>
        </w:tc>
      </w:tr>
      <w:tr>
        <w:trPr>
          <w:trHeight w:val="213"/>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$’000</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$’000</w:t>
            </w:r>
          </w:p>
        </w:tc>
      </w:tr>
      <w:tr>
        <w:trPr>
          <w:trHeight w:val="388"/>
        </w:trPr>
        <w:tc>
          <w:tcPr>
            <w:tcW w:w="20" w:type="dxa"/>
            <w:vAlign w:val="bottom"/>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1 January 2015</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60,106,780</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5,059</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221,943</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305</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58,614</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6,071</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(59,038)</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368,553</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601,507</w:t>
            </w:r>
          </w:p>
        </w:tc>
      </w:tr>
      <w:tr>
        <w:trPr>
          <w:trHeight w:val="176"/>
        </w:trPr>
        <w:tc>
          <w:tcPr>
            <w:tcW w:w="20" w:type="dxa"/>
            <w:vAlign w:val="bottom"/>
          </w:tcPr>
          <w:p>
            <w:pPr>
              <w:spacing w:after="0"/>
              <w:rPr>
                <w:sz w:val="15"/>
                <w:szCs w:val="15"/>
                <w:color w:val="auto"/>
              </w:rPr>
            </w:pPr>
          </w:p>
        </w:tc>
        <w:tc>
          <w:tcPr>
            <w:tcW w:w="2100" w:type="dxa"/>
            <w:vAlign w:val="bottom"/>
          </w:tcPr>
          <w:p>
            <w:pPr>
              <w:spacing w:after="0" w:line="176" w:lineRule="exact"/>
              <w:rPr>
                <w:sz w:val="20"/>
                <w:szCs w:val="20"/>
                <w:color w:val="auto"/>
              </w:rPr>
            </w:pPr>
            <w:r>
              <w:rPr>
                <w:rFonts w:ascii="Arial" w:cs="Arial" w:eastAsia="Arial" w:hAnsi="Arial"/>
                <w:sz w:val="16"/>
                <w:szCs w:val="16"/>
                <w:b w:val="1"/>
                <w:bCs w:val="1"/>
                <w:color w:val="auto"/>
                <w:w w:val="94"/>
              </w:rPr>
              <w:t>Total comprehensive income</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for the year</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357,096</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357,096</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b w:val="1"/>
                <w:bCs w:val="1"/>
                <w:color w:val="auto"/>
                <w:w w:val="92"/>
              </w:rPr>
              <w:t>Other comprehensive income</w:t>
            </w: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(57,031)</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(57,031)</w:t>
            </w:r>
          </w:p>
        </w:tc>
      </w:tr>
      <w:tr>
        <w:trPr>
          <w:trHeight w:val="372"/>
        </w:trPr>
        <w:tc>
          <w:tcPr>
            <w:tcW w:w="2120" w:type="dxa"/>
            <w:vAlign w:val="bottom"/>
            <w:gridSpan w:val="2"/>
          </w:tcPr>
          <w:p>
            <w:pPr>
              <w:spacing w:after="0"/>
              <w:rPr>
                <w:sz w:val="20"/>
                <w:szCs w:val="20"/>
                <w:color w:val="auto"/>
              </w:rPr>
            </w:pPr>
            <w:r>
              <w:rPr>
                <w:rFonts w:ascii="Arial" w:cs="Arial" w:eastAsia="Arial" w:hAnsi="Arial"/>
                <w:sz w:val="16"/>
                <w:szCs w:val="16"/>
                <w:color w:val="auto"/>
              </w:rPr>
              <w:t>Total other comprehensive</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9"/>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(57,031)</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(57, 031)</w:t>
            </w:r>
          </w:p>
        </w:tc>
      </w:tr>
      <w:tr>
        <w:trPr>
          <w:trHeight w:val="372"/>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 the year</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(57,031)</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357,096</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300,065</w:t>
            </w:r>
          </w:p>
        </w:tc>
      </w:tr>
      <w:tr>
        <w:trPr>
          <w:trHeight w:val="176"/>
        </w:trPr>
        <w:tc>
          <w:tcPr>
            <w:tcW w:w="20" w:type="dxa"/>
            <w:vAlign w:val="bottom"/>
          </w:tcPr>
          <w:p>
            <w:pPr>
              <w:spacing w:after="0"/>
              <w:rPr>
                <w:sz w:val="15"/>
                <w:szCs w:val="15"/>
                <w:color w:val="auto"/>
              </w:rPr>
            </w:pPr>
          </w:p>
        </w:tc>
        <w:tc>
          <w:tcPr>
            <w:tcW w:w="2100" w:type="dxa"/>
            <w:vAlign w:val="bottom"/>
          </w:tcPr>
          <w:p>
            <w:pPr>
              <w:spacing w:after="0" w:line="176" w:lineRule="exact"/>
              <w:rPr>
                <w:sz w:val="20"/>
                <w:szCs w:val="20"/>
                <w:color w:val="auto"/>
              </w:rPr>
            </w:pPr>
            <w:r>
              <w:rPr>
                <w:rFonts w:ascii="Arial" w:cs="Arial" w:eastAsia="Arial" w:hAnsi="Arial"/>
                <w:sz w:val="16"/>
                <w:szCs w:val="16"/>
                <w:b w:val="1"/>
                <w:bCs w:val="1"/>
                <w:color w:val="auto"/>
              </w:rPr>
              <w:t>Transactions with owners,</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recorded directly in equity</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33,187</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33,187</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Exercise of share options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773,753</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52</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20,929</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20,981</w:t>
            </w: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Share issue costs</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w w:val="99"/>
              </w:rPr>
              <w:t>Issue of restricted share units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276,860</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w:t>
            </w:r>
          </w:p>
        </w:tc>
      </w:tr>
      <w:tr>
        <w:trPr>
          <w:trHeight w:val="192"/>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w w:val="95"/>
              </w:rPr>
              <w:t>Repurchase of ordinary shares</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(6,198,481)</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(410)</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410</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(457,892)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(457,892)</w:t>
            </w: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Share repurchase costs</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(889)</w:t>
            </w:r>
          </w:p>
        </w:tc>
        <w:tc>
          <w:tcPr>
            <w:tcW w:w="88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180"/>
        </w:trPr>
        <w:tc>
          <w:tcPr>
            <w:tcW w:w="20" w:type="dxa"/>
            <w:vAlign w:val="bottom"/>
          </w:tcPr>
          <w:p>
            <w:pPr>
              <w:spacing w:after="0"/>
              <w:rPr>
                <w:sz w:val="15"/>
                <w:szCs w:val="15"/>
                <w:color w:val="auto"/>
              </w:rPr>
            </w:pPr>
          </w:p>
        </w:tc>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Transfer of exercised and</w:t>
            </w:r>
          </w:p>
        </w:tc>
        <w:tc>
          <w:tcPr>
            <w:tcW w:w="1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expired share based awards</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(8,020)</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8,020</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372"/>
        </w:trPr>
        <w:tc>
          <w:tcPr>
            <w:tcW w:w="2120" w:type="dxa"/>
            <w:vAlign w:val="bottom"/>
            <w:gridSpan w:val="2"/>
          </w:tcPr>
          <w:p>
            <w:pPr>
              <w:spacing w:after="0"/>
              <w:rPr>
                <w:sz w:val="20"/>
                <w:szCs w:val="20"/>
                <w:color w:val="auto"/>
              </w:rPr>
            </w:pPr>
            <w:r>
              <w:rPr>
                <w:rFonts w:ascii="Arial" w:cs="Arial" w:eastAsia="Arial" w:hAnsi="Arial"/>
                <w:sz w:val="16"/>
                <w:szCs w:val="16"/>
                <w:color w:val="auto"/>
              </w:rPr>
              <w:t>Total contributions by and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9"/>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distributions to owners</w:t>
            </w: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(5,147,868)</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(340)</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20,921</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25,167</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(450,761)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(404,603)</w:t>
            </w:r>
          </w:p>
        </w:tc>
      </w:tr>
      <w:tr>
        <w:trPr>
          <w:trHeight w:val="388"/>
        </w:trPr>
        <w:tc>
          <w:tcPr>
            <w:tcW w:w="20" w:type="dxa"/>
            <w:vAlign w:val="bottom"/>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Total transactions with owners</w:t>
            </w:r>
          </w:p>
        </w:tc>
        <w:tc>
          <w:tcPr>
            <w:tcW w:w="11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(5,147,868)</w:t>
            </w: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20,921</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410</w:t>
            </w:r>
          </w:p>
        </w:tc>
        <w:tc>
          <w:tcPr>
            <w:tcW w:w="10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25,167</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(450,761)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(404,603)</w:t>
            </w:r>
          </w:p>
        </w:tc>
      </w:tr>
      <w:tr>
        <w:trPr>
          <w:trHeight w:val="384"/>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Balance at 31 December 2015</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54,958,912</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4,719</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242,864</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715</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83,781</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6,071</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(116,069)</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274,888</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496,969</w:t>
            </w: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jc w:val="both"/>
        <w:ind w:right="20"/>
        <w:spacing w:after="0" w:line="261" w:lineRule="auto"/>
        <w:rPr>
          <w:sz w:val="20"/>
          <w:szCs w:val="20"/>
          <w:color w:val="auto"/>
        </w:rPr>
      </w:pPr>
      <w:r>
        <w:rPr>
          <w:rFonts w:ascii="Arial" w:cs="Arial" w:eastAsia="Arial" w:hAnsi="Arial"/>
          <w:sz w:val="16"/>
          <w:szCs w:val="16"/>
          <w:i w:val="1"/>
          <w:iCs w:val="1"/>
          <w:color w:val="auto"/>
        </w:rPr>
        <w:t>As permitted by section 504 of the Companies Act 2014, the Company has not presented a Company income statement. The profit for the 2015 financial year of the Company amounted to $357,096,000 (2014: profit $135,437,00)</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Company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jc w:val="right"/>
              <w:ind w:right="60"/>
              <w:spacing w:after="0"/>
              <w:rPr>
                <w:sz w:val="20"/>
                <w:szCs w:val="20"/>
                <w:color w:val="auto"/>
              </w:rPr>
            </w:pPr>
            <w:r>
              <w:rPr>
                <w:rFonts w:ascii="Arial" w:cs="Arial" w:eastAsia="Arial" w:hAnsi="Arial"/>
                <w:sz w:val="16"/>
                <w:szCs w:val="16"/>
                <w:b w:val="1"/>
                <w:bCs w:val="1"/>
                <w:i w:val="1"/>
                <w:iCs w:val="1"/>
                <w:color w:val="auto"/>
              </w:rPr>
              <w:t>Note</w:t>
            </w:r>
          </w:p>
        </w:tc>
        <w:tc>
          <w:tcPr>
            <w:tcW w:w="7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for the financial year</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324,848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357,096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80" w:type="dxa"/>
            <w:vAlign w:val="bottom"/>
          </w:tcPr>
          <w:p>
            <w:pPr>
              <w:spacing w:after="0" w:line="176" w:lineRule="exact"/>
              <w:rPr>
                <w:sz w:val="20"/>
                <w:szCs w:val="20"/>
                <w:color w:val="auto"/>
              </w:rPr>
            </w:pPr>
            <w:r>
              <w:rPr>
                <w:rFonts w:ascii="Arial" w:cs="Arial" w:eastAsia="Arial" w:hAnsi="Arial"/>
                <w:sz w:val="16"/>
                <w:szCs w:val="16"/>
                <w:b w:val="1"/>
                <w:bCs w:val="1"/>
                <w:color w:val="auto"/>
              </w:rPr>
              <w:t>Adjustments to reconcile net income to net cash generated from</w:t>
            </w:r>
          </w:p>
        </w:tc>
        <w:tc>
          <w:tcPr>
            <w:tcW w:w="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operating activities</w:t>
            </w: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700" w:type="dxa"/>
            <w:vAlign w:val="bottom"/>
            <w:shd w:val="clear" w:color="auto" w:fill="CCEEFF"/>
          </w:tcPr>
          <w:p>
            <w:pPr>
              <w:jc w:val="right"/>
              <w:ind w:right="400"/>
              <w:spacing w:after="0"/>
              <w:rPr>
                <w:sz w:val="20"/>
                <w:szCs w:val="20"/>
                <w:color w:val="auto"/>
              </w:rPr>
            </w:pPr>
            <w:r>
              <w:rPr>
                <w:rFonts w:ascii="Arial" w:cs="Arial" w:eastAsia="Arial" w:hAnsi="Arial"/>
                <w:sz w:val="16"/>
                <w:szCs w:val="16"/>
                <w:i w:val="1"/>
                <w:iCs w:val="1"/>
                <w:color w:val="auto"/>
              </w:rPr>
              <w:t>1</w:t>
            </w: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Amortisation of intangible assets</w:t>
            </w:r>
          </w:p>
        </w:tc>
        <w:tc>
          <w:tcPr>
            <w:tcW w:w="700" w:type="dxa"/>
            <w:vAlign w:val="bottom"/>
          </w:tcPr>
          <w:p>
            <w:pPr>
              <w:jc w:val="right"/>
              <w:ind w:right="400"/>
              <w:spacing w:after="0"/>
              <w:rPr>
                <w:sz w:val="20"/>
                <w:szCs w:val="20"/>
                <w:color w:val="auto"/>
              </w:rPr>
            </w:pPr>
            <w:r>
              <w:rPr>
                <w:rFonts w:ascii="Arial" w:cs="Arial" w:eastAsia="Arial" w:hAnsi="Arial"/>
                <w:sz w:val="16"/>
                <w:szCs w:val="16"/>
                <w:i w:val="1"/>
                <w:iCs w:val="1"/>
                <w:color w:val="auto"/>
              </w:rPr>
              <w:t>2</w:t>
            </w: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59</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14,410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5,717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on sale of shares in subsidary</w:t>
            </w: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i w:val="1"/>
                <w:iCs w:val="1"/>
                <w:color w:val="auto"/>
              </w:rPr>
              <w:t>3</w:t>
            </w: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cash inflow before changes in working capital</w:t>
            </w:r>
          </w:p>
        </w:tc>
        <w:tc>
          <w:tcPr>
            <w:tcW w:w="7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339,488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Increase in other current assets</w:t>
            </w:r>
          </w:p>
        </w:tc>
        <w:tc>
          <w:tcPr>
            <w:tcW w:w="7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b w:val="1"/>
                <w:bCs w:val="1"/>
                <w:color w:val="auto"/>
              </w:rPr>
              <w:t>(338)</w:t>
            </w: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Decrease in accounts payable and accrued and other liabilities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(4,246)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Decrease in income taxes receivable</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422</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provided by operations</w:t>
            </w:r>
          </w:p>
        </w:tc>
        <w:tc>
          <w:tcPr>
            <w:tcW w:w="7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335,326</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Interest paid on Group facility</w:t>
            </w:r>
          </w:p>
        </w:tc>
        <w:tc>
          <w:tcPr>
            <w:tcW w:w="7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7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inflow from operating activities</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335,326</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Purchase of computer software</w:t>
            </w:r>
          </w:p>
        </w:tc>
        <w:tc>
          <w:tcPr>
            <w:tcW w:w="700" w:type="dxa"/>
            <w:vAlign w:val="bottom"/>
          </w:tcPr>
          <w:p>
            <w:pPr>
              <w:spacing w:after="0"/>
              <w:rPr>
                <w:sz w:val="16"/>
                <w:szCs w:val="16"/>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(Increase) /decrease in amounts due from / to subsidiary undertakings</w:t>
            </w:r>
          </w:p>
        </w:tc>
        <w:tc>
          <w:tcPr>
            <w:tcW w:w="7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b w:val="1"/>
                <w:bCs w:val="1"/>
                <w:color w:val="auto"/>
              </w:rPr>
              <w:t>(203,949)</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52,041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 in investment in subsidiaries</w:t>
            </w:r>
          </w:p>
        </w:tc>
        <w:tc>
          <w:tcPr>
            <w:tcW w:w="7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29,046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used by investing activities</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(204,089)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80,932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Proceeds from disposal of subsidiary</w:t>
            </w:r>
          </w:p>
        </w:tc>
        <w:tc>
          <w:tcPr>
            <w:tcW w:w="700" w:type="dxa"/>
            <w:vAlign w:val="bottom"/>
          </w:tcPr>
          <w:p>
            <w:pPr>
              <w:jc w:val="right"/>
              <w:ind w:right="400"/>
              <w:spacing w:after="0"/>
              <w:rPr>
                <w:sz w:val="20"/>
                <w:szCs w:val="20"/>
                <w:color w:val="auto"/>
              </w:rPr>
            </w:pPr>
            <w:r>
              <w:rPr>
                <w:rFonts w:ascii="Arial" w:cs="Arial" w:eastAsia="Arial" w:hAnsi="Arial"/>
                <w:sz w:val="16"/>
                <w:szCs w:val="16"/>
                <w:i w:val="1"/>
                <w:iCs w:val="1"/>
                <w:color w:val="auto"/>
              </w:rPr>
              <w:t>3</w:t>
            </w: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10,180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Share issuance costs</w:t>
            </w:r>
          </w:p>
        </w:tc>
        <w:tc>
          <w:tcPr>
            <w:tcW w:w="7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b w:val="1"/>
                <w:bCs w:val="1"/>
                <w:color w:val="auto"/>
              </w:rPr>
              <w:t>(17)</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ordinary shares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(110,000)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(457,892)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repurchase costs</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(275)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7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(100,112)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31,125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w:t>
            </w:r>
          </w:p>
        </w:tc>
        <w:tc>
          <w:tcPr>
            <w:tcW w:w="7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start of year</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1,169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7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32,294</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915"/>
        </w:trPr>
        <w:tc>
          <w:tcPr>
            <w:tcW w:w="7900" w:type="dxa"/>
            <w:vAlign w:val="bottom"/>
            <w:gridSpan w:val="2"/>
          </w:tcPr>
          <w:p>
            <w:pPr>
              <w:jc w:val="right"/>
              <w:ind w:right="2020"/>
              <w:spacing w:after="0"/>
              <w:rPr>
                <w:sz w:val="20"/>
                <w:szCs w:val="20"/>
                <w:color w:val="auto"/>
              </w:rPr>
            </w:pPr>
            <w:r>
              <w:rPr>
                <w:rFonts w:ascii="Arial" w:cs="Arial" w:eastAsia="Arial" w:hAnsi="Arial"/>
                <w:sz w:val="13"/>
                <w:szCs w:val="13"/>
                <w:color w:val="auto"/>
              </w:rPr>
              <w:t>111</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t>Notes to Company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1. Property, plant and equipment</w:t>
            </w: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Office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Leasehold</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Computer</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furniture &amp;</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improvements</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equipment</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fixtures</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$’000</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2016</w:t>
            </w:r>
          </w:p>
        </w:tc>
        <w:tc>
          <w:tcPr>
            <w:tcW w:w="36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767</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1,724</w:t>
            </w:r>
          </w:p>
        </w:tc>
        <w:tc>
          <w:tcPr>
            <w:tcW w:w="158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1,240</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Additions</w:t>
            </w:r>
          </w:p>
        </w:tc>
        <w:tc>
          <w:tcPr>
            <w:tcW w:w="36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83</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57</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currency movement</w:t>
            </w:r>
          </w:p>
        </w:tc>
        <w:tc>
          <w:tcPr>
            <w:tcW w:w="36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(36)</w:t>
            </w:r>
          </w:p>
        </w:tc>
        <w:tc>
          <w:tcPr>
            <w:tcW w:w="1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(172)</w:t>
            </w:r>
          </w:p>
        </w:tc>
        <w:tc>
          <w:tcPr>
            <w:tcW w:w="1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(78)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731</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1,635</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1,219</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3,585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w:t>
            </w: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At 1 January 2016</w:t>
            </w:r>
          </w:p>
        </w:tc>
        <w:tc>
          <w:tcPr>
            <w:tcW w:w="3620" w:type="dxa"/>
            <w:vAlign w:val="bottom"/>
          </w:tcPr>
          <w:p>
            <w:pPr>
              <w:jc w:val="right"/>
              <w:ind w:right="281"/>
              <w:spacing w:after="0"/>
              <w:rPr>
                <w:sz w:val="20"/>
                <w:szCs w:val="20"/>
                <w:color w:val="auto"/>
              </w:rPr>
            </w:pPr>
            <w:r>
              <w:rPr>
                <w:rFonts w:ascii="Arial" w:cs="Arial" w:eastAsia="Arial" w:hAnsi="Arial"/>
                <w:sz w:val="16"/>
                <w:szCs w:val="16"/>
                <w:color w:val="auto"/>
              </w:rPr>
              <w:t>707</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1,555</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1,080</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Charge for the year</w:t>
            </w:r>
          </w:p>
        </w:tc>
        <w:tc>
          <w:tcPr>
            <w:tcW w:w="36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24</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91</w:t>
            </w:r>
          </w:p>
        </w:tc>
        <w:tc>
          <w:tcPr>
            <w:tcW w:w="158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56</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movement</w:t>
            </w:r>
          </w:p>
        </w:tc>
        <w:tc>
          <w:tcPr>
            <w:tcW w:w="36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(35)</w:t>
            </w: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(156)</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(66)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2016</w:t>
            </w:r>
          </w:p>
        </w:tc>
        <w:tc>
          <w:tcPr>
            <w:tcW w:w="36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696</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1,490</w:t>
            </w: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1,070</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3,256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35</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145</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149</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329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2015</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60</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rPr>
              <w:t>160</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Office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Leasehold</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Computer</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furniture &amp;</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improvement</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equipment</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fixtures</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3620" w:type="dxa"/>
            <w:vAlign w:val="bottom"/>
          </w:tcPr>
          <w:p>
            <w:pPr>
              <w:jc w:val="right"/>
              <w:ind w:right="281"/>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$’000</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36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852</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1,834</w:t>
            </w:r>
          </w:p>
        </w:tc>
        <w:tc>
          <w:tcPr>
            <w:tcW w:w="158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1,370</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Additions</w:t>
            </w:r>
          </w:p>
        </w:tc>
        <w:tc>
          <w:tcPr>
            <w:tcW w:w="36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77</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8</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currency movement</w:t>
            </w:r>
          </w:p>
        </w:tc>
        <w:tc>
          <w:tcPr>
            <w:tcW w:w="36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(85)</w:t>
            </w:r>
          </w:p>
        </w:tc>
        <w:tc>
          <w:tcPr>
            <w:tcW w:w="1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(187)</w:t>
            </w:r>
          </w:p>
        </w:tc>
        <w:tc>
          <w:tcPr>
            <w:tcW w:w="1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(138)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767</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1,724</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1,240</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3,731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w:t>
            </w: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At 1 January 2015</w:t>
            </w:r>
          </w:p>
        </w:tc>
        <w:tc>
          <w:tcPr>
            <w:tcW w:w="3620" w:type="dxa"/>
            <w:vAlign w:val="bottom"/>
          </w:tcPr>
          <w:p>
            <w:pPr>
              <w:jc w:val="right"/>
              <w:ind w:right="281"/>
              <w:spacing w:after="0"/>
              <w:rPr>
                <w:sz w:val="20"/>
                <w:szCs w:val="20"/>
                <w:color w:val="auto"/>
              </w:rPr>
            </w:pPr>
            <w:r>
              <w:rPr>
                <w:rFonts w:ascii="Arial" w:cs="Arial" w:eastAsia="Arial" w:hAnsi="Arial"/>
                <w:sz w:val="16"/>
                <w:szCs w:val="16"/>
                <w:color w:val="auto"/>
              </w:rPr>
              <w:t>756</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1,602</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1,084</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Charge for the year</w:t>
            </w:r>
          </w:p>
        </w:tc>
        <w:tc>
          <w:tcPr>
            <w:tcW w:w="36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26</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118</w:t>
            </w:r>
          </w:p>
        </w:tc>
        <w:tc>
          <w:tcPr>
            <w:tcW w:w="158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109</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movement</w:t>
            </w:r>
          </w:p>
        </w:tc>
        <w:tc>
          <w:tcPr>
            <w:tcW w:w="36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(75)</w:t>
            </w: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(165)</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2015</w:t>
            </w:r>
          </w:p>
        </w:tc>
        <w:tc>
          <w:tcPr>
            <w:tcW w:w="36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707</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1,555</w:t>
            </w: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1,080</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2015</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60</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169</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160</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389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2014</w:t>
            </w:r>
          </w:p>
        </w:tc>
        <w:tc>
          <w:tcPr>
            <w:tcW w:w="36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96</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232</w:t>
            </w:r>
          </w:p>
        </w:tc>
        <w:tc>
          <w:tcPr>
            <w:tcW w:w="1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rPr>
              <w:t>286</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20" w:type="dxa"/>
            <w:vAlign w:val="bottom"/>
          </w:tcPr>
          <w:p>
            <w:pPr>
              <w:jc w:val="right"/>
              <w:ind w:right="1701"/>
              <w:spacing w:after="0"/>
              <w:rPr>
                <w:sz w:val="20"/>
                <w:szCs w:val="20"/>
                <w:color w:val="auto"/>
              </w:rPr>
            </w:pPr>
            <w:r>
              <w:rPr>
                <w:rFonts w:ascii="Arial" w:cs="Arial" w:eastAsia="Arial" w:hAnsi="Arial"/>
                <w:sz w:val="13"/>
                <w:szCs w:val="13"/>
                <w:color w:val="auto"/>
              </w:rPr>
              <w:t>112</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Intangible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5200" w:type="dxa"/>
            <w:vAlign w:val="bottom"/>
          </w:tcPr>
          <w:p>
            <w:pPr>
              <w:jc w:val="right"/>
              <w:ind w:right="40"/>
              <w:spacing w:after="0"/>
              <w:rPr>
                <w:sz w:val="20"/>
                <w:szCs w:val="20"/>
                <w:color w:val="auto"/>
              </w:rPr>
            </w:pPr>
            <w:r>
              <w:rPr>
                <w:rFonts w:ascii="Arial" w:cs="Arial" w:eastAsia="Arial" w:hAnsi="Arial"/>
                <w:sz w:val="16"/>
                <w:szCs w:val="16"/>
                <w:b w:val="1"/>
                <w:bCs w:val="1"/>
                <w:color w:val="auto"/>
              </w:rPr>
              <w:t>Computer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5200" w:type="dxa"/>
            <w:vAlign w:val="bottom"/>
          </w:tcPr>
          <w:p>
            <w:pPr>
              <w:jc w:val="right"/>
              <w:ind w:right="40"/>
              <w:spacing w:after="0"/>
              <w:rPr>
                <w:sz w:val="20"/>
                <w:szCs w:val="20"/>
                <w:color w:val="auto"/>
              </w:rPr>
            </w:pPr>
            <w:r>
              <w:rPr>
                <w:rFonts w:ascii="Arial" w:cs="Arial" w:eastAsia="Arial" w:hAnsi="Arial"/>
                <w:sz w:val="16"/>
                <w:szCs w:val="16"/>
                <w:b w:val="1"/>
                <w:bCs w:val="1"/>
                <w:color w:val="auto"/>
              </w:rPr>
              <w:t>Software</w:t>
            </w:r>
          </w:p>
        </w:tc>
        <w:tc>
          <w:tcPr>
            <w:tcW w:w="0" w:type="dxa"/>
            <w:vAlign w:val="bottom"/>
          </w:tcPr>
          <w:p>
            <w:pPr>
              <w:spacing w:after="0"/>
              <w:rPr>
                <w:sz w:val="1"/>
                <w:szCs w:val="1"/>
                <w:color w:val="auto"/>
              </w:rPr>
            </w:pPr>
          </w:p>
        </w:tc>
      </w:tr>
      <w:tr>
        <w:trPr>
          <w:trHeight w:val="209"/>
        </w:trPr>
        <w:tc>
          <w:tcPr>
            <w:tcW w:w="6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5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6240" w:type="dxa"/>
            <w:vAlign w:val="bottom"/>
            <w:gridSpan w:val="2"/>
            <w:vMerge w:val="continue"/>
          </w:tcPr>
          <w:p>
            <w:pPr>
              <w:spacing w:after="0"/>
              <w:rPr>
                <w:sz w:val="16"/>
                <w:szCs w:val="16"/>
                <w:color w:val="auto"/>
              </w:rPr>
            </w:pPr>
          </w:p>
        </w:tc>
        <w:tc>
          <w:tcPr>
            <w:tcW w:w="5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5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Additions</w:t>
            </w:r>
          </w:p>
        </w:tc>
        <w:tc>
          <w:tcPr>
            <w:tcW w:w="520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88"/>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At 31 December 2015</w:t>
            </w:r>
          </w:p>
        </w:tc>
        <w:tc>
          <w:tcPr>
            <w:tcW w:w="5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Additions</w:t>
            </w:r>
          </w:p>
        </w:tc>
        <w:tc>
          <w:tcPr>
            <w:tcW w:w="5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88"/>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At 31 December 2016</w:t>
            </w:r>
          </w:p>
        </w:tc>
        <w:tc>
          <w:tcPr>
            <w:tcW w:w="5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1,052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Amortisation</w:t>
            </w:r>
          </w:p>
        </w:tc>
        <w:tc>
          <w:tcPr>
            <w:tcW w:w="5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5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Charge during the year</w:t>
            </w:r>
          </w:p>
        </w:tc>
        <w:tc>
          <w:tcPr>
            <w:tcW w:w="520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88"/>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At 31 December 2015</w:t>
            </w:r>
          </w:p>
        </w:tc>
        <w:tc>
          <w:tcPr>
            <w:tcW w:w="5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Charge during the year</w:t>
            </w:r>
          </w:p>
        </w:tc>
        <w:tc>
          <w:tcPr>
            <w:tcW w:w="520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88"/>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At 31 December 2016</w:t>
            </w:r>
          </w:p>
        </w:tc>
        <w:tc>
          <w:tcPr>
            <w:tcW w:w="5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5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5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180"/>
        </w:trPr>
        <w:tc>
          <w:tcPr>
            <w:tcW w:w="6240" w:type="dxa"/>
            <w:vAlign w:val="bottom"/>
            <w:gridSpan w:val="2"/>
          </w:tcPr>
          <w:p>
            <w:pPr>
              <w:spacing w:after="0"/>
              <w:rPr>
                <w:sz w:val="15"/>
                <w:szCs w:val="15"/>
                <w:color w:val="auto"/>
              </w:rPr>
            </w:pPr>
          </w:p>
        </w:tc>
        <w:tc>
          <w:tcPr>
            <w:tcW w:w="5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At 31 December 2015</w:t>
            </w:r>
          </w:p>
        </w:tc>
        <w:tc>
          <w:tcPr>
            <w:tcW w:w="5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3. Investment in subsidiaries</w:t>
            </w:r>
          </w:p>
        </w:tc>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80" w:type="dxa"/>
            <w:vAlign w:val="bottom"/>
          </w:tcPr>
          <w:p>
            <w:pPr>
              <w:jc w:val="right"/>
              <w:ind w:right="360"/>
              <w:spacing w:after="0"/>
              <w:rPr>
                <w:sz w:val="20"/>
                <w:szCs w:val="20"/>
                <w:color w:val="auto"/>
              </w:rPr>
            </w:pPr>
            <w:r>
              <w:rPr>
                <w:rFonts w:ascii="Arial" w:cs="Arial" w:eastAsia="Arial" w:hAnsi="Arial"/>
                <w:sz w:val="16"/>
                <w:szCs w:val="16"/>
                <w:b w:val="1"/>
                <w:bCs w:val="1"/>
                <w:color w:val="auto"/>
              </w:rPr>
              <w:t>Long Term</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980" w:type="dxa"/>
            <w:vAlign w:val="bottom"/>
          </w:tcPr>
          <w:p>
            <w:pPr>
              <w:jc w:val="right"/>
              <w:ind w:right="160"/>
              <w:spacing w:after="0"/>
              <w:rPr>
                <w:sz w:val="20"/>
                <w:szCs w:val="20"/>
                <w:color w:val="auto"/>
              </w:rPr>
            </w:pPr>
            <w:r>
              <w:rPr>
                <w:rFonts w:ascii="Arial" w:cs="Arial" w:eastAsia="Arial" w:hAnsi="Arial"/>
                <w:sz w:val="16"/>
                <w:szCs w:val="16"/>
                <w:b w:val="1"/>
                <w:bCs w:val="1"/>
                <w:color w:val="auto"/>
              </w:rPr>
              <w:t>Investment in</w:t>
            </w:r>
          </w:p>
        </w:tc>
        <w:tc>
          <w:tcPr>
            <w:tcW w:w="1580" w:type="dxa"/>
            <w:vAlign w:val="bottom"/>
          </w:tcPr>
          <w:p>
            <w:pPr>
              <w:jc w:val="right"/>
              <w:ind w:right="360"/>
              <w:spacing w:after="0"/>
              <w:rPr>
                <w:sz w:val="20"/>
                <w:szCs w:val="20"/>
                <w:color w:val="auto"/>
              </w:rPr>
            </w:pPr>
            <w:r>
              <w:rPr>
                <w:rFonts w:ascii="Arial" w:cs="Arial" w:eastAsia="Arial" w:hAnsi="Arial"/>
                <w:sz w:val="16"/>
                <w:szCs w:val="16"/>
                <w:b w:val="1"/>
                <w:bCs w:val="1"/>
                <w:color w:val="auto"/>
              </w:rPr>
              <w:t>Advances to</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980" w:type="dxa"/>
            <w:vAlign w:val="bottom"/>
          </w:tcPr>
          <w:p>
            <w:pPr>
              <w:jc w:val="right"/>
              <w:ind w:right="160"/>
              <w:spacing w:after="0"/>
              <w:rPr>
                <w:sz w:val="20"/>
                <w:szCs w:val="20"/>
                <w:color w:val="auto"/>
              </w:rPr>
            </w:pPr>
            <w:r>
              <w:rPr>
                <w:rFonts w:ascii="Arial" w:cs="Arial" w:eastAsia="Arial" w:hAnsi="Arial"/>
                <w:sz w:val="16"/>
                <w:szCs w:val="16"/>
                <w:b w:val="1"/>
                <w:bCs w:val="1"/>
                <w:color w:val="auto"/>
              </w:rPr>
              <w:t>Subsidiary</w:t>
            </w:r>
          </w:p>
        </w:tc>
        <w:tc>
          <w:tcPr>
            <w:tcW w:w="1580" w:type="dxa"/>
            <w:vAlign w:val="bottom"/>
          </w:tcPr>
          <w:p>
            <w:pPr>
              <w:jc w:val="right"/>
              <w:ind w:right="360"/>
              <w:spacing w:after="0"/>
              <w:rPr>
                <w:sz w:val="20"/>
                <w:szCs w:val="20"/>
                <w:color w:val="auto"/>
              </w:rPr>
            </w:pPr>
            <w:r>
              <w:rPr>
                <w:rFonts w:ascii="Arial" w:cs="Arial" w:eastAsia="Arial" w:hAnsi="Arial"/>
                <w:sz w:val="16"/>
                <w:szCs w:val="16"/>
                <w:b w:val="1"/>
                <w:bCs w:val="1"/>
                <w:color w:val="auto"/>
              </w:rPr>
              <w:t>Subsidiary</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980" w:type="dxa"/>
            <w:vAlign w:val="bottom"/>
          </w:tcPr>
          <w:p>
            <w:pPr>
              <w:jc w:val="right"/>
              <w:ind w:right="160"/>
              <w:spacing w:after="0"/>
              <w:rPr>
                <w:sz w:val="20"/>
                <w:szCs w:val="20"/>
                <w:color w:val="auto"/>
              </w:rPr>
            </w:pPr>
            <w:r>
              <w:rPr>
                <w:rFonts w:ascii="Arial" w:cs="Arial" w:eastAsia="Arial" w:hAnsi="Arial"/>
                <w:sz w:val="16"/>
                <w:szCs w:val="16"/>
                <w:b w:val="1"/>
                <w:bCs w:val="1"/>
                <w:color w:val="auto"/>
              </w:rPr>
              <w:t>Undertakings</w:t>
            </w:r>
          </w:p>
        </w:tc>
        <w:tc>
          <w:tcPr>
            <w:tcW w:w="1580" w:type="dxa"/>
            <w:vAlign w:val="bottom"/>
          </w:tcPr>
          <w:p>
            <w:pPr>
              <w:jc w:val="right"/>
              <w:ind w:right="360"/>
              <w:spacing w:after="0"/>
              <w:rPr>
                <w:sz w:val="20"/>
                <w:szCs w:val="20"/>
                <w:color w:val="auto"/>
              </w:rPr>
            </w:pPr>
            <w:r>
              <w:rPr>
                <w:rFonts w:ascii="Arial" w:cs="Arial" w:eastAsia="Arial" w:hAnsi="Arial"/>
                <w:sz w:val="16"/>
                <w:szCs w:val="16"/>
                <w:b w:val="1"/>
                <w:bCs w:val="1"/>
                <w:color w:val="auto"/>
              </w:rPr>
              <w:t>Undertakings</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w:t>
            </w:r>
          </w:p>
        </w:tc>
        <w:tc>
          <w:tcPr>
            <w:tcW w:w="298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580" w:type="dxa"/>
            <w:vAlign w:val="bottom"/>
          </w:tcPr>
          <w:p>
            <w:pPr>
              <w:jc w:val="right"/>
              <w:ind w:right="360"/>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2015</w:t>
            </w:r>
          </w:p>
        </w:tc>
        <w:tc>
          <w:tcPr>
            <w:tcW w:w="2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436,030</w:t>
            </w:r>
          </w:p>
        </w:tc>
        <w:tc>
          <w:tcPr>
            <w:tcW w:w="15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32,094</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468,124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Disposals (1) / repayments (2)</w:t>
            </w:r>
          </w:p>
        </w:tc>
        <w:tc>
          <w:tcPr>
            <w:tcW w:w="2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(29,046)</w:t>
            </w:r>
          </w:p>
        </w:tc>
        <w:tc>
          <w:tcPr>
            <w:tcW w:w="1020" w:type="dxa"/>
            <w:vAlign w:val="bottom"/>
          </w:tcPr>
          <w:p>
            <w:pPr>
              <w:jc w:val="right"/>
              <w:spacing w:after="0"/>
              <w:rPr>
                <w:sz w:val="20"/>
                <w:szCs w:val="20"/>
                <w:color w:val="auto"/>
              </w:rPr>
            </w:pPr>
            <w:r>
              <w:rPr>
                <w:rFonts w:ascii="Arial" w:cs="Arial" w:eastAsia="Arial" w:hAnsi="Arial"/>
                <w:sz w:val="16"/>
                <w:szCs w:val="16"/>
                <w:color w:val="auto"/>
              </w:rPr>
              <w:t>(29,046)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2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27,470</w:t>
            </w:r>
          </w:p>
        </w:tc>
        <w:tc>
          <w:tcPr>
            <w:tcW w:w="15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Share subscription payment from subsidiary companies</w:t>
            </w:r>
          </w:p>
        </w:tc>
        <w:tc>
          <w:tcPr>
            <w:tcW w:w="2980" w:type="dxa"/>
            <w:vAlign w:val="bottom"/>
          </w:tcPr>
          <w:p>
            <w:pPr>
              <w:jc w:val="right"/>
              <w:ind w:right="100"/>
              <w:spacing w:after="0"/>
              <w:rPr>
                <w:sz w:val="20"/>
                <w:szCs w:val="20"/>
                <w:color w:val="auto"/>
              </w:rPr>
            </w:pPr>
            <w:r>
              <w:rPr>
                <w:rFonts w:ascii="Arial" w:cs="Arial" w:eastAsia="Arial" w:hAnsi="Arial"/>
                <w:sz w:val="16"/>
                <w:szCs w:val="16"/>
                <w:color w:val="auto"/>
              </w:rPr>
              <w:t>(68,354)</w:t>
            </w:r>
          </w:p>
        </w:tc>
        <w:tc>
          <w:tcPr>
            <w:tcW w:w="15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(68,354)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29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(39,293)</w:t>
            </w:r>
          </w:p>
        </w:tc>
        <w:tc>
          <w:tcPr>
            <w:tcW w:w="15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(3,048)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(42,341)</w:t>
            </w:r>
          </w:p>
        </w:tc>
        <w:tc>
          <w:tcPr>
            <w:tcW w:w="0" w:type="dxa"/>
            <w:vAlign w:val="bottom"/>
          </w:tcPr>
          <w:p>
            <w:pPr>
              <w:spacing w:after="0"/>
              <w:rPr>
                <w:sz w:val="1"/>
                <w:szCs w:val="1"/>
                <w:color w:val="auto"/>
              </w:rPr>
            </w:pPr>
          </w:p>
        </w:tc>
      </w:tr>
      <w:tr>
        <w:trPr>
          <w:trHeight w:val="388"/>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At 31 December 2015</w:t>
            </w:r>
          </w:p>
        </w:tc>
        <w:tc>
          <w:tcPr>
            <w:tcW w:w="2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355,853</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355,853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Reclass of imputed interest from amounts due from subsidaries</w:t>
            </w:r>
          </w:p>
        </w:tc>
        <w:tc>
          <w:tcPr>
            <w:tcW w:w="2980" w:type="dxa"/>
            <w:vAlign w:val="bottom"/>
          </w:tcPr>
          <w:p>
            <w:pPr>
              <w:jc w:val="right"/>
              <w:ind w:right="160"/>
              <w:spacing w:after="0"/>
              <w:rPr>
                <w:sz w:val="20"/>
                <w:szCs w:val="20"/>
                <w:color w:val="auto"/>
              </w:rPr>
            </w:pPr>
            <w:r>
              <w:rPr>
                <w:rFonts w:ascii="Arial" w:cs="Arial" w:eastAsia="Arial" w:hAnsi="Arial"/>
                <w:sz w:val="16"/>
                <w:szCs w:val="16"/>
                <w:color w:val="auto"/>
              </w:rPr>
              <w:t>10,466</w:t>
            </w:r>
          </w:p>
        </w:tc>
        <w:tc>
          <w:tcPr>
            <w:tcW w:w="15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10,466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w:t>
            </w:r>
          </w:p>
        </w:tc>
        <w:tc>
          <w:tcPr>
            <w:tcW w:w="2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25,900</w:t>
            </w:r>
          </w:p>
        </w:tc>
        <w:tc>
          <w:tcPr>
            <w:tcW w:w="15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subscription payment from subsidiary companies</w:t>
            </w:r>
          </w:p>
        </w:tc>
        <w:tc>
          <w:tcPr>
            <w:tcW w:w="2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(45,813)</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(45,813)</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2016</w:t>
            </w:r>
          </w:p>
        </w:tc>
        <w:tc>
          <w:tcPr>
            <w:tcW w:w="2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346,406</w:t>
            </w:r>
          </w:p>
        </w:tc>
        <w:tc>
          <w:tcPr>
            <w:tcW w:w="15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346,406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580" w:right="20" w:hanging="296"/>
        <w:spacing w:after="0" w:line="264"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July 2015 the Company sold a 13% shareholding in its subsidiary ICON Clinical Research Limited to ICON Investments Four Unlimited Company, a fellow ICON Group company, for total proceeds of US $350 million. This subsidiary had a $nil original cost and therefore the part disposal resulted in a profit on disposal of $350 million which has been recorded in the income statement during the year ended 31 December 2015.</w:t>
      </w:r>
    </w:p>
    <w:p>
      <w:pPr>
        <w:spacing w:after="0" w:line="185"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By August 2015, the Company received a full repayment of $29 million for the long term advance from ICON Clinincal Research Holdings International.</w:t>
      </w:r>
    </w:p>
    <w:p>
      <w:pPr>
        <w:spacing w:after="0" w:line="224" w:lineRule="exact"/>
        <w:rPr>
          <w:rFonts w:ascii="Arial" w:cs="Arial" w:eastAsia="Arial" w:hAnsi="Arial"/>
          <w:sz w:val="16"/>
          <w:szCs w:val="16"/>
          <w:color w:val="auto"/>
        </w:rPr>
      </w:pPr>
    </w:p>
    <w:p>
      <w:pPr>
        <w:jc w:val="both"/>
        <w:ind w:left="580" w:right="20" w:hanging="296"/>
        <w:spacing w:after="0" w:line="259"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functional currency of the Company changed from Euro (€) to US dollars ($) from 1 August 2015. The determination of the USD as the functional currency of the Company reflects consideration of the primary and secondary indicators as set out in IAS 21. The change in functional currency is accounted for prospectively from the date of change. All items were translated using the exchange rate at the date of change and the resulting translated amounts for non-monetary items were recorded at their historical cost from 1 August 2015.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Deferred taxation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net deferred tax asset at 31 December 2016 and 31 December 2015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4600" w:type="dxa"/>
            <w:vAlign w:val="bottom"/>
          </w:tcPr>
          <w:p>
            <w:pPr>
              <w:spacing w:after="0"/>
              <w:rPr>
                <w:sz w:val="18"/>
                <w:szCs w:val="18"/>
                <w:color w:val="auto"/>
              </w:rPr>
            </w:pPr>
          </w:p>
        </w:tc>
        <w:tc>
          <w:tcPr>
            <w:tcW w:w="140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46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404</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0" w:type="dxa"/>
            <w:vAlign w:val="bottom"/>
          </w:tcPr>
          <w:p>
            <w:pPr>
              <w:spacing w:after="0"/>
              <w:rPr>
                <w:sz w:val="16"/>
                <w:szCs w:val="16"/>
                <w:color w:val="auto"/>
              </w:rPr>
            </w:pPr>
          </w:p>
        </w:tc>
        <w:tc>
          <w:tcPr>
            <w:tcW w:w="1400" w:type="dxa"/>
            <w:vAlign w:val="bottom"/>
          </w:tcPr>
          <w:p>
            <w:pPr>
              <w:jc w:val="right"/>
              <w:ind w:right="200"/>
              <w:spacing w:after="0"/>
              <w:rPr>
                <w:sz w:val="20"/>
                <w:szCs w:val="20"/>
                <w:color w:val="auto"/>
              </w:rPr>
            </w:pPr>
            <w:r>
              <w:rPr>
                <w:rFonts w:ascii="Arial" w:cs="Arial" w:eastAsia="Arial" w:hAnsi="Arial"/>
                <w:sz w:val="16"/>
                <w:szCs w:val="16"/>
                <w:b w:val="1"/>
                <w:bCs w:val="1"/>
                <w:color w:val="auto"/>
              </w:rPr>
              <w:t>104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Loans to subsidiaries</w:t>
            </w:r>
          </w:p>
        </w:tc>
        <w:tc>
          <w:tcPr>
            <w:tcW w:w="4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50</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assets</w:t>
            </w:r>
          </w:p>
        </w:tc>
        <w:tc>
          <w:tcPr>
            <w:tcW w:w="4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558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taxation liabilities:</w:t>
            </w:r>
          </w:p>
        </w:tc>
        <w:tc>
          <w:tcPr>
            <w:tcW w:w="46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0" w:type="dxa"/>
            <w:vAlign w:val="bottom"/>
          </w:tcPr>
          <w:p>
            <w:pPr>
              <w:spacing w:after="0"/>
              <w:rPr>
                <w:sz w:val="16"/>
                <w:szCs w:val="16"/>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b w:val="1"/>
                <w:bCs w:val="1"/>
                <w:color w:val="auto"/>
              </w:rPr>
              <w:t>(10)</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4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deferred taxation liabilities</w:t>
            </w:r>
          </w:p>
        </w:tc>
        <w:tc>
          <w:tcPr>
            <w:tcW w:w="4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w:t>
            </w:r>
          </w:p>
        </w:tc>
        <w:tc>
          <w:tcPr>
            <w:tcW w:w="46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548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0" w:type="dxa"/>
            <w:vAlign w:val="bottom"/>
          </w:tcPr>
          <w:p>
            <w:pPr>
              <w:jc w:val="right"/>
              <w:ind w:right="161"/>
              <w:spacing w:after="0"/>
              <w:rPr>
                <w:sz w:val="20"/>
                <w:szCs w:val="20"/>
                <w:color w:val="auto"/>
              </w:rPr>
            </w:pPr>
            <w:r>
              <w:rPr>
                <w:rFonts w:ascii="Arial" w:cs="Arial" w:eastAsia="Arial" w:hAnsi="Arial"/>
                <w:sz w:val="16"/>
                <w:szCs w:val="16"/>
                <w:b w:val="1"/>
                <w:bCs w:val="1"/>
                <w:color w:val="auto"/>
              </w:rPr>
              <w:t>Balance</w:t>
            </w:r>
          </w:p>
        </w:tc>
        <w:tc>
          <w:tcPr>
            <w:tcW w:w="140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jc w:val="right"/>
              <w:ind w:right="161"/>
              <w:spacing w:after="0"/>
              <w:rPr>
                <w:sz w:val="20"/>
                <w:szCs w:val="20"/>
                <w:color w:val="auto"/>
              </w:rPr>
            </w:pPr>
            <w:r>
              <w:rPr>
                <w:rFonts w:ascii="Arial" w:cs="Arial" w:eastAsia="Arial" w:hAnsi="Arial"/>
                <w:sz w:val="16"/>
                <w:szCs w:val="16"/>
                <w:b w:val="1"/>
                <w:bCs w:val="1"/>
                <w:color w:val="auto"/>
              </w:rPr>
              <w:t>1 January</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Recognised in</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jc w:val="right"/>
              <w:ind w:right="161"/>
              <w:spacing w:after="0"/>
              <w:rPr>
                <w:sz w:val="20"/>
                <w:szCs w:val="20"/>
                <w:color w:val="auto"/>
              </w:rPr>
            </w:pPr>
            <w:r>
              <w:rPr>
                <w:rFonts w:ascii="Arial" w:cs="Arial" w:eastAsia="Arial" w:hAnsi="Arial"/>
                <w:sz w:val="16"/>
                <w:szCs w:val="16"/>
                <w:b w:val="1"/>
                <w:bCs w:val="1"/>
                <w:color w:val="auto"/>
              </w:rPr>
              <w:t>2016</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Income</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4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4600" w:type="dxa"/>
            <w:vAlign w:val="bottom"/>
          </w:tcPr>
          <w:p>
            <w:pPr>
              <w:jc w:val="right"/>
              <w:ind w:right="161"/>
              <w:spacing w:after="0"/>
              <w:rPr>
                <w:sz w:val="20"/>
                <w:szCs w:val="20"/>
                <w:color w:val="auto"/>
              </w:rPr>
            </w:pPr>
            <w:r>
              <w:rPr>
                <w:rFonts w:ascii="Arial" w:cs="Arial" w:eastAsia="Arial" w:hAnsi="Arial"/>
                <w:sz w:val="16"/>
                <w:szCs w:val="16"/>
                <w:b w:val="1"/>
                <w:bCs w:val="1"/>
                <w:color w:val="auto"/>
              </w:rPr>
              <w:t>$’000</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4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392</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0" w:type="dxa"/>
            <w:vAlign w:val="bottom"/>
          </w:tcPr>
          <w:p>
            <w:pPr>
              <w:jc w:val="right"/>
              <w:ind w:right="161"/>
              <w:spacing w:after="0"/>
              <w:rPr>
                <w:sz w:val="20"/>
                <w:szCs w:val="20"/>
                <w:color w:val="auto"/>
              </w:rPr>
            </w:pPr>
            <w:r>
              <w:rPr>
                <w:rFonts w:ascii="Arial" w:cs="Arial" w:eastAsia="Arial" w:hAnsi="Arial"/>
                <w:sz w:val="16"/>
                <w:szCs w:val="16"/>
                <w:color w:val="auto"/>
              </w:rPr>
              <w:t>91</w:t>
            </w:r>
          </w:p>
        </w:tc>
        <w:tc>
          <w:tcPr>
            <w:tcW w:w="140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Loans to subsidiaries</w:t>
            </w:r>
          </w:p>
        </w:tc>
        <w:tc>
          <w:tcPr>
            <w:tcW w:w="4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51</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assets</w:t>
            </w:r>
          </w:p>
        </w:tc>
        <w:tc>
          <w:tcPr>
            <w:tcW w:w="4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534</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taxation liabilities</w:t>
            </w:r>
          </w:p>
        </w:tc>
        <w:tc>
          <w:tcPr>
            <w:tcW w:w="46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0" w:type="dxa"/>
            <w:vAlign w:val="bottom"/>
          </w:tcPr>
          <w:p>
            <w:pPr>
              <w:jc w:val="right"/>
              <w:ind w:right="101"/>
              <w:spacing w:after="0"/>
              <w:rPr>
                <w:sz w:val="20"/>
                <w:szCs w:val="20"/>
                <w:color w:val="auto"/>
              </w:rPr>
            </w:pPr>
            <w:r>
              <w:rPr>
                <w:rFonts w:ascii="Arial" w:cs="Arial" w:eastAsia="Arial" w:hAnsi="Arial"/>
                <w:sz w:val="16"/>
                <w:szCs w:val="16"/>
                <w:color w:val="auto"/>
              </w:rPr>
              <w:t>(15)</w:t>
            </w:r>
          </w:p>
        </w:tc>
        <w:tc>
          <w:tcPr>
            <w:tcW w:w="140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4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liabilities</w:t>
            </w:r>
          </w:p>
        </w:tc>
        <w:tc>
          <w:tcPr>
            <w:tcW w:w="4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(15)</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w:t>
            </w:r>
          </w:p>
        </w:tc>
        <w:tc>
          <w:tcPr>
            <w:tcW w:w="46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519</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548</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0" w:type="dxa"/>
            <w:vAlign w:val="bottom"/>
          </w:tcPr>
          <w:p>
            <w:pPr>
              <w:jc w:val="right"/>
              <w:ind w:right="2961"/>
              <w:spacing w:after="0"/>
              <w:rPr>
                <w:sz w:val="20"/>
                <w:szCs w:val="20"/>
                <w:color w:val="auto"/>
              </w:rPr>
            </w:pPr>
            <w:r>
              <w:rPr>
                <w:rFonts w:ascii="Arial" w:cs="Arial" w:eastAsia="Arial" w:hAnsi="Arial"/>
                <w:sz w:val="13"/>
                <w:szCs w:val="13"/>
                <w:color w:val="auto"/>
              </w:rPr>
              <w:t>115</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4. Deferred taxation </w:t>
            </w:r>
            <w:r>
              <w:rPr>
                <w:rFonts w:ascii="Arial" w:cs="Arial" w:eastAsia="Arial" w:hAnsi="Arial"/>
                <w:sz w:val="16"/>
                <w:szCs w:val="16"/>
                <w:b w:val="1"/>
                <w:bCs w:val="1"/>
                <w:i w:val="1"/>
                <w:iCs w:val="1"/>
                <w:color w:val="auto"/>
              </w:rPr>
              <w:t>(continued)</w:t>
            </w:r>
          </w:p>
        </w:tc>
        <w:tc>
          <w:tcPr>
            <w:tcW w:w="3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480" w:type="dxa"/>
            <w:vAlign w:val="bottom"/>
          </w:tcPr>
          <w:p>
            <w:pPr>
              <w:jc w:val="right"/>
              <w:ind w:right="160"/>
              <w:spacing w:after="0"/>
              <w:rPr>
                <w:sz w:val="20"/>
                <w:szCs w:val="20"/>
                <w:color w:val="auto"/>
              </w:rPr>
            </w:pPr>
            <w:r>
              <w:rPr>
                <w:rFonts w:ascii="Arial" w:cs="Arial" w:eastAsia="Arial" w:hAnsi="Arial"/>
                <w:sz w:val="16"/>
                <w:szCs w:val="16"/>
                <w:b w:val="1"/>
                <w:bCs w:val="1"/>
                <w:color w:val="auto"/>
              </w:rPr>
              <w:t>Balance</w:t>
            </w:r>
          </w:p>
        </w:tc>
        <w:tc>
          <w:tcPr>
            <w:tcW w:w="140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jc w:val="right"/>
              <w:ind w:right="160"/>
              <w:spacing w:after="0"/>
              <w:rPr>
                <w:sz w:val="20"/>
                <w:szCs w:val="20"/>
                <w:color w:val="auto"/>
              </w:rPr>
            </w:pPr>
            <w:r>
              <w:rPr>
                <w:rFonts w:ascii="Arial" w:cs="Arial" w:eastAsia="Arial" w:hAnsi="Arial"/>
                <w:sz w:val="16"/>
                <w:szCs w:val="16"/>
                <w:b w:val="1"/>
                <w:bCs w:val="1"/>
                <w:color w:val="auto"/>
              </w:rPr>
              <w:t>1 January</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Recognised in</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Income</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9"/>
        </w:trPr>
        <w:tc>
          <w:tcPr>
            <w:tcW w:w="5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taxation assets</w:t>
            </w:r>
          </w:p>
        </w:tc>
        <w:tc>
          <w:tcPr>
            <w:tcW w:w="348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5360" w:type="dxa"/>
            <w:vAlign w:val="bottom"/>
            <w:gridSpan w:val="2"/>
            <w:vMerge w:val="continue"/>
          </w:tcPr>
          <w:p>
            <w:pPr>
              <w:spacing w:after="0"/>
              <w:rPr>
                <w:sz w:val="16"/>
                <w:szCs w:val="16"/>
                <w:color w:val="auto"/>
              </w:rPr>
            </w:pPr>
          </w:p>
        </w:tc>
        <w:tc>
          <w:tcPr>
            <w:tcW w:w="3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34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274</w:t>
            </w:r>
          </w:p>
        </w:tc>
        <w:tc>
          <w:tcPr>
            <w:tcW w:w="1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118</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480" w:type="dxa"/>
            <w:vAlign w:val="bottom"/>
          </w:tcPr>
          <w:p>
            <w:pPr>
              <w:jc w:val="right"/>
              <w:ind w:right="160"/>
              <w:spacing w:after="0"/>
              <w:rPr>
                <w:sz w:val="20"/>
                <w:szCs w:val="20"/>
                <w:color w:val="auto"/>
              </w:rPr>
            </w:pPr>
            <w:r>
              <w:rPr>
                <w:rFonts w:ascii="Arial" w:cs="Arial" w:eastAsia="Arial" w:hAnsi="Arial"/>
                <w:sz w:val="16"/>
                <w:szCs w:val="16"/>
                <w:color w:val="auto"/>
              </w:rPr>
              <w:t>106</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Loans to subsidiaries</w:t>
            </w:r>
          </w:p>
        </w:tc>
        <w:tc>
          <w:tcPr>
            <w:tcW w:w="34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52</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assets</w:t>
            </w:r>
          </w:p>
        </w:tc>
        <w:tc>
          <w:tcPr>
            <w:tcW w:w="34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432</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102</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taxation liabilities</w:t>
            </w:r>
          </w:p>
        </w:tc>
        <w:tc>
          <w:tcPr>
            <w:tcW w:w="34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48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1400" w:type="dxa"/>
            <w:vAlign w:val="bottom"/>
          </w:tcPr>
          <w:p>
            <w:pPr>
              <w:jc w:val="right"/>
              <w:ind w:right="180"/>
              <w:spacing w:after="0"/>
              <w:rPr>
                <w:sz w:val="20"/>
                <w:szCs w:val="20"/>
                <w:color w:val="auto"/>
              </w:rPr>
            </w:pPr>
            <w:r>
              <w:rPr>
                <w:rFonts w:ascii="Arial" w:cs="Arial" w:eastAsia="Arial" w:hAnsi="Arial"/>
                <w:sz w:val="16"/>
                <w:szCs w:val="16"/>
                <w:color w:val="auto"/>
              </w:rPr>
              <w:t>6</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expenses and payments on account</w:t>
            </w:r>
          </w:p>
        </w:tc>
        <w:tc>
          <w:tcPr>
            <w:tcW w:w="34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deferred taxation liabilities</w:t>
            </w:r>
          </w:p>
        </w:tc>
        <w:tc>
          <w:tcPr>
            <w:tcW w:w="34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taxation asset</w:t>
            </w:r>
          </w:p>
        </w:tc>
        <w:tc>
          <w:tcPr>
            <w:tcW w:w="34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410</w:t>
            </w:r>
          </w:p>
        </w:tc>
        <w:tc>
          <w:tcPr>
            <w:tcW w:w="1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519</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At 31 December 2016 and 31 December 2015 the Company had no operating loss carry forwards for income tax purposes. At 31 December 2016 the Company had an unrecognised deferred tax asset in respect of unutilised foreign tax credits carried forward of $2.5 million (2015: $2.0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20" w:type="dxa"/>
            <w:vAlign w:val="bottom"/>
            <w:gridSpan w:val="2"/>
          </w:tcPr>
          <w:p>
            <w:pPr>
              <w:spacing w:after="0"/>
              <w:rPr>
                <w:sz w:val="20"/>
                <w:szCs w:val="20"/>
                <w:color w:val="auto"/>
              </w:rPr>
            </w:pPr>
            <w:r>
              <w:rPr>
                <w:rFonts w:ascii="Arial" w:cs="Arial" w:eastAsia="Arial" w:hAnsi="Arial"/>
                <w:sz w:val="16"/>
                <w:szCs w:val="16"/>
                <w:b w:val="1"/>
                <w:bCs w:val="1"/>
                <w:color w:val="auto"/>
              </w:rPr>
              <w:t>5. Other current assets</w:t>
            </w:r>
          </w:p>
        </w:tc>
        <w:tc>
          <w:tcPr>
            <w:tcW w:w="4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Prepayments</w:t>
            </w:r>
          </w:p>
        </w:tc>
        <w:tc>
          <w:tcPr>
            <w:tcW w:w="40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379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receivables</w:t>
            </w:r>
          </w:p>
        </w:tc>
        <w:tc>
          <w:tcPr>
            <w:tcW w:w="40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3,015</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0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40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3,394</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220" w:type="dxa"/>
            <w:vAlign w:val="bottom"/>
            <w:gridSpan w:val="2"/>
          </w:tcPr>
          <w:p>
            <w:pPr>
              <w:spacing w:after="0"/>
              <w:rPr>
                <w:sz w:val="20"/>
                <w:szCs w:val="20"/>
                <w:color w:val="auto"/>
              </w:rPr>
            </w:pPr>
            <w:r>
              <w:rPr>
                <w:rFonts w:ascii="Arial" w:cs="Arial" w:eastAsia="Arial" w:hAnsi="Arial"/>
                <w:sz w:val="16"/>
                <w:szCs w:val="16"/>
                <w:b w:val="1"/>
                <w:bCs w:val="1"/>
                <w:color w:val="auto"/>
              </w:rPr>
              <w:t>6. Amounts due from/to subsidiary undertakings</w:t>
            </w:r>
          </w:p>
        </w:tc>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02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Amounts due from subsidiary undertakings</w:t>
            </w:r>
          </w:p>
        </w:tc>
        <w:tc>
          <w:tcPr>
            <w:tcW w:w="40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410,730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149,989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Amounts due to subsidiary undertakings</w:t>
            </w:r>
          </w:p>
        </w:tc>
        <w:tc>
          <w:tcPr>
            <w:tcW w:w="4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(18,816)</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Amounts owed by subsidiary undertakings are non-interest bearing and repayable on demand. All amounts fall due within one year.</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Accrued and other liabilities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7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Non-current other liabilities</w:t>
            </w: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77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other liabilities</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7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Current liabilities</w:t>
            </w: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77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Accruals and other liabilities</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9,478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13,643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9,478</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13,643</w:t>
            </w:r>
          </w:p>
        </w:tc>
        <w:tc>
          <w:tcPr>
            <w:tcW w:w="0" w:type="dxa"/>
            <w:vAlign w:val="bottom"/>
          </w:tcPr>
          <w:p>
            <w:pPr>
              <w:spacing w:after="0"/>
              <w:rPr>
                <w:sz w:val="1"/>
                <w:szCs w:val="1"/>
                <w:color w:val="auto"/>
              </w:rPr>
            </w:pPr>
          </w:p>
        </w:tc>
      </w:tr>
      <w:tr>
        <w:trPr>
          <w:trHeight w:val="396"/>
        </w:trPr>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8. Related parties</w:t>
            </w: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700" w:type="dxa"/>
            <w:vAlign w:val="bottom"/>
            <w:gridSpan w:val="2"/>
          </w:tcPr>
          <w:p>
            <w:pPr>
              <w:spacing w:after="0"/>
              <w:rPr>
                <w:sz w:val="20"/>
                <w:szCs w:val="20"/>
                <w:color w:val="auto"/>
              </w:rPr>
            </w:pPr>
            <w:r>
              <w:rPr>
                <w:rFonts w:ascii="Arial" w:cs="Arial" w:eastAsia="Arial" w:hAnsi="Arial"/>
                <w:sz w:val="16"/>
                <w:szCs w:val="16"/>
                <w:color w:val="auto"/>
              </w:rPr>
              <w:t>The Company entered into the following transactions with subsidiary companies during the period:</w:t>
            </w: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7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Income Statement</w:t>
            </w: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77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Expenses recharged to subsidiary companies</w:t>
            </w:r>
          </w:p>
        </w:tc>
        <w:tc>
          <w:tcPr>
            <w:tcW w:w="25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22,110</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6"/>
                <w:szCs w:val="16"/>
                <w:color w:val="auto"/>
              </w:rPr>
              <w:t xml:space="preserve">Dividend received from subsidiary company </w:t>
            </w:r>
            <w:r>
              <w:rPr>
                <w:rFonts w:ascii="Arial" w:cs="Arial" w:eastAsia="Arial" w:hAnsi="Arial"/>
                <w:sz w:val="16"/>
                <w:szCs w:val="16"/>
                <w:i w:val="1"/>
                <w:iCs w:val="1"/>
                <w:color w:val="auto"/>
              </w:rPr>
              <w:t>(a)</w:t>
            </w:r>
          </w:p>
        </w:tc>
        <w:tc>
          <w:tcPr>
            <w:tcW w:w="2540" w:type="dxa"/>
            <w:vAlign w:val="bottom"/>
          </w:tcPr>
          <w:p>
            <w:pPr>
              <w:jc w:val="right"/>
              <w:ind w:right="200"/>
              <w:spacing w:after="0"/>
              <w:rPr>
                <w:sz w:val="20"/>
                <w:szCs w:val="20"/>
                <w:color w:val="auto"/>
              </w:rPr>
            </w:pPr>
            <w:r>
              <w:rPr>
                <w:rFonts w:ascii="Arial" w:cs="Arial" w:eastAsia="Arial" w:hAnsi="Arial"/>
                <w:sz w:val="16"/>
                <w:szCs w:val="16"/>
                <w:b w:val="1"/>
                <w:bCs w:val="1"/>
                <w:color w:val="auto"/>
              </w:rPr>
              <w:t>322,533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 xml:space="preserve">Profit on disposal of interest in subsidiaries </w:t>
            </w:r>
            <w:r>
              <w:rPr>
                <w:rFonts w:ascii="Arial" w:cs="Arial" w:eastAsia="Arial" w:hAnsi="Arial"/>
                <w:sz w:val="16"/>
                <w:szCs w:val="16"/>
                <w:i w:val="1"/>
                <w:iCs w:val="1"/>
                <w:color w:val="auto"/>
              </w:rPr>
              <w:t>(b)</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344,643</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385,175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6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Statement</w:t>
            </w:r>
          </w:p>
        </w:tc>
        <w:tc>
          <w:tcPr>
            <w:tcW w:w="2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(Increase) / decrease in intercompany debtors and investments</w:t>
            </w:r>
          </w:p>
        </w:tc>
        <w:tc>
          <w:tcPr>
            <w:tcW w:w="2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(203,949)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(203,949)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right="20" w:hanging="436"/>
        <w:spacing w:after="0" w:line="277" w:lineRule="auto"/>
        <w:tabs>
          <w:tab w:leader="none" w:pos="720"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During 2016, the Company received dividends of $322.5 million (2015: $10.5 million) from its subsidiary undertakings ICON Clinical Research Limited ($206.9 million), ICON Holdings Unlimited Company ($111.0 million) and ICON Clinical Research PTY Limited ($4.6 million).</w:t>
      </w:r>
    </w:p>
    <w:p>
      <w:pPr>
        <w:spacing w:after="0" w:line="175" w:lineRule="exact"/>
        <w:rPr>
          <w:rFonts w:ascii="Arial" w:cs="Arial" w:eastAsia="Arial" w:hAnsi="Arial"/>
          <w:sz w:val="16"/>
          <w:szCs w:val="16"/>
          <w:i w:val="1"/>
          <w:iCs w:val="1"/>
          <w:color w:val="auto"/>
        </w:rPr>
      </w:pPr>
    </w:p>
    <w:p>
      <w:pPr>
        <w:jc w:val="both"/>
        <w:ind w:left="720" w:right="20" w:hanging="436"/>
        <w:spacing w:after="0" w:line="264" w:lineRule="auto"/>
        <w:tabs>
          <w:tab w:leader="none" w:pos="720"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In July 2015 the company sold a 13% shareholding in its subsidiary ICON Clinical Research Limited to ICON Investments Four Unlimited Company, a fellow ICON Group company, for total proceeds of US $350 million. This sale resulted in a profit on disposal of US $350 million which has been recorded in the income statement during the year ended 31 December 2015.</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Directors and Executive Officers of the Parent Company are the same as those for the Group. For information on transactions with Directors and Executive Officers see note 30 to the Group financial statements, and for information on Directors’ remuneration see note 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Notes to Company Financial Statements (continued)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24"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The Company has several non-cancellable operating leases that expire over the next 4 years. These leases generally contain renewal options and require the Company to pay all executory costs such as maintenance and insurance. The Company recognised $2.1 million and $2.5 million in rental expense (including rates) for the years ended 31 December 2016 and 31 December 2015 respectively. Future minimum rental commitments for operating leases with non-cancellable terms in excess of one year are as follows: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860" w:type="dxa"/>
            <w:vAlign w:val="bottom"/>
          </w:tcPr>
          <w:p>
            <w:pPr>
              <w:jc w:val="right"/>
              <w:ind w:right="20"/>
              <w:spacing w:after="0"/>
              <w:rPr>
                <w:sz w:val="20"/>
                <w:szCs w:val="20"/>
                <w:color w:val="auto"/>
              </w:rPr>
            </w:pPr>
            <w:r>
              <w:rPr>
                <w:rFonts w:ascii="Arial" w:cs="Arial" w:eastAsia="Arial" w:hAnsi="Arial"/>
                <w:sz w:val="16"/>
                <w:szCs w:val="16"/>
                <w:b w:val="1"/>
                <w:bCs w:val="1"/>
                <w:color w:val="auto"/>
              </w:rPr>
              <w:t>Minimum rental</w:t>
            </w:r>
          </w:p>
        </w:tc>
      </w:tr>
      <w:tr>
        <w:trPr>
          <w:trHeight w:val="192"/>
        </w:trPr>
        <w:tc>
          <w:tcPr>
            <w:tcW w:w="4300" w:type="dxa"/>
            <w:vAlign w:val="bottom"/>
          </w:tcPr>
          <w:p>
            <w:pPr>
              <w:spacing w:after="0"/>
              <w:rPr>
                <w:sz w:val="16"/>
                <w:szCs w:val="16"/>
                <w:color w:val="auto"/>
              </w:rPr>
            </w:pPr>
          </w:p>
        </w:tc>
        <w:tc>
          <w:tcPr>
            <w:tcW w:w="4860" w:type="dxa"/>
            <w:vAlign w:val="bottom"/>
          </w:tcPr>
          <w:p>
            <w:pPr>
              <w:jc w:val="right"/>
              <w:ind w:right="20"/>
              <w:spacing w:after="0"/>
              <w:rPr>
                <w:sz w:val="20"/>
                <w:szCs w:val="20"/>
                <w:color w:val="auto"/>
              </w:rPr>
            </w:pPr>
            <w:r>
              <w:rPr>
                <w:rFonts w:ascii="Arial" w:cs="Arial" w:eastAsia="Arial" w:hAnsi="Arial"/>
                <w:sz w:val="16"/>
                <w:szCs w:val="16"/>
                <w:b w:val="1"/>
                <w:bCs w:val="1"/>
                <w:color w:val="auto"/>
              </w:rPr>
              <w:t>payments</w:t>
            </w:r>
          </w:p>
        </w:tc>
      </w:tr>
      <w:tr>
        <w:trPr>
          <w:trHeight w:val="209"/>
        </w:trPr>
        <w:tc>
          <w:tcPr>
            <w:tcW w:w="4300" w:type="dxa"/>
            <w:vAlign w:val="bottom"/>
          </w:tcPr>
          <w:p>
            <w:pPr>
              <w:spacing w:after="0"/>
              <w:rPr>
                <w:sz w:val="18"/>
                <w:szCs w:val="18"/>
                <w:color w:val="auto"/>
              </w:rPr>
            </w:pPr>
          </w:p>
        </w:tc>
        <w:tc>
          <w:tcPr>
            <w:tcW w:w="4860" w:type="dxa"/>
            <w:vAlign w:val="bottom"/>
          </w:tcPr>
          <w:p>
            <w:pPr>
              <w:jc w:val="right"/>
              <w:ind w:right="20"/>
              <w:spacing w:after="0"/>
              <w:rPr>
                <w:sz w:val="20"/>
                <w:szCs w:val="20"/>
                <w:color w:val="auto"/>
              </w:rPr>
            </w:pPr>
            <w:r>
              <w:rPr>
                <w:rFonts w:ascii="Arial" w:cs="Arial" w:eastAsia="Arial" w:hAnsi="Arial"/>
                <w:sz w:val="16"/>
                <w:szCs w:val="16"/>
                <w:b w:val="1"/>
                <w:bCs w:val="1"/>
                <w:color w:val="auto"/>
              </w:rPr>
              <w:t>$’000</w:t>
            </w:r>
          </w:p>
        </w:tc>
      </w:tr>
      <w:tr>
        <w:trPr>
          <w:trHeight w:val="192"/>
        </w:trPr>
        <w:tc>
          <w:tcPr>
            <w:tcW w:w="4300" w:type="dxa"/>
            <w:vAlign w:val="bottom"/>
            <w:shd w:val="clear" w:color="auto" w:fill="CCEEFF"/>
          </w:tcPr>
          <w:p>
            <w:pPr>
              <w:jc w:val="right"/>
              <w:ind w:right="3760"/>
              <w:spacing w:after="0"/>
              <w:rPr>
                <w:sz w:val="20"/>
                <w:szCs w:val="20"/>
                <w:color w:val="auto"/>
              </w:rPr>
            </w:pPr>
            <w:r>
              <w:rPr>
                <w:rFonts w:ascii="Arial" w:cs="Arial" w:eastAsia="Arial" w:hAnsi="Arial"/>
                <w:sz w:val="16"/>
                <w:szCs w:val="16"/>
                <w:color w:val="auto"/>
              </w:rPr>
              <w:t>2017</w:t>
            </w:r>
          </w:p>
        </w:tc>
        <w:tc>
          <w:tcPr>
            <w:tcW w:w="4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1,754</w:t>
            </w:r>
          </w:p>
        </w:tc>
      </w:tr>
      <w:tr>
        <w:trPr>
          <w:trHeight w:val="192"/>
        </w:trPr>
        <w:tc>
          <w:tcPr>
            <w:tcW w:w="4300" w:type="dxa"/>
            <w:vAlign w:val="bottom"/>
          </w:tcPr>
          <w:p>
            <w:pPr>
              <w:jc w:val="right"/>
              <w:ind w:right="3760"/>
              <w:spacing w:after="0"/>
              <w:rPr>
                <w:sz w:val="20"/>
                <w:szCs w:val="20"/>
                <w:color w:val="auto"/>
              </w:rPr>
            </w:pPr>
            <w:r>
              <w:rPr>
                <w:rFonts w:ascii="Arial" w:cs="Arial" w:eastAsia="Arial" w:hAnsi="Arial"/>
                <w:sz w:val="16"/>
                <w:szCs w:val="16"/>
                <w:color w:val="auto"/>
              </w:rPr>
              <w:t>2018</w:t>
            </w:r>
          </w:p>
        </w:tc>
        <w:tc>
          <w:tcPr>
            <w:tcW w:w="4860" w:type="dxa"/>
            <w:vAlign w:val="bottom"/>
          </w:tcPr>
          <w:p>
            <w:pPr>
              <w:jc w:val="right"/>
              <w:ind w:right="20"/>
              <w:spacing w:after="0"/>
              <w:rPr>
                <w:sz w:val="20"/>
                <w:szCs w:val="20"/>
                <w:color w:val="auto"/>
              </w:rPr>
            </w:pPr>
            <w:r>
              <w:rPr>
                <w:rFonts w:ascii="Arial" w:cs="Arial" w:eastAsia="Arial" w:hAnsi="Arial"/>
                <w:sz w:val="16"/>
                <w:szCs w:val="16"/>
                <w:color w:val="auto"/>
              </w:rPr>
              <w:t>1,299</w:t>
            </w:r>
          </w:p>
        </w:tc>
      </w:tr>
      <w:tr>
        <w:trPr>
          <w:trHeight w:val="192"/>
        </w:trPr>
        <w:tc>
          <w:tcPr>
            <w:tcW w:w="4300" w:type="dxa"/>
            <w:vAlign w:val="bottom"/>
            <w:shd w:val="clear" w:color="auto" w:fill="CCEEFF"/>
          </w:tcPr>
          <w:p>
            <w:pPr>
              <w:jc w:val="right"/>
              <w:ind w:right="3760"/>
              <w:spacing w:after="0"/>
              <w:rPr>
                <w:sz w:val="20"/>
                <w:szCs w:val="20"/>
                <w:color w:val="auto"/>
              </w:rPr>
            </w:pPr>
            <w:r>
              <w:rPr>
                <w:rFonts w:ascii="Arial" w:cs="Arial" w:eastAsia="Arial" w:hAnsi="Arial"/>
                <w:sz w:val="16"/>
                <w:szCs w:val="16"/>
                <w:color w:val="auto"/>
              </w:rPr>
              <w:t>2019</w:t>
            </w:r>
          </w:p>
        </w:tc>
        <w:tc>
          <w:tcPr>
            <w:tcW w:w="4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855</w:t>
            </w:r>
          </w:p>
        </w:tc>
      </w:tr>
      <w:tr>
        <w:trPr>
          <w:trHeight w:val="192"/>
        </w:trPr>
        <w:tc>
          <w:tcPr>
            <w:tcW w:w="4300" w:type="dxa"/>
            <w:vAlign w:val="bottom"/>
          </w:tcPr>
          <w:p>
            <w:pPr>
              <w:jc w:val="right"/>
              <w:ind w:right="3760"/>
              <w:spacing w:after="0"/>
              <w:rPr>
                <w:sz w:val="20"/>
                <w:szCs w:val="20"/>
                <w:color w:val="auto"/>
              </w:rPr>
            </w:pPr>
            <w:r>
              <w:rPr>
                <w:rFonts w:ascii="Arial" w:cs="Arial" w:eastAsia="Arial" w:hAnsi="Arial"/>
                <w:sz w:val="16"/>
                <w:szCs w:val="16"/>
                <w:color w:val="auto"/>
              </w:rPr>
              <w:t>2020</w:t>
            </w:r>
          </w:p>
        </w:tc>
        <w:tc>
          <w:tcPr>
            <w:tcW w:w="4860" w:type="dxa"/>
            <w:vAlign w:val="bottom"/>
          </w:tcPr>
          <w:p>
            <w:pPr>
              <w:jc w:val="right"/>
              <w:ind w:right="20"/>
              <w:spacing w:after="0"/>
              <w:rPr>
                <w:sz w:val="20"/>
                <w:szCs w:val="20"/>
                <w:color w:val="auto"/>
              </w:rPr>
            </w:pPr>
            <w:r>
              <w:rPr>
                <w:rFonts w:ascii="Arial" w:cs="Arial" w:eastAsia="Arial" w:hAnsi="Arial"/>
                <w:sz w:val="16"/>
                <w:szCs w:val="16"/>
                <w:color w:val="auto"/>
              </w:rPr>
              <w:t>759</w:t>
            </w:r>
          </w:p>
        </w:tc>
      </w:tr>
      <w:tr>
        <w:trPr>
          <w:trHeight w:val="196"/>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4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r>
      <w:tr>
        <w:trPr>
          <w:trHeight w:val="384"/>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4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5,008</w:t>
            </w: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Litigation</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Financial instruments</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Financial instruments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gridSpan w:val="2"/>
          </w:tcPr>
          <w:p>
            <w:pPr>
              <w:spacing w:after="0"/>
              <w:rPr>
                <w:sz w:val="20"/>
                <w:szCs w:val="20"/>
                <w:color w:val="auto"/>
              </w:rPr>
            </w:pPr>
            <w:r>
              <w:rPr>
                <w:rFonts w:ascii="Arial" w:cs="Arial" w:eastAsia="Arial" w:hAnsi="Arial"/>
                <w:sz w:val="16"/>
                <w:szCs w:val="16"/>
                <w:i w:val="1"/>
                <w:iCs w:val="1"/>
                <w:color w:val="auto"/>
              </w:rPr>
              <w:t>At 31 December 2016</w:t>
            </w:r>
          </w:p>
        </w:tc>
        <w:tc>
          <w:tcPr>
            <w:tcW w:w="142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rPr>
              <w:t>Carrying</w:t>
            </w:r>
          </w:p>
        </w:tc>
        <w:tc>
          <w:tcPr>
            <w:tcW w:w="138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Contractual</w:t>
            </w:r>
          </w:p>
        </w:tc>
        <w:tc>
          <w:tcPr>
            <w:tcW w:w="136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6 mths or</w:t>
            </w:r>
          </w:p>
        </w:tc>
        <w:tc>
          <w:tcPr>
            <w:tcW w:w="126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6 to 12</w:t>
            </w:r>
          </w:p>
        </w:tc>
        <w:tc>
          <w:tcPr>
            <w:tcW w:w="124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1 to 2</w:t>
            </w:r>
          </w:p>
        </w:tc>
        <w:tc>
          <w:tcPr>
            <w:tcW w:w="106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2 to 5</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Cashflows</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less</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mths</w:t>
            </w:r>
          </w:p>
        </w:tc>
        <w:tc>
          <w:tcPr>
            <w:tcW w:w="1240" w:type="dxa"/>
            <w:vAlign w:val="bottom"/>
          </w:tcPr>
          <w:p>
            <w:pPr>
              <w:jc w:val="right"/>
              <w:ind w:right="360"/>
              <w:spacing w:after="0"/>
              <w:rPr>
                <w:sz w:val="20"/>
                <w:szCs w:val="20"/>
                <w:color w:val="auto"/>
              </w:rPr>
            </w:pPr>
            <w:r>
              <w:rPr>
                <w:rFonts w:ascii="Arial" w:cs="Arial" w:eastAsia="Arial" w:hAnsi="Arial"/>
                <w:sz w:val="16"/>
                <w:szCs w:val="16"/>
                <w:b w:val="1"/>
                <w:bCs w:val="1"/>
                <w:color w:val="auto"/>
              </w:rPr>
              <w:t>years</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years</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36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Accruals and other liabilities</w:t>
            </w: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(9,478)</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(9,478)</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(9,478)</w:t>
            </w: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6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(9,488)</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(9,488)</w:t>
            </w:r>
          </w:p>
        </w:tc>
        <w:tc>
          <w:tcPr>
            <w:tcW w:w="1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(9,488)</w:t>
            </w:r>
          </w:p>
        </w:tc>
        <w:tc>
          <w:tcPr>
            <w:tcW w:w="126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08"/>
        </w:trPr>
        <w:tc>
          <w:tcPr>
            <w:tcW w:w="2620" w:type="dxa"/>
            <w:vAlign w:val="bottom"/>
            <w:gridSpan w:val="2"/>
          </w:tcPr>
          <w:p>
            <w:pPr>
              <w:spacing w:after="0"/>
              <w:rPr>
                <w:sz w:val="20"/>
                <w:szCs w:val="20"/>
                <w:color w:val="auto"/>
              </w:rPr>
            </w:pPr>
            <w:r>
              <w:rPr>
                <w:rFonts w:ascii="Arial" w:cs="Arial" w:eastAsia="Arial" w:hAnsi="Arial"/>
                <w:sz w:val="16"/>
                <w:szCs w:val="16"/>
                <w:i w:val="1"/>
                <w:iCs w:val="1"/>
                <w:color w:val="auto"/>
              </w:rPr>
              <w:t>At 31 December 2015</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auto"/>
              </w:rPr>
              <w:t>Carrying</w:t>
            </w: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Contractual</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6 mths or</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6 to 12</w:t>
            </w:r>
          </w:p>
        </w:tc>
        <w:tc>
          <w:tcPr>
            <w:tcW w:w="1240" w:type="dxa"/>
            <w:vAlign w:val="bottom"/>
          </w:tcPr>
          <w:p>
            <w:pPr>
              <w:jc w:val="right"/>
              <w:ind w:right="360"/>
              <w:spacing w:after="0"/>
              <w:rPr>
                <w:sz w:val="20"/>
                <w:szCs w:val="20"/>
                <w:color w:val="auto"/>
              </w:rPr>
            </w:pPr>
            <w:r>
              <w:rPr>
                <w:rFonts w:ascii="Arial" w:cs="Arial" w:eastAsia="Arial" w:hAnsi="Arial"/>
                <w:sz w:val="16"/>
                <w:szCs w:val="16"/>
                <w:b w:val="1"/>
                <w:bCs w:val="1"/>
                <w:color w:val="auto"/>
              </w:rPr>
              <w:t>1 to 2</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2 to 5</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Cashflows</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less</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mths</w:t>
            </w:r>
          </w:p>
        </w:tc>
        <w:tc>
          <w:tcPr>
            <w:tcW w:w="1240" w:type="dxa"/>
            <w:vAlign w:val="bottom"/>
          </w:tcPr>
          <w:p>
            <w:pPr>
              <w:jc w:val="right"/>
              <w:ind w:right="360"/>
              <w:spacing w:after="0"/>
              <w:rPr>
                <w:sz w:val="20"/>
                <w:szCs w:val="20"/>
                <w:color w:val="auto"/>
              </w:rPr>
            </w:pPr>
            <w:r>
              <w:rPr>
                <w:rFonts w:ascii="Arial" w:cs="Arial" w:eastAsia="Arial" w:hAnsi="Arial"/>
                <w:sz w:val="16"/>
                <w:szCs w:val="16"/>
                <w:b w:val="1"/>
                <w:bCs w:val="1"/>
                <w:color w:val="auto"/>
              </w:rPr>
              <w:t>years</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years</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260"/>
              <w:spacing w:after="0"/>
              <w:rPr>
                <w:sz w:val="20"/>
                <w:szCs w:val="20"/>
                <w:color w:val="auto"/>
              </w:rPr>
            </w:pPr>
            <w:r>
              <w:rPr>
                <w:rFonts w:ascii="Arial" w:cs="Arial" w:eastAsia="Arial" w:hAnsi="Arial"/>
                <w:sz w:val="16"/>
                <w:szCs w:val="16"/>
                <w:b w:val="1"/>
                <w:bCs w:val="1"/>
                <w:color w:val="auto"/>
              </w:rPr>
              <w:t>$’000</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360"/>
              <w:spacing w:after="0"/>
              <w:rPr>
                <w:sz w:val="20"/>
                <w:szCs w:val="20"/>
                <w:color w:val="auto"/>
              </w:rPr>
            </w:pPr>
            <w:r>
              <w:rPr>
                <w:rFonts w:ascii="Arial" w:cs="Arial" w:eastAsia="Arial" w:hAnsi="Arial"/>
                <w:sz w:val="16"/>
                <w:szCs w:val="16"/>
                <w:b w:val="1"/>
                <w:bCs w:val="1"/>
                <w:color w:val="auto"/>
              </w:rPr>
              <w:t>$’000</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(91)</w:t>
            </w:r>
          </w:p>
        </w:tc>
        <w:tc>
          <w:tcPr>
            <w:tcW w:w="13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(91)</w:t>
            </w:r>
          </w:p>
        </w:tc>
        <w:tc>
          <w:tcPr>
            <w:tcW w:w="12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Accruals and other liabilities</w:t>
            </w: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(13,643)</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(13,643)</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(13,643)</w:t>
            </w: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6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(13,734)</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(13,734)</w:t>
            </w:r>
          </w:p>
        </w:tc>
        <w:tc>
          <w:tcPr>
            <w:tcW w:w="1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(13,734)</w:t>
            </w:r>
          </w:p>
        </w:tc>
        <w:tc>
          <w:tcPr>
            <w:tcW w:w="126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08"/>
        </w:trPr>
        <w:tc>
          <w:tcPr>
            <w:tcW w:w="2620" w:type="dxa"/>
            <w:vAlign w:val="bottom"/>
            <w:gridSpan w:val="2"/>
          </w:tcPr>
          <w:p>
            <w:pPr>
              <w:spacing w:after="0"/>
              <w:rPr>
                <w:sz w:val="20"/>
                <w:szCs w:val="20"/>
                <w:color w:val="auto"/>
              </w:rPr>
            </w:pPr>
            <w:r>
              <w:rPr>
                <w:rFonts w:ascii="Arial" w:cs="Arial" w:eastAsia="Arial" w:hAnsi="Arial"/>
                <w:sz w:val="16"/>
                <w:szCs w:val="16"/>
                <w:i w:val="1"/>
                <w:iCs w:val="1"/>
                <w:color w:val="auto"/>
              </w:rPr>
              <w:t>Foreign currency risk</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While the functional currency of the Company is USD, the functional currency of the branches is the Euro. As a consequence, the results, when translated into U.S. dollars, could be affected by fluctuations in exchange rates against the U.S. dollar. At 31 December 2016 the Company had $nil US dollar denominated bank loans (2015: $nil).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 xml:space="preserve">Notes to Company Financial Statements </w:t>
      </w:r>
      <w:r>
        <w:rPr>
          <w:rFonts w:ascii="Arial" w:cs="Arial" w:eastAsia="Arial" w:hAnsi="Arial"/>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Financial instruments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Inputs are based upon unadjusted quoted prices for identical instruments traded in active markets.</w:t>
      </w:r>
    </w:p>
    <w:p>
      <w:pPr>
        <w:spacing w:after="0" w:line="200" w:lineRule="exact"/>
        <w:rPr>
          <w:sz w:val="20"/>
          <w:szCs w:val="20"/>
          <w:color w:val="auto"/>
        </w:rPr>
      </w:pPr>
    </w:p>
    <w:p>
      <w:pPr>
        <w:jc w:val="both"/>
        <w:ind w:left="1300" w:hanging="1308"/>
        <w:spacing w:after="0" w:line="264" w:lineRule="auto"/>
        <w:tabs>
          <w:tab w:leader="none" w:pos="128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6"/>
          <w:szCs w:val="16"/>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2" w:lineRule="exact"/>
        <w:rPr>
          <w:sz w:val="20"/>
          <w:szCs w:val="20"/>
          <w:color w:val="auto"/>
        </w:rPr>
      </w:pPr>
    </w:p>
    <w:p>
      <w:pPr>
        <w:ind w:left="1300" w:right="360" w:hanging="1308"/>
        <w:spacing w:after="0" w:line="277" w:lineRule="auto"/>
        <w:tabs>
          <w:tab w:leader="none" w:pos="128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6"/>
          <w:szCs w:val="16"/>
          <w:color w:val="auto"/>
        </w:rPr>
        <w:t>Inputs are generally unobservable and typically reflect management’s estimates of assumptions that market participants would use in pricing the asset or liability.</w:t>
      </w:r>
    </w:p>
    <w:p>
      <w:pPr>
        <w:spacing w:after="0" w:line="39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Amounts owed by subsidiary undertakings are non-interest bearing and repayable on demand. All amounts are therefore recorded as due within one year. Fair value is deemed to equal carrying value on this basis.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Approval of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approved the Company financial statements on 25 April 2017.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5" w:name="page136"/>
    <w:bookmarkEnd w:id="135"/>
    <w:p>
      <w:pPr>
        <w:ind w:left="4"/>
        <w:spacing w:after="0"/>
        <w:rPr>
          <w:sz w:val="20"/>
          <w:szCs w:val="20"/>
          <w:color w:val="auto"/>
        </w:rPr>
      </w:pPr>
      <w:r>
        <w:rPr>
          <w:rFonts w:ascii="Arial" w:cs="Arial" w:eastAsia="Arial" w:hAnsi="Arial"/>
          <w:sz w:val="16"/>
          <w:szCs w:val="16"/>
          <w:b w:val="1"/>
          <w:bCs w:val="1"/>
          <w:color w:val="auto"/>
        </w:rPr>
        <w:t>Reconciliation from IFRS to US Accounting Policies</w:t>
      </w:r>
    </w:p>
    <w:p>
      <w:pPr>
        <w:spacing w:after="0" w:line="204"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The financial statements of the Group set out on pages 15 to 107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Financial statement format</w:t>
      </w:r>
    </w:p>
    <w:p>
      <w:pPr>
        <w:spacing w:after="0" w:line="228"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The format of the financial statements and certain note disclosures differ under U.S. GAAP from those under EU IFRS. The Group prepared a U.S. Securities and Exchange Commission Form 20-F Report which was made available to all shareholders in March 2017. The financial statements included in such Form 20-F are prepared in accordance with U.S. GAAP.</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Merger with PRAI</w:t>
      </w:r>
    </w:p>
    <w:p>
      <w:pPr>
        <w:spacing w:after="0" w:line="228"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 xml:space="preserve">The Group accounts for business combinations under EU IFRS in accordance with the IFRS 3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 permitted by IFRS 1 </w:t>
      </w:r>
      <w:r>
        <w:rPr>
          <w:rFonts w:ascii="Arial" w:cs="Arial" w:eastAsia="Arial" w:hAnsi="Arial"/>
          <w:sz w:val="15"/>
          <w:szCs w:val="15"/>
          <w:i w:val="1"/>
          <w:iCs w:val="1"/>
          <w:color w:val="auto"/>
        </w:rPr>
        <w:t>First Time Adoption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International Financial Reporting Standards </w:t>
      </w:r>
      <w:r>
        <w:rPr>
          <w:rFonts w:ascii="Arial" w:cs="Arial" w:eastAsia="Arial" w:hAnsi="Arial"/>
          <w:sz w:val="15"/>
          <w:szCs w:val="15"/>
          <w:color w:val="auto"/>
        </w:rPr>
        <w:t>the Group has only restated business combinations from 1 June 2001 onwards. Business combinations prior to this date have not</w:t>
      </w:r>
      <w:r>
        <w:rPr>
          <w:rFonts w:ascii="Arial" w:cs="Arial" w:eastAsia="Arial" w:hAnsi="Arial"/>
          <w:sz w:val="15"/>
          <w:szCs w:val="15"/>
          <w:i w:val="1"/>
          <w:iCs w:val="1"/>
          <w:color w:val="auto"/>
        </w:rPr>
        <w:t xml:space="preserve"> </w:t>
      </w:r>
      <w:r>
        <w:rPr>
          <w:rFonts w:ascii="Arial" w:cs="Arial" w:eastAsia="Arial" w:hAnsi="Arial"/>
          <w:sz w:val="15"/>
          <w:szCs w:val="15"/>
          <w:color w:val="auto"/>
        </w:rPr>
        <w:t>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83" w:lineRule="exact"/>
        <w:rPr>
          <w:sz w:val="20"/>
          <w:szCs w:val="20"/>
          <w:color w:val="auto"/>
        </w:rPr>
      </w:pPr>
    </w:p>
    <w:p>
      <w:pPr>
        <w:ind w:left="244" w:hanging="244"/>
        <w:spacing w:after="0"/>
        <w:tabs>
          <w:tab w:leader="none" w:pos="2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Group’s historic US GAAP financial statements have been restated to reflect the combined results of ICON and PRAI;</w:t>
      </w:r>
    </w:p>
    <w:p>
      <w:pPr>
        <w:spacing w:after="0" w:line="20" w:lineRule="exact"/>
        <w:rPr>
          <w:rFonts w:ascii="Arial" w:cs="Arial" w:eastAsia="Arial" w:hAnsi="Arial"/>
          <w:sz w:val="16"/>
          <w:szCs w:val="16"/>
          <w:color w:val="auto"/>
        </w:rPr>
      </w:pPr>
    </w:p>
    <w:p>
      <w:pPr>
        <w:ind w:left="284" w:hanging="284"/>
        <w:spacing w:after="0"/>
        <w:tabs>
          <w:tab w:leader="none" w:pos="2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costs of the merger were expensed for U.S. GAAP purposes and included in the cost of acquisition for IFRS;</w:t>
      </w:r>
    </w:p>
    <w:p>
      <w:pPr>
        <w:spacing w:after="0" w:line="8" w:lineRule="exact"/>
        <w:rPr>
          <w:rFonts w:ascii="Arial" w:cs="Arial" w:eastAsia="Arial" w:hAnsi="Arial"/>
          <w:sz w:val="16"/>
          <w:szCs w:val="16"/>
          <w:color w:val="auto"/>
        </w:rPr>
      </w:pPr>
    </w:p>
    <w:p>
      <w:pPr>
        <w:ind w:left="324" w:hanging="324"/>
        <w:spacing w:after="0"/>
        <w:tabs>
          <w:tab w:leader="none" w:pos="3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goodwill arising on IFRS has been amortised over its expected useful life up to 31 May 2001. No goodwill arose on the merger under U.S. GAAP;</w:t>
      </w:r>
    </w:p>
    <w:p>
      <w:pPr>
        <w:spacing w:after="0" w:line="8" w:lineRule="exact"/>
        <w:rPr>
          <w:rFonts w:ascii="Arial" w:cs="Arial" w:eastAsia="Arial" w:hAnsi="Arial"/>
          <w:sz w:val="16"/>
          <w:szCs w:val="16"/>
          <w:color w:val="auto"/>
        </w:rPr>
      </w:pPr>
    </w:p>
    <w:p>
      <w:pPr>
        <w:ind w:left="324" w:hanging="324"/>
        <w:spacing w:after="0"/>
        <w:tabs>
          <w:tab w:leader="none" w:pos="3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tax charge arising on the conversion of PRAI from an S-Corporation to a C-Corporation is treated as a pre-acquisition charge under IFRS.</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 Share based payment expense</w:t>
      </w:r>
    </w:p>
    <w:p>
      <w:pPr>
        <w:spacing w:after="0" w:line="228"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 xml:space="preserve">IFRS requires that the fair value of share based payments be expensed to the income statement over the period the related services are received, with a corresponding increase in equity. In the year ending 31 December 2016, the Group has accounted for share based payments under U.S. GAAP in accordance with </w:t>
      </w:r>
      <w:r>
        <w:rPr>
          <w:rFonts w:ascii="Arial" w:cs="Arial" w:eastAsia="Arial" w:hAnsi="Arial"/>
          <w:sz w:val="16"/>
          <w:szCs w:val="16"/>
          <w:i w:val="1"/>
          <w:iCs w:val="1"/>
          <w:color w:val="auto"/>
        </w:rPr>
        <w:t>FASB ASC 718, 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also requires that the fair value of share based payments be expensed to the income statement over the period the related services are received,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increase in equity.</w:t>
      </w:r>
    </w:p>
    <w:p>
      <w:pPr>
        <w:spacing w:after="0" w:line="191"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86"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US GAAP requires that the accelerated graded vesting attribution approach is applied in respect of awards with graded vesting. IFRS requires that each instalment of an award where there is graded vesting is treated as a separate grant with a different fair value. Each instalment is therefore separately measured and charged to the Income Statements over the related vesting period. This results in accelerated expense recognition under IFRS.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t xml:space="preserve">Reconciliation from IFRS to US Accounting Policies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Deferred tax assets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Under US GAAP,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Forward-looking statements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on pages 125 to 137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 IAS 19R Defined Benefit Pensions</w:t>
      </w:r>
    </w:p>
    <w:p>
      <w:pPr>
        <w:spacing w:after="0" w:line="228"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Group has recognised the net interest expense of the defined benefit pension scheme within payroll costs (operating expenses) in the income statement under IAS19R which is consistent with the US GAAP treatment of this cost. Additional net credits related to the defined benefit pension shemes refer to the adjustment required to reverse the application of the corridor approach permitted under US GAAP ($33k) and the different net interest expense recorded under IFRS and US GAAP ($(219)).</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 xml:space="preserve">Reconciliation from IFRS to US Accounting Polices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following is a summary of the material adjustments to profit for the financial year and shareholders’ equity, which would be required, had the financial statements been prepared in accordance with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gridSpan w:val="2"/>
          </w:tcPr>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Effect on profit for the financial year</w:t>
            </w: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w w:val="96"/>
              </w:rPr>
              <w:t>31 December</w:t>
            </w:r>
          </w:p>
        </w:tc>
        <w:tc>
          <w:tcPr>
            <w:tcW w:w="28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w w:val="95"/>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2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w w:val="96"/>
              </w:rPr>
              <w:t>Profit for the financial year attributable to equity holders as stated under IFRS</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267,960</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240,024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adjustments</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Share based payment expense under IFRS</w:t>
            </w:r>
          </w:p>
        </w:tc>
        <w:tc>
          <w:tcPr>
            <w:tcW w:w="368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40,310</w:t>
            </w:r>
          </w:p>
        </w:tc>
        <w:tc>
          <w:tcPr>
            <w:tcW w:w="28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33,187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Share based payment expense under U.S. GAAP</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(40,343)</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Deferred tax adjustments on share based payments</w:t>
            </w:r>
          </w:p>
        </w:tc>
        <w:tc>
          <w:tcPr>
            <w:tcW w:w="3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(5,562)</w:t>
            </w:r>
          </w:p>
        </w:tc>
        <w:tc>
          <w:tcPr>
            <w:tcW w:w="28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Additional costs defined benefit pension scheme</w:t>
            </w:r>
          </w:p>
        </w:tc>
        <w:tc>
          <w:tcPr>
            <w:tcW w:w="36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income as stated under U.S. GAAP</w:t>
            </w:r>
          </w:p>
        </w:tc>
        <w:tc>
          <w:tcPr>
            <w:tcW w:w="36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262,179</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239,539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Basic earnings per Ordinary Share under U.S. GAAP</w:t>
            </w:r>
          </w:p>
        </w:tc>
        <w:tc>
          <w:tcPr>
            <w:tcW w:w="36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4.75</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Diluted earnings per Ordinary Share under U.S. GAAP</w:t>
            </w:r>
          </w:p>
        </w:tc>
        <w:tc>
          <w:tcPr>
            <w:tcW w:w="36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4.65</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96"/>
        </w:trPr>
        <w:tc>
          <w:tcPr>
            <w:tcW w:w="5300" w:type="dxa"/>
            <w:vAlign w:val="bottom"/>
            <w:gridSpan w:val="2"/>
          </w:tcPr>
          <w:p>
            <w:pPr>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i w:val="1"/>
                <w:iCs w:val="1"/>
                <w:color w:val="auto"/>
              </w:rPr>
              <w:t>Effect on shareholders’ equity</w:t>
            </w: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w w:val="96"/>
              </w:rPr>
              <w:t>31 December</w:t>
            </w:r>
          </w:p>
        </w:tc>
        <w:tc>
          <w:tcPr>
            <w:tcW w:w="2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w w:val="95"/>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$’000</w:t>
            </w:r>
          </w:p>
        </w:tc>
        <w:tc>
          <w:tcPr>
            <w:tcW w:w="2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 as stated under IFRS</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977,467</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797,130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adjustments</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Goodwill arising on merger with PRAI</w:t>
            </w:r>
          </w:p>
        </w:tc>
        <w:tc>
          <w:tcPr>
            <w:tcW w:w="3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(15,010)</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goodwill arising on merger with PRAI</w:t>
            </w:r>
          </w:p>
        </w:tc>
        <w:tc>
          <w:tcPr>
            <w:tcW w:w="3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1,001</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adjustments on share based payments</w:t>
            </w:r>
          </w:p>
        </w:tc>
        <w:tc>
          <w:tcPr>
            <w:tcW w:w="3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(18,284)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Shareholders’ equity as stated under U.S. GAAP</w:t>
            </w:r>
          </w:p>
        </w:tc>
        <w:tc>
          <w:tcPr>
            <w:tcW w:w="36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945,174</w:t>
            </w: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763,096</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80" w:type="dxa"/>
            <w:vAlign w:val="bottom"/>
          </w:tcPr>
          <w:p>
            <w:pPr>
              <w:jc w:val="right"/>
              <w:ind w:right="3085"/>
              <w:spacing w:after="0"/>
              <w:rPr>
                <w:sz w:val="20"/>
                <w:szCs w:val="20"/>
                <w:color w:val="auto"/>
              </w:rPr>
            </w:pPr>
            <w:r>
              <w:rPr>
                <w:rFonts w:ascii="Arial" w:cs="Arial" w:eastAsia="Arial" w:hAnsi="Arial"/>
                <w:sz w:val="13"/>
                <w:szCs w:val="13"/>
                <w:color w:val="auto"/>
              </w:rPr>
              <w:t>123</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Reconciliation from IFRS to US Accounting Polices </w:t>
            </w:r>
            <w:r>
              <w:rPr>
                <w:rFonts w:ascii="Arial" w:cs="Arial" w:eastAsia="Arial" w:hAnsi="Arial"/>
                <w:sz w:val="16"/>
                <w:szCs w:val="16"/>
                <w:b w:val="1"/>
                <w:bCs w:val="1"/>
                <w:i w:val="1"/>
                <w:iCs w:val="1"/>
                <w:color w:val="auto"/>
              </w:rPr>
              <w:t>(continued)</w:t>
            </w:r>
          </w:p>
        </w:tc>
        <w:tc>
          <w:tcPr>
            <w:tcW w:w="3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(iii) </w:t>
            </w:r>
            <w:r>
              <w:rPr>
                <w:rFonts w:ascii="Arial" w:cs="Arial" w:eastAsia="Arial" w:hAnsi="Arial"/>
                <w:sz w:val="16"/>
                <w:szCs w:val="16"/>
                <w:i w:val="1"/>
                <w:iCs w:val="1"/>
                <w:color w:val="auto"/>
              </w:rPr>
              <w:t>Effect on total assets</w:t>
            </w:r>
          </w:p>
        </w:tc>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Total assets as stated under IFRS</w:t>
            </w:r>
          </w:p>
        </w:tc>
        <w:tc>
          <w:tcPr>
            <w:tcW w:w="5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1,858,136</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1,751,243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adjustments</w:t>
            </w:r>
          </w:p>
        </w:tc>
        <w:tc>
          <w:tcPr>
            <w:tcW w:w="37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Goodwill arising on merger with PRAI</w:t>
            </w:r>
          </w:p>
        </w:tc>
        <w:tc>
          <w:tcPr>
            <w:tcW w:w="52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(15,010)</w:t>
            </w:r>
          </w:p>
        </w:tc>
        <w:tc>
          <w:tcPr>
            <w:tcW w:w="1200" w:type="dxa"/>
            <w:vAlign w:val="bottom"/>
          </w:tcPr>
          <w:p>
            <w:pPr>
              <w:jc w:val="right"/>
              <w:spacing w:after="0"/>
              <w:rPr>
                <w:sz w:val="20"/>
                <w:szCs w:val="20"/>
                <w:color w:val="auto"/>
              </w:rPr>
            </w:pPr>
            <w:r>
              <w:rPr>
                <w:rFonts w:ascii="Arial" w:cs="Arial" w:eastAsia="Arial" w:hAnsi="Arial"/>
                <w:sz w:val="16"/>
                <w:szCs w:val="16"/>
                <w:color w:val="auto"/>
              </w:rPr>
              <w:t>(15,010)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goodwill arising on merger with PRAI</w:t>
            </w:r>
          </w:p>
        </w:tc>
        <w:tc>
          <w:tcPr>
            <w:tcW w:w="5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1,001</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 adjustments on share based payments</w:t>
            </w:r>
          </w:p>
        </w:tc>
        <w:tc>
          <w:tcPr>
            <w:tcW w:w="5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(18,284)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 as stated under U.S. GAAP</w:t>
            </w:r>
          </w:p>
        </w:tc>
        <w:tc>
          <w:tcPr>
            <w:tcW w:w="37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1,825,843</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1,717,209</w:t>
            </w:r>
          </w:p>
        </w:tc>
        <w:tc>
          <w:tcPr>
            <w:tcW w:w="0" w:type="dxa"/>
            <w:vAlign w:val="bottom"/>
          </w:tcPr>
          <w:p>
            <w:pPr>
              <w:spacing w:after="0"/>
              <w:rPr>
                <w:sz w:val="1"/>
                <w:szCs w:val="1"/>
                <w:color w:val="auto"/>
              </w:rPr>
            </w:pPr>
          </w:p>
        </w:tc>
      </w:tr>
      <w:tr>
        <w:trPr>
          <w:trHeight w:val="396"/>
        </w:trPr>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(iv) </w:t>
            </w:r>
            <w:r>
              <w:rPr>
                <w:rFonts w:ascii="Arial" w:cs="Arial" w:eastAsia="Arial" w:hAnsi="Arial"/>
                <w:sz w:val="16"/>
                <w:szCs w:val="16"/>
                <w:i w:val="1"/>
                <w:iCs w:val="1"/>
                <w:color w:val="auto"/>
              </w:rPr>
              <w:t>Effect on total liabilities</w:t>
            </w:r>
          </w:p>
        </w:tc>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31 December</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tcPr>
          <w:p>
            <w:pPr>
              <w:jc w:val="right"/>
              <w:ind w:right="200"/>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528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as stated under IFRS</w:t>
            </w:r>
          </w:p>
        </w:tc>
        <w:tc>
          <w:tcPr>
            <w:tcW w:w="5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880,669</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954,113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adjustments</w:t>
            </w:r>
          </w:p>
        </w:tc>
        <w:tc>
          <w:tcPr>
            <w:tcW w:w="37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Offset between deferred tax assets and liabilities</w:t>
            </w:r>
          </w:p>
        </w:tc>
        <w:tc>
          <w:tcPr>
            <w:tcW w:w="5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liabilities as stated under U.S. GAAP</w:t>
            </w:r>
          </w:p>
        </w:tc>
        <w:tc>
          <w:tcPr>
            <w:tcW w:w="37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880,669</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954,113</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40" w:type="dxa"/>
            <w:vAlign w:val="bottom"/>
          </w:tcPr>
          <w:p>
            <w:pPr>
              <w:jc w:val="right"/>
              <w:ind w:right="2802"/>
              <w:spacing w:after="0"/>
              <w:rPr>
                <w:sz w:val="20"/>
                <w:szCs w:val="20"/>
                <w:color w:val="auto"/>
              </w:rPr>
            </w:pPr>
            <w:r>
              <w:rPr>
                <w:rFonts w:ascii="Arial" w:cs="Arial" w:eastAsia="Arial" w:hAnsi="Arial"/>
                <w:sz w:val="13"/>
                <w:szCs w:val="13"/>
                <w:color w:val="auto"/>
              </w:rPr>
              <w:t>124</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Appendix A: 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clients and a loss of or significant decrease in business from one or more of them could affect our business.</w:t>
      </w:r>
    </w:p>
    <w:p>
      <w:pPr>
        <w:spacing w:after="0" w:line="22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During the year ended 31 December 2016 45% of our net revenues were derived from our top five customers, with one customer contributing more than 10% of our net revenues during the period (26%). No other customer contributed more than 10% of our net revenues during this period. During the year ended 31 December 2015 49% of our net revenues were derived from our top five customers, with one customer contributing more than 10% of our net revenues during the period (31%). No other customer contributed more than 10% of our net revenues during this period. During the year ended 31 December 2014 53% of our net revenues were derived from our top five customers, with one customer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6"/>
          <w:szCs w:val="16"/>
          <w:color w:val="auto"/>
        </w:rPr>
        <w: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recognise and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7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86" w:lineRule="exact"/>
        <w:rPr>
          <w:sz w:val="20"/>
          <w:szCs w:val="20"/>
          <w:color w:val="auto"/>
        </w:rPr>
      </w:pPr>
    </w:p>
    <w:p>
      <w:pPr>
        <w:ind w:left="580" w:hanging="20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20" w:lineRule="exact"/>
        <w:rPr>
          <w:rFonts w:ascii="Arial" w:cs="Arial" w:eastAsia="Arial" w:hAnsi="Arial"/>
          <w:sz w:val="16"/>
          <w:szCs w:val="16"/>
          <w:color w:val="auto"/>
        </w:rPr>
      </w:pPr>
    </w:p>
    <w:p>
      <w:pPr>
        <w:ind w:left="580" w:hanging="20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8" w:lineRule="exact"/>
        <w:rPr>
          <w:rFonts w:ascii="Arial" w:cs="Arial" w:eastAsia="Arial" w:hAnsi="Arial"/>
          <w:sz w:val="16"/>
          <w:szCs w:val="16"/>
          <w:color w:val="auto"/>
        </w:rPr>
      </w:pPr>
    </w:p>
    <w:p>
      <w:pPr>
        <w:ind w:left="600" w:hanging="220"/>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8" w:lineRule="exact"/>
        <w:rPr>
          <w:rFonts w:ascii="Arial" w:cs="Arial" w:eastAsia="Arial" w:hAnsi="Arial"/>
          <w:sz w:val="16"/>
          <w:szCs w:val="16"/>
          <w:color w:val="auto"/>
        </w:rPr>
      </w:pPr>
    </w:p>
    <w:p>
      <w:pPr>
        <w:ind w:left="600" w:hanging="220"/>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enrolment or investigator recruitment; and</w:t>
      </w:r>
    </w:p>
    <w:p>
      <w:pPr>
        <w:spacing w:after="0" w:line="8" w:lineRule="exact"/>
        <w:rPr>
          <w:rFonts w:ascii="Arial" w:cs="Arial" w:eastAsia="Arial" w:hAnsi="Arial"/>
          <w:sz w:val="16"/>
          <w:szCs w:val="16"/>
          <w:color w:val="auto"/>
        </w:rPr>
      </w:pPr>
    </w:p>
    <w:p>
      <w:pPr>
        <w:ind w:left="580" w:hanging="20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If we lose clients, we may not be able to attract new ones, and if we lose individual projects, we may not be able to replace them.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or retain qualified staff, our performance may suffer.</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enrolment may result in the termination or delay of a study which could have a material adverse impact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24"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for important products and services.</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be either developed internally or provided by or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92" w:lineRule="exact"/>
        <w:rPr>
          <w:sz w:val="20"/>
          <w:szCs w:val="20"/>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disruption, impairment or failure of data centres, telecommunications facilities or other key infrastructure platforms;</w:t>
      </w:r>
    </w:p>
    <w:p>
      <w:pPr>
        <w:spacing w:after="0" w:line="20" w:lineRule="exact"/>
        <w:rPr>
          <w:rFonts w:ascii="Arial" w:cs="Arial" w:eastAsia="Arial" w:hAnsi="Arial"/>
          <w:sz w:val="16"/>
          <w:szCs w:val="16"/>
          <w:color w:val="auto"/>
        </w:rPr>
      </w:pPr>
    </w:p>
    <w:p>
      <w:pPr>
        <w:ind w:left="580" w:right="20" w:hanging="296"/>
        <w:spacing w:after="0" w:line="250"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security breaches, cyber-attacks or other failures or malfunctions in our application or information systems or their associated hardware or other systems that we have access to or that we rely upon; and</w:t>
      </w:r>
    </w:p>
    <w:p>
      <w:pPr>
        <w:spacing w:after="0" w:line="1"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While we have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 attack and similar events at or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a contract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 natural disasters, the outbreak of war, the escalation of hostilities and acts of terrorism, particularly involving cities in which we have offices, could adversely affect our business.</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Unauthorised disclosure of sensitive or confidential data, whether through system failure or employee negligence, fraud or misappropriation, could damage our reputation and cause us to lose clients. Similarly, unauthorised access to or through our information systems or those we develop for our clients, whether by our employees or third parties, including a cyber-attack by computer programmers and hackers who may develop and deploy viruses, worms or other malicious software programmes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Upgrading the information systems that support our operating processes and evolving the technology platform for our services pose risks to our business.</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 any of which could have a material effect on our financial conditions and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might be impacted by a disruption to travel systems.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make, or be unable to make, acquisitions in the future, which may lead to disruptions to our ongoing business.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186" w:lineRule="exact"/>
        <w:rPr>
          <w:sz w:val="20"/>
          <w:szCs w:val="20"/>
          <w:color w:val="auto"/>
        </w:rPr>
      </w:pPr>
    </w:p>
    <w:p>
      <w:pPr>
        <w:ind w:left="940" w:hanging="272"/>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20" w:lineRule="exact"/>
        <w:rPr>
          <w:rFonts w:ascii="Arial" w:cs="Arial" w:eastAsia="Arial" w:hAnsi="Arial"/>
          <w:sz w:val="16"/>
          <w:szCs w:val="16"/>
          <w:color w:val="auto"/>
        </w:rPr>
      </w:pPr>
    </w:p>
    <w:p>
      <w:pPr>
        <w:ind w:left="940" w:hanging="272"/>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8" w:lineRule="exact"/>
        <w:rPr>
          <w:rFonts w:ascii="Arial" w:cs="Arial" w:eastAsia="Arial" w:hAnsi="Arial"/>
          <w:sz w:val="16"/>
          <w:szCs w:val="16"/>
          <w:color w:val="auto"/>
        </w:rPr>
      </w:pPr>
    </w:p>
    <w:p>
      <w:pPr>
        <w:ind w:left="940" w:hanging="272"/>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8" w:lineRule="exact"/>
        <w:rPr>
          <w:rFonts w:ascii="Arial" w:cs="Arial" w:eastAsia="Arial" w:hAnsi="Arial"/>
          <w:sz w:val="16"/>
          <w:szCs w:val="16"/>
          <w:color w:val="auto"/>
        </w:rPr>
      </w:pPr>
    </w:p>
    <w:p>
      <w:pPr>
        <w:ind w:left="940" w:hanging="272"/>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8" w:lineRule="exact"/>
        <w:rPr>
          <w:rFonts w:ascii="Arial" w:cs="Arial" w:eastAsia="Arial" w:hAnsi="Arial"/>
          <w:sz w:val="16"/>
          <w:szCs w:val="16"/>
          <w:color w:val="auto"/>
        </w:rPr>
      </w:pPr>
    </w:p>
    <w:p>
      <w:pPr>
        <w:ind w:left="940" w:hanging="272"/>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minimise the diversion of management's attention from other business concerns.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Serious adverse events can occur in the conduct of clinical study trials</w:t>
      </w:r>
    </w:p>
    <w:p>
      <w:pPr>
        <w:spacing w:after="0" w:line="22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We conduct all phases of clinical trials. Although we have policies and procedures in place, due to the experimental nature of these studies, serious adverse events may arise and are appropriately documented and reported. A serious adverse event that arises could have a material adverse impact on our financial condition and results of operations.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firms.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24"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may, in certain circumstances, grant a customer greater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biopharmaceutical industry has a history of patent and other intellectual property litigation, and we might be involved in costly intellectual property lawsuits.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act as legal representative for some clients.</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respond and provide cover or that a client will fulfil its obligations in relation to their indemnity.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24"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74" w:lineRule="exact"/>
        <w:rPr>
          <w:sz w:val="20"/>
          <w:szCs w:val="20"/>
          <w:color w:val="auto"/>
        </w:rPr>
      </w:pPr>
    </w:p>
    <w:p>
      <w:pPr>
        <w:ind w:left="580" w:hanging="296"/>
        <w:spacing w:after="0" w:line="258" w:lineRule="auto"/>
        <w:tabs>
          <w:tab w:leader="none" w:pos="6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utilise our services;</w:t>
      </w:r>
    </w:p>
    <w:p>
      <w:pPr>
        <w:spacing w:after="0" w:line="1" w:lineRule="exact"/>
        <w:rPr>
          <w:rFonts w:ascii="Arial" w:cs="Arial" w:eastAsia="Arial" w:hAnsi="Arial"/>
          <w:sz w:val="16"/>
          <w:szCs w:val="16"/>
          <w:color w:val="auto"/>
        </w:rPr>
      </w:pPr>
    </w:p>
    <w:p>
      <w:pPr>
        <w:ind w:left="580" w:right="20" w:hanging="296"/>
        <w:spacing w:after="0" w:line="250"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unfavourable economic conditions or disruptions in the credit and capital markets negatively impacted our clients.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augmenting revenues during another part of that period. We believe that operating results for any particular quarter are not necessarily a meaningful indication of future results.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results of operations.</w:t>
      </w:r>
    </w:p>
    <w:p>
      <w:pPr>
        <w:spacing w:after="0" w:line="22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30"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 to quarter, which may adversely affect our results of operations.</w:t>
      </w:r>
    </w:p>
    <w:p>
      <w:pPr>
        <w:spacing w:after="0" w:line="224"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backlog may not convert to net revenue and the rate of conversion may slow.</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principle sovereign risk relates to investments in U.S. Treasury funds), and other factors.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 care reform and the expansion of managed care organisations.</w:t>
      </w:r>
    </w:p>
    <w:p>
      <w:pPr>
        <w:spacing w:after="0" w:line="224"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p>
    <w:p>
      <w:pPr>
        <w:spacing w:after="0" w:line="22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Failure to comply with the regulations of the U.S. Food and Drug Administration and other regulatory authorities could result in substantial penalties and/or loss of business.</w:t>
      </w:r>
    </w:p>
    <w:p>
      <w:pPr>
        <w:spacing w:after="0" w:line="17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186" w:lineRule="exact"/>
        <w:rPr>
          <w:sz w:val="20"/>
          <w:szCs w:val="20"/>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20" w:lineRule="exact"/>
        <w:rPr>
          <w:rFonts w:ascii="Arial" w:cs="Arial" w:eastAsia="Arial" w:hAnsi="Arial"/>
          <w:sz w:val="16"/>
          <w:szCs w:val="16"/>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8" w:lineRule="exact"/>
        <w:rPr>
          <w:rFonts w:ascii="Arial" w:cs="Arial" w:eastAsia="Arial" w:hAnsi="Arial"/>
          <w:sz w:val="16"/>
          <w:szCs w:val="16"/>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8" w:lineRule="exact"/>
        <w:rPr>
          <w:rFonts w:ascii="Arial" w:cs="Arial" w:eastAsia="Arial" w:hAnsi="Arial"/>
          <w:sz w:val="16"/>
          <w:szCs w:val="16"/>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8" w:lineRule="exact"/>
        <w:rPr>
          <w:rFonts w:ascii="Arial" w:cs="Arial" w:eastAsia="Arial" w:hAnsi="Arial"/>
          <w:sz w:val="16"/>
          <w:szCs w:val="16"/>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enforcement actions;</w:t>
      </w:r>
    </w:p>
    <w:p>
      <w:pPr>
        <w:spacing w:after="0" w:line="8" w:lineRule="exact"/>
        <w:rPr>
          <w:rFonts w:ascii="Arial" w:cs="Arial" w:eastAsia="Arial" w:hAnsi="Arial"/>
          <w:sz w:val="16"/>
          <w:szCs w:val="16"/>
          <w:color w:val="auto"/>
        </w:rPr>
      </w:pPr>
    </w:p>
    <w:p>
      <w:pPr>
        <w:ind w:left="580" w:hanging="20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8" w:lineRule="exact"/>
        <w:rPr>
          <w:rFonts w:ascii="Arial" w:cs="Arial" w:eastAsia="Arial" w:hAnsi="Arial"/>
          <w:sz w:val="16"/>
          <w:szCs w:val="16"/>
          <w:color w:val="auto"/>
        </w:rPr>
      </w:pPr>
    </w:p>
    <w:p>
      <w:pPr>
        <w:ind w:left="600" w:hanging="220"/>
        <w:spacing w:after="0"/>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24"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materialise, our results of operations and financial condition could be materially adversely affected.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Recent healthcare reform legislation and other changes in the healthcare industry and in healthcare spending could adversely affect our business model, financial condition or results of operations.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following recent executive orders, legislation will be introduced and passed in the United States repealing, modifying or invalidating the current health care reform legislation, in whole or in part, and signed into law. Because of the continued uncertainty about the implementation of the current health care reform legislation, including the potential for further legal challenges or repeal of that legislation, we cannot quantify or predict with any certainty the likely impact of the current health care reform legislation or its repeal on the health care sector, on our customers and ultimately on our financial condition or results of operations, in particular the outsourcing of costs by our customer base to CROs.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confidentiality, collection, use and disclosure of personal data, including clinical trial patient-specific information, are subject to governmental regulation generally in the country that the personal data were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2018.</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76"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Client Claims</w:t>
      </w:r>
    </w:p>
    <w:p>
      <w:pPr>
        <w:spacing w:after="0" w:line="21"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Claims relating to Investigators</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 from Clients</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 or action or enforcement by regulatory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Insurance</w:t>
      </w:r>
    </w:p>
    <w:p>
      <w:pPr>
        <w:spacing w:after="0" w:line="2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Claims to Date</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debt, which could impair our flexibility and access to capital and adversely affect our financial position.</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As of 31 December 2016, we had an outstanding principal amount of indebtedness of $350 million under our $350 million Note Purchase and Guarantee Agreement or ‘Senior Notes’ that we entered into on 15 December 2015. We also have up to $100 million of additional borrowing capacity available under the Revolving Credit Facility. No amounts were drawn under the Revolving Credit Facility facility as of 31 December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cost and availability of credit are subject to changes in the global or regional economic environment. If conditions in the major credit markets deteriorate our ability to obtain debt financing on favourable terms may be negatively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may incur additional debt in the future. Our debt could have significant adverse consequences, including to;</w:t>
      </w:r>
    </w:p>
    <w:p>
      <w:pPr>
        <w:spacing w:after="0" w:line="224" w:lineRule="exact"/>
        <w:rPr>
          <w:sz w:val="20"/>
          <w:szCs w:val="20"/>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limit our ability to borrow additional funds for working capital, capital expenditures, acquisitions or other general business purposes;</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limit our ability to use our cash flow or obtain additional financing for future working capital, capital expenditures, acquisitions or other general business purposes;</w:t>
      </w:r>
    </w:p>
    <w:p>
      <w:pPr>
        <w:spacing w:after="0" w:line="19" w:lineRule="exact"/>
        <w:rPr>
          <w:rFonts w:ascii="Arial" w:cs="Arial" w:eastAsia="Arial" w:hAnsi="Arial"/>
          <w:sz w:val="15"/>
          <w:szCs w:val="15"/>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require us to use all or a portion of our cash flow from operations to make debt service payments;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require us to sell certain assets;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restrict us from making strategic investments, including acquisitions or cause us to make non-strategic divestitures;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cause us to incur substantial fees from time to time in connection with debt amendments or refinancing;</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limit our flexibility to plan for, or react to, changes in our business and industry; and</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 our vulnerability to the impact of adverse economic and industry conditions.</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186"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Senior Notes and the Revolving Credit Facility credit agreements include certain customary covenants that limit our ability other things, subject to certain exceptions;</w:t>
      </w:r>
    </w:p>
    <w:p>
      <w:pPr>
        <w:spacing w:after="0" w:line="236" w:lineRule="exact"/>
        <w:rPr>
          <w:sz w:val="20"/>
          <w:szCs w:val="20"/>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incur or assume liens or additional debt,</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dispose of assets,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engage in mergers or reorganisations or</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Senior Notes agreement also includes certain financial covenants that require us to comply with a consolidated leverage ratio, a minimum EBIT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These covenants may limit our operating and financial flexibility and limit our ability to respond to changes in our business or competitive activities.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color w:val="auto"/>
        </w:rPr>
        <w:t xml:space="preserve">Appendix A: Risk Factors </w:t>
      </w:r>
      <w:r>
        <w:rPr>
          <w:rFonts w:ascii="Arial" w:cs="Arial" w:eastAsia="Arial" w:hAnsi="Arial"/>
          <w:sz w:val="16"/>
          <w:szCs w:val="16"/>
          <w:b w:val="1"/>
          <w:bCs w:val="1"/>
          <w:i w:val="1"/>
          <w:iCs w:val="1"/>
          <w:color w:val="auto"/>
        </w:rPr>
        <w:t>(continued)</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 in the event that the Company draws down on the Revolving Credit Facility or in respect of any future issuances of debt.</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interest rate in respect of the Senior Notes is fixed at 3.64% for the five year term of the agreement. The Revolving Credit Facility bears interest at LIBOR plus a margin. There were no amounts drawn on the Revolving Credit Facility at 31 December 2016. The Company is therefore subject to interest rate volatility in respect of any future draw down on the Revolving Credit Facility or in respect of any future issuances of debt.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76" w:lineRule="exact"/>
        <w:rPr>
          <w:sz w:val="20"/>
          <w:szCs w:val="20"/>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 and general market and economic conditions;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introduction of new products or services by us or our competitors;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the credit ratings of our debt;</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sales, or anticipated sales, of large blocks of our stock;</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changing economic conditions; and</w:t>
      </w:r>
    </w:p>
    <w:p>
      <w:pPr>
        <w:spacing w:after="0" w:line="8"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exchange rate fluctuations.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4"/>
    </w:lvl>
  </w:abstractNum>
  <w:abstractNum w:abstractNumId="2">
    <w:nsid w:val="189A769B"/>
    <w:multiLevelType w:val="hybridMultilevel"/>
    <w:lvl w:ilvl="0">
      <w:lvlJc w:val="left"/>
      <w:lvlText w:val="%1."/>
      <w:numFmt w:val="decimal"/>
      <w:start w:val="5"/>
    </w:lvl>
  </w:abstractNum>
  <w:abstractNum w:abstractNumId="3">
    <w:nsid w:val="54E49EB4"/>
    <w:multiLevelType w:val="hybridMultilevel"/>
    <w:lvl w:ilvl="0">
      <w:lvlJc w:val="left"/>
      <w:lvlText w:val="%1."/>
      <w:numFmt w:val="decimal"/>
      <w:start w:val="6"/>
    </w:lvl>
    <w:lvl w:ilvl="1">
      <w:lvlJc w:val="left"/>
      <w:lvlText w:val="%2)"/>
      <w:numFmt w:val="lowerLetter"/>
      <w:start w:val="1"/>
    </w:lvl>
  </w:abstractNum>
  <w:abstractNum w:abstractNumId="4">
    <w:nsid w:val="71F32454"/>
    <w:multiLevelType w:val="hybridMultilevel"/>
    <w:lvl w:ilvl="0">
      <w:lvlJc w:val="left"/>
      <w:lvlText w:val="%1."/>
      <w:numFmt w:val="decimal"/>
      <w:start w:val="7"/>
    </w:lvl>
    <w:lvl w:ilvl="1">
      <w:lvlJc w:val="left"/>
      <w:lvlText w:val="(%2)"/>
      <w:numFmt w:val="lowerRoman"/>
      <w:start w:val="1"/>
    </w:lvl>
  </w:abstractNum>
  <w:abstractNum w:abstractNumId="5">
    <w:nsid w:val="2CA88611"/>
    <w:multiLevelType w:val="hybridMultilevel"/>
    <w:lvl w:ilvl="0">
      <w:lvlJc w:val="left"/>
      <w:lvlText w:val="%1."/>
      <w:numFmt w:val="decimal"/>
      <w:start w:val="8"/>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2"/>
    </w:lvl>
  </w:abstractNum>
  <w:abstractNum w:abstractNumId="9">
    <w:nsid w:val="8138641"/>
    <w:multiLevelType w:val="hybridMultilevel"/>
    <w:lvl w:ilvl="0">
      <w:lvlJc w:val="left"/>
      <w:lvlText w:val="%1."/>
      <w:numFmt w:val="decimal"/>
      <w:start w:val="3"/>
    </w:lvl>
  </w:abstractNum>
  <w:abstractNum w:abstractNumId="10">
    <w:nsid w:val="1E7FF521"/>
    <w:multiLevelType w:val="hybridMultilevel"/>
    <w:lvl w:ilvl="0">
      <w:lvlJc w:val="left"/>
      <w:lvlText w:val="%1."/>
      <w:numFmt w:val="decimal"/>
      <w:start w:val="5"/>
    </w:lvl>
    <w:lvl w:ilvl="1">
      <w:lvlJc w:val="left"/>
      <w:lvlText w:val="·"/>
      <w:numFmt w:val="bullet"/>
      <w:start w:val="1"/>
    </w:lvl>
  </w:abstractNum>
  <w:abstractNum w:abstractNumId="11">
    <w:nsid w:val="7C3DBD3D"/>
    <w:multiLevelType w:val="hybridMultilevel"/>
    <w:lvl w:ilvl="0">
      <w:lvlJc w:val="left"/>
      <w:lvlText w:val="%1."/>
      <w:numFmt w:val="decimal"/>
      <w:start w:val="6"/>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Roman"/>
      <w:start w:val="1"/>
    </w:lvl>
  </w:abstractNum>
  <w:abstractNum w:abstractNumId="27">
    <w:nsid w:val="5E884ADC"/>
    <w:multiLevelType w:val="hybridMultilevel"/>
    <w:lvl w:ilvl="0">
      <w:lvlJc w:val="left"/>
      <w:lvlText w:val="(%1)"/>
      <w:numFmt w:val="lowerRoman"/>
      <w:start w:val="2"/>
    </w:lvl>
  </w:abstractNum>
  <w:abstractNum w:abstractNumId="28">
    <w:nsid w:val="51EAD36B"/>
    <w:multiLevelType w:val="hybridMultilevel"/>
    <w:lvl w:ilvl="0">
      <w:lvlJc w:val="left"/>
      <w:lvlText w:val="%1."/>
      <w:numFmt w:val="decimal"/>
      <w:start w:val="10"/>
    </w:lvl>
  </w:abstractNum>
  <w:abstractNum w:abstractNumId="29">
    <w:nsid w:val="2D517796"/>
    <w:multiLevelType w:val="hybridMultilevel"/>
    <w:lvl w:ilvl="0">
      <w:lvlJc w:val="left"/>
      <w:lvlText w:val="%1."/>
      <w:numFmt w:val="decimal"/>
      <w:start w:val="10"/>
    </w:lvl>
  </w:abstractNum>
  <w:abstractNum w:abstractNumId="30">
    <w:nsid w:val="580BD78F"/>
    <w:multiLevelType w:val="hybridMultilevel"/>
    <w:lvl w:ilvl="0">
      <w:lvlJc w:val="left"/>
      <w:lvlText w:val="%1."/>
      <w:numFmt w:val="decimal"/>
      <w:start w:val="11"/>
    </w:lvl>
  </w:abstractNum>
  <w:abstractNum w:abstractNumId="31">
    <w:nsid w:val="153EA438"/>
    <w:multiLevelType w:val="hybridMultilevel"/>
    <w:lvl w:ilvl="0">
      <w:lvlJc w:val="left"/>
      <w:lvlText w:val="%1."/>
      <w:numFmt w:val="decimal"/>
      <w:start w:val="13"/>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4"/>
    </w:lvl>
    <w:lvl w:ilvl="1">
      <w:lvlJc w:val="left"/>
      <w:lvlText w:val="(%2)"/>
      <w:numFmt w:val="lowerLetter"/>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2"/>
    </w:lvl>
    <w:lvl w:ilvl="1">
      <w:lvlJc w:val="left"/>
      <w:lvlText w:val="-"/>
      <w:numFmt w:val="bullet"/>
      <w:start w:val="1"/>
    </w:lvl>
  </w:abstractNum>
  <w:abstractNum w:abstractNumId="38">
    <w:nsid w:val="2CD89A32"/>
    <w:multiLevelType w:val="hybridMultilevel"/>
    <w:lvl w:ilvl="0">
      <w:lvlJc w:val="left"/>
      <w:lvlText w:val="(%1)"/>
      <w:numFmt w:val="lowerRoman"/>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2019-12-06T10:15:40Z</dcterms:created>
  <dcterms:modified xsi:type="dcterms:W3CDTF">2019-12-06T10:15:40Z</dcterms:modified>
</cp:coreProperties>
</file>