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t>FORM 6-K</w:t>
      </w:r>
    </w:p>
    <w:p>
      <w:pPr>
        <w:spacing w:after="0" w:line="200" w:lineRule="exact"/>
        <w:rPr>
          <w:sz w:val="24"/>
          <w:szCs w:val="24"/>
          <w:color w:val="auto"/>
        </w:rPr>
      </w:pPr>
    </w:p>
    <w:p>
      <w:pPr>
        <w:spacing w:after="0" w:line="290"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00" w:lineRule="exact"/>
        <w:rPr>
          <w:sz w:val="24"/>
          <w:szCs w:val="24"/>
          <w:color w:val="auto"/>
        </w:rPr>
      </w:pPr>
    </w:p>
    <w:p>
      <w:pPr>
        <w:spacing w:after="0" w:line="304"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Washington, D.C. 20549</w:t>
      </w:r>
    </w:p>
    <w:p>
      <w:pPr>
        <w:spacing w:after="0" w:line="28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Report of Foreign Private Issuer</w:t>
      </w:r>
    </w:p>
    <w:p>
      <w:pPr>
        <w:jc w:val="center"/>
        <w:ind w:right="-199"/>
        <w:spacing w:after="0" w:line="226" w:lineRule="auto"/>
        <w:rPr>
          <w:sz w:val="20"/>
          <w:szCs w:val="20"/>
          <w:color w:val="auto"/>
        </w:rPr>
      </w:pPr>
      <w:r>
        <w:rPr>
          <w:rFonts w:ascii="Arial" w:cs="Arial" w:eastAsia="Arial" w:hAnsi="Arial"/>
          <w:sz w:val="14"/>
          <w:szCs w:val="14"/>
          <w:b w:val="1"/>
          <w:bCs w:val="1"/>
          <w:color w:val="auto"/>
        </w:rPr>
        <w:t>Pursuant to Rule 13a-16 under</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t</w:t>
      </w:r>
      <w:r>
        <w:rPr>
          <w:rFonts w:ascii="Arial" w:cs="Arial" w:eastAsia="Arial" w:hAnsi="Arial"/>
          <w:sz w:val="14"/>
          <w:szCs w:val="14"/>
          <w:b w:val="1"/>
          <w:bCs w:val="1"/>
          <w:color w:val="auto"/>
        </w:rPr>
        <w:t>he Securities Exchange Act of 1934</w:t>
      </w:r>
    </w:p>
    <w:p>
      <w:pPr>
        <w:spacing w:after="0" w:line="200" w:lineRule="exact"/>
        <w:rPr>
          <w:sz w:val="24"/>
          <w:szCs w:val="24"/>
          <w:color w:val="auto"/>
        </w:rPr>
      </w:pPr>
    </w:p>
    <w:p>
      <w:pPr>
        <w:spacing w:after="0" w:line="262"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For the month ended April, 2010</w:t>
      </w:r>
    </w:p>
    <w:p>
      <w:pPr>
        <w:spacing w:after="0" w:line="200" w:lineRule="exact"/>
        <w:rPr>
          <w:sz w:val="24"/>
          <w:szCs w:val="24"/>
          <w:color w:val="auto"/>
        </w:rPr>
      </w:pPr>
    </w:p>
    <w:p>
      <w:pPr>
        <w:spacing w:after="0" w:line="260"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ICON plc</w:t>
      </w:r>
    </w:p>
    <w:p>
      <w:pPr>
        <w:spacing w:after="0" w:line="29"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(Registrant's name)</w:t>
      </w:r>
    </w:p>
    <w:p>
      <w:pPr>
        <w:spacing w:after="0" w:line="200" w:lineRule="exact"/>
        <w:rPr>
          <w:sz w:val="24"/>
          <w:szCs w:val="24"/>
          <w:color w:val="auto"/>
        </w:rPr>
      </w:pPr>
    </w:p>
    <w:p>
      <w:pPr>
        <w:spacing w:after="0" w:line="261"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0-29714</w:t>
      </w:r>
    </w:p>
    <w:p>
      <w:pPr>
        <w:jc w:val="center"/>
        <w:ind w:right="-199"/>
        <w:spacing w:after="0"/>
        <w:rPr>
          <w:sz w:val="20"/>
          <w:szCs w:val="20"/>
          <w:color w:val="auto"/>
        </w:rPr>
      </w:pPr>
      <w:r>
        <w:rPr>
          <w:rFonts w:ascii="Arial" w:cs="Arial" w:eastAsia="Arial" w:hAnsi="Arial"/>
          <w:sz w:val="14"/>
          <w:szCs w:val="14"/>
          <w:color w:val="auto"/>
        </w:rPr>
        <w:t>(Commission file number)</w:t>
      </w:r>
    </w:p>
    <w:p>
      <w:pPr>
        <w:spacing w:after="0" w:line="272"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South County Business Park, Leopardstown, Dublin 18, Ireland</w:t>
      </w:r>
    </w:p>
    <w:p>
      <w:pPr>
        <w:jc w:val="center"/>
        <w:ind w:right="-199"/>
        <w:spacing w:after="0"/>
        <w:rPr>
          <w:sz w:val="20"/>
          <w:szCs w:val="20"/>
          <w:color w:val="auto"/>
        </w:rPr>
      </w:pPr>
      <w:r>
        <w:rPr>
          <w:rFonts w:ascii="Arial" w:cs="Arial" w:eastAsia="Arial" w:hAnsi="Arial"/>
          <w:sz w:val="14"/>
          <w:szCs w:val="14"/>
          <w:color w:val="auto"/>
        </w:rPr>
        <w:t>(Address of principal executive offices)</w:t>
      </w:r>
    </w:p>
    <w:p>
      <w:pPr>
        <w:spacing w:after="0" w:line="200" w:lineRule="exact"/>
        <w:rPr>
          <w:sz w:val="24"/>
          <w:szCs w:val="24"/>
          <w:color w:val="auto"/>
        </w:rPr>
      </w:pPr>
    </w:p>
    <w:p>
      <w:pPr>
        <w:spacing w:after="0" w:line="261"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Ciaran Murray, CFO</w:t>
      </w:r>
    </w:p>
    <w:p>
      <w:pPr>
        <w:jc w:val="center"/>
        <w:ind w:right="-199"/>
        <w:spacing w:after="0" w:line="221" w:lineRule="auto"/>
        <w:rPr>
          <w:sz w:val="20"/>
          <w:szCs w:val="20"/>
          <w:color w:val="auto"/>
        </w:rPr>
      </w:pPr>
      <w:r>
        <w:rPr>
          <w:rFonts w:ascii="Arial" w:cs="Arial" w:eastAsia="Arial" w:hAnsi="Arial"/>
          <w:sz w:val="14"/>
          <w:szCs w:val="14"/>
          <w:color w:val="auto"/>
        </w:rPr>
        <w:t>South County Business Park Leopardstown, Dublin 18, Ireland.</w:t>
      </w:r>
    </w:p>
    <w:p>
      <w:pPr>
        <w:jc w:val="center"/>
        <w:ind w:right="-199"/>
        <w:spacing w:after="0" w:line="221" w:lineRule="auto"/>
        <w:rPr>
          <w:sz w:val="20"/>
          <w:szCs w:val="20"/>
          <w:color w:val="auto"/>
        </w:rPr>
      </w:pPr>
      <w:r>
        <w:rPr>
          <w:rFonts w:ascii="Arial" w:cs="Arial" w:eastAsia="Arial" w:hAnsi="Arial"/>
          <w:sz w:val="14"/>
          <w:szCs w:val="14"/>
          <w:color w:val="auto"/>
        </w:rPr>
        <w:t>Ciaran.Murray@iconplc.com</w:t>
      </w:r>
    </w:p>
    <w:p>
      <w:pPr>
        <w:jc w:val="center"/>
        <w:ind w:right="-199"/>
        <w:spacing w:after="0" w:line="222" w:lineRule="auto"/>
        <w:rPr>
          <w:sz w:val="20"/>
          <w:szCs w:val="20"/>
          <w:color w:val="auto"/>
        </w:rPr>
      </w:pPr>
      <w:r>
        <w:rPr>
          <w:rFonts w:ascii="Arial" w:cs="Arial" w:eastAsia="Arial" w:hAnsi="Arial"/>
          <w:sz w:val="14"/>
          <w:szCs w:val="14"/>
          <w:color w:val="auto"/>
        </w:rPr>
        <w:t>0011-353-1-291-2000</w:t>
      </w:r>
    </w:p>
    <w:p>
      <w:pPr>
        <w:jc w:val="center"/>
        <w:ind w:right="-199"/>
        <w:spacing w:after="0"/>
        <w:rPr>
          <w:sz w:val="20"/>
          <w:szCs w:val="20"/>
          <w:color w:val="auto"/>
        </w:rPr>
      </w:pPr>
      <w:r>
        <w:rPr>
          <w:rFonts w:ascii="Arial" w:cs="Arial" w:eastAsia="Arial" w:hAnsi="Arial"/>
          <w:sz w:val="14"/>
          <w:szCs w:val="14"/>
          <w:color w:val="auto"/>
        </w:rPr>
        <w:t>(Name, telephone number, email and/or facsmile number and address of Company contact person)</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27" w:lineRule="exact"/>
        <w:rPr>
          <w:sz w:val="24"/>
          <w:szCs w:val="24"/>
          <w:color w:val="auto"/>
        </w:rPr>
      </w:pPr>
    </w:p>
    <w:p>
      <w:pPr>
        <w:ind w:left="4620"/>
        <w:spacing w:after="0"/>
        <w:tabs>
          <w:tab w:leader="none" w:pos="660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color w:val="auto"/>
        </w:rPr>
        <w:t>_</w:t>
      </w:r>
      <w:r>
        <w:rPr>
          <w:rFonts w:ascii="Arial" w:cs="Arial" w:eastAsia="Arial" w:hAnsi="Arial"/>
          <w:sz w:val="13"/>
          <w:szCs w:val="13"/>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27" w:lineRule="exact"/>
        <w:rPr>
          <w:sz w:val="24"/>
          <w:szCs w:val="24"/>
          <w:color w:val="auto"/>
        </w:rPr>
      </w:pPr>
    </w:p>
    <w:p>
      <w:pPr>
        <w:ind w:left="4640"/>
        <w:spacing w:after="0"/>
        <w:tabs>
          <w:tab w:leader="none" w:pos="656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27" w:lineRule="exact"/>
        <w:rPr>
          <w:sz w:val="24"/>
          <w:szCs w:val="24"/>
          <w:color w:val="auto"/>
        </w:rPr>
      </w:pPr>
    </w:p>
    <w:p>
      <w:pPr>
        <w:ind w:left="4640"/>
        <w:spacing w:after="0"/>
        <w:tabs>
          <w:tab w:leader="none" w:pos="656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5"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620"/>
        <w:spacing w:after="0"/>
        <w:tabs>
          <w:tab w:leader="none" w:pos="658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color w:val="auto"/>
        </w:rPr>
        <w:t>_</w:t>
      </w:r>
      <w:r>
        <w:rPr>
          <w:rFonts w:ascii="Arial" w:cs="Arial" w:eastAsia="Arial" w:hAnsi="Arial"/>
          <w:sz w:val="14"/>
          <w:szCs w:val="14"/>
          <w:color w:val="auto"/>
        </w:rPr>
        <w:t>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1" w:lineRule="exact"/>
        <w:rPr>
          <w:sz w:val="24"/>
          <w:szCs w:val="24"/>
          <w:color w:val="auto"/>
        </w:rPr>
      </w:pPr>
    </w:p>
    <w:p>
      <w:pPr>
        <w:spacing w:after="0"/>
        <w:tabs>
          <w:tab w:leader="none" w:pos="6780" w:val="left"/>
        </w:tabs>
        <w:rPr>
          <w:sz w:val="20"/>
          <w:szCs w:val="20"/>
          <w:color w:val="auto"/>
        </w:rPr>
      </w:pPr>
      <w:r>
        <w:rPr>
          <w:rFonts w:ascii="Arial" w:cs="Arial" w:eastAsia="Arial" w:hAnsi="Arial"/>
          <w:sz w:val="14"/>
          <w:szCs w:val="14"/>
          <w:color w:val="auto"/>
        </w:rPr>
        <w:t>If "Yes" is marked, indicate below the file number assigned to the registrant in connection with Rule 12g3-2(b):82</w:t>
      </w:r>
      <w:r>
        <w:rPr>
          <w:sz w:val="20"/>
          <w:szCs w:val="20"/>
          <w:color w:val="auto"/>
        </w:rPr>
        <w:tab/>
      </w:r>
      <w:r>
        <w:rPr>
          <w:rFonts w:ascii="Arial" w:cs="Arial" w:eastAsia="Arial" w:hAnsi="Arial"/>
          <w:sz w:val="13"/>
          <w:szCs w:val="13"/>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261620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364"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Rider A</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GENERAL</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As used herein, “ICON”, the “Company” and “we” refer to ICON plc and its consolidated subsidiaries, unless the context requires otherwise.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w:t>
      </w:r>
    </w:p>
    <w:p>
      <w:pPr>
        <w:spacing w:after="0" w:line="106"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color w:val="auto"/>
        </w:rPr>
        <w:t>We believe that we are one of a select group of CRO’s with the capability and expertise to conduct clinical trials in most major therapeutic areas on a global basis. At March 31, 2010, we had 7,268 employees, in 69 locations in 39 countries, providing Phase I - IV Clinical Trial Management, Drug Development Support Services, Data Management and Biostatistical, Central Laboratory, Imaging and Contract Staffing services. We have the operational flexibility to provide development services on a stand-alone basis or as part of an integrated “full service” solution.</w:t>
      </w:r>
    </w:p>
    <w:p>
      <w:pPr>
        <w:spacing w:after="0" w:line="101" w:lineRule="exact"/>
        <w:rPr>
          <w:sz w:val="20"/>
          <w:szCs w:val="20"/>
          <w:color w:val="auto"/>
        </w:rPr>
      </w:pPr>
    </w:p>
    <w:p>
      <w:pPr>
        <w:ind w:right="180"/>
        <w:spacing w:after="0" w:line="238" w:lineRule="auto"/>
        <w:rPr>
          <w:sz w:val="20"/>
          <w:szCs w:val="20"/>
          <w:color w:val="auto"/>
        </w:rPr>
      </w:pPr>
      <w:r>
        <w:rPr>
          <w:rFonts w:ascii="Arial" w:cs="Arial" w:eastAsia="Arial" w:hAnsi="Arial"/>
          <w:sz w:val="14"/>
          <w:szCs w:val="14"/>
          <w:color w:val="auto"/>
        </w:rPr>
        <w:t>Headquartered in Dublin, Ireland, we began operations in 1990 and have expanded our business through internal growth and strategic acquisitions. ICON plc’s principal executive office is located at: South County Business Park, Leopardstown, Dublin 18, Republic of Ireland. The contact telephone number of this office is 353 (1) 291 2000. For the three months ended March 31, 2010, we derived approximately 44.5%, 45.5% and 10.0% of our net revenue in the United States, Europe and Rest of World, respectively.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ind w:left="5420"/>
              <w:spacing w:after="0"/>
              <w:rPr>
                <w:sz w:val="20"/>
                <w:szCs w:val="20"/>
                <w:color w:val="auto"/>
              </w:rPr>
            </w:pPr>
            <w:r>
              <w:rPr>
                <w:rFonts w:ascii="Arial" w:cs="Arial" w:eastAsia="Arial" w:hAnsi="Arial"/>
                <w:sz w:val="14"/>
                <w:szCs w:val="14"/>
                <w:b w:val="1"/>
                <w:bCs w:val="1"/>
                <w:color w:val="auto"/>
              </w:rPr>
              <w:t>ICON plc</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980"/>
              <w:spacing w:after="0" w:line="149" w:lineRule="exact"/>
              <w:rPr>
                <w:sz w:val="20"/>
                <w:szCs w:val="20"/>
                <w:color w:val="auto"/>
              </w:rPr>
            </w:pPr>
            <w:r>
              <w:rPr>
                <w:rFonts w:ascii="Arial" w:cs="Arial" w:eastAsia="Arial" w:hAnsi="Arial"/>
                <w:sz w:val="14"/>
                <w:szCs w:val="14"/>
                <w:b w:val="1"/>
                <w:bCs w:val="1"/>
                <w:color w:val="auto"/>
              </w:rPr>
              <w:t>CONDENSED CONSOLIDATED BALANCE SHEETS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100" w:type="dxa"/>
            <w:vAlign w:val="bottom"/>
          </w:tcPr>
          <w:p>
            <w:pPr>
              <w:ind w:left="4040"/>
              <w:spacing w:after="0"/>
              <w:rPr>
                <w:sz w:val="20"/>
                <w:szCs w:val="20"/>
                <w:color w:val="auto"/>
              </w:rPr>
            </w:pPr>
            <w:r>
              <w:rPr>
                <w:rFonts w:ascii="Arial" w:cs="Arial" w:eastAsia="Arial" w:hAnsi="Arial"/>
                <w:sz w:val="14"/>
                <w:szCs w:val="14"/>
                <w:b w:val="1"/>
                <w:bCs w:val="1"/>
                <w:color w:val="auto"/>
              </w:rPr>
              <w:t>AS AT MARCH 31, 2010 AND DECEMBER 31, 2009</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8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53"/>
        </w:trPr>
        <w:tc>
          <w:tcPr>
            <w:tcW w:w="812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6"/>
          </w:tcPr>
          <w:p>
            <w:pPr>
              <w:jc w:val="right"/>
              <w:ind w:right="900"/>
              <w:spacing w:after="0" w:line="153"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67"/>
        </w:trPr>
        <w:tc>
          <w:tcPr>
            <w:tcW w:w="812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 and cash equivalents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169,484</w:t>
            </w:r>
          </w:p>
        </w:tc>
        <w:tc>
          <w:tcPr>
            <w:tcW w:w="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144,801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Short term investments - available for sale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30,260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183,445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191,924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Unbilled revenue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92,480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receivables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12,851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Deferred tax asset</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10,332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Prepayments and other current assets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22,051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280"/>
              <w:spacing w:after="0" w:line="149" w:lineRule="exact"/>
              <w:rPr>
                <w:sz w:val="20"/>
                <w:szCs w:val="20"/>
                <w:color w:val="auto"/>
              </w:rPr>
            </w:pPr>
            <w:r>
              <w:rPr>
                <w:rFonts w:ascii="Arial" w:cs="Arial" w:eastAsia="Arial" w:hAnsi="Arial"/>
                <w:sz w:val="14"/>
                <w:szCs w:val="14"/>
                <w:color w:val="auto"/>
              </w:rPr>
              <w:t>Income taxes receivable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15,132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current assets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536,035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535,426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Property, plant and equipment, net</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172,412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178,989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Goodwill</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168,739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other assets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3,679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Non-current income taxes receivable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Non-current deferred tax asset</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6,592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280"/>
              <w:spacing w:after="0" w:line="149" w:lineRule="exact"/>
              <w:rPr>
                <w:sz w:val="20"/>
                <w:szCs w:val="20"/>
                <w:color w:val="auto"/>
              </w:rPr>
            </w:pPr>
            <w:r>
              <w:rPr>
                <w:rFonts w:ascii="Arial" w:cs="Arial" w:eastAsia="Arial" w:hAnsi="Arial"/>
                <w:sz w:val="14"/>
                <w:szCs w:val="14"/>
                <w:color w:val="auto"/>
              </w:rPr>
              <w:t>Intangible assets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9,162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897,101</w:t>
            </w:r>
          </w:p>
        </w:tc>
        <w:tc>
          <w:tcPr>
            <w:tcW w:w="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908,398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LIABILITIES AND SHAREHOLDERS’ EQUITY</w:t>
            </w:r>
          </w:p>
        </w:tc>
        <w:tc>
          <w:tcPr>
            <w:tcW w:w="7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8,335</w:t>
            </w:r>
          </w:p>
        </w:tc>
        <w:tc>
          <w:tcPr>
            <w:tcW w:w="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Payments on account</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163,589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100,243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119,666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tax liability</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Income taxes payable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2,565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Total current liabilities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275,482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299,520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other liabilities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3,088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Non-current government grants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1,611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income taxes payable</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19,242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Non-current deferred tax liability</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12,697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Shareholders' Equity:</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100" w:type="dxa"/>
            <w:vAlign w:val="bottom"/>
          </w:tcPr>
          <w:p>
            <w:pPr>
              <w:ind w:left="280"/>
              <w:spacing w:after="0" w:line="130" w:lineRule="exact"/>
              <w:rPr>
                <w:sz w:val="20"/>
                <w:szCs w:val="20"/>
                <w:color w:val="auto"/>
              </w:rPr>
            </w:pPr>
            <w:r>
              <w:rPr>
                <w:rFonts w:ascii="Arial" w:cs="Arial" w:eastAsia="Arial" w:hAnsi="Arial"/>
                <w:sz w:val="14"/>
                <w:szCs w:val="14"/>
                <w:color w:val="auto"/>
              </w:rPr>
              <w:t>Ordinary shares, par value 6 euro cents per share; 100,000,000 shares authorized,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280"/>
              <w:spacing w:after="0" w:line="149" w:lineRule="exact"/>
              <w:rPr>
                <w:sz w:val="20"/>
                <w:szCs w:val="20"/>
                <w:color w:val="auto"/>
              </w:rPr>
            </w:pPr>
            <w:r>
              <w:rPr>
                <w:rFonts w:ascii="Arial" w:cs="Arial" w:eastAsia="Arial" w:hAnsi="Arial"/>
                <w:sz w:val="14"/>
                <w:szCs w:val="14"/>
                <w:color w:val="auto"/>
              </w:rPr>
              <w:t>59,444,119 shares issued and outstanding at March 31, 2010 and</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00" w:type="dxa"/>
            <w:vAlign w:val="bottom"/>
          </w:tcPr>
          <w:p>
            <w:pPr>
              <w:ind w:left="280"/>
              <w:spacing w:after="0"/>
              <w:rPr>
                <w:sz w:val="20"/>
                <w:szCs w:val="20"/>
                <w:color w:val="auto"/>
              </w:rPr>
            </w:pPr>
            <w:r>
              <w:rPr>
                <w:rFonts w:ascii="Arial" w:cs="Arial" w:eastAsia="Arial" w:hAnsi="Arial"/>
                <w:sz w:val="14"/>
                <w:szCs w:val="14"/>
                <w:color w:val="auto"/>
              </w:rPr>
              <w:t>59,007,565 shares issued and outstanding at December 31, 2009</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5,001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4,965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Additional paid-in capital</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181,569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280"/>
              <w:spacing w:after="0" w:line="149" w:lineRule="exact"/>
              <w:rPr>
                <w:sz w:val="20"/>
                <w:szCs w:val="20"/>
                <w:color w:val="auto"/>
              </w:rPr>
            </w:pPr>
            <w:r>
              <w:rPr>
                <w:rFonts w:ascii="Arial" w:cs="Arial" w:eastAsia="Arial" w:hAnsi="Arial"/>
                <w:sz w:val="14"/>
                <w:szCs w:val="14"/>
                <w:color w:val="auto"/>
              </w:rPr>
              <w:t>Accumulated other comprehensive income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(4,297)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Retained earnings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402,708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380,509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Total Shareholders' Equity</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584,981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572,246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Shareholders' Equity</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897,101</w:t>
            </w:r>
          </w:p>
        </w:tc>
        <w:tc>
          <w:tcPr>
            <w:tcW w:w="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908,398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5680" w:right="5680" w:hanging="5669"/>
        <w:spacing w:after="0" w:line="416" w:lineRule="auto"/>
        <w:rPr>
          <w:sz w:val="20"/>
          <w:szCs w:val="20"/>
          <w:color w:val="auto"/>
        </w:rPr>
      </w:pPr>
      <w:r>
        <w:rPr>
          <w:rFonts w:ascii="Arial" w:cs="Arial" w:eastAsia="Arial" w:hAnsi="Arial"/>
          <w:sz w:val="12"/>
          <w:szCs w:val="12"/>
          <w:color w:val="auto"/>
        </w:rPr>
        <w:t>The accompanying notes are an integral part of these condensed consolidated financial statements.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jc w:val="center"/>
              <w:ind w:left="2868"/>
              <w:spacing w:after="0"/>
              <w:rPr>
                <w:sz w:val="20"/>
                <w:szCs w:val="20"/>
                <w:color w:val="auto"/>
              </w:rPr>
            </w:pPr>
            <w:r>
              <w:rPr>
                <w:rFonts w:ascii="Arial" w:cs="Arial" w:eastAsia="Arial" w:hAnsi="Arial"/>
                <w:sz w:val="14"/>
                <w:szCs w:val="14"/>
                <w:b w:val="1"/>
                <w:bCs w:val="1"/>
                <w:color w:val="auto"/>
              </w:rPr>
              <w:t>ICON plc</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jc w:val="center"/>
              <w:ind w:left="2808"/>
              <w:spacing w:after="0" w:line="149" w:lineRule="exact"/>
              <w:rPr>
                <w:sz w:val="20"/>
                <w:szCs w:val="20"/>
                <w:color w:val="auto"/>
              </w:rPr>
            </w:pPr>
            <w:r>
              <w:rPr>
                <w:rFonts w:ascii="Arial" w:cs="Arial" w:eastAsia="Arial" w:hAnsi="Arial"/>
                <w:sz w:val="14"/>
                <w:szCs w:val="14"/>
                <w:b w:val="1"/>
                <w:bCs w:val="1"/>
                <w:color w:val="auto"/>
              </w:rPr>
              <w:t>CONDENSED CONSOLIDATED STATEMENTS OF OPERATIONS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jc w:val="center"/>
              <w:ind w:left="2808"/>
              <w:spacing w:after="0" w:line="149" w:lineRule="exact"/>
              <w:rPr>
                <w:sz w:val="20"/>
                <w:szCs w:val="20"/>
                <w:color w:val="auto"/>
              </w:rPr>
            </w:pPr>
            <w:r>
              <w:rPr>
                <w:rFonts w:ascii="Arial" w:cs="Arial" w:eastAsia="Arial" w:hAnsi="Arial"/>
                <w:sz w:val="14"/>
                <w:szCs w:val="14"/>
                <w:b w:val="1"/>
                <w:bCs w:val="1"/>
                <w:color w:val="auto"/>
              </w:rPr>
              <w:t>FOR THE THREE MONTHS ENDED MARCH 31, 2010 AND MARCH 31, 2009</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500" w:type="dxa"/>
            <w:vAlign w:val="bottom"/>
          </w:tcPr>
          <w:p>
            <w:pPr>
              <w:jc w:val="center"/>
              <w:ind w:left="2828"/>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10"/>
            <w:vMerge w:val="restart"/>
          </w:tcPr>
          <w:p>
            <w:pPr>
              <w:jc w:val="center"/>
              <w:ind w:right="6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4"/>
          </w:tcPr>
          <w:p>
            <w:pPr>
              <w:jc w:val="right"/>
              <w:ind w:right="140"/>
              <w:spacing w:after="0" w:line="129" w:lineRule="exact"/>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5"/>
          </w:tcPr>
          <w:p>
            <w:pPr>
              <w:jc w:val="right"/>
              <w:ind w:right="100"/>
              <w:spacing w:after="0" w:line="12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20" w:type="dxa"/>
            <w:vAlign w:val="bottom"/>
            <w:gridSpan w:val="1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(in thousands except share</w:t>
            </w:r>
          </w:p>
        </w:tc>
        <w:tc>
          <w:tcPr>
            <w:tcW w:w="0" w:type="dxa"/>
            <w:vAlign w:val="bottom"/>
          </w:tcPr>
          <w:p>
            <w:pPr>
              <w:spacing w:after="0"/>
              <w:rPr>
                <w:sz w:val="1"/>
                <w:szCs w:val="1"/>
                <w:color w:val="auto"/>
              </w:rPr>
            </w:pPr>
          </w:p>
        </w:tc>
      </w:tr>
      <w:tr>
        <w:trPr>
          <w:trHeight w:val="186"/>
        </w:trPr>
        <w:tc>
          <w:tcPr>
            <w:tcW w:w="8520" w:type="dxa"/>
            <w:vAlign w:val="bottom"/>
            <w:gridSpan w:val="2"/>
            <w:vMerge w:val="restart"/>
          </w:tcPr>
          <w:p>
            <w:pPr>
              <w:spacing w:after="0"/>
              <w:rPr>
                <w:sz w:val="20"/>
                <w:szCs w:val="20"/>
                <w:color w:val="auto"/>
              </w:rPr>
            </w:pPr>
            <w:r>
              <w:rPr>
                <w:rFonts w:ascii="Arial" w:cs="Arial" w:eastAsia="Arial" w:hAnsi="Arial"/>
                <w:sz w:val="14"/>
                <w:szCs w:val="14"/>
                <w:color w:val="auto"/>
              </w:rPr>
              <w:t>Revenue:</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10"/>
          </w:tcPr>
          <w:p>
            <w:pPr>
              <w:jc w:val="center"/>
              <w:ind w:right="660"/>
              <w:spacing w:after="0"/>
              <w:rPr>
                <w:sz w:val="20"/>
                <w:szCs w:val="20"/>
                <w:color w:val="auto"/>
              </w:rPr>
            </w:pPr>
            <w:r>
              <w:rPr>
                <w:rFonts w:ascii="Arial" w:cs="Arial" w:eastAsia="Arial" w:hAnsi="Arial"/>
                <w:sz w:val="14"/>
                <w:szCs w:val="14"/>
                <w:b w:val="1"/>
                <w:bCs w:val="1"/>
                <w:color w:val="auto"/>
                <w:w w:val="92"/>
              </w:rPr>
              <w:t>and per share data)</w:t>
            </w:r>
          </w:p>
        </w:tc>
        <w:tc>
          <w:tcPr>
            <w:tcW w:w="0" w:type="dxa"/>
            <w:vAlign w:val="bottom"/>
          </w:tcPr>
          <w:p>
            <w:pPr>
              <w:spacing w:after="0"/>
              <w:rPr>
                <w:sz w:val="1"/>
                <w:szCs w:val="1"/>
                <w:color w:val="auto"/>
              </w:rPr>
            </w:pPr>
          </w:p>
        </w:tc>
      </w:tr>
      <w:tr>
        <w:trPr>
          <w:trHeight w:val="134"/>
        </w:trPr>
        <w:tc>
          <w:tcPr>
            <w:tcW w:w="85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revenue</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309,551</w:t>
            </w:r>
          </w:p>
        </w:tc>
        <w:tc>
          <w:tcPr>
            <w:tcW w:w="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318,538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Reimbursable expenses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(90,439)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(98,707)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Net revenue</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219,112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219,831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131,318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 expense</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rPr>
              <w:t>52,294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61,258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8,722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7,490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0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costs and expenses</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192,334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192,916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0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26,778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0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provision for income taxes</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26,586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26,179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(4,387)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(5,235)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rPr>
              <w:t>22,199</w:t>
            </w:r>
          </w:p>
        </w:tc>
        <w:tc>
          <w:tcPr>
            <w:tcW w:w="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20,944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 per Ordinary Share:</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rPr>
              <w:t>0.38</w:t>
            </w:r>
          </w:p>
        </w:tc>
        <w:tc>
          <w:tcPr>
            <w:tcW w:w="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500" w:type="dxa"/>
            <w:vAlign w:val="bottom"/>
            <w:shd w:val="clear" w:color="auto" w:fill="CCEEFF"/>
          </w:tcPr>
          <w:p>
            <w:pPr>
              <w:ind w:left="160"/>
              <w:spacing w:after="0" w:line="142" w:lineRule="exact"/>
              <w:rPr>
                <w:sz w:val="20"/>
                <w:szCs w:val="20"/>
                <w:color w:val="auto"/>
              </w:rPr>
            </w:pPr>
            <w:r>
              <w:rPr>
                <w:rFonts w:ascii="Arial" w:cs="Arial" w:eastAsia="Arial" w:hAnsi="Arial"/>
                <w:sz w:val="14"/>
                <w:szCs w:val="14"/>
                <w:color w:val="auto"/>
              </w:rPr>
              <w:t>Diluted</w:t>
            </w:r>
          </w:p>
        </w:tc>
        <w:tc>
          <w:tcPr>
            <w:tcW w:w="5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5"/>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0.37</w:t>
            </w:r>
          </w:p>
        </w:tc>
        <w:tc>
          <w:tcPr>
            <w:tcW w:w="3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5"/>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50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Ordinary Shares outstanding:</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ind w:left="160"/>
              <w:spacing w:after="0" w:line="149" w:lineRule="exact"/>
              <w:rPr>
                <w:sz w:val="20"/>
                <w:szCs w:val="20"/>
                <w:color w:val="auto"/>
              </w:rPr>
            </w:pPr>
            <w:r>
              <w:rPr>
                <w:rFonts w:ascii="Arial" w:cs="Arial" w:eastAsia="Arial" w:hAnsi="Arial"/>
                <w:sz w:val="14"/>
                <w:szCs w:val="14"/>
                <w:color w:val="auto"/>
              </w:rPr>
              <w:t>Basic</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59,122,650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58,537,795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500" w:type="dxa"/>
            <w:vAlign w:val="bottom"/>
            <w:tcBorders>
              <w:bottom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Diluted</w:t>
            </w:r>
          </w:p>
        </w:tc>
        <w:tc>
          <w:tcPr>
            <w:tcW w:w="3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60,313,774</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59,771,335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680" w:right="5680" w:hanging="5669"/>
        <w:spacing w:after="0" w:line="416" w:lineRule="auto"/>
        <w:rPr>
          <w:sz w:val="20"/>
          <w:szCs w:val="20"/>
          <w:color w:val="auto"/>
        </w:rPr>
      </w:pPr>
      <w:r>
        <w:rPr>
          <w:rFonts w:ascii="Arial" w:cs="Arial" w:eastAsia="Arial" w:hAnsi="Arial"/>
          <w:sz w:val="12"/>
          <w:szCs w:val="12"/>
          <w:color w:val="auto"/>
        </w:rPr>
        <w:t>The accompanying notes are an integral part of these condensed consolidated financial statements.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jc w:val="center"/>
              <w:ind w:left="2828"/>
              <w:spacing w:after="0"/>
              <w:rPr>
                <w:sz w:val="20"/>
                <w:szCs w:val="20"/>
                <w:color w:val="auto"/>
              </w:rPr>
            </w:pPr>
            <w:r>
              <w:rPr>
                <w:rFonts w:ascii="Arial" w:cs="Arial" w:eastAsia="Arial" w:hAnsi="Arial"/>
                <w:sz w:val="14"/>
                <w:szCs w:val="14"/>
                <w:b w:val="1"/>
                <w:bCs w:val="1"/>
                <w:color w:val="auto"/>
              </w:rPr>
              <w:t>ICON plc</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jc w:val="center"/>
              <w:ind w:left="2828"/>
              <w:spacing w:after="0" w:line="149" w:lineRule="exact"/>
              <w:rPr>
                <w:sz w:val="20"/>
                <w:szCs w:val="20"/>
                <w:color w:val="auto"/>
              </w:rPr>
            </w:pPr>
            <w:r>
              <w:rPr>
                <w:rFonts w:ascii="Arial" w:cs="Arial" w:eastAsia="Arial" w:hAnsi="Arial"/>
                <w:sz w:val="14"/>
                <w:szCs w:val="14"/>
                <w:b w:val="1"/>
                <w:bCs w:val="1"/>
                <w:color w:val="auto"/>
              </w:rPr>
              <w:t>CONDENSED CONSOLIDATED STATEMENTS OF CASH FLOWS</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jc w:val="center"/>
              <w:ind w:left="2808"/>
              <w:spacing w:after="0" w:line="149" w:lineRule="exact"/>
              <w:rPr>
                <w:sz w:val="20"/>
                <w:szCs w:val="20"/>
                <w:color w:val="auto"/>
              </w:rPr>
            </w:pPr>
            <w:r>
              <w:rPr>
                <w:rFonts w:ascii="Arial" w:cs="Arial" w:eastAsia="Arial" w:hAnsi="Arial"/>
                <w:sz w:val="14"/>
                <w:szCs w:val="14"/>
                <w:b w:val="1"/>
                <w:bCs w:val="1"/>
                <w:color w:val="auto"/>
              </w:rPr>
              <w:t>FOR THE THREE MONTHS ENDED MARCH 31, 2010 AND MARCH 31, 2009</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500" w:type="dxa"/>
            <w:vAlign w:val="bottom"/>
          </w:tcPr>
          <w:p>
            <w:pPr>
              <w:jc w:val="center"/>
              <w:ind w:left="2828"/>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7"/>
            <w:vMerge w:val="restart"/>
          </w:tcPr>
          <w:p>
            <w:pPr>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gridSpan w:val="3"/>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bottom w:val="single" w:sz="8" w:color="auto"/>
            </w:tcBorders>
            <w:gridSpan w:val="7"/>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4"/>
          </w:tcPr>
          <w:p>
            <w:pPr>
              <w:jc w:val="right"/>
              <w:ind w:right="68"/>
              <w:spacing w:after="0" w:line="129" w:lineRule="exact"/>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80"/>
              </w:rPr>
              <w:t>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6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79"/>
              </w:rPr>
              <w:t>thousands)</w:t>
            </w:r>
          </w:p>
        </w:tc>
        <w:tc>
          <w:tcPr>
            <w:tcW w:w="60" w:type="dxa"/>
            <w:vAlign w:val="bottom"/>
          </w:tcPr>
          <w:p>
            <w:pPr>
              <w:spacing w:after="0"/>
              <w:rPr>
                <w:sz w:val="11"/>
                <w:szCs w:val="11"/>
                <w:color w:val="auto"/>
              </w:rPr>
            </w:pPr>
          </w:p>
        </w:tc>
        <w:tc>
          <w:tcPr>
            <w:tcW w:w="6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3"/>
              </w:rPr>
              <w:t>(in</w:t>
            </w:r>
          </w:p>
        </w:tc>
        <w:tc>
          <w:tcPr>
            <w:tcW w:w="6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85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22,199</w:t>
            </w:r>
          </w:p>
        </w:tc>
        <w:tc>
          <w:tcPr>
            <w:tcW w:w="5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20,944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500" w:type="dxa"/>
            <w:vAlign w:val="bottom"/>
          </w:tcPr>
          <w:p>
            <w:pPr>
              <w:spacing w:after="0" w:line="130" w:lineRule="exact"/>
              <w:rPr>
                <w:sz w:val="20"/>
                <w:szCs w:val="20"/>
                <w:color w:val="auto"/>
              </w:rPr>
            </w:pPr>
            <w:r>
              <w:rPr>
                <w:rFonts w:ascii="Arial" w:cs="Arial" w:eastAsia="Arial" w:hAnsi="Arial"/>
                <w:sz w:val="14"/>
                <w:szCs w:val="14"/>
                <w:color w:val="auto"/>
              </w:rPr>
              <w:t>Adjustments to reconcile net income to net cash provided by operating</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500" w:type="dxa"/>
            <w:vAlign w:val="bottom"/>
          </w:tcPr>
          <w:p>
            <w:pPr>
              <w:ind w:left="140"/>
              <w:spacing w:after="0"/>
              <w:rPr>
                <w:sz w:val="20"/>
                <w:szCs w:val="20"/>
                <w:color w:val="auto"/>
              </w:rPr>
            </w:pPr>
            <w:r>
              <w:rPr>
                <w:rFonts w:ascii="Arial" w:cs="Arial" w:eastAsia="Arial" w:hAnsi="Arial"/>
                <w:sz w:val="14"/>
                <w:szCs w:val="14"/>
                <w:color w:val="auto"/>
              </w:rPr>
              <w:t>activities:</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disposal of property, plant and equipment</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68"/>
              <w:spacing w:after="0" w:line="149" w:lineRule="exact"/>
              <w:rPr>
                <w:sz w:val="20"/>
                <w:szCs w:val="20"/>
                <w:color w:val="auto"/>
              </w:rPr>
            </w:pPr>
            <w:r>
              <w:rPr>
                <w:rFonts w:ascii="Arial" w:cs="Arial" w:eastAsia="Arial" w:hAnsi="Arial"/>
                <w:sz w:val="14"/>
                <w:szCs w:val="14"/>
                <w:color w:val="auto"/>
              </w:rPr>
              <w:t>8,722</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7,490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grants</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ind w:left="160"/>
              <w:spacing w:after="0" w:line="149" w:lineRule="exact"/>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68"/>
              <w:spacing w:after="0" w:line="149" w:lineRule="exact"/>
              <w:rPr>
                <w:sz w:val="20"/>
                <w:szCs w:val="20"/>
                <w:color w:val="auto"/>
              </w:rPr>
            </w:pPr>
            <w:r>
              <w:rPr>
                <w:rFonts w:ascii="Arial" w:cs="Arial" w:eastAsia="Arial" w:hAnsi="Arial"/>
                <w:sz w:val="14"/>
                <w:szCs w:val="14"/>
                <w:color w:val="auto"/>
              </w:rPr>
              <w:t>1,797</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Deferred taxes</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(382)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Decrease/(increase) in accounts receivable</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1,476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Decrease in unbilled revenue</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68"/>
              <w:spacing w:after="0" w:line="149" w:lineRule="exact"/>
              <w:rPr>
                <w:sz w:val="20"/>
                <w:szCs w:val="20"/>
                <w:color w:val="auto"/>
              </w:rPr>
            </w:pPr>
            <w:r>
              <w:rPr>
                <w:rFonts w:ascii="Arial" w:cs="Arial" w:eastAsia="Arial" w:hAnsi="Arial"/>
                <w:sz w:val="14"/>
                <w:szCs w:val="14"/>
                <w:color w:val="auto"/>
              </w:rPr>
              <w:t>2,859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17,369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(Increase)/decrease in other receivables</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Increase in prepayments and other current assets</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(2,633)</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(4,623)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Increase in other non current assets</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(597)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(Decrease)/increase in payments on account</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(186)</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14,223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 other current liabilities</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(12,624)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ind w:left="160"/>
              <w:spacing w:after="0" w:line="149" w:lineRule="exact"/>
              <w:rPr>
                <w:sz w:val="20"/>
                <w:szCs w:val="20"/>
                <w:color w:val="auto"/>
              </w:rPr>
            </w:pPr>
            <w:r>
              <w:rPr>
                <w:rFonts w:ascii="Arial" w:cs="Arial" w:eastAsia="Arial" w:hAnsi="Arial"/>
                <w:sz w:val="14"/>
                <w:szCs w:val="14"/>
                <w:color w:val="auto"/>
              </w:rPr>
              <w:t>Increase in other non current liabilities</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(Decrease)/increase in income taxes payable</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(630)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ind w:left="160"/>
              <w:spacing w:after="0" w:line="149" w:lineRule="exact"/>
              <w:rPr>
                <w:sz w:val="20"/>
                <w:szCs w:val="20"/>
                <w:color w:val="auto"/>
              </w:rPr>
            </w:pPr>
            <w:r>
              <w:rPr>
                <w:rFonts w:ascii="Arial" w:cs="Arial" w:eastAsia="Arial" w:hAnsi="Arial"/>
                <w:sz w:val="14"/>
                <w:szCs w:val="14"/>
                <w:color w:val="auto"/>
              </w:rPr>
              <w:t>Decrease in accounts payable</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(3,419)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(7,279)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16,765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Purchase of property, plant and equipment</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(9,549)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(8,120)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 of subsidiary undertakings &amp; acquisition costs</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ind w:left="160"/>
              <w:spacing w:after="0" w:line="149" w:lineRule="exact"/>
              <w:rPr>
                <w:sz w:val="20"/>
                <w:szCs w:val="20"/>
                <w:color w:val="auto"/>
              </w:rPr>
            </w:pPr>
            <w:r>
              <w:rPr>
                <w:rFonts w:ascii="Arial" w:cs="Arial" w:eastAsia="Arial" w:hAnsi="Arial"/>
                <w:sz w:val="14"/>
                <w:szCs w:val="14"/>
                <w:color w:val="auto"/>
              </w:rPr>
              <w:t>Purchase of short term investments</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(30,260)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short term investments</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49,227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Net cash provided by/(used in) investing activities</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68"/>
              <w:spacing w:after="0" w:line="149" w:lineRule="exact"/>
              <w:rPr>
                <w:sz w:val="20"/>
                <w:szCs w:val="20"/>
                <w:color w:val="auto"/>
              </w:rPr>
            </w:pPr>
            <w:r>
              <w:rPr>
                <w:rFonts w:ascii="Arial" w:cs="Arial" w:eastAsia="Arial" w:hAnsi="Arial"/>
                <w:sz w:val="14"/>
                <w:szCs w:val="14"/>
                <w:color w:val="auto"/>
              </w:rPr>
              <w:t>9,418</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(8,976)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Drawdown of credit lines and facilities</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Repayment of credit lines and facilities</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(20,116)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share options</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4,473</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Share issuance costs</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the exercise of share options</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1,158</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Repayment of other liabilities</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(84)</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5,536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Effect of exchange rate movements on cash</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(7,036)</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cash and cash equivalents</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24,683</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gridSpan w:val="4"/>
          </w:tcPr>
          <w:p>
            <w:pPr>
              <w:jc w:val="right"/>
              <w:ind w:right="68"/>
              <w:spacing w:after="0" w:line="149" w:lineRule="exact"/>
              <w:rPr>
                <w:sz w:val="20"/>
                <w:szCs w:val="20"/>
                <w:color w:val="auto"/>
              </w:rPr>
            </w:pPr>
            <w:r>
              <w:rPr>
                <w:rFonts w:ascii="Arial" w:cs="Arial" w:eastAsia="Arial" w:hAnsi="Arial"/>
                <w:sz w:val="14"/>
                <w:szCs w:val="14"/>
                <w:color w:val="auto"/>
              </w:rPr>
              <w:t>144,801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58,378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at end of period</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tcPr>
          <w:p>
            <w:pPr>
              <w:jc w:val="right"/>
              <w:ind w:right="68"/>
              <w:spacing w:after="0" w:line="149" w:lineRule="exact"/>
              <w:rPr>
                <w:sz w:val="20"/>
                <w:szCs w:val="20"/>
                <w:color w:val="auto"/>
              </w:rPr>
            </w:pPr>
            <w:r>
              <w:rPr>
                <w:rFonts w:ascii="Arial" w:cs="Arial" w:eastAsia="Arial" w:hAnsi="Arial"/>
                <w:sz w:val="14"/>
                <w:szCs w:val="14"/>
                <w:color w:val="auto"/>
              </w:rPr>
              <w:t>169,484</w:t>
            </w:r>
          </w:p>
        </w:tc>
        <w:tc>
          <w:tcPr>
            <w:tcW w:w="5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70,816</w:t>
            </w:r>
          </w:p>
        </w:tc>
        <w:tc>
          <w:tcPr>
            <w:tcW w:w="0" w:type="dxa"/>
            <w:vAlign w:val="bottom"/>
          </w:tcPr>
          <w:p>
            <w:pPr>
              <w:spacing w:after="0"/>
              <w:rPr>
                <w:sz w:val="1"/>
                <w:szCs w:val="1"/>
                <w:color w:val="auto"/>
              </w:rPr>
            </w:pPr>
          </w:p>
        </w:tc>
      </w:tr>
      <w:tr>
        <w:trPr>
          <w:trHeight w:val="21"/>
        </w:trPr>
        <w:tc>
          <w:tcPr>
            <w:tcW w:w="8520" w:type="dxa"/>
            <w:vAlign w:val="bottom"/>
            <w:gridSpan w:val="2"/>
            <w:vMerge w:val="restart"/>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6"/>
        </w:trPr>
        <w:tc>
          <w:tcPr>
            <w:tcW w:w="85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20" w:type="dxa"/>
            <w:vAlign w:val="bottom"/>
            <w:gridSpan w:val="2"/>
          </w:tcPr>
          <w:p>
            <w:pPr>
              <w:jc w:val="center"/>
              <w:ind w:left="2828"/>
              <w:spacing w:after="0"/>
              <w:rPr>
                <w:sz w:val="20"/>
                <w:szCs w:val="20"/>
                <w:color w:val="auto"/>
              </w:rPr>
            </w:pPr>
            <w:r>
              <w:rPr>
                <w:rFonts w:ascii="Arial" w:cs="Arial" w:eastAsia="Arial" w:hAnsi="Arial"/>
                <w:sz w:val="14"/>
                <w:szCs w:val="14"/>
                <w:color w:val="auto"/>
                <w:w w:val="76"/>
              </w:rPr>
              <w:t>5</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3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SHAREHOLDERS' EQUITY AND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Accumulated</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Additional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bottom w:val="single" w:sz="8" w:color="auto"/>
            </w:tcBorders>
            <w:gridSpan w:val="2"/>
          </w:tcPr>
          <w:p>
            <w:pPr>
              <w:jc w:val="right"/>
              <w:ind w:right="40"/>
              <w:spacing w:after="0" w:line="12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Retained</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6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1"/>
                <w:szCs w:val="1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1"/>
                <w:szCs w:val="11"/>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7"/>
              </w:rPr>
              <w:t>Paid</w:t>
            </w:r>
          </w:p>
        </w:tc>
        <w:tc>
          <w:tcPr>
            <w:tcW w:w="8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5"/>
          </w:tcPr>
          <w:p>
            <w:pPr>
              <w:jc w:val="right"/>
              <w:ind w:right="40"/>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-in Capital</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Income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Earnings</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0" w:type="dxa"/>
            <w:vAlign w:val="bottom"/>
            <w:gridSpan w:val="12"/>
          </w:tcPr>
          <w:p>
            <w:pPr>
              <w:ind w:left="140"/>
              <w:spacing w:after="0"/>
              <w:rPr>
                <w:sz w:val="20"/>
                <w:szCs w:val="20"/>
                <w:color w:val="auto"/>
              </w:rPr>
            </w:pPr>
            <w:r>
              <w:rPr>
                <w:rFonts w:ascii="Arial" w:cs="Arial" w:eastAsia="Arial" w:hAnsi="Arial"/>
                <w:sz w:val="14"/>
                <w:szCs w:val="14"/>
                <w:b w:val="1"/>
                <w:bCs w:val="1"/>
                <w:color w:val="auto"/>
                <w:w w:val="96"/>
              </w:rPr>
              <w:t>(dollars in thousands, except share data)</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2009</w:t>
            </w:r>
          </w:p>
        </w:tc>
        <w:tc>
          <w:tcPr>
            <w:tcW w:w="1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59,007,565</w:t>
            </w:r>
          </w:p>
        </w:tc>
        <w:tc>
          <w:tcPr>
            <w:tcW w:w="5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4,965</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174,188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right w:val="single" w:sz="8" w:color="CCEEFF"/>
            </w:tcBorders>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12,584</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380,509</w:t>
            </w:r>
          </w:p>
        </w:tc>
        <w:tc>
          <w:tcPr>
            <w:tcW w:w="5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572,246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22,199</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22,199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Currency translation adjustment</w:t>
            </w:r>
          </w:p>
        </w:tc>
        <w:tc>
          <w:tcPr>
            <w:tcW w:w="1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(net of taxation)</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6"/>
            <w:shd w:val="clear" w:color="auto" w:fill="CCEEFF"/>
          </w:tcPr>
          <w:p>
            <w:pPr>
              <w:jc w:val="right"/>
              <w:ind w:right="80"/>
              <w:spacing w:after="0"/>
              <w:rPr>
                <w:sz w:val="20"/>
                <w:szCs w:val="20"/>
                <w:color w:val="auto"/>
              </w:rPr>
            </w:pPr>
            <w:r>
              <w:rPr>
                <w:rFonts w:ascii="Arial" w:cs="Arial" w:eastAsia="Arial" w:hAnsi="Arial"/>
                <w:sz w:val="14"/>
                <w:szCs w:val="14"/>
                <w:color w:val="auto"/>
              </w:rPr>
              <w:t>(16,881)</w:t>
            </w:r>
          </w:p>
        </w:tc>
        <w:tc>
          <w:tcPr>
            <w:tcW w:w="680" w:type="dxa"/>
            <w:vAlign w:val="bottom"/>
            <w:tcBorders>
              <w:right w:val="single" w:sz="8" w:color="CCEEFF"/>
            </w:tcBorders>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top w:val="single" w:sz="8" w:color="CCEEFF"/>
            </w:tcBorders>
          </w:tcPr>
          <w:p>
            <w:pPr>
              <w:spacing w:after="0" w:line="149" w:lineRule="exact"/>
              <w:rPr>
                <w:sz w:val="20"/>
                <w:szCs w:val="20"/>
                <w:color w:val="auto"/>
              </w:rPr>
            </w:pPr>
            <w:r>
              <w:rPr>
                <w:rFonts w:ascii="Arial" w:cs="Arial" w:eastAsia="Arial" w:hAnsi="Arial"/>
                <w:sz w:val="14"/>
                <w:szCs w:val="14"/>
                <w:color w:val="auto"/>
              </w:rPr>
              <w:t>Total comprehensive income</w:t>
            </w:r>
          </w:p>
        </w:tc>
        <w:tc>
          <w:tcPr>
            <w:tcW w:w="124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5,318</w:t>
            </w: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issuance costs</w:t>
            </w:r>
          </w:p>
        </w:tc>
        <w:tc>
          <w:tcPr>
            <w:tcW w:w="1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Exercise of share options</w:t>
            </w:r>
          </w:p>
        </w:tc>
        <w:tc>
          <w:tcPr>
            <w:tcW w:w="1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436,554</w:t>
            </w:r>
          </w:p>
        </w:tc>
        <w:tc>
          <w:tcPr>
            <w:tcW w:w="5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w:t>
            </w:r>
          </w:p>
        </w:tc>
        <w:tc>
          <w:tcPr>
            <w:tcW w:w="32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4,437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Non-cash stock compensation</w:t>
            </w:r>
          </w:p>
        </w:tc>
        <w:tc>
          <w:tcPr>
            <w:tcW w:w="1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1,797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tcPr>
          <w:p>
            <w:pPr>
              <w:spacing w:after="0" w:line="130" w:lineRule="exact"/>
              <w:rPr>
                <w:sz w:val="20"/>
                <w:szCs w:val="20"/>
                <w:color w:val="auto"/>
              </w:rPr>
            </w:pPr>
            <w:r>
              <w:rPr>
                <w:rFonts w:ascii="Arial" w:cs="Arial" w:eastAsia="Arial" w:hAnsi="Arial"/>
                <w:sz w:val="14"/>
                <w:szCs w:val="14"/>
                <w:color w:val="auto"/>
              </w:rPr>
              <w:t>Tax benefit on exercise of</w:t>
            </w:r>
          </w:p>
        </w:tc>
        <w:tc>
          <w:tcPr>
            <w:tcW w:w="1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840" w:type="dxa"/>
            <w:vAlign w:val="bottom"/>
            <w:gridSpan w:val="2"/>
          </w:tcPr>
          <w:p>
            <w:pPr>
              <w:spacing w:after="0"/>
              <w:rPr>
                <w:sz w:val="20"/>
                <w:szCs w:val="20"/>
                <w:color w:val="auto"/>
              </w:rPr>
            </w:pPr>
            <w:r>
              <w:rPr>
                <w:rFonts w:ascii="Arial" w:cs="Arial" w:eastAsia="Arial" w:hAnsi="Arial"/>
                <w:sz w:val="14"/>
                <w:szCs w:val="14"/>
                <w:color w:val="auto"/>
              </w:rPr>
              <w:t>options</w:t>
            </w: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1,158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1,158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at March 31, 2010</w:t>
            </w:r>
          </w:p>
        </w:tc>
        <w:tc>
          <w:tcPr>
            <w:tcW w:w="1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59,444,119</w:t>
            </w:r>
          </w:p>
        </w:tc>
        <w:tc>
          <w:tcPr>
            <w:tcW w:w="5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5,001</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181,569</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gridSpan w:val="6"/>
            <w:shd w:val="clear" w:color="auto" w:fill="CCEEFF"/>
          </w:tcPr>
          <w:p>
            <w:pPr>
              <w:jc w:val="right"/>
              <w:ind w:right="80"/>
              <w:spacing w:after="0"/>
              <w:rPr>
                <w:sz w:val="20"/>
                <w:szCs w:val="20"/>
                <w:color w:val="auto"/>
              </w:rPr>
            </w:pPr>
            <w:r>
              <w:rPr>
                <w:rFonts w:ascii="Arial" w:cs="Arial" w:eastAsia="Arial" w:hAnsi="Arial"/>
                <w:sz w:val="14"/>
                <w:szCs w:val="14"/>
                <w:color w:val="auto"/>
              </w:rPr>
              <w:t>(4,297)</w:t>
            </w:r>
          </w:p>
        </w:tc>
        <w:tc>
          <w:tcPr>
            <w:tcW w:w="680" w:type="dxa"/>
            <w:vAlign w:val="bottom"/>
            <w:tcBorders>
              <w:top w:val="single" w:sz="8" w:color="auto"/>
              <w:bottom w:val="single" w:sz="8" w:color="auto"/>
              <w:right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402,708</w:t>
            </w:r>
          </w:p>
        </w:tc>
        <w:tc>
          <w:tcPr>
            <w:tcW w:w="540" w:type="dxa"/>
            <w:vAlign w:val="bottom"/>
            <w:tcBorders>
              <w:top w:val="single" w:sz="8" w:color="auto"/>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584,981</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940" w:type="dxa"/>
            <w:vAlign w:val="bottom"/>
            <w:gridSpan w:val="7"/>
          </w:tcPr>
          <w:p>
            <w:pPr>
              <w:spacing w:after="0"/>
              <w:rPr>
                <w:sz w:val="20"/>
                <w:szCs w:val="20"/>
                <w:color w:val="auto"/>
              </w:rPr>
            </w:pPr>
            <w:r>
              <w:rPr>
                <w:rFonts w:ascii="Arial" w:cs="Arial" w:eastAsia="Arial" w:hAnsi="Arial"/>
                <w:sz w:val="14"/>
                <w:szCs w:val="14"/>
                <w:color w:val="auto"/>
                <w:w w:val="95"/>
              </w:rPr>
              <w:t>The accompanying notes are an integral part of these condensed consolidated financial statements.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jc w:val="center"/>
        <w:spacing w:after="0" w:line="226"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2010</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Basis of Presentation</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condensed consolidated financial statements should be read in conjunction with the accounting policies and notes to the consolidated financial statements included in ICON’s Form 20-F for the year ended December 31, 2009. Operating results for the three months ended March 31, 2010, are not necessarily indicative of the results that may be expected for the fiscal period ending December 31, 2010.</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2. Goodwill</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2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March 31,</w:t>
            </w:r>
          </w:p>
        </w:tc>
        <w:tc>
          <w:tcPr>
            <w:tcW w:w="32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29"/>
        </w:trPr>
        <w:tc>
          <w:tcPr>
            <w:tcW w:w="240" w:type="dxa"/>
            <w:vAlign w:val="bottom"/>
          </w:tcPr>
          <w:p>
            <w:pPr>
              <w:spacing w:after="0"/>
              <w:rPr>
                <w:sz w:val="11"/>
                <w:szCs w:val="11"/>
                <w:color w:val="auto"/>
              </w:rPr>
            </w:pPr>
          </w:p>
        </w:tc>
        <w:tc>
          <w:tcPr>
            <w:tcW w:w="8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40"/>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4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11"/>
        </w:trPr>
        <w:tc>
          <w:tcPr>
            <w:tcW w:w="24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0" w:type="dxa"/>
            <w:vAlign w:val="bottom"/>
            <w:vMerge w:val="continue"/>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Opening balance</w:t>
            </w:r>
          </w:p>
        </w:tc>
        <w:tc>
          <w:tcPr>
            <w:tcW w:w="460" w:type="dxa"/>
            <w:vAlign w:val="bottom"/>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173,568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169,344</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8460" w:type="dxa"/>
            <w:vAlign w:val="bottom"/>
          </w:tcPr>
          <w:p>
            <w:pPr>
              <w:spacing w:after="0" w:line="149" w:lineRule="exact"/>
              <w:rPr>
                <w:sz w:val="20"/>
                <w:szCs w:val="20"/>
                <w:color w:val="auto"/>
              </w:rPr>
            </w:pPr>
            <w:r>
              <w:rPr>
                <w:rFonts w:ascii="Arial" w:cs="Arial" w:eastAsia="Arial" w:hAnsi="Arial"/>
                <w:sz w:val="14"/>
                <w:szCs w:val="14"/>
                <w:color w:val="auto"/>
              </w:rPr>
              <w:t>Current period acquisitions</w:t>
            </w:r>
          </w:p>
        </w:tc>
        <w:tc>
          <w:tcPr>
            <w:tcW w:w="4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Prior period acquisitions</w:t>
            </w: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8460" w:type="dxa"/>
            <w:vAlign w:val="bottom"/>
          </w:tcPr>
          <w:p>
            <w:pPr>
              <w:spacing w:after="0" w:line="149" w:lineRule="exact"/>
              <w:rPr>
                <w:sz w:val="20"/>
                <w:szCs w:val="20"/>
                <w:color w:val="auto"/>
              </w:rPr>
            </w:pPr>
            <w:r>
              <w:rPr>
                <w:rFonts w:ascii="Arial" w:cs="Arial" w:eastAsia="Arial" w:hAnsi="Arial"/>
                <w:sz w:val="14"/>
                <w:szCs w:val="14"/>
                <w:color w:val="auto"/>
              </w:rPr>
              <w:t>Foreign exchange movement</w:t>
            </w:r>
          </w:p>
        </w:tc>
        <w:tc>
          <w:tcPr>
            <w:tcW w:w="46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(4,829)</w:t>
            </w:r>
          </w:p>
        </w:tc>
        <w:tc>
          <w:tcPr>
            <w:tcW w:w="3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40" w:type="dxa"/>
            <w:vAlign w:val="bottom"/>
          </w:tcPr>
          <w:p>
            <w:pPr>
              <w:spacing w:after="0"/>
              <w:rPr>
                <w:sz w:val="24"/>
                <w:szCs w:val="2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4"/>
                <w:szCs w:val="14"/>
                <w:color w:val="auto"/>
              </w:rPr>
              <w:t>Closing balance</w:t>
            </w:r>
          </w:p>
        </w:tc>
        <w:tc>
          <w:tcPr>
            <w:tcW w:w="460" w:type="dxa"/>
            <w:vAlign w:val="bottom"/>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168,739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173,568</w:t>
            </w:r>
          </w:p>
        </w:tc>
        <w:tc>
          <w:tcPr>
            <w:tcW w:w="12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84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7"/>
        </w:trPr>
        <w:tc>
          <w:tcPr>
            <w:tcW w:w="8700" w:type="dxa"/>
            <w:vAlign w:val="bottom"/>
            <w:gridSpan w:val="2"/>
          </w:tcPr>
          <w:p>
            <w:pPr>
              <w:spacing w:after="0"/>
              <w:rPr>
                <w:sz w:val="20"/>
                <w:szCs w:val="20"/>
                <w:color w:val="auto"/>
              </w:rPr>
            </w:pPr>
            <w:r>
              <w:rPr>
                <w:rFonts w:ascii="Arial" w:cs="Arial" w:eastAsia="Arial" w:hAnsi="Arial"/>
                <w:sz w:val="14"/>
                <w:szCs w:val="14"/>
                <w:color w:val="auto"/>
              </w:rPr>
              <w:t>The goodwill balance relates entirely to the clinical research segment.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Prior Period Acquisitions - Acquisition of Qualia Clinical Services Inc. and Veeda Laboratories Ltd.</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During the year ended December 31, 2009, the Company completed the acquisitions of Qualia Clinical Services, Inc., a Phase 1 facility located in Omaha, Nebraska and Veeda Laboratories Limited, a specialist provider of biomarker laboratory services to the global pharmaceutical and biotechnology industries, located in Oxford, United Kingdom, neither of which were considered individually significant. In aggregate, the total purchase price for these acquisitions was approximately $2.2 million. The excess of the consideration paid over the carrying value of the assets acquired of $0.6 million, was recorded as goodwill of $1.6 million.</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The acquisitions of Qualia Clinical Services Inc. and Veeda Laboratories Ltd. were accounted for as business combinations in accordance with FASB ASC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which is effective for all acquisitions which have taken place since January 1, 2009</w:t>
      </w:r>
      <w:r>
        <w:rPr>
          <w:rFonts w:ascii="Arial" w:cs="Arial" w:eastAsia="Arial" w:hAnsi="Arial"/>
          <w:sz w:val="14"/>
          <w:szCs w:val="14"/>
          <w:i w:val="1"/>
          <w:iCs w:val="1"/>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2"/>
        </w:trPr>
        <w:tc>
          <w:tcPr>
            <w:tcW w:w="7620" w:type="dxa"/>
            <w:vAlign w:val="bottom"/>
            <w:gridSpan w:val="3"/>
          </w:tcPr>
          <w:p>
            <w:pPr>
              <w:spacing w:after="0"/>
              <w:rPr>
                <w:sz w:val="20"/>
                <w:szCs w:val="20"/>
                <w:color w:val="auto"/>
              </w:rPr>
            </w:pPr>
            <w:r>
              <w:rPr>
                <w:rFonts w:ascii="Arial" w:cs="Arial" w:eastAsia="Arial" w:hAnsi="Arial"/>
                <w:sz w:val="14"/>
                <w:szCs w:val="14"/>
                <w:color w:val="auto"/>
              </w:rPr>
              <w:t>The following table summarises the fair values of the assets acquired and the liabilities assumed:</w:t>
            </w:r>
          </w:p>
        </w:tc>
        <w:tc>
          <w:tcPr>
            <w:tcW w:w="2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54"/>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24"/>
                <w:szCs w:val="24"/>
                <w:color w:val="auto"/>
              </w:rPr>
            </w:pPr>
          </w:p>
        </w:tc>
      </w:tr>
      <w:tr>
        <w:trPr>
          <w:trHeight w:val="171"/>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 thousands)</w:t>
            </w:r>
          </w:p>
        </w:tc>
      </w:tr>
      <w:tr>
        <w:trPr>
          <w:trHeight w:val="149"/>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23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360" w:type="dxa"/>
            <w:vAlign w:val="bottom"/>
          </w:tcPr>
          <w:p>
            <w:pPr>
              <w:spacing w:after="0" w:line="149" w:lineRule="exact"/>
              <w:rPr>
                <w:sz w:val="20"/>
                <w:szCs w:val="20"/>
                <w:color w:val="auto"/>
              </w:rPr>
            </w:pPr>
            <w:r>
              <w:rPr>
                <w:rFonts w:ascii="Arial" w:cs="Arial" w:eastAsia="Arial" w:hAnsi="Arial"/>
                <w:sz w:val="14"/>
                <w:szCs w:val="14"/>
                <w:color w:val="auto"/>
              </w:rPr>
              <w:t>Intangible assets</w:t>
            </w:r>
          </w:p>
        </w:tc>
        <w:tc>
          <w:tcPr>
            <w:tcW w:w="23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352</w:t>
            </w:r>
          </w:p>
        </w:tc>
        <w:tc>
          <w:tcPr>
            <w:tcW w:w="120" w:type="dxa"/>
            <w:vAlign w:val="bottom"/>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3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1,584</w:t>
            </w:r>
          </w:p>
        </w:tc>
        <w:tc>
          <w:tcPr>
            <w:tcW w:w="120" w:type="dxa"/>
            <w:vAlign w:val="bottom"/>
            <w:shd w:val="clear" w:color="auto" w:fill="CCEEFF"/>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360" w:type="dxa"/>
            <w:vAlign w:val="bottom"/>
          </w:tcPr>
          <w:p>
            <w:pPr>
              <w:spacing w:after="0" w:line="149" w:lineRule="exact"/>
              <w:rPr>
                <w:sz w:val="20"/>
                <w:szCs w:val="20"/>
                <w:color w:val="auto"/>
              </w:rPr>
            </w:pPr>
            <w:r>
              <w:rPr>
                <w:rFonts w:ascii="Arial" w:cs="Arial" w:eastAsia="Arial" w:hAnsi="Arial"/>
                <w:sz w:val="14"/>
                <w:szCs w:val="14"/>
                <w:color w:val="auto"/>
              </w:rPr>
              <w:t>Cash</w:t>
            </w:r>
          </w:p>
        </w:tc>
        <w:tc>
          <w:tcPr>
            <w:tcW w:w="23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assets</w:t>
            </w:r>
          </w:p>
        </w:tc>
        <w:tc>
          <w:tcPr>
            <w:tcW w:w="23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3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36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(507)</w:t>
            </w:r>
          </w:p>
        </w:tc>
      </w:tr>
      <w:tr>
        <w:trPr>
          <w:trHeight w:val="156"/>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current liabilities</w:t>
            </w:r>
          </w:p>
        </w:tc>
        <w:tc>
          <w:tcPr>
            <w:tcW w:w="23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w:t>
            </w:r>
          </w:p>
        </w:tc>
      </w:tr>
      <w:tr>
        <w:trPr>
          <w:trHeight w:val="156"/>
        </w:trPr>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36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Purchase price</w:t>
            </w:r>
          </w:p>
        </w:tc>
        <w:tc>
          <w:tcPr>
            <w:tcW w:w="2360" w:type="dxa"/>
            <w:vAlign w:val="bottom"/>
            <w:tcBorders>
              <w:top w:val="single" w:sz="8" w:color="auto"/>
              <w:bottom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2,214</w:t>
            </w:r>
          </w:p>
        </w:tc>
        <w:tc>
          <w:tcPr>
            <w:tcW w:w="120" w:type="dxa"/>
            <w:vAlign w:val="bottom"/>
            <w:tcBorders>
              <w:top w:val="single" w:sz="8" w:color="CCEEFF"/>
            </w:tcBorders>
          </w:tcPr>
          <w:p>
            <w:pPr>
              <w:spacing w:after="0"/>
              <w:rPr>
                <w:sz w:val="13"/>
                <w:szCs w:val="13"/>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Goodwill represents the acquisition of an established workforce with experience in the provision of Phase I clinical trial management services to pharmaceutical and biotechnology companies.</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Income Taxes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at March 31, 2010, the Company maintains an $18.8 million liability (December 31, 2009: $18.9 million) for unrecognized tax benefit, which is comprised of $15.2 million (December 31, 2009: $15.4 million) related to items generating unrecognized tax benefits and $3.6 million (December 31, 2009: $3.5 million) for interest and penalties related to such items. The Company recognizes interest accrued on unrecognized tax benefits as an additional income tax expense.</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2005 through 2009 tax years. The Company does not believe that the outcome of any examination will have a material impact on its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Net income per ordinary share</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reconciliation of the number of shares used in the computation of basic and diluted net income per ordinary share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0"/>
              </w:rPr>
              <w:t>March 31,</w:t>
            </w: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March 31,</w:t>
            </w: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5280" w:type="dxa"/>
            <w:vAlign w:val="bottom"/>
            <w:gridSpan w:val="4"/>
          </w:tcPr>
          <w:p>
            <w:pPr>
              <w:spacing w:after="0"/>
              <w:rPr>
                <w:sz w:val="13"/>
                <w:szCs w:val="13"/>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13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2009</w:t>
            </w: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446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Weighted average number of ordinary shares outstanding</w:t>
            </w:r>
          </w:p>
        </w:tc>
        <w:tc>
          <w:tcPr>
            <w:tcW w:w="44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r>
      <w:tr>
        <w:trPr>
          <w:trHeight w:val="167"/>
        </w:trPr>
        <w:tc>
          <w:tcPr>
            <w:tcW w:w="2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4"/>
                <w:szCs w:val="14"/>
                <w:color w:val="auto"/>
              </w:rPr>
              <w:t>for basic net income per ordinary share</w:t>
            </w:r>
          </w:p>
        </w:tc>
        <w:tc>
          <w:tcPr>
            <w:tcW w:w="55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59,122,650</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58,537,795</w:t>
            </w:r>
          </w:p>
        </w:tc>
      </w:tr>
      <w:tr>
        <w:trPr>
          <w:trHeight w:val="156"/>
        </w:trPr>
        <w:tc>
          <w:tcPr>
            <w:tcW w:w="20" w:type="dxa"/>
            <w:vAlign w:val="bottom"/>
          </w:tcPr>
          <w:p>
            <w:pPr>
              <w:spacing w:after="0"/>
              <w:rPr>
                <w:sz w:val="13"/>
                <w:szCs w:val="13"/>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Effect of dilutive share options outstanding</w:t>
            </w:r>
          </w:p>
        </w:tc>
        <w:tc>
          <w:tcPr>
            <w:tcW w:w="55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1,191,124</w:t>
            </w:r>
          </w:p>
        </w:tc>
        <w:tc>
          <w:tcPr>
            <w:tcW w:w="13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1,233,540</w:t>
            </w:r>
          </w:p>
        </w:tc>
      </w:tr>
      <w:tr>
        <w:trPr>
          <w:trHeight w:val="130"/>
        </w:trPr>
        <w:tc>
          <w:tcPr>
            <w:tcW w:w="20" w:type="dxa"/>
            <w:vAlign w:val="bottom"/>
          </w:tcPr>
          <w:p>
            <w:pPr>
              <w:spacing w:after="0"/>
              <w:rPr>
                <w:sz w:val="11"/>
                <w:szCs w:val="11"/>
                <w:color w:val="auto"/>
              </w:rPr>
            </w:pPr>
          </w:p>
        </w:tc>
        <w:tc>
          <w:tcPr>
            <w:tcW w:w="4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Weighted average number of ordinary shares for diluted</w:t>
            </w:r>
          </w:p>
        </w:tc>
        <w:tc>
          <w:tcPr>
            <w:tcW w:w="442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r>
      <w:tr>
        <w:trPr>
          <w:trHeight w:val="20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4"/>
                <w:szCs w:val="14"/>
                <w:color w:val="auto"/>
              </w:rPr>
              <w:t>net income per ordinary share</w:t>
            </w:r>
          </w:p>
        </w:tc>
        <w:tc>
          <w:tcPr>
            <w:tcW w:w="55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60,313,774</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59,771,335</w:t>
            </w:r>
          </w:p>
        </w:tc>
      </w:tr>
      <w:tr>
        <w:trPr>
          <w:trHeight w:val="549"/>
        </w:trPr>
        <w:tc>
          <w:tcPr>
            <w:tcW w:w="20" w:type="dxa"/>
            <w:vAlign w:val="bottom"/>
          </w:tcPr>
          <w:p>
            <w:pPr>
              <w:spacing w:after="0"/>
              <w:rPr>
                <w:sz w:val="24"/>
                <w:szCs w:val="24"/>
                <w:color w:val="auto"/>
              </w:rPr>
            </w:pPr>
          </w:p>
        </w:tc>
        <w:tc>
          <w:tcPr>
            <w:tcW w:w="4460" w:type="dxa"/>
            <w:vAlign w:val="bottom"/>
            <w:tcBorders>
              <w:top w:val="single" w:sz="8" w:color="CCEEFF"/>
            </w:tcBorders>
          </w:tcPr>
          <w:p>
            <w:pPr>
              <w:spacing w:after="0"/>
              <w:rPr>
                <w:sz w:val="24"/>
                <w:szCs w:val="24"/>
                <w:color w:val="auto"/>
              </w:rPr>
            </w:pPr>
          </w:p>
        </w:tc>
        <w:tc>
          <w:tcPr>
            <w:tcW w:w="4420" w:type="dxa"/>
            <w:vAlign w:val="bottom"/>
            <w:tcBorders>
              <w:top w:val="single" w:sz="8" w:color="CCEEFF"/>
            </w:tcBorders>
          </w:tcPr>
          <w:p>
            <w:pPr>
              <w:jc w:val="right"/>
              <w:ind w:right="3088"/>
              <w:spacing w:after="0"/>
              <w:rPr>
                <w:sz w:val="20"/>
                <w:szCs w:val="20"/>
                <w:color w:val="auto"/>
              </w:rPr>
            </w:pPr>
            <w:r>
              <w:rPr>
                <w:rFonts w:ascii="Arial" w:cs="Arial" w:eastAsia="Arial" w:hAnsi="Arial"/>
                <w:sz w:val="14"/>
                <w:szCs w:val="14"/>
                <w:color w:val="auto"/>
              </w:rPr>
              <w:t>8</w:t>
            </w: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44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5. Stock Options</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On July 21, 2008, the Company adopted the Employee Share Option Plan 2008 (the “2008 Employee Plan”) pursuant to which the Compensation and Organization Committee of the Company’s Board of Directors (the “Committee”)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Committee may grant options to any consultant, adviser or non-executive director retained by the Company or any Subsidiary for the purchase of ordinary shares.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Each option granted under the 2008 Employee Plan or the 2008 Consultants Plan (together the “2008 Option Plans”) will be an employee stock option, or NSO, as described in Section 422 or 423 of the Code. Each grant of an option under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July 21, 2018.</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July 21, 2008, the Company adopted the the 2008 Employees Restricted Share Unit Plan (the “2008 RSU Plan”) pursuant to which the Committee may select any employee, or any director holding a salaried office or employment with the Company or a Subsidiary to receive an award under the plan. An aggregate of 1.0 million ordinary shares have been reserved for issuance under the 2008 RSU Plan. Awards under the 2008 RSU may be settled in cash or shares.</w:t>
      </w:r>
    </w:p>
    <w:p>
      <w:pPr>
        <w:spacing w:after="0" w:line="210" w:lineRule="exact"/>
        <w:rPr>
          <w:sz w:val="20"/>
          <w:szCs w:val="20"/>
          <w:color w:val="auto"/>
        </w:rPr>
      </w:pPr>
    </w:p>
    <w:p>
      <w:pPr>
        <w:jc w:val="both"/>
        <w:ind w:right="40"/>
        <w:spacing w:after="0" w:line="238" w:lineRule="auto"/>
        <w:rPr>
          <w:sz w:val="20"/>
          <w:szCs w:val="20"/>
          <w:color w:val="auto"/>
        </w:rPr>
      </w:pPr>
      <w:r>
        <w:rPr>
          <w:rFonts w:ascii="Arial" w:cs="Arial" w:eastAsia="Arial" w:hAnsi="Arial"/>
          <w:sz w:val="14"/>
          <w:szCs w:val="14"/>
          <w:color w:val="auto"/>
        </w:rPr>
        <w:t>On January 17, 2003, the Company adopted the Share Option Plan 2003 (the “2003 Plan”) pursuant to which the Committee may grant options to officers and other employees of the Company or its subsidiaries for the purchase of ordinary shares. Each grant of an option under the 2003 Plan will be evidenced by a Stock Option Agreement between the employee and the Company. The exercise price will be specified in each Stock Option Agreement.</w:t>
      </w:r>
    </w:p>
    <w:p>
      <w:pPr>
        <w:spacing w:after="0" w:line="210" w:lineRule="exact"/>
        <w:rPr>
          <w:sz w:val="20"/>
          <w:szCs w:val="20"/>
          <w:color w:val="auto"/>
        </w:rPr>
      </w:pPr>
    </w:p>
    <w:p>
      <w:pPr>
        <w:jc w:val="both"/>
        <w:ind w:right="200"/>
        <w:spacing w:after="0" w:line="234" w:lineRule="auto"/>
        <w:rPr>
          <w:sz w:val="20"/>
          <w:szCs w:val="20"/>
          <w:color w:val="auto"/>
        </w:rPr>
      </w:pPr>
      <w:r>
        <w:rPr>
          <w:rFonts w:ascii="Arial" w:cs="Arial" w:eastAsia="Arial" w:hAnsi="Arial"/>
          <w:sz w:val="14"/>
          <w:szCs w:val="14"/>
          <w:color w:val="auto"/>
        </w:rPr>
        <w:t>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unless the Board expressly determines otherwise. Further, the maximum number of ordinary shares with respect to which options may be granted under the 2003 Plan during any calendar year to any employee shall be 400,000 ordinary shares. No options can be granted after January 17, 2013.</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2010, is eight years.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2"/>
        </w:trPr>
        <w:tc>
          <w:tcPr>
            <w:tcW w:w="6140" w:type="dxa"/>
            <w:vAlign w:val="bottom"/>
            <w:gridSpan w:val="2"/>
          </w:tcPr>
          <w:p>
            <w:pPr>
              <w:spacing w:after="0"/>
              <w:rPr>
                <w:sz w:val="20"/>
                <w:szCs w:val="20"/>
                <w:color w:val="auto"/>
              </w:rPr>
            </w:pPr>
            <w:r>
              <w:rPr>
                <w:rFonts w:ascii="Arial" w:cs="Arial" w:eastAsia="Arial" w:hAnsi="Arial"/>
                <w:sz w:val="14"/>
                <w:szCs w:val="14"/>
                <w:color w:val="auto"/>
              </w:rPr>
              <w:t>The following table summarizes option activity for the three months ended March 31, 2010:</w:t>
            </w: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2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Options</w:t>
            </w:r>
          </w:p>
        </w:tc>
        <w:tc>
          <w:tcPr>
            <w:tcW w:w="400" w:type="dxa"/>
            <w:vAlign w:val="bottom"/>
          </w:tcPr>
          <w:p>
            <w:pPr>
              <w:spacing w:after="0"/>
              <w:rPr>
                <w:sz w:val="24"/>
                <w:szCs w:val="2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Weighted</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Weighted</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Outstanding</w:t>
            </w:r>
          </w:p>
        </w:tc>
        <w:tc>
          <w:tcPr>
            <w:tcW w:w="40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Exercise</w:t>
            </w:r>
          </w:p>
        </w:tc>
        <w:tc>
          <w:tcPr>
            <w:tcW w:w="400" w:type="dxa"/>
            <w:vAlign w:val="bottom"/>
          </w:tcPr>
          <w:p>
            <w:pPr>
              <w:spacing w:after="0"/>
              <w:rPr>
                <w:sz w:val="12"/>
                <w:szCs w:val="12"/>
                <w:color w:val="auto"/>
              </w:rPr>
            </w:pPr>
          </w:p>
        </w:tc>
        <w:tc>
          <w:tcPr>
            <w:tcW w:w="120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Average</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Price</w:t>
            </w:r>
          </w:p>
        </w:tc>
        <w:tc>
          <w:tcPr>
            <w:tcW w:w="400" w:type="dxa"/>
            <w:vAlign w:val="bottom"/>
          </w:tcPr>
          <w:p>
            <w:pPr>
              <w:spacing w:after="0"/>
              <w:rPr>
                <w:sz w:val="16"/>
                <w:szCs w:val="16"/>
                <w:color w:val="auto"/>
              </w:rPr>
            </w:pPr>
          </w:p>
        </w:tc>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1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Outstanding at December 31, 2009</w:t>
            </w:r>
          </w:p>
        </w:tc>
        <w:tc>
          <w:tcPr>
            <w:tcW w:w="12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5,408,222</w:t>
            </w:r>
          </w:p>
        </w:tc>
        <w:tc>
          <w:tcPr>
            <w:tcW w:w="40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18.99</w:t>
            </w:r>
          </w:p>
        </w:tc>
        <w:tc>
          <w:tcPr>
            <w:tcW w:w="4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7.60</w:t>
            </w:r>
          </w:p>
        </w:tc>
        <w:tc>
          <w:tcPr>
            <w:tcW w:w="106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12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971,552</w:t>
            </w:r>
          </w:p>
        </w:tc>
        <w:tc>
          <w:tcPr>
            <w:tcW w:w="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24.43</w:t>
            </w:r>
          </w:p>
        </w:tc>
        <w:tc>
          <w:tcPr>
            <w:tcW w:w="4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9.13</w:t>
            </w: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color w:val="auto"/>
              </w:rPr>
              <w:t>Exercised</w:t>
            </w:r>
          </w:p>
        </w:tc>
        <w:tc>
          <w:tcPr>
            <w:tcW w:w="1280" w:type="dxa"/>
            <w:vAlign w:val="bottom"/>
          </w:tcPr>
          <w:p>
            <w:pPr>
              <w:jc w:val="right"/>
              <w:ind w:right="8"/>
              <w:spacing w:after="0" w:line="149" w:lineRule="exact"/>
              <w:rPr>
                <w:sz w:val="20"/>
                <w:szCs w:val="20"/>
                <w:color w:val="auto"/>
              </w:rPr>
            </w:pPr>
            <w:r>
              <w:rPr>
                <w:rFonts w:ascii="Arial" w:cs="Arial" w:eastAsia="Arial" w:hAnsi="Arial"/>
                <w:sz w:val="14"/>
                <w:szCs w:val="14"/>
                <w:color w:val="auto"/>
              </w:rPr>
              <w:t>(436,554)</w:t>
            </w:r>
          </w:p>
        </w:tc>
        <w:tc>
          <w:tcPr>
            <w:tcW w:w="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10.24</w:t>
            </w:r>
          </w:p>
        </w:tc>
        <w:tc>
          <w:tcPr>
            <w:tcW w:w="4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4.59</w:t>
            </w: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128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(40,165)</w:t>
            </w:r>
          </w:p>
        </w:tc>
        <w:tc>
          <w:tcPr>
            <w:tcW w:w="40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25.18</w:t>
            </w:r>
          </w:p>
        </w:tc>
        <w:tc>
          <w:tcPr>
            <w:tcW w:w="4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9.76</w:t>
            </w:r>
          </w:p>
        </w:tc>
        <w:tc>
          <w:tcPr>
            <w:tcW w:w="106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Outstanding at March 31, 2010</w:t>
            </w:r>
          </w:p>
        </w:tc>
        <w:tc>
          <w:tcPr>
            <w:tcW w:w="12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5,903,055</w:t>
            </w:r>
          </w:p>
        </w:tc>
        <w:tc>
          <w:tcPr>
            <w:tcW w:w="40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20.49</w:t>
            </w:r>
          </w:p>
        </w:tc>
        <w:tc>
          <w:tcPr>
            <w:tcW w:w="4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8.06</w:t>
            </w: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Exercisable at March 31, 2010</w:t>
            </w:r>
          </w:p>
        </w:tc>
        <w:tc>
          <w:tcPr>
            <w:tcW w:w="12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2,962,110</w:t>
            </w:r>
          </w:p>
        </w:tc>
        <w:tc>
          <w:tcPr>
            <w:tcW w:w="40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16.30</w:t>
            </w:r>
          </w:p>
        </w:tc>
        <w:tc>
          <w:tcPr>
            <w:tcW w:w="4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6.65</w:t>
            </w: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60"/>
        <w:spacing w:after="0" w:line="234" w:lineRule="auto"/>
        <w:rPr>
          <w:sz w:val="20"/>
          <w:szCs w:val="20"/>
          <w:color w:val="auto"/>
        </w:rPr>
      </w:pPr>
      <w:r>
        <w:rPr>
          <w:rFonts w:ascii="Arial" w:cs="Arial" w:eastAsia="Arial" w:hAnsi="Arial"/>
          <w:sz w:val="14"/>
          <w:szCs w:val="14"/>
          <w:color w:val="auto"/>
        </w:rPr>
        <w:t>The Company has granted options with fair values ranging from $3.17 to $13.93 per option or a weighted average fair value of $6.19 per option. The Company issues ordinary shares for all options exercised. The total amount of fully vested share options which remained outstanding at March 31, 2010, was 2,962,110. Fully vested share options at March 31, 2010, have an average remaining contractual term of 3.96 years, an average exercise price of $16.30 and a total intrinsic value of $34.8 million. The total intrinsic value of options exercised during the three months ended March 31, 2010, was $7.2 million (March 31, 2009: $0.3 million).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Non vested shares outstanding as at March 31, 2010,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Weighted</w:t>
            </w:r>
          </w:p>
        </w:tc>
        <w:tc>
          <w:tcPr>
            <w:tcW w:w="40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Outstanding</w:t>
            </w:r>
          </w:p>
        </w:tc>
        <w:tc>
          <w:tcPr>
            <w:tcW w:w="380" w:type="dxa"/>
            <w:vAlign w:val="bottom"/>
          </w:tcPr>
          <w:p>
            <w:pPr>
              <w:spacing w:after="0"/>
              <w:rPr>
                <w:sz w:val="12"/>
                <w:szCs w:val="12"/>
                <w:color w:val="auto"/>
              </w:rPr>
            </w:pPr>
          </w:p>
        </w:tc>
        <w:tc>
          <w:tcPr>
            <w:tcW w:w="9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8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9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Exercise</w:t>
            </w:r>
          </w:p>
        </w:tc>
        <w:tc>
          <w:tcPr>
            <w:tcW w:w="4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of Shares</w:t>
            </w:r>
          </w:p>
        </w:tc>
        <w:tc>
          <w:tcPr>
            <w:tcW w:w="380" w:type="dxa"/>
            <w:vAlign w:val="bottom"/>
          </w:tcPr>
          <w:p>
            <w:pPr>
              <w:spacing w:after="0"/>
              <w:rPr>
                <w:sz w:val="16"/>
                <w:szCs w:val="16"/>
                <w:color w:val="auto"/>
              </w:rPr>
            </w:pPr>
          </w:p>
        </w:tc>
        <w:tc>
          <w:tcPr>
            <w:tcW w:w="960" w:type="dxa"/>
            <w:vAlign w:val="bottom"/>
          </w:tcPr>
          <w:p>
            <w:pPr>
              <w:ind w:left="520"/>
              <w:spacing w:after="0"/>
              <w:rPr>
                <w:sz w:val="20"/>
                <w:szCs w:val="20"/>
                <w:color w:val="auto"/>
              </w:rPr>
            </w:pPr>
            <w:r>
              <w:rPr>
                <w:rFonts w:ascii="Arial" w:cs="Arial" w:eastAsia="Arial" w:hAnsi="Arial"/>
                <w:sz w:val="14"/>
                <w:szCs w:val="14"/>
                <w:b w:val="1"/>
                <w:bCs w:val="1"/>
                <w:color w:val="auto"/>
              </w:rPr>
              <w:t>Price</w:t>
            </w:r>
          </w:p>
        </w:tc>
        <w:tc>
          <w:tcPr>
            <w:tcW w:w="4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1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December 31, 2009</w:t>
            </w:r>
          </w:p>
        </w:tc>
        <w:tc>
          <w:tcPr>
            <w:tcW w:w="46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2,904,687</w:t>
            </w:r>
          </w:p>
        </w:tc>
        <w:tc>
          <w:tcPr>
            <w:tcW w:w="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23.60</w:t>
            </w:r>
          </w:p>
        </w:tc>
        <w:tc>
          <w:tcPr>
            <w:tcW w:w="4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tcBorders>
              <w:top w:val="single" w:sz="8" w:color="CCEEFF"/>
            </w:tcBorders>
          </w:tcPr>
          <w:p>
            <w:pPr>
              <w:spacing w:after="0"/>
              <w:rPr>
                <w:sz w:val="12"/>
                <w:szCs w:val="12"/>
                <w:color w:val="auto"/>
              </w:rPr>
            </w:pPr>
          </w:p>
        </w:tc>
        <w:tc>
          <w:tcPr>
            <w:tcW w:w="3360" w:type="dxa"/>
            <w:vAlign w:val="bottom"/>
            <w:tcBorders>
              <w:top w:val="single" w:sz="8" w:color="CCEEFF"/>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46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971,552</w:t>
            </w:r>
          </w:p>
        </w:tc>
        <w:tc>
          <w:tcPr>
            <w:tcW w:w="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24.43</w:t>
            </w:r>
          </w:p>
        </w:tc>
        <w:tc>
          <w:tcPr>
            <w:tcW w:w="4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Vested</w:t>
            </w:r>
          </w:p>
        </w:tc>
        <w:tc>
          <w:tcPr>
            <w:tcW w:w="46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(866,139)</w:t>
            </w:r>
          </w:p>
        </w:tc>
        <w:tc>
          <w:tcPr>
            <w:tcW w:w="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ind w:left="520"/>
              <w:spacing w:after="0" w:line="149" w:lineRule="exact"/>
              <w:rPr>
                <w:sz w:val="20"/>
                <w:szCs w:val="20"/>
                <w:color w:val="auto"/>
              </w:rPr>
            </w:pPr>
            <w:r>
              <w:rPr>
                <w:rFonts w:ascii="Arial" w:cs="Arial" w:eastAsia="Arial" w:hAnsi="Arial"/>
                <w:sz w:val="14"/>
                <w:szCs w:val="14"/>
                <w:color w:val="auto"/>
              </w:rPr>
              <w:t>20.74</w:t>
            </w:r>
          </w:p>
        </w:tc>
        <w:tc>
          <w:tcPr>
            <w:tcW w:w="4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46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(69,155)</w:t>
            </w:r>
          </w:p>
        </w:tc>
        <w:tc>
          <w:tcPr>
            <w:tcW w:w="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23.79</w:t>
            </w:r>
          </w:p>
        </w:tc>
        <w:tc>
          <w:tcPr>
            <w:tcW w:w="4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tcBorders>
              <w:top w:val="single" w:sz="8" w:color="CCEEFF"/>
            </w:tcBorders>
          </w:tcPr>
          <w:p>
            <w:pPr>
              <w:spacing w:after="0"/>
              <w:rPr>
                <w:sz w:val="12"/>
                <w:szCs w:val="12"/>
                <w:color w:val="auto"/>
              </w:rPr>
            </w:pPr>
          </w:p>
        </w:tc>
        <w:tc>
          <w:tcPr>
            <w:tcW w:w="3360" w:type="dxa"/>
            <w:vAlign w:val="bottom"/>
            <w:tcBorders>
              <w:top w:val="single" w:sz="8" w:color="CCEEFF"/>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March 31, 2010</w:t>
            </w:r>
          </w:p>
        </w:tc>
        <w:tc>
          <w:tcPr>
            <w:tcW w:w="46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2,940,945</w:t>
            </w:r>
          </w:p>
        </w:tc>
        <w:tc>
          <w:tcPr>
            <w:tcW w:w="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22.11</w:t>
            </w:r>
          </w:p>
        </w:tc>
        <w:tc>
          <w:tcPr>
            <w:tcW w:w="4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4140" w:type="dxa"/>
            <w:vAlign w:val="bottom"/>
            <w:tcBorders>
              <w:top w:val="single" w:sz="8" w:color="CCEEFF"/>
            </w:tcBorders>
          </w:tcPr>
          <w:p>
            <w:pPr>
              <w:spacing w:after="0"/>
              <w:rPr>
                <w:sz w:val="24"/>
                <w:szCs w:val="24"/>
                <w:color w:val="auto"/>
              </w:rPr>
            </w:pPr>
          </w:p>
        </w:tc>
        <w:tc>
          <w:tcPr>
            <w:tcW w:w="3360" w:type="dxa"/>
            <w:vAlign w:val="bottom"/>
            <w:tcBorders>
              <w:top w:val="single" w:sz="8" w:color="CCEEFF"/>
            </w:tcBorders>
          </w:tcPr>
          <w:p>
            <w:pPr>
              <w:jc w:val="right"/>
              <w:ind w:right="1668"/>
              <w:spacing w:after="0"/>
              <w:rPr>
                <w:sz w:val="20"/>
                <w:szCs w:val="20"/>
                <w:color w:val="auto"/>
              </w:rPr>
            </w:pPr>
            <w:r>
              <w:rPr>
                <w:rFonts w:ascii="Arial" w:cs="Arial" w:eastAsia="Arial" w:hAnsi="Arial"/>
                <w:sz w:val="14"/>
                <w:szCs w:val="14"/>
                <w:color w:val="auto"/>
              </w:rPr>
              <w:t>10</w:t>
            </w:r>
          </w:p>
        </w:tc>
        <w:tc>
          <w:tcPr>
            <w:tcW w:w="12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140" w:type="dxa"/>
            <w:vAlign w:val="bottom"/>
            <w:tcBorders>
              <w:bottom w:val="single" w:sz="8" w:color="808080"/>
            </w:tcBorders>
          </w:tcPr>
          <w:p>
            <w:pPr>
              <w:spacing w:after="0"/>
              <w:rPr>
                <w:sz w:val="8"/>
                <w:szCs w:val="8"/>
                <w:color w:val="auto"/>
              </w:rPr>
            </w:pPr>
          </w:p>
        </w:tc>
        <w:tc>
          <w:tcPr>
            <w:tcW w:w="33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Fair value of Stock Options Assumptions</w:t>
      </w:r>
    </w:p>
    <w:p>
      <w:pPr>
        <w:spacing w:after="0" w:line="23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The weighted average fair value of options granted during the period ended March 31, 2010, and March 31, 2009 was calculated using the Black-Scholes option pricing model. The weighted average fair values and assumptions used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gridSpan w:val="3"/>
          </w:tcPr>
          <w:p>
            <w:pPr>
              <w:jc w:val="right"/>
              <w:ind w:right="20"/>
              <w:spacing w:after="0" w:line="115" w:lineRule="exact"/>
              <w:rPr>
                <w:sz w:val="20"/>
                <w:szCs w:val="20"/>
                <w:color w:val="auto"/>
              </w:rPr>
            </w:pPr>
            <w:r>
              <w:rPr>
                <w:rFonts w:ascii="Arial" w:cs="Arial" w:eastAsia="Arial" w:hAnsi="Arial"/>
                <w:sz w:val="13"/>
                <w:szCs w:val="13"/>
                <w:b w:val="1"/>
                <w:bCs w:val="1"/>
                <w:color w:val="auto"/>
                <w:w w:val="86"/>
              </w:rPr>
              <w:t>March 31,</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300" w:type="dxa"/>
            <w:vAlign w:val="bottom"/>
            <w:vMerge w:val="restart"/>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gridSpan w:val="2"/>
          </w:tcPr>
          <w:p>
            <w:pPr>
              <w:jc w:val="right"/>
              <w:spacing w:after="0" w:line="116" w:lineRule="exact"/>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20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 average fair value</w:t>
            </w:r>
          </w:p>
        </w:tc>
        <w:tc>
          <w:tcPr>
            <w:tcW w:w="408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5"/>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9.13</w:t>
            </w:r>
          </w:p>
        </w:tc>
        <w:tc>
          <w:tcPr>
            <w:tcW w:w="600" w:type="dxa"/>
            <w:vAlign w:val="bottom"/>
            <w:tcBorders>
              <w:bottom w:val="single" w:sz="8" w:color="auto"/>
              <w:right w:val="single" w:sz="8" w:color="CCEEFF"/>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8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90"/>
              </w:rPr>
              <w:t>Assumptions:</w:t>
            </w:r>
          </w:p>
        </w:tc>
        <w:tc>
          <w:tcPr>
            <w:tcW w:w="4420" w:type="dxa"/>
            <w:vAlign w:val="bottom"/>
            <w:tcBorders>
              <w:bottom w:val="single" w:sz="8" w:color="CCEEFF"/>
            </w:tcBorders>
            <w:shd w:val="clear" w:color="auto" w:fill="CCEEFF"/>
          </w:tcPr>
          <w:p>
            <w:pPr>
              <w:spacing w:after="0"/>
              <w:rPr>
                <w:sz w:val="11"/>
                <w:szCs w:val="11"/>
                <w:color w:val="auto"/>
              </w:rPr>
            </w:pPr>
          </w:p>
        </w:tc>
        <w:tc>
          <w:tcPr>
            <w:tcW w:w="40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right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gridSpan w:val="2"/>
          </w:tcPr>
          <w:p>
            <w:pPr>
              <w:spacing w:after="0" w:line="142" w:lineRule="exact"/>
              <w:rPr>
                <w:sz w:val="20"/>
                <w:szCs w:val="20"/>
                <w:color w:val="auto"/>
              </w:rPr>
            </w:pPr>
            <w:r>
              <w:rPr>
                <w:rFonts w:ascii="Arial" w:cs="Arial" w:eastAsia="Arial" w:hAnsi="Arial"/>
                <w:sz w:val="14"/>
                <w:szCs w:val="14"/>
                <w:color w:val="auto"/>
              </w:rPr>
              <w:t>Expected volatility</w:t>
            </w:r>
          </w:p>
        </w:tc>
        <w:tc>
          <w:tcPr>
            <w:tcW w:w="4080" w:type="dxa"/>
            <w:vAlign w:val="bottom"/>
          </w:tcPr>
          <w:p>
            <w:pPr>
              <w:spacing w:after="0"/>
              <w:rPr>
                <w:sz w:val="12"/>
                <w:szCs w:val="12"/>
                <w:color w:val="auto"/>
              </w:rPr>
            </w:pPr>
          </w:p>
        </w:tc>
        <w:tc>
          <w:tcPr>
            <w:tcW w:w="800" w:type="dxa"/>
            <w:vAlign w:val="bottom"/>
            <w:gridSpan w:val="5"/>
          </w:tcPr>
          <w:p>
            <w:pPr>
              <w:jc w:val="right"/>
              <w:ind w:right="40"/>
              <w:spacing w:after="0" w:line="142" w:lineRule="exact"/>
              <w:rPr>
                <w:sz w:val="20"/>
                <w:szCs w:val="20"/>
                <w:color w:val="auto"/>
              </w:rPr>
            </w:pPr>
            <w:r>
              <w:rPr>
                <w:rFonts w:ascii="Arial" w:cs="Arial" w:eastAsia="Arial" w:hAnsi="Arial"/>
                <w:sz w:val="14"/>
                <w:szCs w:val="14"/>
                <w:color w:val="auto"/>
              </w:rPr>
              <w:t>45%</w:t>
            </w:r>
          </w:p>
        </w:tc>
        <w:tc>
          <w:tcPr>
            <w:tcW w:w="600" w:type="dxa"/>
            <w:vAlign w:val="bottom"/>
          </w:tcPr>
          <w:p>
            <w:pPr>
              <w:spacing w:after="0"/>
              <w:rPr>
                <w:sz w:val="12"/>
                <w:szCs w:val="12"/>
                <w:color w:val="auto"/>
              </w:rPr>
            </w:pPr>
          </w:p>
        </w:tc>
        <w:tc>
          <w:tcPr>
            <w:tcW w:w="7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40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6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Risk-free interest rate</w:t>
            </w:r>
          </w:p>
        </w:tc>
        <w:tc>
          <w:tcPr>
            <w:tcW w:w="4080" w:type="dxa"/>
            <w:vAlign w:val="bottom"/>
          </w:tcPr>
          <w:p>
            <w:pPr>
              <w:spacing w:after="0"/>
              <w:rPr>
                <w:sz w:val="12"/>
                <w:szCs w:val="12"/>
                <w:color w:val="auto"/>
              </w:rPr>
            </w:pPr>
          </w:p>
        </w:tc>
        <w:tc>
          <w:tcPr>
            <w:tcW w:w="80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6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Expected life</w:t>
            </w:r>
          </w:p>
        </w:tc>
        <w:tc>
          <w:tcPr>
            <w:tcW w:w="40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gridSpan w:val="5"/>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4.05 years</w:t>
            </w:r>
          </w:p>
        </w:tc>
        <w:tc>
          <w:tcPr>
            <w:tcW w:w="600" w:type="dxa"/>
            <w:vAlign w:val="bottom"/>
            <w:tcBorders>
              <w:bottom w:val="single" w:sz="8" w:color="auto"/>
              <w:right w:val="single" w:sz="8" w:color="CCEEFF"/>
            </w:tcBorders>
            <w:shd w:val="clear" w:color="auto" w:fill="CCEEFF"/>
          </w:tcPr>
          <w:p>
            <w:pPr>
              <w:spacing w:after="0"/>
              <w:rPr>
                <w:sz w:val="13"/>
                <w:szCs w:val="13"/>
                <w:color w:val="auto"/>
              </w:rPr>
            </w:pPr>
          </w:p>
        </w:tc>
        <w:tc>
          <w:tcPr>
            <w:tcW w:w="720" w:type="dxa"/>
            <w:vAlign w:val="bottom"/>
            <w:tcBorders>
              <w:bottom w:val="single" w:sz="8" w:color="auto"/>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5.11 years</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Restricted Share Units</w:t>
      </w:r>
    </w:p>
    <w:p>
      <w:pPr>
        <w:spacing w:after="0" w:line="231"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On August 7, 2008, the Company issued 6,280 restricted share units to certain employees of the Group. These shares are exercisable over periods ranging from February 26, 2009, to February 26, 2011. The market value of the Company’s shares on date of issue was $41.95.</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Non-cash stock compensation expense</w:t>
      </w: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Income from operations for the three months ended March 31, 2010, is stated after charging $1.8 million in respect of non-cash stock compensation expense. Non-cash stock compensation expense for the three months ended March 31, 2010, has been allocated to direct costs and selling, general and administrative expenses as follows: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Direct costs</w:t>
      </w:r>
    </w:p>
    <w:p>
      <w:pPr>
        <w:spacing w:after="0"/>
        <w:rPr>
          <w:sz w:val="20"/>
          <w:szCs w:val="20"/>
          <w:color w:val="auto"/>
        </w:rPr>
      </w:pPr>
      <w:r>
        <w:rPr>
          <w:rFonts w:ascii="Arial" w:cs="Arial" w:eastAsia="Arial" w:hAnsi="Arial"/>
          <w:sz w:val="13"/>
          <w:szCs w:val="13"/>
          <w:color w:val="auto"/>
        </w:rPr>
        <w:t>Selling, general and administrative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w w:val="93"/>
              </w:rPr>
              <w:t>March 31,</w:t>
            </w:r>
          </w:p>
        </w:tc>
        <w:tc>
          <w:tcPr>
            <w:tcW w:w="720" w:type="dxa"/>
            <w:vAlign w:val="bottom"/>
          </w:tcPr>
          <w:p>
            <w:pPr>
              <w:spacing w:after="0"/>
              <w:rPr>
                <w:sz w:val="11"/>
                <w:szCs w:val="11"/>
                <w:color w:val="auto"/>
              </w:rPr>
            </w:pPr>
          </w:p>
        </w:tc>
        <w:tc>
          <w:tcPr>
            <w:tcW w:w="6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280" w:type="dxa"/>
            <w:vAlign w:val="bottom"/>
            <w:vMerge w:val="restart"/>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4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20" w:type="dxa"/>
            <w:vAlign w:val="bottom"/>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gridSpan w:val="3"/>
          </w:tcPr>
          <w:p>
            <w:pPr>
              <w:jc w:val="right"/>
              <w:spacing w:after="0" w:line="116" w:lineRule="exact"/>
              <w:rPr>
                <w:sz w:val="20"/>
                <w:szCs w:val="20"/>
                <w:color w:val="auto"/>
              </w:rPr>
            </w:pPr>
            <w:r>
              <w:rPr>
                <w:rFonts w:ascii="Arial" w:cs="Arial" w:eastAsia="Arial" w:hAnsi="Arial"/>
                <w:sz w:val="13"/>
                <w:szCs w:val="13"/>
                <w:b w:val="1"/>
                <w:bCs w:val="1"/>
                <w:color w:val="auto"/>
              </w:rPr>
              <w:t>2009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990</w:t>
            </w:r>
          </w:p>
        </w:tc>
        <w:tc>
          <w:tcPr>
            <w:tcW w:w="40" w:type="dxa"/>
            <w:vAlign w:val="bottom"/>
          </w:tcPr>
          <w:p>
            <w:pPr>
              <w:spacing w:after="0"/>
              <w:rPr>
                <w:sz w:val="22"/>
                <w:szCs w:val="22"/>
                <w:color w:val="auto"/>
              </w:rPr>
            </w:pP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174"/>
        </w:trPr>
        <w:tc>
          <w:tcPr>
            <w:tcW w:w="5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807</w:t>
            </w: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297"/>
        </w:trPr>
        <w:tc>
          <w:tcPr>
            <w:tcW w:w="520" w:type="dxa"/>
            <w:vAlign w:val="bottom"/>
            <w:tcBorders>
              <w:bottom w:val="single" w:sz="8" w:color="auto"/>
            </w:tcBorders>
          </w:tcPr>
          <w:p>
            <w:pPr>
              <w:jc w:val="right"/>
              <w:ind w:right="40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1,797</w:t>
            </w:r>
          </w:p>
        </w:tc>
        <w:tc>
          <w:tcPr>
            <w:tcW w:w="7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1,594</w:t>
            </w:r>
          </w:p>
        </w:tc>
        <w:tc>
          <w:tcPr>
            <w:tcW w:w="0" w:type="dxa"/>
            <w:vAlign w:val="bottom"/>
          </w:tcPr>
          <w:p>
            <w:pPr>
              <w:spacing w:after="0"/>
              <w:rPr>
                <w:sz w:val="1"/>
                <w:szCs w:val="1"/>
                <w:color w:val="auto"/>
              </w:rPr>
            </w:pP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-427990</wp:posOffset>
            </wp:positionV>
            <wp:extent cx="724662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-222250</wp:posOffset>
            </wp:positionV>
            <wp:extent cx="724662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80" w:space="720"/>
            <w:col w:w="2520"/>
          </w:cols>
          <w:pgMar w:left="240" w:top="364" w:right="239" w:bottom="1440" w:gutter="0" w:footer="0" w:header="0"/>
          <w:type w:val="continuous"/>
        </w:sectPr>
      </w:pPr>
    </w:p>
    <w:p>
      <w:pPr>
        <w:spacing w:after="0" w:line="24"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Total non-cash stock compensation expense not yet recognized at March 31, 2010, amounted to U.S.$24.8 million. The weighted average period over which this is expected to be recognized is 2.17 years. Total tax benefit recognized in additional paid in capital related to the non-cash compensation expense amounted to U.S. $1.2 million for the three months ended March 31, 2010 (2009: U.S.$nil).</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6. Business Segment Information</w:t>
      </w:r>
    </w:p>
    <w:p>
      <w:pPr>
        <w:spacing w:after="0" w:line="235" w:lineRule="exact"/>
        <w:rPr>
          <w:sz w:val="20"/>
          <w:szCs w:val="20"/>
          <w:color w:val="auto"/>
        </w:rPr>
      </w:pPr>
    </w:p>
    <w:p>
      <w:pPr>
        <w:ind w:right="600"/>
        <w:spacing w:after="0" w:line="291" w:lineRule="auto"/>
        <w:rPr>
          <w:sz w:val="20"/>
          <w:szCs w:val="20"/>
          <w:color w:val="auto"/>
        </w:rPr>
      </w:pPr>
      <w:r>
        <w:rPr>
          <w:rFonts w:ascii="Arial" w:cs="Arial" w:eastAsia="Arial" w:hAnsi="Arial"/>
          <w:sz w:val="13"/>
          <w:szCs w:val="13"/>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3"/>
          <w:szCs w:val="13"/>
          <w:i w:val="1"/>
          <w:iCs w:val="1"/>
          <w:color w:val="auto"/>
        </w:rPr>
        <w:t>Disclosures about Segments of an Enterprises and Related Information</w:t>
      </w:r>
      <w:r>
        <w:rPr>
          <w:rFonts w:ascii="Arial" w:cs="Arial" w:eastAsia="Arial" w:hAnsi="Arial"/>
          <w:sz w:val="13"/>
          <w:szCs w:val="13"/>
          <w:color w:val="auto"/>
        </w:rPr>
        <w:t>.</w:t>
      </w:r>
    </w:p>
    <w:p>
      <w:pPr>
        <w:spacing w:after="0" w:line="178"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The Company's areas of operation outside of Ireland principally include the United States, United Kingdom, France, Germany, Italy, Spain, The Netherlands, Denmark, Sweden, Finland, Poland, Czech Republic, Lithuania, Latvia, Russia, Ukraine, Hungary, Israel, Romania, Canada, Mexico, Brazil, Colombia, Argentina, Chile, Peru, India, China, Hong Kong, South Korea, Japan, Thailand, Taiwan, Singapore, The Philippines, Australia, New Zealand and South Africa. Segment information as at March 31, 2010 and March 31, 2009 and for the three months ended March 31, 2010 and March 31, 2009, is as follows:</w:t>
      </w:r>
    </w:p>
    <w:p>
      <w:pPr>
        <w:spacing w:after="0" w:line="209" w:lineRule="exact"/>
        <w:rPr>
          <w:sz w:val="20"/>
          <w:szCs w:val="20"/>
          <w:color w:val="auto"/>
        </w:rPr>
      </w:pPr>
    </w:p>
    <w:tbl>
      <w:tblPr>
        <w:tblLayout w:type="fixed"/>
        <w:tblInd w:w="240" w:type="dxa"/>
        <w:tblCellMar>
          <w:top w:w="0" w:type="dxa"/>
          <w:left w:w="0" w:type="dxa"/>
          <w:bottom w:w="0" w:type="dxa"/>
          <w:right w:w="0" w:type="dxa"/>
        </w:tblCellMar>
      </w:tblPr>
      <w:tr>
        <w:trPr>
          <w:trHeight w:val="182"/>
        </w:trPr>
        <w:tc>
          <w:tcPr>
            <w:tcW w:w="6780" w:type="dxa"/>
            <w:vAlign w:val="bottom"/>
            <w:gridSpan w:val="2"/>
          </w:tcPr>
          <w:p>
            <w:pPr>
              <w:spacing w:after="0"/>
              <w:rPr>
                <w:sz w:val="20"/>
                <w:szCs w:val="20"/>
                <w:color w:val="auto"/>
              </w:rPr>
            </w:pPr>
            <w:r>
              <w:rPr>
                <w:rFonts w:ascii="Arial" w:cs="Arial" w:eastAsia="Arial" w:hAnsi="Arial"/>
                <w:sz w:val="14"/>
                <w:szCs w:val="14"/>
                <w:color w:val="auto"/>
              </w:rPr>
              <w:t>a) The distribution of net revenue by geographical area was as follows:</w:t>
            </w:r>
          </w:p>
        </w:tc>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7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0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w w:val="83"/>
              </w:rPr>
              <w:t>March 31,</w:t>
            </w: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gridSpan w:val="4"/>
          </w:tcPr>
          <w:p>
            <w:pPr>
              <w:jc w:val="right"/>
              <w:ind w:right="20"/>
              <w:spacing w:after="0" w:line="129" w:lineRule="exact"/>
              <w:rPr>
                <w:sz w:val="20"/>
                <w:szCs w:val="20"/>
                <w:color w:val="auto"/>
              </w:rPr>
            </w:pPr>
            <w:r>
              <w:rPr>
                <w:rFonts w:ascii="Arial" w:cs="Arial" w:eastAsia="Arial" w:hAnsi="Arial"/>
                <w:sz w:val="14"/>
                <w:szCs w:val="14"/>
                <w:b w:val="1"/>
                <w:bCs w:val="1"/>
                <w:color w:val="auto"/>
                <w:w w:val="83"/>
              </w:rPr>
              <w:t>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top w:val="single" w:sz="8" w:color="auto"/>
            </w:tcBorders>
            <w:gridSpan w:val="3"/>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2010</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right"/>
              <w:ind w:right="88"/>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22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28,972</w:t>
            </w:r>
          </w:p>
        </w:tc>
        <w:tc>
          <w:tcPr>
            <w:tcW w:w="6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43,680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2240" w:type="dxa"/>
            <w:vAlign w:val="bottom"/>
          </w:tcPr>
          <w:p>
            <w:pPr>
              <w:spacing w:after="0"/>
              <w:rPr>
                <w:sz w:val="12"/>
                <w:szCs w:val="12"/>
                <w:color w:val="auto"/>
              </w:rPr>
            </w:pPr>
          </w:p>
        </w:tc>
        <w:tc>
          <w:tcPr>
            <w:tcW w:w="88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70,738</w:t>
            </w:r>
          </w:p>
        </w:tc>
        <w:tc>
          <w:tcPr>
            <w:tcW w:w="660" w:type="dxa"/>
            <w:vAlign w:val="bottom"/>
          </w:tcPr>
          <w:p>
            <w:pPr>
              <w:spacing w:after="0"/>
              <w:rPr>
                <w:sz w:val="12"/>
                <w:szCs w:val="12"/>
                <w:color w:val="auto"/>
              </w:rPr>
            </w:pPr>
          </w:p>
        </w:tc>
        <w:tc>
          <w:tcPr>
            <w:tcW w:w="6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55,195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2240" w:type="dxa"/>
            <w:vAlign w:val="bottom"/>
            <w:shd w:val="clear" w:color="auto" w:fill="CCEEFF"/>
          </w:tcPr>
          <w:p>
            <w:pPr>
              <w:spacing w:after="0"/>
              <w:rPr>
                <w:sz w:val="12"/>
                <w:szCs w:val="12"/>
                <w:color w:val="auto"/>
              </w:rPr>
            </w:pPr>
          </w:p>
        </w:tc>
        <w:tc>
          <w:tcPr>
            <w:tcW w:w="88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97,455</w:t>
            </w:r>
          </w:p>
        </w:tc>
        <w:tc>
          <w:tcPr>
            <w:tcW w:w="66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103,238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2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6"/>
          </w:tcPr>
          <w:p>
            <w:pPr>
              <w:jc w:val="right"/>
              <w:spacing w:after="0" w:line="149" w:lineRule="exact"/>
              <w:rPr>
                <w:sz w:val="20"/>
                <w:szCs w:val="20"/>
                <w:color w:val="auto"/>
              </w:rPr>
            </w:pPr>
            <w:r>
              <w:rPr>
                <w:rFonts w:ascii="Arial" w:cs="Arial" w:eastAsia="Arial" w:hAnsi="Arial"/>
                <w:sz w:val="14"/>
                <w:szCs w:val="14"/>
                <w:color w:val="auto"/>
              </w:rPr>
              <w:t>21,947</w:t>
            </w:r>
          </w:p>
        </w:tc>
        <w:tc>
          <w:tcPr>
            <w:tcW w:w="6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17,718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22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color w:val="auto"/>
              </w:rPr>
              <w:t>219,112</w:t>
            </w:r>
          </w:p>
        </w:tc>
        <w:tc>
          <w:tcPr>
            <w:tcW w:w="6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219,831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 All sales shown for Ireland are export sales.</w:t>
            </w:r>
          </w:p>
        </w:tc>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6"/>
        </w:trPr>
        <w:tc>
          <w:tcPr>
            <w:tcW w:w="6780" w:type="dxa"/>
            <w:vAlign w:val="bottom"/>
            <w:gridSpan w:val="2"/>
          </w:tcPr>
          <w:p>
            <w:pPr>
              <w:spacing w:after="0"/>
              <w:rPr>
                <w:sz w:val="20"/>
                <w:szCs w:val="20"/>
                <w:color w:val="auto"/>
              </w:rPr>
            </w:pPr>
            <w:r>
              <w:rPr>
                <w:rFonts w:ascii="Arial" w:cs="Arial" w:eastAsia="Arial" w:hAnsi="Arial"/>
                <w:sz w:val="14"/>
                <w:szCs w:val="14"/>
                <w:color w:val="auto"/>
              </w:rPr>
              <w:t>b) The distribution of income from operations by geographical area was as follows:</w:t>
            </w: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7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80" w:type="dxa"/>
            <w:vAlign w:val="bottom"/>
            <w:gridSpan w:val="6"/>
          </w:tcPr>
          <w:p>
            <w:pPr>
              <w:jc w:val="right"/>
              <w:spacing w:after="0" w:line="129" w:lineRule="exact"/>
              <w:rPr>
                <w:sz w:val="20"/>
                <w:szCs w:val="20"/>
                <w:color w:val="auto"/>
              </w:rPr>
            </w:pPr>
            <w:r>
              <w:rPr>
                <w:rFonts w:ascii="Arial" w:cs="Arial" w:eastAsia="Arial" w:hAnsi="Arial"/>
                <w:sz w:val="14"/>
                <w:szCs w:val="14"/>
                <w:b w:val="1"/>
                <w:bCs w:val="1"/>
                <w:color w:val="auto"/>
              </w:rPr>
              <w:t>March 31,</w:t>
            </w:r>
          </w:p>
        </w:tc>
        <w:tc>
          <w:tcPr>
            <w:tcW w:w="660" w:type="dxa"/>
            <w:vAlign w:val="bottom"/>
          </w:tcPr>
          <w:p>
            <w:pPr>
              <w:spacing w:after="0"/>
              <w:rPr>
                <w:sz w:val="11"/>
                <w:szCs w:val="11"/>
                <w:color w:val="auto"/>
              </w:rPr>
            </w:pPr>
          </w:p>
        </w:tc>
        <w:tc>
          <w:tcPr>
            <w:tcW w:w="640" w:type="dxa"/>
            <w:vAlign w:val="bottom"/>
            <w:gridSpan w:val="5"/>
          </w:tcPr>
          <w:p>
            <w:pPr>
              <w:jc w:val="right"/>
              <w:ind w:right="20"/>
              <w:spacing w:after="0" w:line="12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7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w w:val="76"/>
              </w:rPr>
              <w:t>thousands)</w:t>
            </w:r>
          </w:p>
        </w:tc>
        <w:tc>
          <w:tcPr>
            <w:tcW w:w="62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3"/>
              </w:rPr>
              <w:t>(in</w:t>
            </w: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22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9,534</w:t>
            </w:r>
          </w:p>
        </w:tc>
        <w:tc>
          <w:tcPr>
            <w:tcW w:w="6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18,818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2240" w:type="dxa"/>
            <w:vAlign w:val="bottom"/>
          </w:tcPr>
          <w:p>
            <w:pPr>
              <w:spacing w:after="0"/>
              <w:rPr>
                <w:sz w:val="12"/>
                <w:szCs w:val="12"/>
                <w:color w:val="auto"/>
              </w:rPr>
            </w:pPr>
          </w:p>
        </w:tc>
        <w:tc>
          <w:tcPr>
            <w:tcW w:w="88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7,859</w:t>
            </w:r>
          </w:p>
        </w:tc>
        <w:tc>
          <w:tcPr>
            <w:tcW w:w="660" w:type="dxa"/>
            <w:vAlign w:val="bottom"/>
          </w:tcPr>
          <w:p>
            <w:pPr>
              <w:spacing w:after="0"/>
              <w:rPr>
                <w:sz w:val="12"/>
                <w:szCs w:val="12"/>
                <w:color w:val="auto"/>
              </w:rPr>
            </w:pPr>
          </w:p>
        </w:tc>
        <w:tc>
          <w:tcPr>
            <w:tcW w:w="6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2240" w:type="dxa"/>
            <w:vAlign w:val="bottom"/>
            <w:shd w:val="clear" w:color="auto" w:fill="CCEEFF"/>
          </w:tcPr>
          <w:p>
            <w:pPr>
              <w:spacing w:after="0"/>
              <w:rPr>
                <w:sz w:val="12"/>
                <w:szCs w:val="12"/>
                <w:color w:val="auto"/>
              </w:rPr>
            </w:pPr>
          </w:p>
        </w:tc>
        <w:tc>
          <w:tcPr>
            <w:tcW w:w="88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7,669</w:t>
            </w:r>
          </w:p>
        </w:tc>
        <w:tc>
          <w:tcPr>
            <w:tcW w:w="66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6,350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2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6"/>
          </w:tcPr>
          <w:p>
            <w:pPr>
              <w:jc w:val="right"/>
              <w:spacing w:after="0" w:line="149" w:lineRule="exact"/>
              <w:rPr>
                <w:sz w:val="20"/>
                <w:szCs w:val="20"/>
                <w:color w:val="auto"/>
              </w:rPr>
            </w:pPr>
            <w:r>
              <w:rPr>
                <w:rFonts w:ascii="Arial" w:cs="Arial" w:eastAsia="Arial" w:hAnsi="Arial"/>
                <w:sz w:val="14"/>
                <w:szCs w:val="14"/>
                <w:color w:val="auto"/>
              </w:rPr>
              <w:t>1,716</w:t>
            </w:r>
          </w:p>
        </w:tc>
        <w:tc>
          <w:tcPr>
            <w:tcW w:w="6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855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22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color w:val="auto"/>
              </w:rPr>
              <w:t>26,778</w:t>
            </w:r>
          </w:p>
        </w:tc>
        <w:tc>
          <w:tcPr>
            <w:tcW w:w="6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26,915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 The distribution of property, plant and equipment, net, by geographical area was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940" w:type="dxa"/>
            <w:vAlign w:val="bottom"/>
            <w:gridSpan w:val="4"/>
          </w:tcPr>
          <w:p>
            <w:pPr>
              <w:ind w:left="20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29"/>
        </w:trPr>
        <w:tc>
          <w:tcPr>
            <w:tcW w:w="2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r>
      <w:tr>
        <w:trPr>
          <w:trHeight w:val="20"/>
        </w:trPr>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2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(in</w:t>
            </w:r>
          </w:p>
        </w:tc>
        <w:tc>
          <w:tcPr>
            <w:tcW w:w="13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thousands)</w:t>
            </w:r>
          </w:p>
        </w:tc>
      </w:tr>
      <w:tr>
        <w:trPr>
          <w:trHeight w:val="149"/>
        </w:trPr>
        <w:tc>
          <w:tcPr>
            <w:tcW w:w="24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58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109,108</w:t>
            </w:r>
          </w:p>
        </w:tc>
        <w:tc>
          <w:tcPr>
            <w:tcW w:w="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107,049</w:t>
            </w:r>
          </w:p>
        </w:tc>
        <w:tc>
          <w:tcPr>
            <w:tcW w:w="20" w:type="dxa"/>
            <w:vAlign w:val="bottom"/>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5820" w:type="dxa"/>
            <w:vAlign w:val="bottom"/>
          </w:tcPr>
          <w:p>
            <w:pPr>
              <w:spacing w:after="0"/>
              <w:rPr>
                <w:sz w:val="12"/>
                <w:szCs w:val="12"/>
                <w:color w:val="auto"/>
              </w:rPr>
            </w:pPr>
          </w:p>
        </w:tc>
        <w:tc>
          <w:tcPr>
            <w:tcW w:w="94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15,577</w:t>
            </w:r>
          </w:p>
        </w:tc>
        <w:tc>
          <w:tcPr>
            <w:tcW w:w="3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16,673</w:t>
            </w:r>
          </w:p>
        </w:tc>
        <w:tc>
          <w:tcPr>
            <w:tcW w:w="20" w:type="dxa"/>
            <w:vAlign w:val="bottom"/>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82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37,013</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45,194</w:t>
            </w:r>
          </w:p>
        </w:tc>
        <w:tc>
          <w:tcPr>
            <w:tcW w:w="20" w:type="dxa"/>
            <w:vAlign w:val="bottom"/>
          </w:tcPr>
          <w:p>
            <w:pPr>
              <w:spacing w:after="0"/>
              <w:rPr>
                <w:sz w:val="12"/>
                <w:szCs w:val="12"/>
                <w:color w:val="auto"/>
              </w:rPr>
            </w:pPr>
          </w:p>
        </w:tc>
      </w:tr>
      <w:tr>
        <w:trPr>
          <w:trHeight w:val="156"/>
        </w:trPr>
        <w:tc>
          <w:tcPr>
            <w:tcW w:w="240" w:type="dxa"/>
            <w:vAlign w:val="bottom"/>
          </w:tcPr>
          <w:p>
            <w:pPr>
              <w:spacing w:after="0"/>
              <w:rPr>
                <w:sz w:val="13"/>
                <w:szCs w:val="13"/>
                <w:color w:val="auto"/>
              </w:rPr>
            </w:pPr>
          </w:p>
        </w:tc>
        <w:tc>
          <w:tcPr>
            <w:tcW w:w="32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58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4"/>
          </w:tcPr>
          <w:p>
            <w:pPr>
              <w:jc w:val="right"/>
              <w:ind w:right="28"/>
              <w:spacing w:after="0" w:line="149" w:lineRule="exact"/>
              <w:rPr>
                <w:sz w:val="20"/>
                <w:szCs w:val="20"/>
                <w:color w:val="auto"/>
              </w:rPr>
            </w:pPr>
            <w:r>
              <w:rPr>
                <w:rFonts w:ascii="Arial" w:cs="Arial" w:eastAsia="Arial" w:hAnsi="Arial"/>
                <w:sz w:val="14"/>
                <w:szCs w:val="14"/>
                <w:color w:val="auto"/>
              </w:rPr>
              <w:t>10,714</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10,073</w:t>
            </w:r>
          </w:p>
        </w:tc>
        <w:tc>
          <w:tcPr>
            <w:tcW w:w="20" w:type="dxa"/>
            <w:vAlign w:val="bottom"/>
          </w:tcPr>
          <w:p>
            <w:pPr>
              <w:spacing w:after="0"/>
              <w:rPr>
                <w:sz w:val="13"/>
                <w:szCs w:val="13"/>
                <w:color w:val="auto"/>
              </w:rPr>
            </w:pPr>
          </w:p>
        </w:tc>
      </w:tr>
      <w:tr>
        <w:trPr>
          <w:trHeight w:val="338"/>
        </w:trPr>
        <w:tc>
          <w:tcPr>
            <w:tcW w:w="240" w:type="dxa"/>
            <w:vAlign w:val="bottom"/>
          </w:tcPr>
          <w:p>
            <w:pPr>
              <w:spacing w:after="0"/>
              <w:rPr>
                <w:sz w:val="24"/>
                <w:szCs w:val="24"/>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58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172,412</w:t>
            </w:r>
          </w:p>
        </w:tc>
        <w:tc>
          <w:tcPr>
            <w:tcW w:w="3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178,989</w:t>
            </w:r>
          </w:p>
        </w:tc>
        <w:tc>
          <w:tcPr>
            <w:tcW w:w="20" w:type="dxa"/>
            <w:vAlign w:val="bottom"/>
          </w:tcPr>
          <w:p>
            <w:pPr>
              <w:spacing w:after="0"/>
              <w:rPr>
                <w:sz w:val="24"/>
                <w:szCs w:val="24"/>
                <w:color w:val="auto"/>
              </w:rPr>
            </w:pPr>
          </w:p>
        </w:tc>
      </w:tr>
      <w:tr>
        <w:trPr>
          <w:trHeight w:val="643"/>
        </w:trPr>
        <w:tc>
          <w:tcPr>
            <w:tcW w:w="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820" w:type="dxa"/>
            <w:vAlign w:val="bottom"/>
          </w:tcPr>
          <w:p>
            <w:pPr>
              <w:jc w:val="right"/>
              <w:ind w:right="3408"/>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240" w:type="dxa"/>
            <w:vAlign w:val="bottom"/>
            <w:tcBorders>
              <w:bottom w:val="single" w:sz="8" w:color="808080"/>
            </w:tcBorders>
          </w:tcPr>
          <w:p>
            <w:pPr>
              <w:spacing w:after="0"/>
              <w:rPr>
                <w:sz w:val="8"/>
                <w:szCs w:val="8"/>
                <w:color w:val="auto"/>
              </w:rPr>
            </w:pPr>
          </w:p>
        </w:tc>
        <w:tc>
          <w:tcPr>
            <w:tcW w:w="3200" w:type="dxa"/>
            <w:vAlign w:val="bottom"/>
            <w:tcBorders>
              <w:bottom w:val="single" w:sz="8" w:color="808080"/>
            </w:tcBorders>
          </w:tcPr>
          <w:p>
            <w:pPr>
              <w:spacing w:after="0"/>
              <w:rPr>
                <w:sz w:val="8"/>
                <w:szCs w:val="8"/>
                <w:color w:val="auto"/>
              </w:rPr>
            </w:pPr>
          </w:p>
        </w:tc>
        <w:tc>
          <w:tcPr>
            <w:tcW w:w="58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2"/>
        </w:trPr>
        <w:tc>
          <w:tcPr>
            <w:tcW w:w="240" w:type="dxa"/>
            <w:vAlign w:val="bottom"/>
          </w:tcPr>
          <w:p>
            <w:pPr>
              <w:spacing w:after="0"/>
              <w:rPr>
                <w:sz w:val="15"/>
                <w:szCs w:val="15"/>
                <w:color w:val="auto"/>
              </w:rPr>
            </w:pPr>
          </w:p>
        </w:tc>
        <w:tc>
          <w:tcPr>
            <w:tcW w:w="5300" w:type="dxa"/>
            <w:vAlign w:val="bottom"/>
          </w:tcPr>
          <w:p>
            <w:pPr>
              <w:ind w:left="40"/>
              <w:spacing w:after="0"/>
              <w:rPr>
                <w:sz w:val="20"/>
                <w:szCs w:val="20"/>
                <w:color w:val="auto"/>
              </w:rPr>
            </w:pPr>
            <w:r>
              <w:rPr>
                <w:rFonts w:ascii="Arial" w:cs="Arial" w:eastAsia="Arial" w:hAnsi="Arial"/>
                <w:sz w:val="14"/>
                <w:szCs w:val="14"/>
                <w:color w:val="auto"/>
                <w:w w:val="95"/>
              </w:rPr>
              <w:t>d) The distribution of depreciation and amortization by geographical area was as follows:</w:t>
            </w:r>
          </w:p>
        </w:tc>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9"/>
        </w:trPr>
        <w:tc>
          <w:tcPr>
            <w:tcW w:w="24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w w:val="93"/>
              </w:rPr>
              <w:t>Three Months Ended</w:t>
            </w:r>
          </w:p>
        </w:tc>
      </w:tr>
      <w:tr>
        <w:trPr>
          <w:trHeight w:val="129"/>
        </w:trPr>
        <w:tc>
          <w:tcPr>
            <w:tcW w:w="24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w w:val="80"/>
              </w:rPr>
              <w:t>March 31,</w:t>
            </w: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w w:val="80"/>
              </w:rPr>
              <w:t>March 31,</w:t>
            </w:r>
          </w:p>
        </w:tc>
      </w:tr>
      <w:tr>
        <w:trPr>
          <w:trHeight w:val="129"/>
        </w:trPr>
        <w:tc>
          <w:tcPr>
            <w:tcW w:w="24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r>
      <w:tr>
        <w:trPr>
          <w:trHeight w:val="142"/>
        </w:trPr>
        <w:tc>
          <w:tcPr>
            <w:tcW w:w="2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3"/>
              </w:rPr>
              <w:t>(in</w:t>
            </w:r>
          </w:p>
        </w:tc>
        <w:tc>
          <w:tcPr>
            <w:tcW w:w="10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2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37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2,630</w:t>
            </w:r>
          </w:p>
        </w:tc>
        <w:tc>
          <w:tcPr>
            <w:tcW w:w="4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2,152</w:t>
            </w:r>
          </w:p>
        </w:tc>
        <w:tc>
          <w:tcPr>
            <w:tcW w:w="20" w:type="dxa"/>
            <w:vAlign w:val="bottom"/>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3720" w:type="dxa"/>
            <w:vAlign w:val="bottom"/>
          </w:tcPr>
          <w:p>
            <w:pPr>
              <w:spacing w:after="0"/>
              <w:rPr>
                <w:sz w:val="12"/>
                <w:szCs w:val="12"/>
                <w:color w:val="auto"/>
              </w:rPr>
            </w:pPr>
          </w:p>
        </w:tc>
        <w:tc>
          <w:tcPr>
            <w:tcW w:w="86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1,576</w:t>
            </w:r>
          </w:p>
        </w:tc>
        <w:tc>
          <w:tcPr>
            <w:tcW w:w="46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1,415</w:t>
            </w:r>
          </w:p>
        </w:tc>
        <w:tc>
          <w:tcPr>
            <w:tcW w:w="20" w:type="dxa"/>
            <w:vAlign w:val="bottom"/>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3720" w:type="dxa"/>
            <w:vAlign w:val="bottom"/>
            <w:shd w:val="clear" w:color="auto" w:fill="CCEEFF"/>
          </w:tcPr>
          <w:p>
            <w:pPr>
              <w:spacing w:after="0"/>
              <w:rPr>
                <w:sz w:val="12"/>
                <w:szCs w:val="12"/>
                <w:color w:val="auto"/>
              </w:rPr>
            </w:pPr>
          </w:p>
        </w:tc>
        <w:tc>
          <w:tcPr>
            <w:tcW w:w="86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3,568</w:t>
            </w:r>
          </w:p>
        </w:tc>
        <w:tc>
          <w:tcPr>
            <w:tcW w:w="4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3,284</w:t>
            </w:r>
          </w:p>
        </w:tc>
        <w:tc>
          <w:tcPr>
            <w:tcW w:w="20" w:type="dxa"/>
            <w:vAlign w:val="bottom"/>
          </w:tcPr>
          <w:p>
            <w:pPr>
              <w:spacing w:after="0"/>
              <w:rPr>
                <w:sz w:val="12"/>
                <w:szCs w:val="12"/>
                <w:color w:val="auto"/>
              </w:rPr>
            </w:pPr>
          </w:p>
        </w:tc>
      </w:tr>
      <w:tr>
        <w:trPr>
          <w:trHeight w:val="156"/>
        </w:trPr>
        <w:tc>
          <w:tcPr>
            <w:tcW w:w="240" w:type="dxa"/>
            <w:vAlign w:val="bottom"/>
          </w:tcPr>
          <w:p>
            <w:pPr>
              <w:spacing w:after="0"/>
              <w:rPr>
                <w:sz w:val="13"/>
                <w:szCs w:val="13"/>
                <w:color w:val="auto"/>
              </w:rPr>
            </w:pPr>
          </w:p>
        </w:tc>
        <w:tc>
          <w:tcPr>
            <w:tcW w:w="53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37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5"/>
          </w:tcPr>
          <w:p>
            <w:pPr>
              <w:jc w:val="right"/>
              <w:spacing w:after="0" w:line="149" w:lineRule="exact"/>
              <w:rPr>
                <w:sz w:val="20"/>
                <w:szCs w:val="20"/>
                <w:color w:val="auto"/>
              </w:rPr>
            </w:pPr>
            <w:r>
              <w:rPr>
                <w:rFonts w:ascii="Arial" w:cs="Arial" w:eastAsia="Arial" w:hAnsi="Arial"/>
                <w:sz w:val="14"/>
                <w:szCs w:val="14"/>
                <w:color w:val="auto"/>
              </w:rPr>
              <w:t>948</w:t>
            </w: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639</w:t>
            </w:r>
          </w:p>
        </w:tc>
        <w:tc>
          <w:tcPr>
            <w:tcW w:w="20" w:type="dxa"/>
            <w:vAlign w:val="bottom"/>
          </w:tcPr>
          <w:p>
            <w:pPr>
              <w:spacing w:after="0"/>
              <w:rPr>
                <w:sz w:val="13"/>
                <w:szCs w:val="13"/>
                <w:color w:val="auto"/>
              </w:rPr>
            </w:pPr>
          </w:p>
        </w:tc>
      </w:tr>
      <w:tr>
        <w:trPr>
          <w:trHeight w:val="338"/>
        </w:trPr>
        <w:tc>
          <w:tcPr>
            <w:tcW w:w="240" w:type="dxa"/>
            <w:vAlign w:val="bottom"/>
          </w:tcPr>
          <w:p>
            <w:pPr>
              <w:spacing w:after="0"/>
              <w:rPr>
                <w:sz w:val="24"/>
                <w:szCs w:val="24"/>
                <w:color w:val="auto"/>
              </w:rPr>
            </w:pPr>
          </w:p>
        </w:tc>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3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color w:val="auto"/>
              </w:rPr>
              <w:t>8,722</w:t>
            </w:r>
          </w:p>
        </w:tc>
        <w:tc>
          <w:tcPr>
            <w:tcW w:w="4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$7,490</w:t>
            </w:r>
          </w:p>
        </w:tc>
        <w:tc>
          <w:tcPr>
            <w:tcW w:w="20" w:type="dxa"/>
            <w:vAlign w:val="bottom"/>
          </w:tcPr>
          <w:p>
            <w:pPr>
              <w:spacing w:after="0"/>
              <w:rPr>
                <w:sz w:val="24"/>
                <w:szCs w:val="24"/>
                <w:color w:val="auto"/>
              </w:rPr>
            </w:pPr>
          </w:p>
        </w:tc>
      </w:tr>
      <w:tr>
        <w:trPr>
          <w:trHeight w:val="792"/>
        </w:trPr>
        <w:tc>
          <w:tcPr>
            <w:tcW w:w="24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Arial" w:cs="Arial" w:eastAsia="Arial" w:hAnsi="Arial"/>
                <w:sz w:val="14"/>
                <w:szCs w:val="14"/>
                <w:color w:val="auto"/>
              </w:rPr>
              <w:t>e) The distribution of total assets by geographical area was as follows:</w:t>
            </w: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9"/>
        </w:trPr>
        <w:tc>
          <w:tcPr>
            <w:tcW w:w="24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860" w:type="dxa"/>
            <w:vAlign w:val="bottom"/>
            <w:gridSpan w:val="6"/>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23"/>
                <w:szCs w:val="23"/>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0"/>
              </w:rPr>
              <w:t>December 31,</w:t>
            </w:r>
          </w:p>
        </w:tc>
      </w:tr>
      <w:tr>
        <w:trPr>
          <w:trHeight w:val="129"/>
        </w:trPr>
        <w:tc>
          <w:tcPr>
            <w:tcW w:w="24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r>
      <w:tr>
        <w:trPr>
          <w:trHeight w:val="142"/>
        </w:trPr>
        <w:tc>
          <w:tcPr>
            <w:tcW w:w="2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2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37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368,065</w:t>
            </w:r>
          </w:p>
        </w:tc>
        <w:tc>
          <w:tcPr>
            <w:tcW w:w="4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319,528</w:t>
            </w:r>
          </w:p>
        </w:tc>
        <w:tc>
          <w:tcPr>
            <w:tcW w:w="20" w:type="dxa"/>
            <w:vAlign w:val="bottom"/>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3720" w:type="dxa"/>
            <w:vAlign w:val="bottom"/>
          </w:tcPr>
          <w:p>
            <w:pPr>
              <w:spacing w:after="0"/>
              <w:rPr>
                <w:sz w:val="12"/>
                <w:szCs w:val="12"/>
                <w:color w:val="auto"/>
              </w:rPr>
            </w:pPr>
          </w:p>
        </w:tc>
        <w:tc>
          <w:tcPr>
            <w:tcW w:w="86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151,152</w:t>
            </w:r>
          </w:p>
        </w:tc>
        <w:tc>
          <w:tcPr>
            <w:tcW w:w="46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184,630</w:t>
            </w:r>
          </w:p>
        </w:tc>
        <w:tc>
          <w:tcPr>
            <w:tcW w:w="20" w:type="dxa"/>
            <w:vAlign w:val="bottom"/>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3720" w:type="dxa"/>
            <w:vAlign w:val="bottom"/>
            <w:shd w:val="clear" w:color="auto" w:fill="CCEEFF"/>
          </w:tcPr>
          <w:p>
            <w:pPr>
              <w:spacing w:after="0"/>
              <w:rPr>
                <w:sz w:val="12"/>
                <w:szCs w:val="12"/>
                <w:color w:val="auto"/>
              </w:rPr>
            </w:pPr>
          </w:p>
        </w:tc>
        <w:tc>
          <w:tcPr>
            <w:tcW w:w="86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342,601</w:t>
            </w:r>
          </w:p>
        </w:tc>
        <w:tc>
          <w:tcPr>
            <w:tcW w:w="4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375,682</w:t>
            </w:r>
          </w:p>
        </w:tc>
        <w:tc>
          <w:tcPr>
            <w:tcW w:w="20" w:type="dxa"/>
            <w:vAlign w:val="bottom"/>
          </w:tcPr>
          <w:p>
            <w:pPr>
              <w:spacing w:after="0"/>
              <w:rPr>
                <w:sz w:val="12"/>
                <w:szCs w:val="12"/>
                <w:color w:val="auto"/>
              </w:rPr>
            </w:pPr>
          </w:p>
        </w:tc>
      </w:tr>
      <w:tr>
        <w:trPr>
          <w:trHeight w:val="156"/>
        </w:trPr>
        <w:tc>
          <w:tcPr>
            <w:tcW w:w="240" w:type="dxa"/>
            <w:vAlign w:val="bottom"/>
          </w:tcPr>
          <w:p>
            <w:pPr>
              <w:spacing w:after="0"/>
              <w:rPr>
                <w:sz w:val="13"/>
                <w:szCs w:val="13"/>
                <w:color w:val="auto"/>
              </w:rPr>
            </w:pPr>
          </w:p>
        </w:tc>
        <w:tc>
          <w:tcPr>
            <w:tcW w:w="53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3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6"/>
          </w:tcPr>
          <w:p>
            <w:pPr>
              <w:jc w:val="right"/>
              <w:spacing w:after="0" w:line="149" w:lineRule="exact"/>
              <w:rPr>
                <w:sz w:val="20"/>
                <w:szCs w:val="20"/>
                <w:color w:val="auto"/>
              </w:rPr>
            </w:pPr>
            <w:r>
              <w:rPr>
                <w:rFonts w:ascii="Arial" w:cs="Arial" w:eastAsia="Arial" w:hAnsi="Arial"/>
                <w:sz w:val="14"/>
                <w:szCs w:val="14"/>
                <w:color w:val="auto"/>
              </w:rPr>
              <w:t>35,283</w:t>
            </w: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28,558</w:t>
            </w:r>
          </w:p>
        </w:tc>
        <w:tc>
          <w:tcPr>
            <w:tcW w:w="20" w:type="dxa"/>
            <w:vAlign w:val="bottom"/>
          </w:tcPr>
          <w:p>
            <w:pPr>
              <w:spacing w:after="0"/>
              <w:rPr>
                <w:sz w:val="13"/>
                <w:szCs w:val="13"/>
                <w:color w:val="auto"/>
              </w:rPr>
            </w:pPr>
          </w:p>
        </w:tc>
      </w:tr>
      <w:tr>
        <w:trPr>
          <w:trHeight w:val="338"/>
        </w:trPr>
        <w:tc>
          <w:tcPr>
            <w:tcW w:w="240" w:type="dxa"/>
            <w:vAlign w:val="bottom"/>
          </w:tcPr>
          <w:p>
            <w:pPr>
              <w:spacing w:after="0"/>
              <w:rPr>
                <w:sz w:val="24"/>
                <w:szCs w:val="24"/>
                <w:color w:val="auto"/>
              </w:rPr>
            </w:pPr>
          </w:p>
        </w:tc>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3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color w:val="auto"/>
              </w:rPr>
              <w:t>897,101</w:t>
            </w:r>
          </w:p>
        </w:tc>
        <w:tc>
          <w:tcPr>
            <w:tcW w:w="4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908,398</w:t>
            </w:r>
          </w:p>
        </w:tc>
        <w:tc>
          <w:tcPr>
            <w:tcW w:w="20" w:type="dxa"/>
            <w:vAlign w:val="bottom"/>
          </w:tcPr>
          <w:p>
            <w:pPr>
              <w:spacing w:after="0"/>
              <w:rPr>
                <w:sz w:val="24"/>
                <w:szCs w:val="24"/>
                <w:color w:val="auto"/>
              </w:rPr>
            </w:pPr>
          </w:p>
        </w:tc>
      </w:tr>
      <w:tr>
        <w:trPr>
          <w:trHeight w:val="549"/>
        </w:trPr>
        <w:tc>
          <w:tcPr>
            <w:tcW w:w="2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720" w:type="dxa"/>
            <w:vAlign w:val="bottom"/>
          </w:tcPr>
          <w:p>
            <w:pPr>
              <w:jc w:val="right"/>
              <w:ind w:right="3408"/>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240" w:type="dxa"/>
            <w:vAlign w:val="bottom"/>
            <w:tcBorders>
              <w:bottom w:val="single" w:sz="8" w:color="808080"/>
            </w:tcBorders>
          </w:tcPr>
          <w:p>
            <w:pPr>
              <w:spacing w:after="0"/>
              <w:rPr>
                <w:sz w:val="8"/>
                <w:szCs w:val="8"/>
                <w:color w:val="auto"/>
              </w:rPr>
            </w:pPr>
          </w:p>
        </w:tc>
        <w:tc>
          <w:tcPr>
            <w:tcW w:w="53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2009. The Consolidated Financial Statements have been prepared in accordance with accounting principles generally accepted in the United States.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preferred approach is to use dedicated teams to achieve optimum results, but we can implement a range of resourcing models to suit client requirements, and increasingly our teams are flexibly applied to minimize costs for our clients.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In a highly fragmented industry, we are one of a small number of companies with the capability and expertise to conduct clinical trials in all major therapeutic areas on a global basis. Currently, we have 7,268 employees, in 69 locations in 39 countries, providing Phase I - IV Clinical Trial Management, Drug Development Support Services, Data Management, Biostatistics, Central Laboratory, Imaging and Contract Staffing services.</w:t>
      </w:r>
    </w:p>
    <w:p>
      <w:pPr>
        <w:spacing w:after="0" w:line="210"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for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 here reimbursed by clients, are, in accordance with industry practice, deducted from gross revenue to arrive at net revenue. As these costs vary from contract to contract, we view net revenue as our primary measure of revenue growth.</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Our backlog consists of potential net revenue yet to be earned from projects awarded by clients. At March 31, 2010, we had a backlog of approximately $1.8 billion, compared with approximately $1.8 billion at December 31, 2009.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In addition to translation exposures, we are also subject to transaction exposures because the currency in which contracts are priced can be different from the currencies in which costs relating to those contracts are incurred. We have 17 operations operating in U.S. dollars, 11 trading in Euros, 5 in pounds Sterling, 4 in Indian Rupee, 2 each in Russian Rouble, Japanese Yen, Swedish Krona and Singapore dollars and 1 each in Polish Zloty, Israeli New Shekels, Latvian Lats, Hungarian Forint, Czech Koruna, Ukraine Hryvnia, Romanian New Leu, Lithuanian Litas, South African Rand, Australian dollars, Philippine Peso, Hong Kong dollar, Taiwan dollar, South Korean Won, Thai Baht, Chinese Yuan Renminbi, New Zealand dollars, Argentine Peso, Mexican Peso, Brazilian Real, Chilean Peso, Colombian Peso, Peruvian Neuvo Sol, and Canadian dollar .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when appropriate, hedge a portion of these, using forward exchange contracts, where they are not covered by natural hedges. In addition, we usually negotiate currency fluctuation clauses in our contracts which allow for price negotiation if changes in the relative value of those currencies exceed predetermined tolerances.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5" w:name="page16"/>
    <w:bookmarkEnd w:id="15"/>
    <w:p>
      <w:pPr>
        <w:ind w:right="180"/>
        <w:spacing w:after="0" w:line="238" w:lineRule="auto"/>
        <w:rPr>
          <w:sz w:val="20"/>
          <w:szCs w:val="20"/>
          <w:color w:val="auto"/>
        </w:rPr>
      </w:pPr>
      <w:r>
        <w:rPr>
          <w:rFonts w:ascii="Arial" w:cs="Arial" w:eastAsia="Arial" w:hAnsi="Arial"/>
          <w:sz w:val="14"/>
          <w:szCs w:val="14"/>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March 31, 2010 compared with Three Months Ended March 31, 2009</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9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gridSpan w:val="3"/>
          </w:tcPr>
          <w:p>
            <w:pPr>
              <w:spacing w:after="0"/>
              <w:rPr>
                <w:sz w:val="14"/>
                <w:szCs w:val="14"/>
                <w:color w:val="auto"/>
              </w:rPr>
            </w:pPr>
          </w:p>
        </w:tc>
        <w:tc>
          <w:tcPr>
            <w:tcW w:w="96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89"/>
              </w:rPr>
              <w:t>March 31,</w:t>
            </w:r>
          </w:p>
        </w:tc>
        <w:tc>
          <w:tcPr>
            <w:tcW w:w="1100" w:type="dxa"/>
            <w:vAlign w:val="bottom"/>
            <w:gridSpan w:val="5"/>
          </w:tcPr>
          <w:p>
            <w:pPr>
              <w:jc w:val="right"/>
              <w:ind w:right="240"/>
              <w:spacing w:after="0" w:line="129" w:lineRule="exact"/>
              <w:rPr>
                <w:sz w:val="20"/>
                <w:szCs w:val="20"/>
                <w:color w:val="auto"/>
              </w:rPr>
            </w:pPr>
            <w:r>
              <w:rPr>
                <w:rFonts w:ascii="Arial" w:cs="Arial" w:eastAsia="Arial" w:hAnsi="Arial"/>
                <w:sz w:val="14"/>
                <w:szCs w:val="14"/>
                <w:b w:val="1"/>
                <w:bCs w:val="1"/>
                <w:color w:val="auto"/>
              </w:rPr>
              <w:t>March 31,</w:t>
            </w:r>
          </w:p>
        </w:tc>
        <w:tc>
          <w:tcPr>
            <w:tcW w:w="96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2010</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to</w:t>
            </w: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2100" w:type="dxa"/>
            <w:vAlign w:val="bottom"/>
            <w:gridSpan w:val="10"/>
            <w:vMerge w:val="restart"/>
          </w:tcPr>
          <w:p>
            <w:pPr>
              <w:jc w:val="center"/>
              <w:ind w:right="460"/>
              <w:spacing w:after="0"/>
              <w:rPr>
                <w:sz w:val="20"/>
                <w:szCs w:val="20"/>
                <w:color w:val="auto"/>
              </w:rPr>
            </w:pPr>
            <w:r>
              <w:rPr>
                <w:rFonts w:ascii="Arial" w:cs="Arial" w:eastAsia="Arial" w:hAnsi="Arial"/>
                <w:sz w:val="14"/>
                <w:szCs w:val="14"/>
                <w:b w:val="1"/>
                <w:bCs w:val="1"/>
                <w:color w:val="auto"/>
                <w:w w:val="90"/>
              </w:rPr>
              <w:t>Percentage of Net Revenue</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gridSpan w:val="5"/>
          </w:tcPr>
          <w:p>
            <w:pPr>
              <w:jc w:val="right"/>
              <w:ind w:right="20"/>
              <w:spacing w:after="0" w:line="15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2100" w:type="dxa"/>
            <w:vAlign w:val="bottom"/>
            <w:gridSpan w:val="10"/>
            <w:vMerge w:val="continue"/>
          </w:tcPr>
          <w:p>
            <w:pPr>
              <w:spacing w:after="0"/>
              <w:rPr>
                <w:sz w:val="13"/>
                <w:szCs w:val="13"/>
                <w:color w:val="auto"/>
              </w:rPr>
            </w:pPr>
          </w:p>
        </w:tc>
        <w:tc>
          <w:tcPr>
            <w:tcW w:w="980" w:type="dxa"/>
            <w:vAlign w:val="bottom"/>
            <w:gridSpan w:val="7"/>
          </w:tcPr>
          <w:p>
            <w:pPr>
              <w:jc w:val="right"/>
              <w:ind w:right="20"/>
              <w:spacing w:after="0" w:line="15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increase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1000" w:type="dxa"/>
            <w:vAlign w:val="bottom"/>
            <w:gridSpan w:val="5"/>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1100" w:type="dxa"/>
            <w:vAlign w:val="bottom"/>
            <w:gridSpan w:val="5"/>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660" w:type="dxa"/>
            <w:vAlign w:val="bottom"/>
            <w:gridSpan w:val="5"/>
            <w:shd w:val="clear" w:color="auto" w:fill="CCEEFF"/>
          </w:tcPr>
          <w:p>
            <w:pPr>
              <w:jc w:val="center"/>
              <w:ind w:left="188"/>
              <w:spacing w:after="0" w:line="149" w:lineRule="exact"/>
              <w:rPr>
                <w:sz w:val="20"/>
                <w:szCs w:val="20"/>
                <w:color w:val="auto"/>
              </w:rPr>
            </w:pPr>
            <w:r>
              <w:rPr>
                <w:rFonts w:ascii="Arial" w:cs="Arial" w:eastAsia="Arial" w:hAnsi="Arial"/>
                <w:sz w:val="14"/>
                <w:szCs w:val="14"/>
                <w:color w:val="auto"/>
                <w:w w:val="96"/>
              </w:rPr>
              <w:t>(0.3)%</w:t>
            </w: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1000" w:type="dxa"/>
            <w:vAlign w:val="bottom"/>
            <w:gridSpan w:val="5"/>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59.9%</w:t>
            </w:r>
          </w:p>
        </w:tc>
        <w:tc>
          <w:tcPr>
            <w:tcW w:w="1100" w:type="dxa"/>
            <w:vAlign w:val="bottom"/>
            <w:gridSpan w:val="5"/>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56.5%</w:t>
            </w:r>
          </w:p>
        </w:tc>
        <w:tc>
          <w:tcPr>
            <w:tcW w:w="660" w:type="dxa"/>
            <w:vAlign w:val="bottom"/>
            <w:gridSpan w:val="5"/>
            <w:shd w:val="clear" w:color="auto" w:fill="CCEEFF"/>
          </w:tcPr>
          <w:p>
            <w:pPr>
              <w:jc w:val="center"/>
              <w:ind w:left="208"/>
              <w:spacing w:after="0" w:line="149" w:lineRule="exact"/>
              <w:rPr>
                <w:sz w:val="20"/>
                <w:szCs w:val="20"/>
                <w:color w:val="auto"/>
              </w:rPr>
            </w:pPr>
            <w:r>
              <w:rPr>
                <w:rFonts w:ascii="Arial" w:cs="Arial" w:eastAsia="Arial" w:hAnsi="Arial"/>
                <w:sz w:val="14"/>
                <w:szCs w:val="14"/>
                <w:color w:val="auto"/>
                <w:w w:val="93"/>
              </w:rPr>
              <w:t>5.8%</w:t>
            </w: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000" w:type="dxa"/>
            <w:vAlign w:val="bottom"/>
            <w:gridSpan w:val="5"/>
          </w:tcPr>
          <w:p>
            <w:pPr>
              <w:jc w:val="right"/>
              <w:ind w:right="240"/>
              <w:spacing w:after="0" w:line="149" w:lineRule="exact"/>
              <w:rPr>
                <w:sz w:val="20"/>
                <w:szCs w:val="20"/>
                <w:color w:val="auto"/>
              </w:rPr>
            </w:pPr>
            <w:r>
              <w:rPr>
                <w:rFonts w:ascii="Arial" w:cs="Arial" w:eastAsia="Arial" w:hAnsi="Arial"/>
                <w:sz w:val="14"/>
                <w:szCs w:val="14"/>
                <w:color w:val="auto"/>
              </w:rPr>
              <w:t>23.9%</w:t>
            </w:r>
          </w:p>
        </w:tc>
        <w:tc>
          <w:tcPr>
            <w:tcW w:w="1100" w:type="dxa"/>
            <w:vAlign w:val="bottom"/>
            <w:gridSpan w:val="5"/>
          </w:tcPr>
          <w:p>
            <w:pPr>
              <w:jc w:val="right"/>
              <w:ind w:right="240"/>
              <w:spacing w:after="0" w:line="149" w:lineRule="exact"/>
              <w:rPr>
                <w:sz w:val="20"/>
                <w:szCs w:val="20"/>
                <w:color w:val="auto"/>
              </w:rPr>
            </w:pPr>
            <w:r>
              <w:rPr>
                <w:rFonts w:ascii="Arial" w:cs="Arial" w:eastAsia="Arial" w:hAnsi="Arial"/>
                <w:sz w:val="14"/>
                <w:szCs w:val="14"/>
                <w:color w:val="auto"/>
              </w:rPr>
              <w:t>27.9%</w:t>
            </w:r>
          </w:p>
        </w:tc>
        <w:tc>
          <w:tcPr>
            <w:tcW w:w="960" w:type="dxa"/>
            <w:vAlign w:val="bottom"/>
            <w:gridSpan w:val="6"/>
          </w:tcPr>
          <w:p>
            <w:pPr>
              <w:jc w:val="center"/>
              <w:spacing w:after="0" w:line="149" w:lineRule="exact"/>
              <w:rPr>
                <w:sz w:val="20"/>
                <w:szCs w:val="20"/>
                <w:color w:val="auto"/>
              </w:rPr>
            </w:pPr>
            <w:r>
              <w:rPr>
                <w:rFonts w:ascii="Arial" w:cs="Arial" w:eastAsia="Arial" w:hAnsi="Arial"/>
                <w:sz w:val="14"/>
                <w:szCs w:val="14"/>
                <w:color w:val="auto"/>
                <w:w w:val="93"/>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00" w:type="dxa"/>
            <w:vAlign w:val="bottom"/>
            <w:gridSpan w:val="5"/>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w:t>
            </w:r>
          </w:p>
        </w:tc>
        <w:tc>
          <w:tcPr>
            <w:tcW w:w="1100" w:type="dxa"/>
            <w:vAlign w:val="bottom"/>
            <w:gridSpan w:val="5"/>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w:t>
            </w:r>
          </w:p>
        </w:tc>
        <w:tc>
          <w:tcPr>
            <w:tcW w:w="660" w:type="dxa"/>
            <w:vAlign w:val="bottom"/>
            <w:gridSpan w:val="5"/>
            <w:shd w:val="clear" w:color="auto" w:fill="CCEEFF"/>
          </w:tcPr>
          <w:p>
            <w:pPr>
              <w:jc w:val="center"/>
              <w:ind w:left="208"/>
              <w:spacing w:after="0" w:line="149" w:lineRule="exact"/>
              <w:rPr>
                <w:sz w:val="20"/>
                <w:szCs w:val="20"/>
                <w:color w:val="auto"/>
              </w:rPr>
            </w:pPr>
            <w:r>
              <w:rPr>
                <w:rFonts w:ascii="Arial" w:cs="Arial" w:eastAsia="Arial" w:hAnsi="Arial"/>
                <w:sz w:val="14"/>
                <w:szCs w:val="14"/>
                <w:color w:val="auto"/>
                <w:w w:val="95"/>
              </w:rPr>
              <w:t>16.4%</w:t>
            </w: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8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000" w:type="dxa"/>
            <w:vAlign w:val="bottom"/>
            <w:gridSpan w:val="5"/>
          </w:tcPr>
          <w:p>
            <w:pPr>
              <w:jc w:val="right"/>
              <w:ind w:right="240"/>
              <w:spacing w:after="0"/>
              <w:rPr>
                <w:sz w:val="20"/>
                <w:szCs w:val="20"/>
                <w:color w:val="auto"/>
              </w:rPr>
            </w:pPr>
            <w:r>
              <w:rPr>
                <w:rFonts w:ascii="Arial" w:cs="Arial" w:eastAsia="Arial" w:hAnsi="Arial"/>
                <w:sz w:val="14"/>
                <w:szCs w:val="14"/>
                <w:color w:val="auto"/>
              </w:rPr>
              <w:t>12.2%</w:t>
            </w:r>
          </w:p>
        </w:tc>
        <w:tc>
          <w:tcPr>
            <w:tcW w:w="1100" w:type="dxa"/>
            <w:vAlign w:val="bottom"/>
            <w:gridSpan w:val="5"/>
          </w:tcPr>
          <w:p>
            <w:pPr>
              <w:jc w:val="right"/>
              <w:ind w:right="240"/>
              <w:spacing w:after="0"/>
              <w:rPr>
                <w:sz w:val="20"/>
                <w:szCs w:val="20"/>
                <w:color w:val="auto"/>
              </w:rPr>
            </w:pPr>
            <w:r>
              <w:rPr>
                <w:rFonts w:ascii="Arial" w:cs="Arial" w:eastAsia="Arial" w:hAnsi="Arial"/>
                <w:sz w:val="14"/>
                <w:szCs w:val="14"/>
                <w:color w:val="auto"/>
              </w:rPr>
              <w:t>12.2%</w:t>
            </w:r>
          </w:p>
        </w:tc>
        <w:tc>
          <w:tcPr>
            <w:tcW w:w="660" w:type="dxa"/>
            <w:vAlign w:val="bottom"/>
            <w:gridSpan w:val="5"/>
          </w:tcPr>
          <w:p>
            <w:pPr>
              <w:jc w:val="center"/>
              <w:ind w:left="188"/>
              <w:spacing w:after="0"/>
              <w:rPr>
                <w:sz w:val="20"/>
                <w:szCs w:val="20"/>
                <w:color w:val="auto"/>
              </w:rPr>
            </w:pPr>
            <w:r>
              <w:rPr>
                <w:rFonts w:ascii="Arial" w:cs="Arial" w:eastAsia="Arial" w:hAnsi="Arial"/>
                <w:sz w:val="14"/>
                <w:szCs w:val="14"/>
                <w:color w:val="auto"/>
                <w:w w:val="96"/>
              </w:rPr>
              <w:t>(0.5)%</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-1118235</wp:posOffset>
            </wp:positionV>
            <wp:extent cx="228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Net revenue for the period decreased by $0.7 million, or 0.3%, from $219.8 million for the three months ended March 31, 2009 to $219.1 million for the three months ended March 31, 2010. For the three months ended March 31, 2010, we derived approximately 44.5%, 45.5% and 10.0% of our net revenue in the United States, Europe and Rest of World, respectively. The rate decrease in net revenue is a result of the global economic downturn, its impact on market confidence and the availability of funding for drug development.</w:t>
      </w:r>
    </w:p>
    <w:p>
      <w:pPr>
        <w:spacing w:after="0" w:line="210"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Direct costs for the period increased by $7.1 million, or 5.8%, from $124.2 million for the three months ended March 31, 2009 to $131.3 million for the three months ended March 31, 2010. Direct costs consist primarily of compensation, associated fringe benefits and share based compensation expense for project-related employees and other direct project driven costs. The increase in direct costs during the period was primarily due to increased salary and related costs and travel costs for project related employees of $8.9 million and $0.9 million respectively. These increases were offset by decreases in study supplies and materials and laboratory costs of $1.3 million and $1.2 million respectively. Direct costs as a percentage of net revenue increased to 59.9% for the thre e months ended March 31, 2010, from 56.5% for the three months ended March 31, 2009.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ind w:right="20"/>
        <w:spacing w:after="0" w:line="247" w:lineRule="auto"/>
        <w:rPr>
          <w:sz w:val="20"/>
          <w:szCs w:val="20"/>
          <w:color w:val="auto"/>
        </w:rPr>
      </w:pPr>
      <w:r>
        <w:rPr>
          <w:rFonts w:ascii="Arial" w:cs="Arial" w:eastAsia="Arial" w:hAnsi="Arial"/>
          <w:sz w:val="13"/>
          <w:szCs w:val="13"/>
          <w:color w:val="auto"/>
        </w:rPr>
        <w:t>Selling, general and administrative expenses for the period reduced by $9.0 million, or 14.6%, from $61.3 million for the three months ended March 31, 2009, to $52.3 million for the three months ended March 31, 2010. Selling, general and administrative expenses consist of compensation, related fringe benefits and share based compensation expense for selling and administrative employees, professional service costs, advertising costs and all costs related to facilities and information systems. The decrease in selling, general and administrative expenses arises from an increase of $0.5 million in personnel related costs, principally a result of increased recruitment expenditure, offset by a decrease in facility and information costs of $0.6 million and a decrease in other general overheads of $8.9 million . The decrease in other general overhead costs arises from a decrease in professional service costs of $2.5 million, a decrease in bad debt allowances of $1.3 million and a decrease in foreign exchange losses on the retranslation of monetary assets and liabilities of $3.4 million. As a percentage of net revenue, selling, general and administrative expenses, decreased from 27.9% for the three months ended March 31, 2009, to 23.9% for the three months ended March 31, 2010.</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Depreciation and amortization expense for the period increased by $1.2 million, or 16.4%, from $7.5 million for the period ended March 31, 2009, to $8.7 million for the three months ended March 31, 2010. As a percentage of net revenue, depreciation and amortization increased from 3.4% of net revenues for the three months ended March 31, 2009, to 4.0% for the three months ended March 31, 2010. This increase arises primarily from our continued investment in facilities and equipment to support the Company’s growth.</w:t>
      </w: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Income from operations for the period decreased by $0.1 million, or 0.5%, from $26.9 million for the three months ended March 31, 2009 to $26.8 million for the three months ended March 31, 2010. As a percentage of net revenue, income from operations was 12.2% of net revenues for the three months ended March 31, 2009, and 12.2% for the three months ended March 31, 2010.</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Net interest expense for the three months ended March 31, 2010, was $0.2 million, compared with net interest expense of $0.7 million for the three months ended March 31, 2009. Interest expense for the period decreased from $1.2 million for the three months ended March 31, 2009 to $0.4 million for the three months ended March 31, 2010. Interest income for the period decreased from $0.5 million for the three months ended March 31, 2009 to $0.2 million for the three months ended March 31, 2010.</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Provision for income taxes decreased from $5.2 million for the three months ended March 31, 2009, to $4.4 million for the three months ended March 31, 2010. The effective tax rate for the three months ended March 31, 2010, was 16.5% compared with 20.0% for the three months ended March 31, 2009. The effective tax rate is principally a function of the distribution of pre-tax profits in the territories in which the Group operates.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35"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The CRO industry generally is not capital intensive. The Group’s principal operating cash needs are payment of salaries, office rents, travel expenditures and payments to investigators. Investing activities primarily reflect capital expenditures for facilities, information systems enhancements, the purchase of short term investments and acquisitions.</w:t>
      </w: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09"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color w:val="auto"/>
        </w:rPr>
        <w:t>Net cash at March 31, 2010 amounted to $199.7 million compared with net cash of $194.0 million at December 31, 2009. Net cash at March 31, 2010 comprised cash and cash equivalents of $169.4 million and short term investments of $30.3 million. Net cash at December 31, 2009 comprised cash and cash equivalents of $144.8 million and short term investments of $49.2 million. Additional borrowings available to the Group under negotiated facilities at March 31, 2010 amounted to $154.2 million compared with $162.5 million at December 31, 2009.</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 w:name="page18"/>
    <w:bookmarkEnd w:id="17"/>
    <w:p>
      <w:pPr>
        <w:jc w:val="both"/>
        <w:spacing w:after="0" w:line="231" w:lineRule="auto"/>
        <w:rPr>
          <w:sz w:val="20"/>
          <w:szCs w:val="20"/>
          <w:color w:val="auto"/>
        </w:rPr>
      </w:pPr>
      <w:r>
        <w:rPr>
          <w:rFonts w:ascii="Arial" w:cs="Arial" w:eastAsia="Arial" w:hAnsi="Arial"/>
          <w:sz w:val="14"/>
          <w:szCs w:val="14"/>
          <w:color w:val="auto"/>
        </w:rPr>
        <w:t>Net cash provided by operating activities was $16.8 million for the three months ended March 31, 2010, compared with cash provided by operating activities of $24.7 million for the three months ended March 31, 2009. The Group’s working capital, comprising total current assets less total current liabilities, at March 31, 2010 amounted to $260.6 million, compared to $235.9 million at December 31, 2009. The most significant influence on our working capital and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 gning, and the timing of cash receipts. The number of days revenue outstanding was 33 days at March 31, 2010 and 33 days at December 31, 2009.</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Net cash provided by investing activities was $9.4 million for the three months ended March 31, 2010, compared to net cash used in investing activities of $9.0 million for the three months ended March 31, 2009. Net cash used in the three months ended March 31, 2010 arises principally from capital expenditures and purchase of short term investments, offset by the sale of short term investments.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Capital expenditure for the three months ended March 31, 2010, amounted to $9.5 million, and comprised mainly of expenditure on global infrastructure and information technology systems to support the Company’s growth. The Company realized $49.2 million from the sale of short term investments during the three months ended March 31, 2010. This was offset by an additional $30.3 million invested in short term investments during the period.</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Net cash provided by financing activities during the three months ended March 31, 2010, amounted to $5.5 million compared with net cash used in financing activities of $2.5 million for the three months ended March 31, 2009.</w:t>
      </w:r>
    </w:p>
    <w:p>
      <w:pPr>
        <w:spacing w:after="0" w:line="201" w:lineRule="exact"/>
        <w:rPr>
          <w:sz w:val="20"/>
          <w:szCs w:val="20"/>
          <w:color w:val="auto"/>
        </w:rPr>
      </w:pPr>
    </w:p>
    <w:p>
      <w:pPr>
        <w:ind w:right="380"/>
        <w:spacing w:after="0" w:line="253" w:lineRule="auto"/>
        <w:rPr>
          <w:sz w:val="20"/>
          <w:szCs w:val="20"/>
          <w:color w:val="auto"/>
        </w:rPr>
      </w:pPr>
      <w:r>
        <w:rPr>
          <w:rFonts w:ascii="Arial" w:cs="Arial" w:eastAsia="Arial" w:hAnsi="Arial"/>
          <w:sz w:val="14"/>
          <w:szCs w:val="14"/>
          <w:color w:val="auto"/>
        </w:rPr>
        <w:t>As a result of these cash flows, cash and cash equivalents increased by $24.7 million for the three months ended March 31, 2010, compared to an increase of $12.4 million for the three months ended March 31, 2009.</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July 9, 2007, ICON plc entered into a five year committed multi-currency facility agreement for €35 million ($46.9 million) with Bank of Ireland. The facility bears interest at an annual rate equal to EURIBOR plus a margin and is secured by certain composite guarantees, indemnities and pledges in favour of the bank. At March 31, 2010, €21.8 million ($29.2million) was available to be drawn under this facility.</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On December 22, 2008, a committed three year US dollar credit facility was negotiated with Allied Irish Bank plc for $50 million. The facility bears interest at LIBOR plus a margin and is secured by certain composite guarantees and pledges in favor of the bank. As at March 31, 2010, $50 million was available to be drawn under this facility.</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On January 2, 2009, an additional four year committed credit facility was negotiated with Bank of Ireland for $25 million. The facility bears interest at LIBOR plus a margin and is secured by certain composite guarantees, indemnities and pledges in favor of the bank. As at March 31, 2010, $25 million was available to be drawn under this facility.</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May 29, 2009, committed credit facilities were negotiated with Citibank Europe for $20 million. The facilities comprise a 364 day facility of $10 million and a three year facility of $10 million. On the same day, a committed 364 day credit facility of $30 million was negotiated with JP Morgan. These facilities bear interest at LIBOR plus a margin and are secured by certain composite guarantees and pledges in favor of the banks. As at March 31, 2010, $50 million was available to be drawn under these facilities.</w:t>
      </w:r>
    </w:p>
    <w:p>
      <w:pPr>
        <w:spacing w:after="0" w:line="210"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 Certain performance milestones were built into the acquisition agreement for the remaining 30% of Beacon requiring potential additional consideration of up to $3.0 million if these milestones were achieved during the year ended December 31, 2009. No additional consideration h as been paid as these milestones were not achieved during the year ended December 31, 2009.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8" w:name="page19"/>
    <w:bookmarkEnd w:id="18"/>
    <w:p>
      <w:pPr>
        <w:jc w:val="both"/>
        <w:spacing w:after="0" w:line="231" w:lineRule="auto"/>
        <w:rPr>
          <w:sz w:val="20"/>
          <w:szCs w:val="20"/>
          <w:color w:val="auto"/>
        </w:rPr>
      </w:pPr>
      <w:r>
        <w:rPr>
          <w:rFonts w:ascii="Arial" w:cs="Arial" w:eastAsia="Arial" w:hAnsi="Arial"/>
          <w:sz w:val="14"/>
          <w:szCs w:val="14"/>
          <w:color w:val="auto"/>
        </w:rPr>
        <w:t>On November 14, 2008, the Company acquired 100% of the common stock of Prevalere Life Sciences Inc. (“Prevalere”), for an initial cash consideration of $37.6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were achieved during the years ended December 31, 2008 and 2009. On April 30, 2009, $5.0 million was paid in respect of the milestones for the year ended December 31, 2008. No additional consideration has bee n paid as the milestones for the year ended December 31, 2009, were not achieved.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effects of inflation generally do not have a material adverse impact on our operations or financial conditions.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235" w:lineRule="exact"/>
        <w:rPr>
          <w:sz w:val="20"/>
          <w:szCs w:val="20"/>
          <w:color w:val="auto"/>
        </w:rPr>
      </w:pPr>
    </w:p>
    <w:p>
      <w:pPr>
        <w:ind w:right="480"/>
        <w:spacing w:after="0" w:line="253" w:lineRule="auto"/>
        <w:rPr>
          <w:sz w:val="20"/>
          <w:szCs w:val="20"/>
          <w:color w:val="auto"/>
        </w:rPr>
      </w:pPr>
      <w:r>
        <w:rPr>
          <w:rFonts w:ascii="Arial" w:cs="Arial" w:eastAsia="Arial" w:hAnsi="Arial"/>
          <w:sz w:val="14"/>
          <w:szCs w:val="14"/>
          <w:color w:val="auto"/>
        </w:rPr>
        <w:t>We are not party to any litigation or other legal proceedings that we believe could reasonably be expected to have a material adverse effect on our business, results of operations and financial condition.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ind w:left="5260"/>
        <w:spacing w:after="0"/>
        <w:rPr>
          <w:sz w:val="20"/>
          <w:szCs w:val="20"/>
          <w:color w:val="auto"/>
        </w:rPr>
      </w:pPr>
      <w:r>
        <w:rPr>
          <w:rFonts w:ascii="Arial" w:cs="Arial" w:eastAsia="Arial" w:hAnsi="Arial"/>
          <w:sz w:val="14"/>
          <w:szCs w:val="14"/>
          <w:b w:val="1"/>
          <w:bCs w:val="1"/>
          <w:color w:val="auto"/>
        </w:rPr>
        <w:t>SIGNATURES</w:t>
      </w: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50"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386" w:lineRule="exact"/>
        <w:rPr>
          <w:sz w:val="20"/>
          <w:szCs w:val="20"/>
          <w:color w:val="auto"/>
        </w:rPr>
      </w:pPr>
    </w:p>
    <w:p>
      <w:pPr>
        <w:spacing w:after="0"/>
        <w:tabs>
          <w:tab w:leader="none" w:pos="560" w:val="left"/>
          <w:tab w:leader="none" w:pos="686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April 19, 2010</w:t>
      </w:r>
      <w:r>
        <w:rPr>
          <w:sz w:val="20"/>
          <w:szCs w:val="20"/>
          <w:color w:val="auto"/>
        </w:rPr>
        <w:tab/>
      </w:r>
      <w:r>
        <w:rPr>
          <w:rFonts w:ascii="Arial" w:cs="Arial" w:eastAsia="Arial" w:hAnsi="Arial"/>
          <w:sz w:val="13"/>
          <w:szCs w:val="13"/>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3810</wp:posOffset>
            </wp:positionV>
            <wp:extent cx="28816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81630" cy="1714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4"/>
          <w:szCs w:val="14"/>
          <w:color w:val="auto"/>
        </w:rPr>
        <w:t>Ciaran Murray</w:t>
      </w:r>
    </w:p>
    <w:p>
      <w:pPr>
        <w:ind w:left="6880"/>
        <w:spacing w:after="0"/>
        <w:rPr>
          <w:sz w:val="20"/>
          <w:szCs w:val="20"/>
          <w:color w:val="auto"/>
        </w:rPr>
      </w:pPr>
      <w:r>
        <w:rPr>
          <w:rFonts w:ascii="Arial" w:cs="Arial" w:eastAsia="Arial" w:hAnsi="Arial"/>
          <w:sz w:val="14"/>
          <w:szCs w:val="14"/>
          <w:color w:val="auto"/>
        </w:rPr>
        <w:t>Chief Financial Officer</w:t>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19</w:t>
      </w:r>
    </w:p>
    <w:sectPr>
      <w:pgSz w:w="11900" w:h="16838" w:orient="portrait"/>
      <w:cols w:equalWidth="0" w:num="1">
        <w:col w:w="10480"/>
      </w:cols>
      <w:pgMar w:left="240" w:top="265"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2019-12-10T16:59:27Z</dcterms:created>
  <dcterms:modified xsi:type="dcterms:W3CDTF">2019-12-10T16:59:27Z</dcterms:modified>
</cp:coreProperties>
</file>