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2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18"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1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30"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Pursuant to Rule 13a - 16 under</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18"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For the quarterly period ended November 30, 2003</w:t>
      </w:r>
    </w:p>
    <w:p>
      <w:pPr>
        <w:spacing w:after="0" w:line="346"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ICON plc</w:t>
      </w:r>
    </w:p>
    <w:p>
      <w:pPr>
        <w:spacing w:after="0" w:line="30"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(Registrant's name)</w:t>
      </w:r>
    </w:p>
    <w:p>
      <w:pPr>
        <w:spacing w:after="0" w:line="318"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0-29714</w:t>
      </w:r>
    </w:p>
    <w:p>
      <w:pPr>
        <w:spacing w:after="0" w:line="30"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(Commission file number)</w:t>
      </w:r>
    </w:p>
    <w:p>
      <w:pPr>
        <w:spacing w:after="0" w:line="318"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30"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18" w:lineRule="exact"/>
        <w:rPr>
          <w:sz w:val="24"/>
          <w:szCs w:val="24"/>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Yes___X___ No_______</w:t>
      </w:r>
    </w:p>
    <w:p>
      <w:pPr>
        <w:spacing w:after="0" w:line="174" w:lineRule="exact"/>
        <w:rPr>
          <w:sz w:val="24"/>
          <w:szCs w:val="24"/>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Yes______ No___X___</w:t>
      </w:r>
    </w:p>
    <w:p>
      <w:pPr>
        <w:spacing w:after="0" w:line="174" w:lineRule="exact"/>
        <w:rPr>
          <w:sz w:val="24"/>
          <w:szCs w:val="24"/>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Yes______ No___X___</w:t>
      </w:r>
    </w:p>
    <w:p>
      <w:pPr>
        <w:spacing w:after="0" w:line="174" w:lineRule="exact"/>
        <w:rPr>
          <w:sz w:val="24"/>
          <w:szCs w:val="24"/>
          <w:color w:val="auto"/>
        </w:rPr>
      </w:pPr>
    </w:p>
    <w:p>
      <w:pPr>
        <w:ind w:right="3079"/>
        <w:spacing w:after="0" w:line="331"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Yes_______ No___X___</w:t>
      </w:r>
    </w:p>
    <w:p>
      <w:pPr>
        <w:spacing w:after="0" w:line="174" w:lineRule="exact"/>
        <w:rPr>
          <w:sz w:val="24"/>
          <w:szCs w:val="24"/>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Quarterly Period Ended November 30, 2003</w:t>
      </w:r>
    </w:p>
    <w:p>
      <w:pPr>
        <w:spacing w:after="0" w:line="346" w:lineRule="exact"/>
        <w:rPr>
          <w:sz w:val="24"/>
          <w:szCs w:val="24"/>
          <w:color w:val="auto"/>
        </w:rPr>
      </w:pPr>
    </w:p>
    <w:p>
      <w:pPr>
        <w:spacing w:after="0"/>
        <w:tabs>
          <w:tab w:leader="none" w:pos="660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4"/>
          <w:szCs w:val="14"/>
          <w:color w:val="auto"/>
        </w:rPr>
        <w:t>Page</w:t>
      </w:r>
    </w:p>
    <w:p>
      <w:pPr>
        <w:spacing w:after="0" w:line="346" w:lineRule="exact"/>
        <w:rPr>
          <w:sz w:val="24"/>
          <w:szCs w:val="24"/>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as at</w:t>
      </w:r>
    </w:p>
    <w:p>
      <w:pPr>
        <w:spacing w:after="0" w:line="30" w:lineRule="exact"/>
        <w:rPr>
          <w:sz w:val="24"/>
          <w:szCs w:val="24"/>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November 30, 2003 and May 31, 2003</w:t>
      </w:r>
      <w:r>
        <w:rPr>
          <w:sz w:val="20"/>
          <w:szCs w:val="20"/>
          <w:color w:val="auto"/>
        </w:rPr>
        <w:tab/>
      </w:r>
      <w:r>
        <w:rPr>
          <w:rFonts w:ascii="Courier New" w:cs="Courier New" w:eastAsia="Courier New" w:hAnsi="Courier New"/>
          <w:sz w:val="13"/>
          <w:szCs w:val="13"/>
          <w:color w:val="auto"/>
        </w:rPr>
        <w:t>2</w:t>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line="30" w:lineRule="exact"/>
        <w:rPr>
          <w:sz w:val="24"/>
          <w:szCs w:val="24"/>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three and six months ended November 30, 2003 and 2002</w:t>
      </w:r>
      <w:r>
        <w:rPr>
          <w:sz w:val="20"/>
          <w:szCs w:val="20"/>
          <w:color w:val="auto"/>
        </w:rPr>
        <w:tab/>
      </w:r>
      <w:r>
        <w:rPr>
          <w:rFonts w:ascii="Courier New" w:cs="Courier New" w:eastAsia="Courier New" w:hAnsi="Courier New"/>
          <w:sz w:val="13"/>
          <w:szCs w:val="13"/>
          <w:color w:val="auto"/>
        </w:rPr>
        <w:t>3</w:t>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line="30" w:lineRule="exact"/>
        <w:rPr>
          <w:sz w:val="24"/>
          <w:szCs w:val="24"/>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six months ended November 30, 2003 and 2002</w:t>
      </w:r>
      <w:r>
        <w:rPr>
          <w:sz w:val="20"/>
          <w:szCs w:val="20"/>
          <w:color w:val="auto"/>
        </w:rPr>
        <w:tab/>
      </w:r>
      <w:r>
        <w:rPr>
          <w:rFonts w:ascii="Courier New" w:cs="Courier New" w:eastAsia="Courier New" w:hAnsi="Courier New"/>
          <w:sz w:val="13"/>
          <w:szCs w:val="13"/>
          <w:color w:val="auto"/>
        </w:rPr>
        <w:t>4</w:t>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line="30" w:lineRule="exact"/>
        <w:rPr>
          <w:sz w:val="24"/>
          <w:szCs w:val="24"/>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3"/>
          <w:szCs w:val="13"/>
          <w:color w:val="auto"/>
        </w:rPr>
        <w:t>5</w:t>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line="30" w:lineRule="exact"/>
        <w:rPr>
          <w:sz w:val="24"/>
          <w:szCs w:val="24"/>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3"/>
          <w:szCs w:val="13"/>
          <w:color w:val="auto"/>
        </w:rPr>
        <w:t>6</w:t>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30" w:lineRule="exact"/>
        <w:rPr>
          <w:sz w:val="24"/>
          <w:szCs w:val="24"/>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11</w:t>
      </w:r>
    </w:p>
    <w:p>
      <w:pPr>
        <w:spacing w:after="0" w:line="318" w:lineRule="exact"/>
        <w:rPr>
          <w:sz w:val="24"/>
          <w:szCs w:val="24"/>
          <w:color w:val="auto"/>
        </w:rPr>
      </w:pPr>
    </w:p>
    <w:p>
      <w:pPr>
        <w:spacing w:after="0"/>
        <w:tabs>
          <w:tab w:leader="dot" w:pos="676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19"/>
          </w:cols>
          <w:pgMar w:left="240" w:top="205" w:right="1440" w:bottom="96" w:gutter="0" w:footer="0" w:header="0"/>
        </w:sectPr>
      </w:pPr>
    </w:p>
    <w:bookmarkStart w:id="1" w:name="page2"/>
    <w:bookmarkEnd w:id="1"/>
    <w:p>
      <w:pPr>
        <w:spacing w:after="0"/>
        <w:tabs>
          <w:tab w:leader="dot" w:pos="676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22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2,450 employees and operations in 32 locations in 19 countries. Our main operations are in the United States, Europe and the Rest of the World. For the six months ended November 30, 2003, we derived approximately 64.4%, 32.1%, and 3.5% of our net revenue in the United States, Europe and Rest of World, respectively.</w:t>
      </w:r>
    </w:p>
    <w:p>
      <w:pPr>
        <w:spacing w:after="0" w:line="87"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8" w:lineRule="exact"/>
        <w:rPr>
          <w:sz w:val="20"/>
          <w:szCs w:val="20"/>
          <w:color w:val="auto"/>
        </w:rPr>
      </w:pPr>
    </w:p>
    <w:p>
      <w:pPr>
        <w:jc w:val="both"/>
        <w:ind w:right="3079"/>
        <w:spacing w:after="0" w:line="331" w:lineRule="auto"/>
        <w:rPr>
          <w:sz w:val="20"/>
          <w:szCs w:val="20"/>
          <w:color w:val="auto"/>
        </w:rPr>
      </w:pPr>
      <w:r>
        <w:rPr>
          <w:rFonts w:ascii="Courier New" w:cs="Courier New" w:eastAsia="Courier New" w:hAnsi="Courier New"/>
          <w:sz w:val="14"/>
          <w:szCs w:val="14"/>
          <w:color w:val="auto"/>
        </w:rPr>
        <w:t>On September 9, 2003, we completed the acquisition of Globomax LLC ("Globomax"), a leading US Drug Development Company which provides a range of development and consulting services to the Pharmaceutical and Biotechnology industries.</w:t>
      </w:r>
    </w:p>
    <w:p>
      <w:pPr>
        <w:spacing w:after="0" w:line="3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79" w:right="1440" w:bottom="1440" w:gutter="0" w:footer="0" w:header="0"/>
        </w:sectPr>
      </w:pPr>
    </w:p>
    <w:bookmarkStart w:id="3" w:name="page4"/>
    <w:bookmarkEnd w:id="3"/>
    <w:p>
      <w:pPr>
        <w:jc w:val="center"/>
        <w:ind w:right="350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30"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AS AT NOVEMBER 30, 2003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2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(Unaudited)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(Audited)</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November 30,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May 31,</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2"/>
        </w:trPr>
        <w:tc>
          <w:tcPr>
            <w:tcW w:w="782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8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92"/>
        </w:trPr>
        <w:tc>
          <w:tcPr>
            <w:tcW w:w="782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$61,463</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$18,311</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77,611</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74,645</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Unbilled revenue................................................................</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52,178</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44,783</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receivables...............................................................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6,026</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4,385</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Deferred taxes..................................................................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Prepayments and other current assets............................................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8,784</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8,326</w:t>
            </w:r>
          </w:p>
        </w:tc>
        <w:tc>
          <w:tcPr>
            <w:tcW w:w="0" w:type="dxa"/>
            <w:vAlign w:val="bottom"/>
          </w:tcPr>
          <w:p>
            <w:pPr>
              <w:spacing w:after="0"/>
              <w:rPr>
                <w:sz w:val="1"/>
                <w:szCs w:val="1"/>
                <w:color w:val="auto"/>
              </w:rPr>
            </w:pPr>
          </w:p>
        </w:tc>
      </w:tr>
      <w:tr>
        <w:trPr>
          <w:trHeight w:val="172"/>
        </w:trPr>
        <w:tc>
          <w:tcPr>
            <w:tcW w:w="78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vMerge w:val="restart"/>
          </w:tcPr>
          <w:p>
            <w:pPr>
              <w:jc w:val="right"/>
              <w:ind w:right="46"/>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206,094</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7820" w:type="dxa"/>
            <w:vAlign w:val="bottom"/>
            <w:vMerge w:val="continue"/>
          </w:tcPr>
          <w:p>
            <w:pPr>
              <w:spacing w:after="0"/>
              <w:rPr>
                <w:sz w:val="23"/>
                <w:szCs w:val="23"/>
                <w:color w:val="auto"/>
              </w:rPr>
            </w:pPr>
          </w:p>
        </w:tc>
        <w:tc>
          <w:tcPr>
            <w:tcW w:w="1420" w:type="dxa"/>
            <w:vAlign w:val="bottom"/>
            <w:vMerge w:val="continue"/>
          </w:tcPr>
          <w:p>
            <w:pPr>
              <w:spacing w:after="0"/>
              <w:rPr>
                <w:sz w:val="23"/>
                <w:szCs w:val="23"/>
                <w:color w:val="auto"/>
              </w:rPr>
            </w:pP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150,482</w:t>
            </w:r>
          </w:p>
        </w:tc>
        <w:tc>
          <w:tcPr>
            <w:tcW w:w="0" w:type="dxa"/>
            <w:vAlign w:val="bottom"/>
          </w:tcPr>
          <w:p>
            <w:pPr>
              <w:spacing w:after="0"/>
              <w:rPr>
                <w:sz w:val="1"/>
                <w:szCs w:val="1"/>
                <w:color w:val="auto"/>
              </w:rPr>
            </w:pPr>
          </w:p>
        </w:tc>
      </w:tr>
      <w:tr>
        <w:trPr>
          <w:trHeight w:val="250"/>
        </w:trPr>
        <w:tc>
          <w:tcPr>
            <w:tcW w:w="78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42,778</w:t>
            </w:r>
          </w:p>
        </w:tc>
        <w:tc>
          <w:tcPr>
            <w:tcW w:w="14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39,503</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Goodwill........................................................................</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59,803</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45,029</w:t>
            </w: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1"/>
                <w:szCs w:val="21"/>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$308,675</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$235,014</w:t>
            </w: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1"/>
                <w:szCs w:val="21"/>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$10,064</w:t>
            </w:r>
          </w:p>
        </w:tc>
        <w:tc>
          <w:tcPr>
            <w:tcW w:w="14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$11,092</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Payments on account.............................................................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44,113</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45,763</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30,323</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28,289</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Taxes payable...................................................................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8,385</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4,385</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Bank credit lines and loan facilities...........................................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17,436</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7,126</w:t>
            </w: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1"/>
                <w:szCs w:val="21"/>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7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liabilities......................................................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110,321</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96,655</w:t>
            </w: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1,135</w:t>
            </w:r>
          </w:p>
        </w:tc>
        <w:tc>
          <w:tcPr>
            <w:tcW w:w="14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1,140</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Long term government grants.....................................................</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Deferred consideration - loan notes.............................................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1,332</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264"/>
        </w:trPr>
        <w:tc>
          <w:tcPr>
            <w:tcW w:w="782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authorized, 13,620,357 shares issued and outstanding at November 30, 2003</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and</w:t>
            </w:r>
          </w:p>
        </w:tc>
        <w:tc>
          <w:tcPr>
            <w:tcW w:w="14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964</w:t>
            </w:r>
          </w:p>
        </w:tc>
        <w:tc>
          <w:tcPr>
            <w:tcW w:w="14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841</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11,841,557 shares issued and outstanding at May 31, 2003</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Additional paid-in capital......................................................</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108,619</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61,164</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Accumulated other comprehensive income..........................................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7,023</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7,787</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Merger reserve..................................................................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Retained earnings...............................................................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78,940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67,071</w:t>
            </w: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1"/>
                <w:szCs w:val="21"/>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195,593</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136,910</w:t>
            </w: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1"/>
                <w:szCs w:val="21"/>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$308,675</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$235,014</w:t>
            </w:r>
          </w:p>
        </w:tc>
        <w:tc>
          <w:tcPr>
            <w:tcW w:w="0" w:type="dxa"/>
            <w:vAlign w:val="bottom"/>
          </w:tcPr>
          <w:p>
            <w:pPr>
              <w:spacing w:after="0"/>
              <w:rPr>
                <w:sz w:val="1"/>
                <w:szCs w:val="1"/>
                <w:color w:val="auto"/>
              </w:rPr>
            </w:pPr>
          </w:p>
        </w:tc>
      </w:tr>
      <w:tr>
        <w:trPr>
          <w:trHeight w:val="252"/>
        </w:trPr>
        <w:tc>
          <w:tcPr>
            <w:tcW w:w="7820" w:type="dxa"/>
            <w:vAlign w:val="bottom"/>
          </w:tcPr>
          <w:p>
            <w:pPr>
              <w:spacing w:after="0"/>
              <w:rPr>
                <w:sz w:val="21"/>
                <w:szCs w:val="21"/>
                <w:color w:val="auto"/>
              </w:rPr>
            </w:pP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640"/>
          </w:cols>
          <w:pgMar w:left="240" w:top="779" w:right="10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2"/>
        </w:trPr>
        <w:tc>
          <w:tcPr>
            <w:tcW w:w="5800" w:type="dxa"/>
            <w:vAlign w:val="bottom"/>
          </w:tcPr>
          <w:p>
            <w:pPr>
              <w:jc w:val="right"/>
              <w:ind w:right="1805"/>
              <w:spacing w:after="0"/>
              <w:rPr>
                <w:sz w:val="20"/>
                <w:szCs w:val="20"/>
                <w:color w:val="auto"/>
              </w:rPr>
            </w:pPr>
            <w:r>
              <w:rPr>
                <w:rFonts w:ascii="Courier New" w:cs="Courier New" w:eastAsia="Courier New" w:hAnsi="Courier New"/>
                <w:sz w:val="15"/>
                <w:szCs w:val="15"/>
                <w:color w:val="auto"/>
              </w:rPr>
              <w:t>ICON plc</w:t>
            </w:r>
          </w:p>
        </w:tc>
        <w:tc>
          <w:tcPr>
            <w:tcW w:w="1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660" w:type="dxa"/>
            <w:vAlign w:val="bottom"/>
            <w:gridSpan w:val="3"/>
          </w:tcPr>
          <w:p>
            <w:pPr>
              <w:jc w:val="right"/>
              <w:ind w:right="1085"/>
              <w:spacing w:after="0"/>
              <w:rPr>
                <w:sz w:val="20"/>
                <w:szCs w:val="20"/>
                <w:color w:val="auto"/>
              </w:rPr>
            </w:pPr>
            <w:r>
              <w:rPr>
                <w:rFonts w:ascii="Courier New" w:cs="Courier New" w:eastAsia="Courier New" w:hAnsi="Courier New"/>
                <w:sz w:val="15"/>
                <w:szCs w:val="15"/>
                <w:color w:val="auto"/>
              </w:rPr>
              <w:t>FOR THE THREE AND SIX MONTHS ENDED NOVEMBER 30, 2003 AND 2002</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80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(UNAUDITED)</w:t>
            </w:r>
          </w:p>
        </w:tc>
        <w:tc>
          <w:tcPr>
            <w:tcW w:w="2860" w:type="dxa"/>
            <w:vAlign w:val="bottom"/>
            <w:gridSpan w:val="2"/>
            <w:vMerge w:val="restart"/>
          </w:tcPr>
          <w:p>
            <w:pPr>
              <w:jc w:val="right"/>
              <w:ind w:right="545"/>
              <w:spacing w:after="0"/>
              <w:rPr>
                <w:sz w:val="20"/>
                <w:szCs w:val="20"/>
                <w:color w:val="auto"/>
              </w:rPr>
            </w:pPr>
            <w:r>
              <w:rPr>
                <w:rFonts w:ascii="Courier New" w:cs="Courier New" w:eastAsia="Courier New" w:hAnsi="Courier New"/>
                <w:sz w:val="15"/>
                <w:szCs w:val="15"/>
                <w:color w:val="auto"/>
              </w:rPr>
              <w:t>Three Months Ended</w:t>
            </w:r>
          </w:p>
        </w:tc>
        <w:tc>
          <w:tcPr>
            <w:tcW w:w="2700" w:type="dxa"/>
            <w:vAlign w:val="bottom"/>
            <w:gridSpan w:val="2"/>
            <w:vMerge w:val="restart"/>
          </w:tcPr>
          <w:p>
            <w:pPr>
              <w:jc w:val="right"/>
              <w:ind w:right="64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92"/>
        </w:trPr>
        <w:tc>
          <w:tcPr>
            <w:tcW w:w="58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2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800" w:type="dxa"/>
            <w:vAlign w:val="bottom"/>
          </w:tcPr>
          <w:p>
            <w:pPr>
              <w:spacing w:after="0"/>
              <w:rPr>
                <w:sz w:val="14"/>
                <w:szCs w:val="14"/>
                <w:color w:val="auto"/>
              </w:rPr>
            </w:pPr>
          </w:p>
        </w:tc>
        <w:tc>
          <w:tcPr>
            <w:tcW w:w="286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November 30,</w:t>
            </w:r>
          </w:p>
        </w:tc>
        <w:tc>
          <w:tcPr>
            <w:tcW w:w="27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November 30,</w:t>
            </w:r>
          </w:p>
        </w:tc>
        <w:tc>
          <w:tcPr>
            <w:tcW w:w="0" w:type="dxa"/>
            <w:vAlign w:val="bottom"/>
          </w:tcPr>
          <w:p>
            <w:pPr>
              <w:spacing w:after="0"/>
              <w:rPr>
                <w:sz w:val="1"/>
                <w:szCs w:val="1"/>
                <w:color w:val="auto"/>
              </w:rPr>
            </w:pPr>
          </w:p>
        </w:tc>
      </w:tr>
      <w:tr>
        <w:trPr>
          <w:trHeight w:val="172"/>
        </w:trPr>
        <w:tc>
          <w:tcPr>
            <w:tcW w:w="580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2003</w:t>
            </w:r>
          </w:p>
        </w:tc>
        <w:tc>
          <w:tcPr>
            <w:tcW w:w="1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5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Revenue:</w:t>
            </w:r>
          </w:p>
        </w:tc>
        <w:tc>
          <w:tcPr>
            <w:tcW w:w="556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(in thousands except share and per share data)</w:t>
            </w:r>
          </w:p>
        </w:tc>
        <w:tc>
          <w:tcPr>
            <w:tcW w:w="0" w:type="dxa"/>
            <w:vAlign w:val="bottom"/>
          </w:tcPr>
          <w:p>
            <w:pPr>
              <w:spacing w:after="0"/>
              <w:rPr>
                <w:sz w:val="1"/>
                <w:szCs w:val="1"/>
                <w:color w:val="auto"/>
              </w:rPr>
            </w:pPr>
          </w:p>
        </w:tc>
      </w:tr>
      <w:tr>
        <w:trPr>
          <w:trHeight w:val="172"/>
        </w:trPr>
        <w:tc>
          <w:tcPr>
            <w:tcW w:w="58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Gross revenue.............................................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$113,173</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$84,978</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$219,350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$157,065</w:t>
            </w: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Subcontractor costs.......................................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(39,966)</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(31,443)</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(77,208)</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(56,671)</w:t>
            </w:r>
          </w:p>
        </w:tc>
        <w:tc>
          <w:tcPr>
            <w:tcW w:w="0" w:type="dxa"/>
            <w:vAlign w:val="bottom"/>
          </w:tcPr>
          <w:p>
            <w:pPr>
              <w:spacing w:after="0"/>
              <w:rPr>
                <w:sz w:val="1"/>
                <w:szCs w:val="1"/>
                <w:color w:val="auto"/>
              </w:rPr>
            </w:pPr>
          </w:p>
        </w:tc>
      </w:tr>
      <w:tr>
        <w:trPr>
          <w:trHeight w:val="172"/>
        </w:trPr>
        <w:tc>
          <w:tcPr>
            <w:tcW w:w="5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Net revenue...............................................</w:t>
            </w:r>
          </w:p>
        </w:tc>
        <w:tc>
          <w:tcPr>
            <w:tcW w:w="14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73,207</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6"/>
        </w:trPr>
        <w:tc>
          <w:tcPr>
            <w:tcW w:w="580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53,535</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142,142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100,394</w:t>
            </w:r>
          </w:p>
        </w:tc>
        <w:tc>
          <w:tcPr>
            <w:tcW w:w="0" w:type="dxa"/>
            <w:vAlign w:val="bottom"/>
          </w:tcPr>
          <w:p>
            <w:pPr>
              <w:spacing w:after="0"/>
              <w:rPr>
                <w:sz w:val="1"/>
                <w:szCs w:val="1"/>
                <w:color w:val="auto"/>
              </w:rPr>
            </w:pPr>
          </w:p>
        </w:tc>
      </w:tr>
      <w:tr>
        <w:trPr>
          <w:trHeight w:val="250"/>
        </w:trPr>
        <w:tc>
          <w:tcPr>
            <w:tcW w:w="5800" w:type="dxa"/>
            <w:vAlign w:val="bottom"/>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14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40,070</w:t>
            </w:r>
          </w:p>
        </w:tc>
        <w:tc>
          <w:tcPr>
            <w:tcW w:w="14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28,716</w:t>
            </w:r>
          </w:p>
        </w:tc>
        <w:tc>
          <w:tcPr>
            <w:tcW w:w="134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77,769</w:t>
            </w:r>
          </w:p>
        </w:tc>
        <w:tc>
          <w:tcPr>
            <w:tcW w:w="1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54,141</w:t>
            </w: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Direct costs..............................................</w:t>
            </w:r>
          </w:p>
        </w:tc>
        <w:tc>
          <w:tcPr>
            <w:tcW w:w="14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22,041</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16,948</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43,066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31,591</w:t>
            </w: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2,732</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5,321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3,148</w:t>
            </w:r>
          </w:p>
        </w:tc>
        <w:tc>
          <w:tcPr>
            <w:tcW w:w="0" w:type="dxa"/>
            <w:vAlign w:val="bottom"/>
          </w:tcPr>
          <w:p>
            <w:pPr>
              <w:spacing w:after="0"/>
              <w:rPr>
                <w:sz w:val="1"/>
                <w:szCs w:val="1"/>
                <w:color w:val="auto"/>
              </w:rPr>
            </w:pPr>
          </w:p>
        </w:tc>
      </w:tr>
      <w:tr>
        <w:trPr>
          <w:trHeight w:val="172"/>
        </w:trPr>
        <w:tc>
          <w:tcPr>
            <w:tcW w:w="5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costs and expenses..................................</w:t>
            </w:r>
          </w:p>
        </w:tc>
        <w:tc>
          <w:tcPr>
            <w:tcW w:w="14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64,843</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8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47,242</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126,156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88,880</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from operations.......................................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8,364</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6,293</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11,514</w:t>
            </w: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w:t>
            </w: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before provision for income taxes.....................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8,439</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6,366</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16,108</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11,773</w:t>
            </w: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Provision for income taxes...................................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(2,174)</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(1,947)</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(4,239)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(3,381)</w:t>
            </w:r>
          </w:p>
        </w:tc>
        <w:tc>
          <w:tcPr>
            <w:tcW w:w="0" w:type="dxa"/>
            <w:vAlign w:val="bottom"/>
          </w:tcPr>
          <w:p>
            <w:pPr>
              <w:spacing w:after="0"/>
              <w:rPr>
                <w:sz w:val="1"/>
                <w:szCs w:val="1"/>
                <w:color w:val="auto"/>
              </w:rPr>
            </w:pPr>
          </w:p>
        </w:tc>
      </w:tr>
      <w:tr>
        <w:trPr>
          <w:trHeight w:val="172"/>
        </w:trPr>
        <w:tc>
          <w:tcPr>
            <w:tcW w:w="5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$6,265</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8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$4,419</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$11,869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$8,392</w:t>
            </w:r>
          </w:p>
        </w:tc>
        <w:tc>
          <w:tcPr>
            <w:tcW w:w="0" w:type="dxa"/>
            <w:vAlign w:val="bottom"/>
          </w:tcPr>
          <w:p>
            <w:pPr>
              <w:spacing w:after="0"/>
              <w:rPr>
                <w:sz w:val="1"/>
                <w:szCs w:val="1"/>
                <w:color w:val="auto"/>
              </w:rPr>
            </w:pPr>
          </w:p>
        </w:tc>
      </w:tr>
      <w:tr>
        <w:trPr>
          <w:trHeight w:val="252"/>
        </w:trPr>
        <w:tc>
          <w:tcPr>
            <w:tcW w:w="58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income per Ordinary Share:</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800" w:type="dxa"/>
            <w:vAlign w:val="bottom"/>
            <w:vMerge w:val="continue"/>
          </w:tcPr>
          <w:p>
            <w:pPr>
              <w:spacing w:after="0"/>
              <w:rPr>
                <w:sz w:val="7"/>
                <w:szCs w:val="7"/>
                <w:color w:val="auto"/>
              </w:rPr>
            </w:pPr>
          </w:p>
        </w:tc>
        <w:tc>
          <w:tcPr>
            <w:tcW w:w="14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4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134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$0.96</w:t>
            </w:r>
          </w:p>
        </w:tc>
        <w:tc>
          <w:tcPr>
            <w:tcW w:w="1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$0.71</w:t>
            </w:r>
          </w:p>
        </w:tc>
        <w:tc>
          <w:tcPr>
            <w:tcW w:w="0" w:type="dxa"/>
            <w:vAlign w:val="bottom"/>
          </w:tcPr>
          <w:p>
            <w:pPr>
              <w:spacing w:after="0"/>
              <w:rPr>
                <w:sz w:val="1"/>
                <w:szCs w:val="1"/>
                <w:color w:val="auto"/>
              </w:rPr>
            </w:pPr>
          </w:p>
        </w:tc>
      </w:tr>
      <w:tr>
        <w:trPr>
          <w:trHeight w:val="172"/>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4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800" w:type="dxa"/>
            <w:vAlign w:val="bottom"/>
            <w:vMerge w:val="continue"/>
          </w:tcPr>
          <w:p>
            <w:pPr>
              <w:spacing w:after="0"/>
              <w:rPr>
                <w:sz w:val="14"/>
                <w:szCs w:val="14"/>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$0.45</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$0.36</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$0.92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5800" w:type="dxa"/>
            <w:vAlign w:val="bottom"/>
          </w:tcPr>
          <w:p>
            <w:pPr>
              <w:jc w:val="right"/>
              <w:ind w:right="805"/>
              <w:spacing w:after="0"/>
              <w:rPr>
                <w:sz w:val="20"/>
                <w:szCs w:val="20"/>
                <w:color w:val="auto"/>
              </w:rPr>
            </w:pPr>
            <w:r>
              <w:rPr>
                <w:rFonts w:ascii="Courier New" w:cs="Courier New" w:eastAsia="Courier New" w:hAnsi="Courier New"/>
                <w:sz w:val="15"/>
                <w:szCs w:val="15"/>
                <w:color w:val="auto"/>
                <w:w w:val="98"/>
              </w:rPr>
              <w:t>Weighted average number of Ordinary Shares outstanding:</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13,578,859</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11,804,345</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12,346,147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11,799,125</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14,040,419</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12,147,702</w:t>
            </w:r>
          </w:p>
        </w:tc>
        <w:tc>
          <w:tcPr>
            <w:tcW w:w="13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12,849,374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12,143,034</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60"/>
          </w:cols>
          <w:pgMar w:left="240" w:top="951"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2"/>
        </w:trPr>
        <w:tc>
          <w:tcPr>
            <w:tcW w:w="6560" w:type="dxa"/>
            <w:vAlign w:val="bottom"/>
          </w:tcPr>
          <w:p>
            <w:pPr>
              <w:jc w:val="right"/>
              <w:ind w:right="2565"/>
              <w:spacing w:after="0"/>
              <w:rPr>
                <w:sz w:val="20"/>
                <w:szCs w:val="20"/>
                <w:color w:val="auto"/>
              </w:rPr>
            </w:pPr>
            <w:r>
              <w:rPr>
                <w:rFonts w:ascii="Courier New" w:cs="Courier New" w:eastAsia="Courier New" w:hAnsi="Courier New"/>
                <w:sz w:val="15"/>
                <w:szCs w:val="15"/>
                <w:color w:val="auto"/>
              </w:rPr>
              <w:t>ICON plc</w:t>
            </w:r>
          </w:p>
        </w:tc>
        <w:tc>
          <w:tcPr>
            <w:tcW w:w="2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656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9"/>
              </w:rPr>
              <w:t>CONDENSED CONSOLIDATED STATEMENTS OF CASH FLOWS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9"/>
              </w:rPr>
              <w:t>FOR THE SIX MONTHS ENDED NOVEMBER 30, 2003 AND 2002</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560" w:type="dxa"/>
            <w:vAlign w:val="bottom"/>
          </w:tcPr>
          <w:p>
            <w:pPr>
              <w:jc w:val="center"/>
              <w:ind w:left="585"/>
              <w:spacing w:after="0"/>
              <w:rPr>
                <w:sz w:val="20"/>
                <w:szCs w:val="20"/>
                <w:color w:val="auto"/>
              </w:rPr>
            </w:pPr>
            <w:r>
              <w:rPr>
                <w:rFonts w:ascii="Courier New" w:cs="Courier New" w:eastAsia="Courier New" w:hAnsi="Courier New"/>
                <w:sz w:val="15"/>
                <w:szCs w:val="15"/>
                <w:color w:val="auto"/>
                <w:w w:val="98"/>
              </w:rPr>
              <w:t>(UNAUDITED)</w:t>
            </w:r>
          </w:p>
        </w:tc>
        <w:tc>
          <w:tcPr>
            <w:tcW w:w="372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Six Months Ended November 30,</w:t>
            </w:r>
          </w:p>
        </w:tc>
        <w:tc>
          <w:tcPr>
            <w:tcW w:w="0" w:type="dxa"/>
            <w:vAlign w:val="bottom"/>
          </w:tcPr>
          <w:p>
            <w:pPr>
              <w:spacing w:after="0"/>
              <w:rPr>
                <w:sz w:val="1"/>
                <w:szCs w:val="1"/>
                <w:color w:val="auto"/>
              </w:rPr>
            </w:pPr>
          </w:p>
        </w:tc>
      </w:tr>
      <w:tr>
        <w:trPr>
          <w:trHeight w:val="92"/>
        </w:trPr>
        <w:tc>
          <w:tcPr>
            <w:tcW w:w="6560" w:type="dxa"/>
            <w:vAlign w:val="bottom"/>
          </w:tcPr>
          <w:p>
            <w:pPr>
              <w:spacing w:after="0"/>
              <w:rPr>
                <w:sz w:val="7"/>
                <w:szCs w:val="7"/>
                <w:color w:val="auto"/>
              </w:rPr>
            </w:pPr>
          </w:p>
        </w:tc>
        <w:tc>
          <w:tcPr>
            <w:tcW w:w="3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560" w:type="dxa"/>
            <w:vAlign w:val="bottom"/>
          </w:tcPr>
          <w:p>
            <w:pPr>
              <w:spacing w:after="0"/>
              <w:rPr>
                <w:sz w:val="14"/>
                <w:szCs w:val="14"/>
                <w:color w:val="auto"/>
              </w:rPr>
            </w:pPr>
          </w:p>
        </w:tc>
        <w:tc>
          <w:tcPr>
            <w:tcW w:w="2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2003</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656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72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72"/>
        </w:trPr>
        <w:tc>
          <w:tcPr>
            <w:tcW w:w="656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$11,869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$8,392</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(used in)/provided by</w:t>
            </w: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operating activities:..................................</w:t>
            </w:r>
          </w:p>
        </w:tc>
        <w:tc>
          <w:tcPr>
            <w:tcW w:w="22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15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Loss on disposal of fixed assets.......................</w:t>
            </w:r>
          </w:p>
        </w:tc>
        <w:tc>
          <w:tcPr>
            <w:tcW w:w="22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Depreciation...........................................</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5,321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3,148</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Amortization of grants.................................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2"/>
        </w:trPr>
        <w:tc>
          <w:tcPr>
            <w:tcW w:w="65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2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(162)</w:t>
            </w:r>
          </w:p>
        </w:tc>
        <w:tc>
          <w:tcPr>
            <w:tcW w:w="15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(Increase)/decrease in accounts receivable.............</w:t>
            </w:r>
          </w:p>
        </w:tc>
        <w:tc>
          <w:tcPr>
            <w:tcW w:w="22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Increase in unbilled revenue...........................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(7,327)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(12,058)</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Decrease/(increase) in other receivables...............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(1,959)</w:t>
            </w:r>
          </w:p>
        </w:tc>
        <w:tc>
          <w:tcPr>
            <w:tcW w:w="0" w:type="dxa"/>
            <w:vAlign w:val="bottom"/>
          </w:tcPr>
          <w:p>
            <w:pPr>
              <w:spacing w:after="0"/>
              <w:rPr>
                <w:sz w:val="1"/>
                <w:szCs w:val="1"/>
                <w:color w:val="auto"/>
              </w:rPr>
            </w:pPr>
          </w:p>
        </w:tc>
      </w:tr>
      <w:tr>
        <w:trPr>
          <w:trHeight w:val="172"/>
        </w:trPr>
        <w:tc>
          <w:tcPr>
            <w:tcW w:w="6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(Increase)/decrease in prepayments and other current assets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457</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(Decrease)/increase in payments on account.............</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(3,591)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13,158</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Decrease in other liabilities..........................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Increase in income taxes payable.......................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1,178</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Decrease in accounts payable...........................</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(3,555)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(2,708)</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1"/>
                <w:szCs w:val="21"/>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6,343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9,504</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(7,711)</w:t>
            </w:r>
          </w:p>
        </w:tc>
        <w:tc>
          <w:tcPr>
            <w:tcW w:w="15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(7,110)</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Purchase of fixed assets...............................</w:t>
            </w:r>
          </w:p>
        </w:tc>
        <w:tc>
          <w:tcPr>
            <w:tcW w:w="22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Sale of short term investments.........................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12,313</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Purchase of short term investments.....................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(4,639)</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Purchase of subsidiary.................................</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(11,097)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(15,861)</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Cash acquired with subsidiary .........................</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1,559</w:t>
            </w:r>
          </w:p>
        </w:tc>
        <w:tc>
          <w:tcPr>
            <w:tcW w:w="0" w:type="dxa"/>
            <w:vAlign w:val="bottom"/>
          </w:tcPr>
          <w:p>
            <w:pPr>
              <w:spacing w:after="0"/>
              <w:rPr>
                <w:sz w:val="1"/>
                <w:szCs w:val="1"/>
                <w:color w:val="auto"/>
              </w:rPr>
            </w:pPr>
          </w:p>
        </w:tc>
      </w:tr>
      <w:tr>
        <w:trPr>
          <w:trHeight w:val="172"/>
        </w:trPr>
        <w:tc>
          <w:tcPr>
            <w:tcW w:w="6560" w:type="dxa"/>
            <w:vAlign w:val="bottom"/>
          </w:tcPr>
          <w:p>
            <w:pPr>
              <w:jc w:val="right"/>
              <w:ind w:right="1925"/>
              <w:spacing w:after="0"/>
              <w:rPr>
                <w:sz w:val="20"/>
                <w:szCs w:val="20"/>
                <w:color w:val="auto"/>
              </w:rPr>
            </w:pPr>
            <w:r>
              <w:rPr>
                <w:rFonts w:ascii="Courier New" w:cs="Courier New" w:eastAsia="Courier New" w:hAnsi="Courier New"/>
                <w:sz w:val="15"/>
                <w:szCs w:val="15"/>
                <w:color w:val="auto"/>
              </w:rPr>
              <w:t>Payments in respect of prior year acquisitions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(3,078)</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1"/>
                <w:szCs w:val="21"/>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(19,344)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(16,816)</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10,310</w:t>
            </w:r>
          </w:p>
        </w:tc>
        <w:tc>
          <w:tcPr>
            <w:tcW w:w="15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(3,753)</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Proceeds from/(repayment of) bank overdraft...............</w:t>
            </w:r>
          </w:p>
        </w:tc>
        <w:tc>
          <w:tcPr>
            <w:tcW w:w="22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Proceeds from issuance of share capital...................</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45,705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Proceeds from exercise of share options...................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3,281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Share issuance costs......................................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Repayment of other liabilities............................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vMerge w:val="restart"/>
          </w:tcPr>
          <w:p>
            <w:pPr>
              <w:jc w:val="right"/>
              <w:ind w:right="1305"/>
              <w:spacing w:after="0"/>
              <w:rPr>
                <w:sz w:val="20"/>
                <w:szCs w:val="20"/>
                <w:color w:val="auto"/>
              </w:rPr>
            </w:pPr>
            <w:r>
              <w:rPr>
                <w:rFonts w:ascii="Courier New" w:cs="Courier New" w:eastAsia="Courier New" w:hAnsi="Courier New"/>
                <w:sz w:val="15"/>
                <w:szCs w:val="15"/>
                <w:color w:val="auto"/>
                <w:w w:val="98"/>
              </w:rPr>
              <w:t>Net cash provided by/(used in) financing activities.......</w:t>
            </w:r>
          </w:p>
        </w:tc>
        <w:tc>
          <w:tcPr>
            <w:tcW w:w="2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86"/>
              </w:rPr>
              <w:t>------------------</w:t>
            </w:r>
            <w:r>
              <w:rPr>
                <w:rFonts w:ascii="Courier New" w:cs="Courier New" w:eastAsia="Courier New" w:hAnsi="Courier New"/>
                <w:sz w:val="29"/>
                <w:szCs w:val="29"/>
                <w:color w:val="auto"/>
                <w:w w:val="86"/>
                <w:vertAlign w:val="subscript"/>
              </w:rPr>
              <w:t>58,099</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56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(3,539)</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Effect of exchange rate movements on cash.................</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(1,946)</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(176)</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1"/>
                <w:szCs w:val="21"/>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Net increase/(decrease) in cash and cash equivalents......</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43,152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(11,027)</w:t>
            </w:r>
          </w:p>
        </w:tc>
        <w:tc>
          <w:tcPr>
            <w:tcW w:w="0" w:type="dxa"/>
            <w:vAlign w:val="bottom"/>
          </w:tcPr>
          <w:p>
            <w:pPr>
              <w:spacing w:after="0"/>
              <w:rPr>
                <w:sz w:val="1"/>
                <w:szCs w:val="1"/>
                <w:color w:val="auto"/>
              </w:rPr>
            </w:pPr>
          </w:p>
        </w:tc>
      </w:tr>
      <w:tr>
        <w:trPr>
          <w:trHeight w:val="172"/>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18,311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36,291</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1"/>
                <w:szCs w:val="21"/>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560" w:type="dxa"/>
            <w:vAlign w:val="bottom"/>
          </w:tcPr>
          <w:p>
            <w:pPr>
              <w:jc w:val="right"/>
              <w:ind w:right="130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$61,463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$25,264</w:t>
            </w:r>
          </w:p>
        </w:tc>
        <w:tc>
          <w:tcPr>
            <w:tcW w:w="0" w:type="dxa"/>
            <w:vAlign w:val="bottom"/>
          </w:tcPr>
          <w:p>
            <w:pPr>
              <w:spacing w:after="0"/>
              <w:rPr>
                <w:sz w:val="1"/>
                <w:szCs w:val="1"/>
                <w:color w:val="auto"/>
              </w:rPr>
            </w:pPr>
          </w:p>
        </w:tc>
      </w:tr>
      <w:tr>
        <w:trPr>
          <w:trHeight w:val="252"/>
        </w:trPr>
        <w:tc>
          <w:tcPr>
            <w:tcW w:w="6560" w:type="dxa"/>
            <w:vAlign w:val="bottom"/>
          </w:tcPr>
          <w:p>
            <w:pPr>
              <w:spacing w:after="0"/>
              <w:rPr>
                <w:sz w:val="21"/>
                <w:szCs w:val="21"/>
                <w:color w:val="auto"/>
              </w:rPr>
            </w:pP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80"/>
          </w:cols>
          <w:pgMar w:left="240" w:top="951" w:right="1379" w:bottom="1440" w:gutter="0" w:footer="0" w:header="0"/>
        </w:sectPr>
      </w:pPr>
    </w:p>
    <w:bookmarkStart w:id="6" w:name="page7"/>
    <w:bookmarkEnd w:id="6"/>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40" w:type="dxa"/>
            <w:vAlign w:val="bottom"/>
          </w:tcPr>
          <w:p>
            <w:pPr>
              <w:spacing w:after="0"/>
              <w:rPr>
                <w:sz w:val="21"/>
                <w:szCs w:val="21"/>
                <w:color w:val="auto"/>
              </w:rPr>
            </w:pPr>
          </w:p>
        </w:tc>
        <w:tc>
          <w:tcPr>
            <w:tcW w:w="1380" w:type="dxa"/>
            <w:vAlign w:val="bottom"/>
          </w:tcPr>
          <w:p>
            <w:pPr>
              <w:jc w:val="right"/>
              <w:ind w:right="607"/>
              <w:spacing w:after="0"/>
              <w:rPr>
                <w:sz w:val="20"/>
                <w:szCs w:val="20"/>
                <w:color w:val="auto"/>
              </w:rPr>
            </w:pPr>
            <w:r>
              <w:rPr>
                <w:rFonts w:ascii="Courier New" w:cs="Courier New" w:eastAsia="Courier New" w:hAnsi="Courier New"/>
                <w:sz w:val="15"/>
                <w:szCs w:val="15"/>
                <w:color w:val="auto"/>
                <w:w w:val="94"/>
              </w:rPr>
              <w:t>ICON plc</w:t>
            </w:r>
          </w:p>
        </w:tc>
        <w:tc>
          <w:tcPr>
            <w:tcW w:w="7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240" w:type="dxa"/>
            <w:vAlign w:val="bottom"/>
            <w:gridSpan w:val="5"/>
          </w:tcPr>
          <w:p>
            <w:pPr>
              <w:jc w:val="right"/>
              <w:ind w:right="825"/>
              <w:spacing w:after="0"/>
              <w:rPr>
                <w:sz w:val="20"/>
                <w:szCs w:val="20"/>
                <w:color w:val="auto"/>
              </w:rPr>
            </w:pPr>
            <w:r>
              <w:rPr>
                <w:rFonts w:ascii="Courier New" w:cs="Courier New" w:eastAsia="Courier New" w:hAnsi="Courier New"/>
                <w:sz w:val="15"/>
                <w:szCs w:val="15"/>
                <w:color w:val="auto"/>
                <w:w w:val="99"/>
              </w:rPr>
              <w:t>CONDENSED CONSOLIDATED STATEMENTS OF SHAREHOLDERS' EQUITY AND COMPREHENSIVE INCOME</w:t>
            </w: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5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(UNAUDITED)</w:t>
            </w:r>
          </w:p>
        </w:tc>
        <w:tc>
          <w:tcPr>
            <w:tcW w:w="7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6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Additional</w:t>
            </w:r>
          </w:p>
        </w:tc>
        <w:tc>
          <w:tcPr>
            <w:tcW w:w="1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Accumulated</w:t>
            </w: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Other</w:t>
            </w:r>
          </w:p>
        </w:tc>
        <w:tc>
          <w:tcPr>
            <w:tcW w:w="134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Retained</w:t>
            </w:r>
          </w:p>
        </w:tc>
        <w:tc>
          <w:tcPr>
            <w:tcW w:w="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Merger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3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7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c>
          <w:tcPr>
            <w:tcW w:w="1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Comprehensive</w:t>
            </w:r>
          </w:p>
        </w:tc>
        <w:tc>
          <w:tcPr>
            <w:tcW w:w="13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Earnings</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Reserve</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140" w:type="dxa"/>
            <w:vAlign w:val="bottom"/>
          </w:tcPr>
          <w:p>
            <w:pPr>
              <w:spacing w:after="0"/>
              <w:rPr>
                <w:sz w:val="21"/>
                <w:szCs w:val="21"/>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60" w:type="dxa"/>
            <w:vAlign w:val="bottom"/>
            <w:gridSpan w:val="4"/>
          </w:tcPr>
          <w:p>
            <w:pPr>
              <w:jc w:val="right"/>
              <w:ind w:right="1005"/>
              <w:spacing w:after="0"/>
              <w:rPr>
                <w:sz w:val="20"/>
                <w:szCs w:val="20"/>
                <w:color w:val="auto"/>
              </w:rPr>
            </w:pPr>
            <w:r>
              <w:rPr>
                <w:rFonts w:ascii="Courier New" w:cs="Courier New" w:eastAsia="Courier New" w:hAnsi="Courier New"/>
                <w:sz w:val="15"/>
                <w:szCs w:val="15"/>
                <w:color w:val="auto"/>
              </w:rPr>
              <w:t>(dollars in thousands, except share data)</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Balance at May 31, 2003........</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11,841,557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$61,164</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$7,787</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$67,071</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$136,910</w:t>
            </w:r>
          </w:p>
        </w:tc>
        <w:tc>
          <w:tcPr>
            <w:tcW w:w="0" w:type="dxa"/>
            <w:vAlign w:val="bottom"/>
          </w:tcPr>
          <w:p>
            <w:pPr>
              <w:spacing w:after="0"/>
              <w:rPr>
                <w:sz w:val="1"/>
                <w:szCs w:val="1"/>
                <w:color w:val="auto"/>
              </w:rPr>
            </w:pPr>
          </w:p>
        </w:tc>
      </w:tr>
      <w:tr>
        <w:trPr>
          <w:trHeight w:val="436"/>
        </w:trPr>
        <w:tc>
          <w:tcPr>
            <w:tcW w:w="314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11,869</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11,869</w:t>
            </w:r>
          </w:p>
        </w:tc>
        <w:tc>
          <w:tcPr>
            <w:tcW w:w="0" w:type="dxa"/>
            <w:vAlign w:val="bottom"/>
          </w:tcPr>
          <w:p>
            <w:pPr>
              <w:spacing w:after="0"/>
              <w:rPr>
                <w:sz w:val="1"/>
                <w:szCs w:val="1"/>
                <w:color w:val="auto"/>
              </w:rPr>
            </w:pPr>
          </w:p>
        </w:tc>
      </w:tr>
      <w:tr>
        <w:trPr>
          <w:trHeight w:val="172"/>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Currency translation adjustment..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(764)</w:t>
            </w:r>
          </w:p>
        </w:tc>
        <w:tc>
          <w:tcPr>
            <w:tcW w:w="0" w:type="dxa"/>
            <w:vAlign w:val="bottom"/>
          </w:tcPr>
          <w:p>
            <w:pPr>
              <w:spacing w:after="0"/>
              <w:rPr>
                <w:sz w:val="1"/>
                <w:szCs w:val="1"/>
                <w:color w:val="auto"/>
              </w:rPr>
            </w:pPr>
          </w:p>
        </w:tc>
      </w:tr>
      <w:tr>
        <w:trPr>
          <w:trHeight w:val="172"/>
        </w:trPr>
        <w:tc>
          <w:tcPr>
            <w:tcW w:w="3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comprehensive income.......</w:t>
            </w: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3140" w:type="dxa"/>
            <w:vAlign w:val="bottom"/>
            <w:vMerge w:val="continue"/>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278,800</w:t>
            </w:r>
          </w:p>
        </w:tc>
        <w:tc>
          <w:tcPr>
            <w:tcW w:w="7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19</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3,262</w:t>
            </w:r>
          </w:p>
        </w:tc>
        <w:tc>
          <w:tcPr>
            <w:tcW w:w="17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11,105</w:t>
            </w:r>
          </w:p>
        </w:tc>
        <w:tc>
          <w:tcPr>
            <w:tcW w:w="0" w:type="dxa"/>
            <w:vAlign w:val="bottom"/>
          </w:tcPr>
          <w:p>
            <w:pPr>
              <w:spacing w:after="0"/>
              <w:rPr>
                <w:sz w:val="1"/>
                <w:szCs w:val="1"/>
                <w:color w:val="auto"/>
              </w:rPr>
            </w:pPr>
          </w:p>
        </w:tc>
      </w:tr>
      <w:tr>
        <w:trPr>
          <w:trHeight w:val="172"/>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Exercise of Share Options........</w:t>
            </w:r>
          </w:p>
        </w:tc>
        <w:tc>
          <w:tcPr>
            <w:tcW w:w="1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3,281</w:t>
            </w:r>
          </w:p>
        </w:tc>
        <w:tc>
          <w:tcPr>
            <w:tcW w:w="0" w:type="dxa"/>
            <w:vAlign w:val="bottom"/>
          </w:tcPr>
          <w:p>
            <w:pPr>
              <w:spacing w:after="0"/>
              <w:rPr>
                <w:sz w:val="1"/>
                <w:szCs w:val="1"/>
                <w:color w:val="auto"/>
              </w:rPr>
            </w:pPr>
          </w:p>
        </w:tc>
      </w:tr>
      <w:tr>
        <w:trPr>
          <w:trHeight w:val="172"/>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Shares issued....................</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45,601</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45,705</w:t>
            </w:r>
          </w:p>
        </w:tc>
        <w:tc>
          <w:tcPr>
            <w:tcW w:w="0" w:type="dxa"/>
            <w:vAlign w:val="bottom"/>
          </w:tcPr>
          <w:p>
            <w:pPr>
              <w:spacing w:after="0"/>
              <w:rPr>
                <w:sz w:val="1"/>
                <w:szCs w:val="1"/>
                <w:color w:val="auto"/>
              </w:rPr>
            </w:pPr>
          </w:p>
        </w:tc>
      </w:tr>
      <w:tr>
        <w:trPr>
          <w:trHeight w:val="172"/>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Share Issue costs................</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(1,408)</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(1,408)</w:t>
            </w:r>
          </w:p>
        </w:tc>
        <w:tc>
          <w:tcPr>
            <w:tcW w:w="0" w:type="dxa"/>
            <w:vAlign w:val="bottom"/>
          </w:tcPr>
          <w:p>
            <w:pPr>
              <w:spacing w:after="0"/>
              <w:rPr>
                <w:sz w:val="1"/>
                <w:szCs w:val="1"/>
                <w:color w:val="auto"/>
              </w:rPr>
            </w:pPr>
          </w:p>
        </w:tc>
      </w:tr>
      <w:tr>
        <w:trPr>
          <w:trHeight w:val="172"/>
        </w:trPr>
        <w:tc>
          <w:tcPr>
            <w:tcW w:w="31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at November 30, 2003</w:t>
            </w: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2"/>
                <w:szCs w:val="12"/>
                <w:color w:val="auto"/>
                <w:w w:val="71"/>
              </w:rPr>
              <w:t>13,620,357</w:t>
            </w:r>
            <w:r>
              <w:rPr>
                <w:rFonts w:ascii="Courier New" w:cs="Courier New" w:eastAsia="Courier New" w:hAnsi="Courier New"/>
                <w:sz w:val="22"/>
                <w:szCs w:val="22"/>
                <w:color w:val="auto"/>
                <w:w w:val="71"/>
                <w:vertAlign w:val="superscript"/>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2"/>
        </w:trPr>
        <w:tc>
          <w:tcPr>
            <w:tcW w:w="31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$108,619</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$7,023</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$78,940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$195,593</w:t>
            </w:r>
          </w:p>
        </w:tc>
        <w:tc>
          <w:tcPr>
            <w:tcW w:w="0" w:type="dxa"/>
            <w:vAlign w:val="bottom"/>
          </w:tcPr>
          <w:p>
            <w:pPr>
              <w:spacing w:after="0"/>
              <w:rPr>
                <w:sz w:val="1"/>
                <w:szCs w:val="1"/>
                <w:color w:val="auto"/>
              </w:rPr>
            </w:pPr>
          </w:p>
        </w:tc>
      </w:tr>
      <w:tr>
        <w:trPr>
          <w:trHeight w:val="252"/>
        </w:trPr>
        <w:tc>
          <w:tcPr>
            <w:tcW w:w="3140" w:type="dxa"/>
            <w:vAlign w:val="bottom"/>
          </w:tcPr>
          <w:p>
            <w:pPr>
              <w:spacing w:after="0"/>
              <w:rPr>
                <w:sz w:val="21"/>
                <w:szCs w:val="21"/>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40"/>
          </w:cols>
          <w:pgMar w:left="320" w:top="1440" w:right="139" w:bottom="1440" w:gutter="0" w:footer="0" w:header="0"/>
        </w:sectPr>
      </w:pPr>
    </w:p>
    <w:bookmarkStart w:id="7" w:name="page8"/>
    <w:bookmarkEnd w:id="7"/>
    <w:p>
      <w:pPr>
        <w:jc w:val="center"/>
        <w:ind w:right="3071"/>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3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NOVEMBER 30, 2003</w:t>
      </w: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4" w:lineRule="exact"/>
        <w:rPr>
          <w:sz w:val="20"/>
          <w:szCs w:val="20"/>
          <w:color w:val="auto"/>
        </w:rPr>
      </w:pPr>
    </w:p>
    <w:p>
      <w:pPr>
        <w:ind w:left="8" w:right="3079"/>
        <w:spacing w:after="0" w:line="253"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2003, except as described below.</w:t>
      </w:r>
    </w:p>
    <w:p>
      <w:pPr>
        <w:spacing w:after="0" w:line="87" w:lineRule="exact"/>
        <w:rPr>
          <w:sz w:val="20"/>
          <w:szCs w:val="20"/>
          <w:color w:val="auto"/>
        </w:rPr>
      </w:pPr>
    </w:p>
    <w:p>
      <w:pPr>
        <w:ind w:left="8" w:right="3159"/>
        <w:spacing w:after="0" w:line="257"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2003 annual report on Form 20-F. Operating results for the six months ended November 30, 2003 are not necessarily indicative of the results that may be expected for the fiscal year ending May 31, 2004.</w:t>
      </w:r>
    </w:p>
    <w:p>
      <w:pPr>
        <w:spacing w:after="0" w:line="255" w:lineRule="exact"/>
        <w:rPr>
          <w:sz w:val="20"/>
          <w:szCs w:val="20"/>
          <w:color w:val="auto"/>
        </w:rPr>
      </w:pPr>
    </w:p>
    <w:p>
      <w:pPr>
        <w:ind w:left="8" w:right="8179" w:hanging="8"/>
        <w:spacing w:after="0" w:line="520" w:lineRule="auto"/>
        <w:tabs>
          <w:tab w:leader="none" w:pos="27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Acquisition of Globomax</w:t>
      </w:r>
    </w:p>
    <w:p>
      <w:pPr>
        <w:spacing w:after="0" w:line="1" w:lineRule="exact"/>
        <w:rPr>
          <w:sz w:val="20"/>
          <w:szCs w:val="20"/>
          <w:color w:val="auto"/>
        </w:rPr>
      </w:pPr>
    </w:p>
    <w:p>
      <w:pPr>
        <w:ind w:left="8" w:right="3079"/>
        <w:spacing w:after="0" w:line="259" w:lineRule="auto"/>
        <w:rPr>
          <w:sz w:val="20"/>
          <w:szCs w:val="20"/>
          <w:color w:val="auto"/>
        </w:rPr>
      </w:pPr>
      <w:r>
        <w:rPr>
          <w:rFonts w:ascii="Courier New" w:cs="Courier New" w:eastAsia="Courier New" w:hAnsi="Courier New"/>
          <w:sz w:val="15"/>
          <w:szCs w:val="15"/>
          <w:color w:val="auto"/>
        </w:rPr>
        <w:t>On September 9, 2003, the Company acquired 100% of the outstanding shares of Globomax LLC, based in Maryland, USA, for an initial cash consideration of U.S.$10.9 million. Earn-out have been built into the acquisition contract requiring the potential payment of additional deferred consideration up to a maximum of U.S.$4.0 million depending on the performance of Globomax over the period from date of acquisition to May 31, 2006. Such potential additional consideration will be accounted for as goodwill. The total amount of goodwill is expected to be tax deductible.</w:t>
      </w:r>
    </w:p>
    <w:p>
      <w:pPr>
        <w:spacing w:after="0" w:line="81" w:lineRule="exact"/>
        <w:rPr>
          <w:sz w:val="20"/>
          <w:szCs w:val="20"/>
          <w:color w:val="auto"/>
        </w:rPr>
      </w:pPr>
    </w:p>
    <w:p>
      <w:pPr>
        <w:ind w:left="8" w:right="3259"/>
        <w:spacing w:after="0" w:line="281" w:lineRule="auto"/>
        <w:rPr>
          <w:sz w:val="20"/>
          <w:szCs w:val="20"/>
          <w:color w:val="auto"/>
        </w:rPr>
      </w:pPr>
      <w:r>
        <w:rPr>
          <w:rFonts w:ascii="Courier New" w:cs="Courier New" w:eastAsia="Courier New" w:hAnsi="Courier New"/>
          <w:sz w:val="15"/>
          <w:szCs w:val="15"/>
          <w:color w:val="auto"/>
        </w:rPr>
        <w:t>The acquisition of Globomax has been accounted for as a purchase in accordance with SFAS No. 141, "Business Combinations". The following table summarises the fair values of the assets acquired and the liabilities assumed at the date of acquisition.</w:t>
      </w:r>
    </w:p>
    <w:p>
      <w:pPr>
        <w:spacing w:after="0" w:line="64" w:lineRule="exact"/>
        <w:rPr>
          <w:sz w:val="20"/>
          <w:szCs w:val="20"/>
          <w:color w:val="auto"/>
        </w:rPr>
      </w:pPr>
    </w:p>
    <w:p>
      <w:pPr>
        <w:ind w:left="5268"/>
        <w:spacing w:after="0"/>
        <w:rPr>
          <w:sz w:val="20"/>
          <w:szCs w:val="20"/>
          <w:color w:val="auto"/>
        </w:rPr>
      </w:pPr>
      <w:r>
        <w:rPr>
          <w:rFonts w:ascii="Courier New" w:cs="Courier New" w:eastAsia="Courier New" w:hAnsi="Courier New"/>
          <w:sz w:val="15"/>
          <w:szCs w:val="15"/>
          <w:color w:val="auto"/>
        </w:rPr>
        <w:t>At September 9,</w:t>
      </w:r>
    </w:p>
    <w:p>
      <w:pPr>
        <w:spacing w:after="0" w:line="30" w:lineRule="exact"/>
        <w:rPr>
          <w:sz w:val="20"/>
          <w:szCs w:val="20"/>
          <w:color w:val="auto"/>
        </w:rPr>
      </w:pPr>
    </w:p>
    <w:p>
      <w:pPr>
        <w:ind w:left="6268"/>
        <w:spacing w:after="0"/>
        <w:rPr>
          <w:sz w:val="20"/>
          <w:szCs w:val="20"/>
          <w:color w:val="auto"/>
        </w:rPr>
      </w:pPr>
      <w:r>
        <w:rPr>
          <w:rFonts w:ascii="Courier New" w:cs="Courier New" w:eastAsia="Courier New" w:hAnsi="Courier New"/>
          <w:sz w:val="15"/>
          <w:szCs w:val="15"/>
          <w:color w:val="auto"/>
        </w:rPr>
        <w:t>2003</w:t>
      </w:r>
    </w:p>
    <w:p>
      <w:pPr>
        <w:spacing w:after="0" w:line="2" w:lineRule="exact"/>
        <w:rPr>
          <w:sz w:val="20"/>
          <w:szCs w:val="20"/>
          <w:color w:val="auto"/>
        </w:rPr>
      </w:pPr>
    </w:p>
    <w:p>
      <w:pPr>
        <w:ind w:left="5368"/>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628"/>
        <w:spacing w:after="0"/>
        <w:tabs>
          <w:tab w:leader="none" w:pos="6248" w:val="left"/>
        </w:tabs>
        <w:rPr>
          <w:sz w:val="20"/>
          <w:szCs w:val="20"/>
          <w:color w:val="auto"/>
        </w:rPr>
      </w:pPr>
      <w:r>
        <w:rPr>
          <w:rFonts w:ascii="Courier New" w:cs="Courier New" w:eastAsia="Courier New" w:hAnsi="Courier New"/>
          <w:sz w:val="15"/>
          <w:szCs w:val="15"/>
          <w:color w:val="auto"/>
        </w:rPr>
        <w:t>Property, Plant and Equipment</w:t>
      </w:r>
      <w:r>
        <w:rPr>
          <w:sz w:val="20"/>
          <w:szCs w:val="20"/>
          <w:color w:val="auto"/>
        </w:rPr>
        <w:tab/>
      </w:r>
      <w:r>
        <w:rPr>
          <w:rFonts w:ascii="Courier New" w:cs="Courier New" w:eastAsia="Courier New" w:hAnsi="Courier New"/>
          <w:sz w:val="15"/>
          <w:szCs w:val="15"/>
          <w:color w:val="auto"/>
        </w:rPr>
        <w:t>$370</w:t>
      </w:r>
    </w:p>
    <w:p>
      <w:pPr>
        <w:spacing w:after="0" w:line="2" w:lineRule="exact"/>
        <w:rPr>
          <w:sz w:val="20"/>
          <w:szCs w:val="20"/>
          <w:color w:val="auto"/>
        </w:rPr>
      </w:pPr>
    </w:p>
    <w:p>
      <w:pPr>
        <w:ind w:left="628"/>
        <w:spacing w:after="0"/>
        <w:tabs>
          <w:tab w:leader="none" w:pos="6068"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5"/>
          <w:szCs w:val="15"/>
          <w:color w:val="auto"/>
        </w:rPr>
        <w:t>13,134</w:t>
      </w:r>
    </w:p>
    <w:p>
      <w:pPr>
        <w:spacing w:after="0" w:line="2" w:lineRule="exact"/>
        <w:rPr>
          <w:sz w:val="20"/>
          <w:szCs w:val="20"/>
          <w:color w:val="auto"/>
        </w:rPr>
      </w:pPr>
    </w:p>
    <w:p>
      <w:pPr>
        <w:ind w:left="628"/>
        <w:spacing w:after="0"/>
        <w:tabs>
          <w:tab w:leader="none" w:pos="6328" w:val="left"/>
        </w:tabs>
        <w:rPr>
          <w:sz w:val="20"/>
          <w:szCs w:val="20"/>
          <w:color w:val="auto"/>
        </w:rPr>
      </w:pPr>
      <w:r>
        <w:rPr>
          <w:rFonts w:ascii="Courier New" w:cs="Courier New" w:eastAsia="Courier New" w:hAnsi="Courier New"/>
          <w:sz w:val="15"/>
          <w:szCs w:val="15"/>
          <w:color w:val="auto"/>
        </w:rPr>
        <w:t>Cash</w:t>
      </w:r>
      <w:r>
        <w:rPr>
          <w:sz w:val="20"/>
          <w:szCs w:val="20"/>
          <w:color w:val="auto"/>
        </w:rPr>
        <w:tab/>
      </w:r>
      <w:r>
        <w:rPr>
          <w:rFonts w:ascii="Courier New" w:cs="Courier New" w:eastAsia="Courier New" w:hAnsi="Courier New"/>
          <w:sz w:val="15"/>
          <w:szCs w:val="15"/>
          <w:color w:val="auto"/>
        </w:rPr>
        <w:t>891</w:t>
      </w:r>
    </w:p>
    <w:p>
      <w:pPr>
        <w:spacing w:after="0" w:line="2" w:lineRule="exact"/>
        <w:rPr>
          <w:sz w:val="20"/>
          <w:szCs w:val="20"/>
          <w:color w:val="auto"/>
        </w:rPr>
      </w:pPr>
    </w:p>
    <w:p>
      <w:pPr>
        <w:ind w:left="628"/>
        <w:spacing w:after="0"/>
        <w:tabs>
          <w:tab w:leader="none" w:pos="6148" w:val="left"/>
        </w:tabs>
        <w:rPr>
          <w:sz w:val="20"/>
          <w:szCs w:val="20"/>
          <w:color w:val="auto"/>
        </w:rPr>
      </w:pPr>
      <w:r>
        <w:rPr>
          <w:rFonts w:ascii="Courier New" w:cs="Courier New" w:eastAsia="Courier New" w:hAnsi="Courier New"/>
          <w:sz w:val="15"/>
          <w:szCs w:val="15"/>
          <w:color w:val="auto"/>
        </w:rPr>
        <w:t>Other Current Assets</w:t>
      </w:r>
      <w:r>
        <w:rPr>
          <w:sz w:val="20"/>
          <w:szCs w:val="20"/>
          <w:color w:val="auto"/>
        </w:rPr>
        <w:tab/>
      </w:r>
      <w:r>
        <w:rPr>
          <w:rFonts w:ascii="Courier New" w:cs="Courier New" w:eastAsia="Courier New" w:hAnsi="Courier New"/>
          <w:sz w:val="15"/>
          <w:szCs w:val="15"/>
          <w:color w:val="auto"/>
        </w:rPr>
        <w:t>3,306</w:t>
      </w:r>
    </w:p>
    <w:p>
      <w:pPr>
        <w:spacing w:after="0" w:line="2" w:lineRule="exact"/>
        <w:rPr>
          <w:sz w:val="20"/>
          <w:szCs w:val="20"/>
          <w:color w:val="auto"/>
        </w:rPr>
      </w:pPr>
    </w:p>
    <w:p>
      <w:pPr>
        <w:ind w:left="628"/>
        <w:spacing w:after="0"/>
        <w:tabs>
          <w:tab w:leader="none" w:pos="5968"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5"/>
          <w:szCs w:val="15"/>
          <w:color w:val="auto"/>
        </w:rPr>
        <w:t>(6,376)</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8"/>
        <w:spacing w:after="0"/>
        <w:tabs>
          <w:tab w:leader="none" w:pos="5968"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5"/>
          <w:szCs w:val="15"/>
          <w:color w:val="auto"/>
        </w:rPr>
        <w:t>$11,325</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 w:right="3779"/>
        <w:spacing w:after="0" w:line="359" w:lineRule="auto"/>
        <w:rPr>
          <w:sz w:val="20"/>
          <w:szCs w:val="20"/>
          <w:color w:val="auto"/>
        </w:rPr>
      </w:pPr>
      <w:r>
        <w:rPr>
          <w:rFonts w:ascii="Courier New" w:cs="Courier New" w:eastAsia="Courier New" w:hAnsi="Courier New"/>
          <w:sz w:val="15"/>
          <w:szCs w:val="15"/>
          <w:color w:val="auto"/>
        </w:rPr>
        <w:t>The results of Globomax have been included in the consolidated financial statements from September 1, 2003.</w:t>
      </w:r>
    </w:p>
    <w:p>
      <w:pPr>
        <w:spacing w:after="0" w:line="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Prior Period Acquisitions</w:t>
      </w:r>
    </w:p>
    <w:p>
      <w:pPr>
        <w:spacing w:after="0" w:line="174" w:lineRule="exact"/>
        <w:rPr>
          <w:sz w:val="20"/>
          <w:szCs w:val="20"/>
          <w:color w:val="auto"/>
        </w:rPr>
      </w:pPr>
    </w:p>
    <w:p>
      <w:pPr>
        <w:ind w:left="8" w:right="3159"/>
        <w:spacing w:after="0" w:line="266" w:lineRule="auto"/>
        <w:rPr>
          <w:sz w:val="20"/>
          <w:szCs w:val="20"/>
          <w:color w:val="auto"/>
        </w:rPr>
      </w:pPr>
      <w:r>
        <w:rPr>
          <w:rFonts w:ascii="Courier New" w:cs="Courier New" w:eastAsia="Courier New" w:hAnsi="Courier New"/>
          <w:sz w:val="15"/>
          <w:szCs w:val="15"/>
          <w:color w:val="auto"/>
        </w:rPr>
        <w:t>On July 25, 2003, August 20, 2003 and August 29, 2003, additional cash payments totaling U.S.$33,700 were made, together with a further payment of U.S.$77,197, on September 11, 2003, to the former shareholders of Barton &amp; Polansky Associates, Inc. ("BPA") and Managed Clinical Solutions, Inc. ("MCS"), as part of the working capital provisions in the applicable acquisition contract. We acquired BPA and MCS on October 9, 2003.</w:t>
      </w:r>
    </w:p>
    <w:p>
      <w:pPr>
        <w:spacing w:after="0" w:line="200" w:lineRule="exact"/>
        <w:rPr>
          <w:sz w:val="20"/>
          <w:szCs w:val="20"/>
          <w:color w:val="auto"/>
        </w:rPr>
      </w:pPr>
    </w:p>
    <w:p>
      <w:pPr>
        <w:spacing w:after="0" w:line="2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951" w:right="1440" w:bottom="1440" w:gutter="0" w:footer="0" w:header="0"/>
        </w:sectPr>
      </w:pPr>
    </w:p>
    <w:bookmarkStart w:id="8" w:name="page9"/>
    <w:bookmarkEnd w:id="8"/>
    <w:p>
      <w:pPr>
        <w:ind w:right="3079"/>
        <w:spacing w:after="0" w:line="272" w:lineRule="auto"/>
        <w:rPr>
          <w:sz w:val="20"/>
          <w:szCs w:val="20"/>
          <w:color w:val="auto"/>
        </w:rPr>
      </w:pPr>
      <w:r>
        <w:rPr>
          <w:rFonts w:ascii="Courier New" w:cs="Courier New" w:eastAsia="Courier New" w:hAnsi="Courier New"/>
          <w:sz w:val="14"/>
          <w:szCs w:val="14"/>
          <w:color w:val="auto"/>
        </w:rPr>
        <w:t>On May 31, 2003, an amount of Stg(pound)1.225 million (U.S.$2.0 million) was accrued in relation to the Medeval Group Limited ("Medeval") acquisition, a company we acquired on January 24, 2003, as the first earn-out target identified in the acquisition contract was reached on this date. It was provided in the applicable acquisition agreement that the form of the earn- out would consist of cash payable to one specific named selling shareholder, with the balance due to the other selling shareholders being in the form of guaranteed loan notes. These guaranteed loan notes have a repayment date of 3 years from the date of issue but are exercisable six months from that date. On September 30, 2003, Stg(pound)0.472 million (U.S.$0.8 million) was paid in cash to the specific named selling shareholder. On the same date, Stg(pound)0.753 million (U.S.$1.332 million) of guaranteed loan notes were issued to the remaining selling shareholders and are included in Deferred consideration - loan notes.</w:t>
      </w:r>
    </w:p>
    <w:p>
      <w:pPr>
        <w:spacing w:after="0" w:line="71" w:lineRule="exact"/>
        <w:rPr>
          <w:sz w:val="20"/>
          <w:szCs w:val="20"/>
          <w:color w:val="auto"/>
        </w:rPr>
      </w:pPr>
    </w:p>
    <w:p>
      <w:pPr>
        <w:ind w:right="3699"/>
        <w:spacing w:after="0" w:line="301" w:lineRule="auto"/>
        <w:rPr>
          <w:sz w:val="20"/>
          <w:szCs w:val="20"/>
          <w:color w:val="auto"/>
        </w:rPr>
      </w:pPr>
      <w:r>
        <w:rPr>
          <w:rFonts w:ascii="Courier New" w:cs="Courier New" w:eastAsia="Courier New" w:hAnsi="Courier New"/>
          <w:sz w:val="15"/>
          <w:szCs w:val="15"/>
          <w:color w:val="auto"/>
        </w:rPr>
        <w:t>On October 2, 2003, a cash payment of U.S.$421,000 was made to the former shareholders of UCT (U.S.) Inc.as part of the earn out provisions in the contract.</w:t>
      </w:r>
    </w:p>
    <w:p>
      <w:pPr>
        <w:spacing w:after="0" w:line="49"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The pro forma effect of the BPA, MCS, Medeval and Globomax acquisitions if completed on June 1, 2002 would have resulted in net revenue, net income and earnings per share for the three and six months ended November 30, 2003 and 2002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30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Three months ended</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300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November 30,</w:t>
            </w:r>
          </w:p>
        </w:tc>
        <w:tc>
          <w:tcPr>
            <w:tcW w:w="1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November 30,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20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2003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2003</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0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$73,207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$62,309</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$145,168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$120,953</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$6,265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$5,155</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$12,045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$9,631</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0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$0.46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$0.44</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0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$0.45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$0.42</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In August 2002, a $900,000 distribution was made to the former shareholders of BPA and MCS, which was recorded as other expenses. In July 2001 and 2002, dividends were paid to the former shareholders of Medeval of Stg(pound)25,679 (U.S.$36,148) and Stg(pound)109,700 (U.S.$168,134) respectively which were also recorded as other expenses. These payments are included in the pro forma results.</w:t>
      </w:r>
    </w:p>
    <w:p>
      <w:pPr>
        <w:spacing w:after="0" w:line="74"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An effective tax rate of 35.0% was imputed on the profits before tax of Globomax LLC for the periods prior to acquisition.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Goodwill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4"/>
                <w:szCs w:val="14"/>
                <w:color w:val="auto"/>
              </w:rPr>
            </w:pPr>
          </w:p>
        </w:tc>
        <w:tc>
          <w:tcPr>
            <w:tcW w:w="22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Six months ended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Year ended</w:t>
            </w:r>
          </w:p>
        </w:tc>
      </w:tr>
      <w:tr>
        <w:trPr>
          <w:trHeight w:val="172"/>
        </w:trPr>
        <w:tc>
          <w:tcPr>
            <w:tcW w:w="5220" w:type="dxa"/>
            <w:vAlign w:val="bottom"/>
          </w:tcPr>
          <w:p>
            <w:pPr>
              <w:spacing w:after="0"/>
              <w:rPr>
                <w:sz w:val="14"/>
                <w:szCs w:val="14"/>
                <w:color w:val="auto"/>
              </w:rPr>
            </w:pPr>
          </w:p>
        </w:tc>
        <w:tc>
          <w:tcPr>
            <w:tcW w:w="22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November 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5220" w:type="dxa"/>
            <w:vAlign w:val="bottom"/>
          </w:tcPr>
          <w:p>
            <w:pPr>
              <w:spacing w:after="0"/>
              <w:rPr>
                <w:sz w:val="14"/>
                <w:szCs w:val="14"/>
                <w:color w:val="auto"/>
              </w:rPr>
            </w:pPr>
          </w:p>
        </w:tc>
        <w:tc>
          <w:tcPr>
            <w:tcW w:w="22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252"/>
        </w:trPr>
        <w:tc>
          <w:tcPr>
            <w:tcW w:w="52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21"/>
                <w:szCs w:val="21"/>
                <w:color w:val="auto"/>
              </w:rPr>
            </w:pPr>
          </w:p>
        </w:tc>
      </w:tr>
      <w:tr>
        <w:trPr>
          <w:trHeight w:val="264"/>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Opening Balance</w:t>
            </w:r>
          </w:p>
        </w:tc>
        <w:tc>
          <w:tcPr>
            <w:tcW w:w="22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$45,029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$10,093</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Arising during the year</w:t>
            </w:r>
          </w:p>
        </w:tc>
        <w:tc>
          <w:tcPr>
            <w:tcW w:w="22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13,134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32,302</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Arising on earn-out (current and prior year acquisitions)</w:t>
            </w:r>
          </w:p>
        </w:tc>
        <w:tc>
          <w:tcPr>
            <w:tcW w:w="22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200"/>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Foreign exchange movement</w:t>
            </w:r>
          </w:p>
        </w:tc>
        <w:tc>
          <w:tcPr>
            <w:tcW w:w="22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631</w:t>
            </w:r>
          </w:p>
        </w:tc>
      </w:tr>
    </w:tbl>
    <w:p>
      <w:pPr>
        <w:spacing w:after="0"/>
        <w:rPr>
          <w:sz w:val="20"/>
          <w:szCs w:val="20"/>
          <w:color w:val="auto"/>
        </w:rPr>
      </w:pPr>
      <w:r>
        <w:rPr>
          <w:rFonts w:ascii="Courier New" w:cs="Courier New" w:eastAsia="Courier New" w:hAnsi="Courier New"/>
          <w:sz w:val="15"/>
          <w:szCs w:val="15"/>
          <w:color w:val="auto"/>
        </w:rPr>
        <w:t>-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0" w:type="dxa"/>
            <w:vAlign w:val="bottom"/>
          </w:tcPr>
          <w:p>
            <w:pPr>
              <w:spacing w:after="0"/>
              <w:rPr>
                <w:sz w:val="20"/>
                <w:szCs w:val="20"/>
                <w:color w:val="auto"/>
              </w:rPr>
            </w:pPr>
            <w:r>
              <w:rPr>
                <w:rFonts w:ascii="Courier New" w:cs="Courier New" w:eastAsia="Courier New" w:hAnsi="Courier New"/>
                <w:sz w:val="15"/>
                <w:szCs w:val="15"/>
                <w:color w:val="auto"/>
              </w:rPr>
              <w:t>Closing Goodwill</w:t>
            </w:r>
          </w:p>
        </w:tc>
        <w:tc>
          <w:tcPr>
            <w:tcW w:w="3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$59,803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Net income per Ordinary Share</w:t>
      </w:r>
    </w:p>
    <w:p>
      <w:pPr>
        <w:spacing w:after="0" w:line="174" w:lineRule="exact"/>
        <w:rPr>
          <w:sz w:val="20"/>
          <w:szCs w:val="20"/>
          <w:color w:val="auto"/>
        </w:rPr>
      </w:pPr>
    </w:p>
    <w:p>
      <w:pPr>
        <w:ind w:right="3079"/>
        <w:spacing w:after="0" w:line="283"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67"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3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7" w:right="1440" w:bottom="36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334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Three Months Ended</w:t>
            </w:r>
          </w:p>
        </w:tc>
        <w:tc>
          <w:tcPr>
            <w:tcW w:w="2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2002</w:t>
            </w:r>
          </w:p>
        </w:tc>
        <w:tc>
          <w:tcPr>
            <w:tcW w:w="2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November 30,</w:t>
            </w: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2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2003</w:t>
            </w:r>
          </w:p>
        </w:tc>
        <w:tc>
          <w:tcPr>
            <w:tcW w:w="1120" w:type="dxa"/>
            <w:vAlign w:val="bottom"/>
            <w:vMerge w:val="continue"/>
          </w:tcPr>
          <w:p>
            <w:pPr>
              <w:spacing w:after="0"/>
              <w:rPr>
                <w:sz w:val="21"/>
                <w:szCs w:val="21"/>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 for</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w:t>
            </w:r>
          </w:p>
        </w:tc>
        <w:tc>
          <w:tcPr>
            <w:tcW w:w="2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13,578,859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11,804,345</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12,346,147</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11,799,125</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2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461,560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343,357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503,227</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343,909</w:t>
            </w:r>
          </w:p>
        </w:tc>
        <w:tc>
          <w:tcPr>
            <w:tcW w:w="0" w:type="dxa"/>
            <w:vAlign w:val="bottom"/>
          </w:tcPr>
          <w:p>
            <w:pPr>
              <w:spacing w:after="0"/>
              <w:rPr>
                <w:sz w:val="1"/>
                <w:szCs w:val="1"/>
                <w:color w:val="auto"/>
              </w:rPr>
            </w:pPr>
          </w:p>
        </w:tc>
      </w:tr>
      <w:tr>
        <w:trPr>
          <w:trHeight w:val="252"/>
        </w:trPr>
        <w:tc>
          <w:tcPr>
            <w:tcW w:w="550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number of Ordinary Shares for diluted net</w:t>
            </w:r>
          </w:p>
        </w:tc>
        <w:tc>
          <w:tcPr>
            <w:tcW w:w="5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0" w:type="dxa"/>
            <w:vAlign w:val="bottom"/>
          </w:tcPr>
          <w:p>
            <w:pPr>
              <w:spacing w:after="0"/>
              <w:rPr>
                <w:sz w:val="1"/>
                <w:szCs w:val="1"/>
                <w:color w:val="auto"/>
              </w:rPr>
            </w:pPr>
          </w:p>
        </w:tc>
      </w:tr>
      <w:tr>
        <w:trPr>
          <w:trHeight w:val="92"/>
        </w:trPr>
        <w:tc>
          <w:tcPr>
            <w:tcW w:w="5500" w:type="dxa"/>
            <w:vAlign w:val="bottom"/>
            <w:vMerge w:val="continue"/>
          </w:tcPr>
          <w:p>
            <w:pPr>
              <w:spacing w:after="0"/>
              <w:rPr>
                <w:sz w:val="7"/>
                <w:szCs w:val="7"/>
                <w:color w:val="auto"/>
              </w:rPr>
            </w:pPr>
          </w:p>
        </w:tc>
        <w:tc>
          <w:tcPr>
            <w:tcW w:w="22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14,040,419</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12,147,702</w:t>
            </w:r>
          </w:p>
        </w:tc>
        <w:tc>
          <w:tcPr>
            <w:tcW w:w="13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12,849,374</w:t>
            </w:r>
          </w:p>
        </w:tc>
        <w:tc>
          <w:tcPr>
            <w:tcW w:w="12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12,143,034</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per Ordinary Share</w:t>
            </w:r>
          </w:p>
        </w:tc>
        <w:tc>
          <w:tcPr>
            <w:tcW w:w="22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5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360"/>
          </w:cols>
          <w:pgMar w:left="240" w:top="951" w:right="29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5. Business Segment Information</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States, United Kingdom, Germany, France, The Netherlands, Latvia, Israel, Hungary, Russia, Sweden, Australia, Argentina, Japan, Singapore, South Africa, China, Canada and India. Segment information for the six months periods ended November 30, 2003 and 2002 is as follows:</w:t>
      </w:r>
    </w:p>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720" w:type="dxa"/>
            <w:vAlign w:val="bottom"/>
          </w:tcPr>
          <w:p>
            <w:pPr>
              <w:spacing w:after="0"/>
              <w:rPr>
                <w:sz w:val="14"/>
                <w:szCs w:val="14"/>
                <w:color w:val="auto"/>
              </w:rPr>
            </w:pPr>
          </w:p>
        </w:tc>
        <w:tc>
          <w:tcPr>
            <w:tcW w:w="35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Three months ended</w:t>
            </w:r>
          </w:p>
        </w:tc>
        <w:tc>
          <w:tcPr>
            <w:tcW w:w="2640" w:type="dxa"/>
            <w:vAlign w:val="bottom"/>
            <w:gridSpan w:val="2"/>
          </w:tcPr>
          <w:p>
            <w:pPr>
              <w:jc w:val="center"/>
              <w:ind w:left="425"/>
              <w:spacing w:after="0"/>
              <w:rPr>
                <w:sz w:val="20"/>
                <w:szCs w:val="20"/>
                <w:color w:val="auto"/>
              </w:rPr>
            </w:pPr>
            <w:r>
              <w:rPr>
                <w:rFonts w:ascii="Courier New" w:cs="Courier New" w:eastAsia="Courier New" w:hAnsi="Courier New"/>
                <w:sz w:val="15"/>
                <w:szCs w:val="15"/>
                <w:color w:val="auto"/>
                <w:w w:val="98"/>
              </w:rPr>
              <w:t>Six months ended</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2740" w:type="dxa"/>
            <w:vAlign w:val="bottom"/>
          </w:tcPr>
          <w:p>
            <w:pPr>
              <w:ind w:left="1660"/>
              <w:spacing w:after="0"/>
              <w:rPr>
                <w:sz w:val="20"/>
                <w:szCs w:val="20"/>
                <w:color w:val="auto"/>
              </w:rPr>
            </w:pPr>
            <w:r>
              <w:rPr>
                <w:rFonts w:ascii="Courier New" w:cs="Courier New" w:eastAsia="Courier New" w:hAnsi="Courier New"/>
                <w:sz w:val="15"/>
                <w:szCs w:val="15"/>
                <w:color w:val="auto"/>
                <w:w w:val="98"/>
              </w:rPr>
              <w:t>November 30,</w:t>
            </w: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2002</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8"/>
              </w:rPr>
              <w:t>November 30,</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27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2003</w:t>
            </w:r>
          </w:p>
        </w:tc>
        <w:tc>
          <w:tcPr>
            <w:tcW w:w="8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358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21"/>
                <w:szCs w:val="21"/>
                <w:color w:val="auto"/>
              </w:rPr>
            </w:pPr>
          </w:p>
        </w:tc>
        <w:tc>
          <w:tcPr>
            <w:tcW w:w="17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(in thousands)</w:t>
            </w:r>
          </w:p>
        </w:tc>
        <w:tc>
          <w:tcPr>
            <w:tcW w:w="0" w:type="dxa"/>
            <w:vAlign w:val="bottom"/>
          </w:tcPr>
          <w:p>
            <w:pPr>
              <w:spacing w:after="0"/>
              <w:rPr>
                <w:sz w:val="1"/>
                <w:szCs w:val="1"/>
                <w:color w:val="auto"/>
              </w:rPr>
            </w:pPr>
          </w:p>
        </w:tc>
      </w:tr>
      <w:tr>
        <w:trPr>
          <w:trHeight w:val="264"/>
        </w:trPr>
        <w:tc>
          <w:tcPr>
            <w:tcW w:w="27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7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$8,273</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$7,135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$18,157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$12,301</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7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15,003</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7,915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27,462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14,930</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7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47,108</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37,185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91,572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70,579</w:t>
            </w:r>
          </w:p>
        </w:tc>
        <w:tc>
          <w:tcPr>
            <w:tcW w:w="0" w:type="dxa"/>
            <w:vAlign w:val="bottom"/>
          </w:tcPr>
          <w:p>
            <w:pPr>
              <w:spacing w:after="0"/>
              <w:rPr>
                <w:sz w:val="1"/>
                <w:szCs w:val="1"/>
                <w:color w:val="auto"/>
              </w:rPr>
            </w:pPr>
          </w:p>
        </w:tc>
      </w:tr>
      <w:tr>
        <w:trPr>
          <w:trHeight w:val="20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7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2,823</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4,951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2,584</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$73,207</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$53,535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$142,142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$100,394</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90" w:lineRule="exact"/>
        <w:rPr>
          <w:sz w:val="20"/>
          <w:szCs w:val="20"/>
          <w:color w:val="auto"/>
        </w:rPr>
      </w:pPr>
    </w:p>
    <w:p>
      <w:pPr>
        <w:ind w:left="800" w:hanging="182"/>
        <w:spacing w:after="0"/>
        <w:tabs>
          <w:tab w:leader="none" w:pos="8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346" w:lineRule="exact"/>
        <w:rPr>
          <w:rFonts w:ascii="Courier New" w:cs="Courier New" w:eastAsia="Courier New" w:hAnsi="Courier New"/>
          <w:sz w:val="15"/>
          <w:szCs w:val="15"/>
          <w:color w:val="auto"/>
        </w:rPr>
      </w:pPr>
    </w:p>
    <w:p>
      <w:pPr>
        <w:ind w:left="700" w:hanging="261"/>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3680" w:type="dxa"/>
            <w:vAlign w:val="bottom"/>
            <w:gridSpan w:val="2"/>
          </w:tcPr>
          <w:p>
            <w:pPr>
              <w:jc w:val="center"/>
              <w:ind w:left="825"/>
              <w:spacing w:after="0"/>
              <w:rPr>
                <w:sz w:val="20"/>
                <w:szCs w:val="20"/>
                <w:color w:val="auto"/>
              </w:rPr>
            </w:pPr>
            <w:r>
              <w:rPr>
                <w:rFonts w:ascii="Courier New" w:cs="Courier New" w:eastAsia="Courier New" w:hAnsi="Courier New"/>
                <w:sz w:val="15"/>
                <w:szCs w:val="15"/>
                <w:color w:val="auto"/>
                <w:w w:val="99"/>
              </w:rPr>
              <w:t>Three months ended</w:t>
            </w:r>
          </w:p>
        </w:tc>
        <w:tc>
          <w:tcPr>
            <w:tcW w:w="26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2820" w:type="dxa"/>
            <w:vAlign w:val="bottom"/>
          </w:tcPr>
          <w:p>
            <w:pPr>
              <w:jc w:val="center"/>
              <w:ind w:left="1665"/>
              <w:spacing w:after="0"/>
              <w:rPr>
                <w:sz w:val="20"/>
                <w:szCs w:val="20"/>
                <w:color w:val="auto"/>
              </w:rPr>
            </w:pPr>
            <w:r>
              <w:rPr>
                <w:rFonts w:ascii="Courier New" w:cs="Courier New" w:eastAsia="Courier New" w:hAnsi="Courier New"/>
                <w:sz w:val="15"/>
                <w:szCs w:val="15"/>
                <w:color w:val="auto"/>
                <w:w w:val="99"/>
              </w:rPr>
              <w:t>November 30,</w:t>
            </w: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2002</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6"/>
              </w:rPr>
              <w:t>November 30,</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28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2003</w:t>
            </w: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3680" w:type="dxa"/>
            <w:vAlign w:val="bottom"/>
            <w:gridSpan w:val="2"/>
          </w:tcPr>
          <w:p>
            <w:pPr>
              <w:jc w:val="center"/>
              <w:ind w:left="825"/>
              <w:spacing w:after="0"/>
              <w:rPr>
                <w:sz w:val="20"/>
                <w:szCs w:val="20"/>
                <w:color w:val="auto"/>
              </w:rPr>
            </w:pPr>
            <w:r>
              <w:rPr>
                <w:rFonts w:ascii="Courier New" w:cs="Courier New" w:eastAsia="Courier New" w:hAnsi="Courier New"/>
                <w:sz w:val="15"/>
                <w:szCs w:val="15"/>
                <w:color w:val="auto"/>
                <w:w w:val="99"/>
              </w:rPr>
              <w:t>(in thousands)</w:t>
            </w:r>
          </w:p>
        </w:tc>
        <w:tc>
          <w:tcPr>
            <w:tcW w:w="940" w:type="dxa"/>
            <w:vAlign w:val="bottom"/>
          </w:tcPr>
          <w:p>
            <w:pPr>
              <w:spacing w:after="0"/>
              <w:rPr>
                <w:sz w:val="21"/>
                <w:szCs w:val="21"/>
                <w:color w:val="auto"/>
              </w:rPr>
            </w:pPr>
          </w:p>
        </w:tc>
        <w:tc>
          <w:tcPr>
            <w:tcW w:w="17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(in thousands)</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8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$6,614</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$6,030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$12,337</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$13,217</w:t>
            </w:r>
          </w:p>
        </w:tc>
        <w:tc>
          <w:tcPr>
            <w:tcW w:w="0" w:type="dxa"/>
            <w:vAlign w:val="bottom"/>
          </w:tcPr>
          <w:p>
            <w:pPr>
              <w:spacing w:after="0"/>
              <w:rPr>
                <w:sz w:val="1"/>
                <w:szCs w:val="1"/>
                <w:color w:val="auto"/>
              </w:rPr>
            </w:pPr>
          </w:p>
        </w:tc>
      </w:tr>
      <w:tr>
        <w:trPr>
          <w:trHeight w:val="20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8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66,593</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47,505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129,805</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87,177</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$73,207</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$53,535</w:t>
            </w:r>
          </w:p>
        </w:tc>
        <w:tc>
          <w:tcPr>
            <w:tcW w:w="14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$142,142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$100,394</w:t>
            </w:r>
          </w:p>
        </w:tc>
      </w:tr>
    </w:tbl>
    <w:p>
      <w:pPr>
        <w:ind w:left="62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0" w:hanging="261"/>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line="3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34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Three months ended</w:t>
            </w:r>
          </w:p>
        </w:tc>
        <w:tc>
          <w:tcPr>
            <w:tcW w:w="214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8"/>
              </w:rPr>
              <w:t>Six months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tcPr>
          <w:p>
            <w:pPr>
              <w:spacing w:after="0"/>
              <w:rPr>
                <w:sz w:val="14"/>
                <w:szCs w:val="14"/>
                <w:color w:val="auto"/>
              </w:rPr>
            </w:pPr>
          </w:p>
        </w:tc>
        <w:tc>
          <w:tcPr>
            <w:tcW w:w="2640" w:type="dxa"/>
            <w:vAlign w:val="bottom"/>
          </w:tcPr>
          <w:p>
            <w:pPr>
              <w:ind w:left="1520"/>
              <w:spacing w:after="0"/>
              <w:rPr>
                <w:sz w:val="20"/>
                <w:szCs w:val="20"/>
                <w:color w:val="auto"/>
              </w:rPr>
            </w:pPr>
            <w:r>
              <w:rPr>
                <w:rFonts w:ascii="Courier New" w:cs="Courier New" w:eastAsia="Courier New" w:hAnsi="Courier New"/>
                <w:sz w:val="15"/>
                <w:szCs w:val="15"/>
                <w:color w:val="auto"/>
              </w:rPr>
              <w:t>November 30,</w:t>
            </w:r>
          </w:p>
        </w:tc>
        <w:tc>
          <w:tcPr>
            <w:tcW w:w="8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214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8"/>
              </w:rPr>
              <w:t>November 30,</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72"/>
        </w:trPr>
        <w:tc>
          <w:tcPr>
            <w:tcW w:w="2600" w:type="dxa"/>
            <w:vAlign w:val="bottom"/>
          </w:tcPr>
          <w:p>
            <w:pPr>
              <w:spacing w:after="0"/>
              <w:rPr>
                <w:sz w:val="14"/>
                <w:szCs w:val="14"/>
                <w:color w:val="auto"/>
              </w:rPr>
            </w:pPr>
          </w:p>
        </w:tc>
        <w:tc>
          <w:tcPr>
            <w:tcW w:w="26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2003</w:t>
            </w:r>
          </w:p>
        </w:tc>
        <w:tc>
          <w:tcPr>
            <w:tcW w:w="840" w:type="dxa"/>
            <w:vAlign w:val="bottom"/>
            <w:vMerge w:val="continue"/>
          </w:tcPr>
          <w:p>
            <w:pPr>
              <w:spacing w:after="0"/>
              <w:rPr>
                <w:sz w:val="14"/>
                <w:szCs w:val="14"/>
                <w:color w:val="auto"/>
              </w:rPr>
            </w:pPr>
          </w:p>
        </w:tc>
        <w:tc>
          <w:tcPr>
            <w:tcW w:w="214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2003</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3480" w:type="dxa"/>
            <w:vAlign w:val="bottom"/>
            <w:gridSpan w:val="2"/>
          </w:tcPr>
          <w:p>
            <w:pPr>
              <w:ind w:left="1520"/>
              <w:spacing w:after="0"/>
              <w:rPr>
                <w:sz w:val="20"/>
                <w:szCs w:val="20"/>
                <w:color w:val="auto"/>
              </w:rPr>
            </w:pPr>
            <w:r>
              <w:rPr>
                <w:rFonts w:ascii="Courier New" w:cs="Courier New" w:eastAsia="Courier New" w:hAnsi="Courier New"/>
                <w:sz w:val="15"/>
                <w:szCs w:val="15"/>
                <w:color w:val="auto"/>
              </w:rPr>
              <w:t>(in thousands)</w:t>
            </w:r>
          </w:p>
        </w:tc>
        <w:tc>
          <w:tcPr>
            <w:tcW w:w="214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(in thousands)</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6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$2,880</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$882</w:t>
            </w:r>
          </w:p>
        </w:tc>
        <w:tc>
          <w:tcPr>
            <w:tcW w:w="214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$4,936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c>
          <w:tcPr>
            <w:tcW w:w="0" w:type="dxa"/>
            <w:vAlign w:val="bottom"/>
          </w:tcPr>
          <w:p>
            <w:pPr>
              <w:spacing w:after="0"/>
              <w:rPr>
                <w:sz w:val="1"/>
                <w:szCs w:val="1"/>
                <w:color w:val="auto"/>
              </w:rPr>
            </w:pP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6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1,097</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723</w:t>
            </w:r>
          </w:p>
        </w:tc>
        <w:tc>
          <w:tcPr>
            <w:tcW w:w="214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1,736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1,316</w:t>
            </w:r>
          </w:p>
        </w:tc>
        <w:tc>
          <w:tcPr>
            <w:tcW w:w="0" w:type="dxa"/>
            <w:vAlign w:val="bottom"/>
          </w:tcPr>
          <w:p>
            <w:pPr>
              <w:spacing w:after="0"/>
              <w:rPr>
                <w:sz w:val="1"/>
                <w:szCs w:val="1"/>
                <w:color w:val="auto"/>
              </w:rPr>
            </w:pP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6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3,892</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4,509</w:t>
            </w:r>
          </w:p>
        </w:tc>
        <w:tc>
          <w:tcPr>
            <w:tcW w:w="214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8,727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8,920</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6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495</w:t>
            </w: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w:t>
            </w:r>
          </w:p>
        </w:tc>
        <w:tc>
          <w:tcPr>
            <w:tcW w:w="214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587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$8,364</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$6,293</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$15,986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$11,514</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51" w:right="1440" w:bottom="1440" w:gutter="0" w:footer="0" w:header="0"/>
        </w:sectPr>
      </w:pPr>
    </w:p>
    <w:bookmarkStart w:id="11" w:name="page12"/>
    <w:bookmarkEnd w:id="11"/>
    <w:p>
      <w:pPr>
        <w:ind w:left="700" w:hanging="261"/>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line="3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352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Three months ended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Six</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months ended</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80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2002</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2003</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November 30,</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272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2003</w:t>
            </w:r>
          </w:p>
        </w:tc>
        <w:tc>
          <w:tcPr>
            <w:tcW w:w="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264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21"/>
                <w:szCs w:val="21"/>
                <w:color w:val="auto"/>
              </w:rPr>
            </w:pPr>
          </w:p>
        </w:tc>
        <w:tc>
          <w:tcPr>
            <w:tcW w:w="2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7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$(1,082)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$(2,313)</w:t>
            </w: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7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9,446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6,380</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18,299</w:t>
            </w: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10,804</w:t>
            </w:r>
          </w:p>
        </w:tc>
        <w:tc>
          <w:tcPr>
            <w:tcW w:w="0" w:type="dxa"/>
            <w:vAlign w:val="bottom"/>
          </w:tcPr>
          <w:p>
            <w:pPr>
              <w:spacing w:after="0"/>
              <w:rPr>
                <w:sz w:val="1"/>
                <w:szCs w:val="1"/>
                <w:color w:val="auto"/>
              </w:rPr>
            </w:pPr>
          </w:p>
        </w:tc>
      </w:tr>
      <w:tr>
        <w:trPr>
          <w:trHeight w:val="252"/>
        </w:trPr>
        <w:tc>
          <w:tcPr>
            <w:tcW w:w="7280" w:type="dxa"/>
            <w:vAlign w:val="bottom"/>
            <w:gridSpan w:val="4"/>
          </w:tcPr>
          <w:p>
            <w:pPr>
              <w:spacing w:after="0"/>
              <w:rPr>
                <w:sz w:val="20"/>
                <w:szCs w:val="20"/>
                <w:color w:val="auto"/>
              </w:rPr>
            </w:pPr>
            <w:r>
              <w:rPr>
                <w:rFonts w:ascii="Courier New" w:cs="Courier New" w:eastAsia="Courier New" w:hAnsi="Courier New"/>
                <w:sz w:val="15"/>
                <w:szCs w:val="15"/>
                <w:color w:val="auto"/>
                <w:w w:val="99"/>
              </w:rPr>
              <w:t>-------------------------------------------------- ---------------- -------------</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$8,364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$6,293</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$15,986</w:t>
            </w: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$11,514</w:t>
            </w:r>
          </w:p>
        </w:tc>
        <w:tc>
          <w:tcPr>
            <w:tcW w:w="0" w:type="dxa"/>
            <w:vAlign w:val="bottom"/>
          </w:tcPr>
          <w:p>
            <w:pPr>
              <w:spacing w:after="0"/>
              <w:rPr>
                <w:sz w:val="1"/>
                <w:szCs w:val="1"/>
                <w:color w:val="auto"/>
              </w:rPr>
            </w:pPr>
          </w:p>
        </w:tc>
      </w:tr>
      <w:tr>
        <w:trPr>
          <w:trHeight w:val="252"/>
        </w:trPr>
        <w:tc>
          <w:tcPr>
            <w:tcW w:w="7280" w:type="dxa"/>
            <w:vAlign w:val="bottom"/>
            <w:gridSpan w:val="4"/>
          </w:tcPr>
          <w:p>
            <w:pPr>
              <w:spacing w:after="0"/>
              <w:rPr>
                <w:sz w:val="20"/>
                <w:szCs w:val="20"/>
                <w:color w:val="auto"/>
              </w:rPr>
            </w:pPr>
            <w:r>
              <w:rPr>
                <w:rFonts w:ascii="Courier New" w:cs="Courier New" w:eastAsia="Courier New" w:hAnsi="Courier New"/>
                <w:sz w:val="15"/>
                <w:szCs w:val="15"/>
                <w:color w:val="auto"/>
                <w:w w:val="99"/>
              </w:rPr>
              <w:t>-------------------------------------------------- ---------------- -------------</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3159" w:firstLine="439"/>
        <w:spacing w:after="0" w:line="359" w:lineRule="auto"/>
        <w:tabs>
          <w:tab w:leader="none" w:pos="71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35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3700" w:type="dxa"/>
            <w:vAlign w:val="bottom"/>
          </w:tcPr>
          <w:p>
            <w:pPr>
              <w:spacing w:after="0"/>
              <w:rPr>
                <w:sz w:val="14"/>
                <w:szCs w:val="14"/>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252"/>
        </w:trPr>
        <w:tc>
          <w:tcPr>
            <w:tcW w:w="37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264"/>
        </w:trPr>
        <w:tc>
          <w:tcPr>
            <w:tcW w:w="37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$17,614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$17,003</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6,832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6,316</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17,228</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15,066</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1,104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1,118</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$42,778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ind w:left="62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90" w:lineRule="exact"/>
        <w:rPr>
          <w:sz w:val="20"/>
          <w:szCs w:val="20"/>
          <w:color w:val="auto"/>
        </w:rPr>
      </w:pPr>
    </w:p>
    <w:p>
      <w:pPr>
        <w:ind w:right="3519" w:firstLine="439"/>
        <w:spacing w:after="0" w:line="359" w:lineRule="auto"/>
        <w:tabs>
          <w:tab w:leader="none" w:pos="71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November 30,</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May 31,</w:t>
            </w: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2003</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64"/>
        </w:trPr>
        <w:tc>
          <w:tcPr>
            <w:tcW w:w="2960" w:type="dxa"/>
            <w:vAlign w:val="bottom"/>
          </w:tcPr>
          <w:p>
            <w:pPr>
              <w:ind w:left="280"/>
              <w:spacing w:after="0"/>
              <w:rPr>
                <w:sz w:val="20"/>
                <w:szCs w:val="20"/>
                <w:color w:val="auto"/>
              </w:rPr>
            </w:pPr>
            <w:r>
              <w:rPr>
                <w:rFonts w:ascii="Courier New" w:cs="Courier New" w:eastAsia="Courier New" w:hAnsi="Courier New"/>
                <w:sz w:val="15"/>
                <w:szCs w:val="15"/>
                <w:color w:val="auto"/>
              </w:rPr>
              <w:t>Central laboratory</w:t>
            </w:r>
          </w:p>
        </w:tc>
        <w:tc>
          <w:tcPr>
            <w:tcW w:w="2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$3,962</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$3,560</w:t>
            </w:r>
          </w:p>
        </w:tc>
        <w:tc>
          <w:tcPr>
            <w:tcW w:w="0" w:type="dxa"/>
            <w:vAlign w:val="bottom"/>
          </w:tcPr>
          <w:p>
            <w:pPr>
              <w:spacing w:after="0"/>
              <w:rPr>
                <w:sz w:val="1"/>
                <w:szCs w:val="1"/>
                <w:color w:val="auto"/>
              </w:rPr>
            </w:pPr>
          </w:p>
        </w:tc>
      </w:tr>
      <w:tr>
        <w:trPr>
          <w:trHeight w:val="172"/>
        </w:trPr>
        <w:tc>
          <w:tcPr>
            <w:tcW w:w="2960" w:type="dxa"/>
            <w:vAlign w:val="bottom"/>
          </w:tcPr>
          <w:p>
            <w:pPr>
              <w:ind w:left="280"/>
              <w:spacing w:after="0"/>
              <w:rPr>
                <w:sz w:val="20"/>
                <w:szCs w:val="20"/>
                <w:color w:val="auto"/>
              </w:rPr>
            </w:pPr>
            <w:r>
              <w:rPr>
                <w:rFonts w:ascii="Courier New" w:cs="Courier New" w:eastAsia="Courier New" w:hAnsi="Courier New"/>
                <w:sz w:val="15"/>
                <w:szCs w:val="15"/>
                <w:color w:val="auto"/>
              </w:rPr>
              <w:t>Clinical research</w:t>
            </w: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38,816</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35,943</w:t>
            </w:r>
          </w:p>
        </w:tc>
        <w:tc>
          <w:tcPr>
            <w:tcW w:w="0" w:type="dxa"/>
            <w:vAlign w:val="bottom"/>
          </w:tcPr>
          <w:p>
            <w:pPr>
              <w:spacing w:after="0"/>
              <w:rPr>
                <w:sz w:val="1"/>
                <w:szCs w:val="1"/>
                <w:color w:val="auto"/>
              </w:rPr>
            </w:pPr>
          </w:p>
        </w:tc>
      </w:tr>
      <w:tr>
        <w:trPr>
          <w:trHeight w:val="252"/>
        </w:trPr>
        <w:tc>
          <w:tcPr>
            <w:tcW w:w="896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4"/>
        </w:trPr>
        <w:tc>
          <w:tcPr>
            <w:tcW w:w="296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$42,778</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$39,503</w:t>
            </w:r>
          </w:p>
        </w:tc>
        <w:tc>
          <w:tcPr>
            <w:tcW w:w="0" w:type="dxa"/>
            <w:vAlign w:val="bottom"/>
          </w:tcPr>
          <w:p>
            <w:pPr>
              <w:spacing w:after="0"/>
              <w:rPr>
                <w:sz w:val="1"/>
                <w:szCs w:val="1"/>
                <w:color w:val="auto"/>
              </w:rPr>
            </w:pPr>
          </w:p>
        </w:tc>
      </w:tr>
      <w:tr>
        <w:trPr>
          <w:trHeight w:val="252"/>
        </w:trPr>
        <w:tc>
          <w:tcPr>
            <w:tcW w:w="896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860"/>
        </w:trPr>
        <w:tc>
          <w:tcPr>
            <w:tcW w:w="7260" w:type="dxa"/>
            <w:vAlign w:val="bottom"/>
            <w:gridSpan w:val="4"/>
          </w:tcPr>
          <w:p>
            <w:pPr>
              <w:jc w:val="right"/>
              <w:ind w:right="745"/>
              <w:spacing w:after="0"/>
              <w:rPr>
                <w:sz w:val="20"/>
                <w:szCs w:val="20"/>
                <w:color w:val="auto"/>
              </w:rPr>
            </w:pPr>
            <w:r>
              <w:rPr>
                <w:rFonts w:ascii="Courier New" w:cs="Courier New" w:eastAsia="Courier New" w:hAnsi="Courier New"/>
                <w:sz w:val="15"/>
                <w:szCs w:val="15"/>
                <w:color w:val="auto"/>
                <w:w w:val="99"/>
              </w:rPr>
              <w:t>g) The distribution of depreciation by geographical area was as follows: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2960" w:type="dxa"/>
            <w:vAlign w:val="bottom"/>
          </w:tcPr>
          <w:p>
            <w:pPr>
              <w:spacing w:after="0"/>
              <w:rPr>
                <w:sz w:val="24"/>
                <w:szCs w:val="24"/>
                <w:color w:val="auto"/>
              </w:rPr>
            </w:pPr>
          </w:p>
        </w:tc>
        <w:tc>
          <w:tcPr>
            <w:tcW w:w="3180" w:type="dxa"/>
            <w:vAlign w:val="bottom"/>
            <w:gridSpan w:val="2"/>
          </w:tcPr>
          <w:p>
            <w:pPr>
              <w:jc w:val="center"/>
              <w:ind w:left="685"/>
              <w:spacing w:after="0"/>
              <w:rPr>
                <w:sz w:val="20"/>
                <w:szCs w:val="20"/>
                <w:color w:val="auto"/>
              </w:rPr>
            </w:pPr>
            <w:r>
              <w:rPr>
                <w:rFonts w:ascii="Courier New" w:cs="Courier New" w:eastAsia="Courier New" w:hAnsi="Courier New"/>
                <w:sz w:val="15"/>
                <w:szCs w:val="15"/>
                <w:color w:val="auto"/>
                <w:w w:val="99"/>
              </w:rPr>
              <w:t>Three months ended</w:t>
            </w:r>
          </w:p>
        </w:tc>
        <w:tc>
          <w:tcPr>
            <w:tcW w:w="28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2640" w:type="dxa"/>
            <w:vAlign w:val="bottom"/>
          </w:tcPr>
          <w:p>
            <w:pPr>
              <w:jc w:val="center"/>
              <w:ind w:left="1225"/>
              <w:spacing w:after="0"/>
              <w:rPr>
                <w:sz w:val="20"/>
                <w:szCs w:val="20"/>
                <w:color w:val="auto"/>
              </w:rPr>
            </w:pPr>
            <w:r>
              <w:rPr>
                <w:rFonts w:ascii="Courier New" w:cs="Courier New" w:eastAsia="Courier New" w:hAnsi="Courier New"/>
                <w:sz w:val="15"/>
                <w:szCs w:val="15"/>
                <w:color w:val="auto"/>
                <w:w w:val="98"/>
              </w:rPr>
              <w:t>November 30,</w:t>
            </w:r>
          </w:p>
        </w:tc>
        <w:tc>
          <w:tcPr>
            <w:tcW w:w="5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2002</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6"/>
              </w:rPr>
              <w:t>November 30,</w:t>
            </w: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26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2003</w:t>
            </w:r>
          </w:p>
        </w:tc>
        <w:tc>
          <w:tcPr>
            <w:tcW w:w="5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252"/>
        </w:trPr>
        <w:tc>
          <w:tcPr>
            <w:tcW w:w="2960" w:type="dxa"/>
            <w:vAlign w:val="bottom"/>
          </w:tcPr>
          <w:p>
            <w:pPr>
              <w:spacing w:after="0"/>
              <w:rPr>
                <w:sz w:val="21"/>
                <w:szCs w:val="21"/>
                <w:color w:val="auto"/>
              </w:rPr>
            </w:pPr>
          </w:p>
        </w:tc>
        <w:tc>
          <w:tcPr>
            <w:tcW w:w="2640" w:type="dxa"/>
            <w:vAlign w:val="bottom"/>
          </w:tcPr>
          <w:p>
            <w:pPr>
              <w:jc w:val="center"/>
              <w:ind w:left="1225"/>
              <w:spacing w:after="0"/>
              <w:rPr>
                <w:sz w:val="20"/>
                <w:szCs w:val="20"/>
                <w:color w:val="auto"/>
              </w:rPr>
            </w:pPr>
            <w:r>
              <w:rPr>
                <w:rFonts w:ascii="Courier New" w:cs="Courier New" w:eastAsia="Courier New" w:hAnsi="Courier New"/>
                <w:sz w:val="15"/>
                <w:szCs w:val="15"/>
                <w:color w:val="auto"/>
                <w:w w:val="99"/>
              </w:rPr>
              <w:t>(in thousands)</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64"/>
        </w:trPr>
        <w:tc>
          <w:tcPr>
            <w:tcW w:w="2960" w:type="dxa"/>
            <w:vAlign w:val="bottom"/>
          </w:tcPr>
          <w:p>
            <w:pPr>
              <w:ind w:left="280"/>
              <w:spacing w:after="0"/>
              <w:rPr>
                <w:sz w:val="20"/>
                <w:szCs w:val="20"/>
                <w:color w:val="auto"/>
              </w:rPr>
            </w:pPr>
            <w:r>
              <w:rPr>
                <w:rFonts w:ascii="Courier New" w:cs="Courier New" w:eastAsia="Courier New" w:hAnsi="Courier New"/>
                <w:sz w:val="15"/>
                <w:szCs w:val="15"/>
                <w:color w:val="auto"/>
              </w:rPr>
              <w:t>Ireland</w:t>
            </w:r>
          </w:p>
        </w:tc>
        <w:tc>
          <w:tcPr>
            <w:tcW w:w="26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$892</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$1,726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$994</w:t>
            </w:r>
          </w:p>
        </w:tc>
        <w:tc>
          <w:tcPr>
            <w:tcW w:w="0" w:type="dxa"/>
            <w:vAlign w:val="bottom"/>
          </w:tcPr>
          <w:p>
            <w:pPr>
              <w:spacing w:after="0"/>
              <w:rPr>
                <w:sz w:val="1"/>
                <w:szCs w:val="1"/>
                <w:color w:val="auto"/>
              </w:rPr>
            </w:pPr>
          </w:p>
        </w:tc>
      </w:tr>
      <w:tr>
        <w:trPr>
          <w:trHeight w:val="172"/>
        </w:trPr>
        <w:tc>
          <w:tcPr>
            <w:tcW w:w="2960" w:type="dxa"/>
            <w:vAlign w:val="bottom"/>
          </w:tcPr>
          <w:p>
            <w:pPr>
              <w:ind w:left="280"/>
              <w:spacing w:after="0"/>
              <w:rPr>
                <w:sz w:val="20"/>
                <w:szCs w:val="20"/>
                <w:color w:val="auto"/>
              </w:rPr>
            </w:pPr>
            <w:r>
              <w:rPr>
                <w:rFonts w:ascii="Courier New" w:cs="Courier New" w:eastAsia="Courier New" w:hAnsi="Courier New"/>
                <w:sz w:val="15"/>
                <w:szCs w:val="15"/>
                <w:color w:val="auto"/>
              </w:rPr>
              <w:t>Rest of Europe</w:t>
            </w:r>
          </w:p>
        </w:tc>
        <w:tc>
          <w:tcPr>
            <w:tcW w:w="26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426</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844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c>
          <w:tcPr>
            <w:tcW w:w="0" w:type="dxa"/>
            <w:vAlign w:val="bottom"/>
          </w:tcPr>
          <w:p>
            <w:pPr>
              <w:spacing w:after="0"/>
              <w:rPr>
                <w:sz w:val="1"/>
                <w:szCs w:val="1"/>
                <w:color w:val="auto"/>
              </w:rPr>
            </w:pPr>
          </w:p>
        </w:tc>
      </w:tr>
      <w:tr>
        <w:trPr>
          <w:trHeight w:val="172"/>
        </w:trPr>
        <w:tc>
          <w:tcPr>
            <w:tcW w:w="2960" w:type="dxa"/>
            <w:vAlign w:val="bottom"/>
          </w:tcPr>
          <w:p>
            <w:pPr>
              <w:ind w:left="280"/>
              <w:spacing w:after="0"/>
              <w:rPr>
                <w:sz w:val="20"/>
                <w:szCs w:val="20"/>
                <w:color w:val="auto"/>
              </w:rPr>
            </w:pPr>
            <w:r>
              <w:rPr>
                <w:rFonts w:ascii="Courier New" w:cs="Courier New" w:eastAsia="Courier New" w:hAnsi="Courier New"/>
                <w:sz w:val="15"/>
                <w:szCs w:val="15"/>
                <w:color w:val="auto"/>
              </w:rPr>
              <w:t>U.S.</w:t>
            </w:r>
          </w:p>
        </w:tc>
        <w:tc>
          <w:tcPr>
            <w:tcW w:w="26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1,332</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2,581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1,610</w:t>
            </w:r>
          </w:p>
        </w:tc>
        <w:tc>
          <w:tcPr>
            <w:tcW w:w="0" w:type="dxa"/>
            <w:vAlign w:val="bottom"/>
          </w:tcPr>
          <w:p>
            <w:pPr>
              <w:spacing w:after="0"/>
              <w:rPr>
                <w:sz w:val="1"/>
                <w:szCs w:val="1"/>
                <w:color w:val="auto"/>
              </w:rPr>
            </w:pPr>
          </w:p>
        </w:tc>
      </w:tr>
      <w:tr>
        <w:trPr>
          <w:trHeight w:val="200"/>
        </w:trPr>
        <w:tc>
          <w:tcPr>
            <w:tcW w:w="2960" w:type="dxa"/>
            <w:vAlign w:val="bottom"/>
          </w:tcPr>
          <w:p>
            <w:pPr>
              <w:ind w:left="280"/>
              <w:spacing w:after="0"/>
              <w:rPr>
                <w:sz w:val="20"/>
                <w:szCs w:val="20"/>
                <w:color w:val="auto"/>
              </w:rPr>
            </w:pPr>
            <w:r>
              <w:rPr>
                <w:rFonts w:ascii="Courier New" w:cs="Courier New" w:eastAsia="Courier New" w:hAnsi="Courier New"/>
                <w:sz w:val="15"/>
                <w:szCs w:val="15"/>
                <w:color w:val="auto"/>
              </w:rPr>
              <w:t>Rest of the World</w:t>
            </w:r>
          </w:p>
        </w:tc>
        <w:tc>
          <w:tcPr>
            <w:tcW w:w="26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$2,732</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$1,578</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$3,148</w:t>
            </w:r>
          </w:p>
        </w:tc>
      </w:tr>
    </w:tbl>
    <w:p>
      <w:pPr>
        <w:ind w:left="62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295" w:right="1440" w:bottom="704"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h) The distribution of depreciation by business segment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384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Three months ended</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2960" w:type="dxa"/>
            <w:vAlign w:val="bottom"/>
          </w:tcPr>
          <w:p>
            <w:pPr>
              <w:ind w:left="1840"/>
              <w:spacing w:after="0"/>
              <w:rPr>
                <w:sz w:val="20"/>
                <w:szCs w:val="20"/>
                <w:color w:val="auto"/>
              </w:rPr>
            </w:pPr>
            <w:r>
              <w:rPr>
                <w:rFonts w:ascii="Courier New" w:cs="Courier New" w:eastAsia="Courier New" w:hAnsi="Courier New"/>
                <w:sz w:val="15"/>
                <w:szCs w:val="15"/>
                <w:color w:val="auto"/>
              </w:rPr>
              <w:t>November 30,</w:t>
            </w:r>
          </w:p>
        </w:tc>
        <w:tc>
          <w:tcPr>
            <w:tcW w:w="88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2002</w:t>
            </w:r>
          </w:p>
        </w:tc>
        <w:tc>
          <w:tcPr>
            <w:tcW w:w="2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November 30,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29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2003</w:t>
            </w:r>
          </w:p>
        </w:tc>
        <w:tc>
          <w:tcPr>
            <w:tcW w:w="880" w:type="dxa"/>
            <w:vAlign w:val="bottom"/>
            <w:vMerge w:val="continue"/>
          </w:tcPr>
          <w:p>
            <w:pPr>
              <w:spacing w:after="0"/>
              <w:rPr>
                <w:sz w:val="14"/>
                <w:szCs w:val="14"/>
                <w:color w:val="auto"/>
              </w:rPr>
            </w:pPr>
          </w:p>
        </w:tc>
        <w:tc>
          <w:tcPr>
            <w:tcW w:w="21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2003</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080" w:type="dxa"/>
            <w:vAlign w:val="bottom"/>
          </w:tcPr>
          <w:p>
            <w:pPr>
              <w:spacing w:after="0"/>
              <w:rPr>
                <w:sz w:val="21"/>
                <w:szCs w:val="21"/>
                <w:color w:val="auto"/>
              </w:rPr>
            </w:pPr>
          </w:p>
        </w:tc>
        <w:tc>
          <w:tcPr>
            <w:tcW w:w="3840" w:type="dxa"/>
            <w:vAlign w:val="bottom"/>
            <w:gridSpan w:val="2"/>
          </w:tcPr>
          <w:p>
            <w:pPr>
              <w:ind w:left="1840"/>
              <w:spacing w:after="0"/>
              <w:rPr>
                <w:sz w:val="20"/>
                <w:szCs w:val="20"/>
                <w:color w:val="auto"/>
              </w:rPr>
            </w:pPr>
            <w:r>
              <w:rPr>
                <w:rFonts w:ascii="Courier New" w:cs="Courier New" w:eastAsia="Courier New" w:hAnsi="Courier New"/>
                <w:sz w:val="15"/>
                <w:szCs w:val="15"/>
                <w:color w:val="auto"/>
              </w:rPr>
              <w:t>(in thousands)</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9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$242</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w:t>
            </w:r>
          </w:p>
        </w:tc>
        <w:tc>
          <w:tcPr>
            <w:tcW w:w="21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$527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9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2,490</w:t>
            </w:r>
          </w:p>
        </w:tc>
        <w:tc>
          <w:tcPr>
            <w:tcW w:w="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1,411</w:t>
            </w:r>
          </w:p>
        </w:tc>
        <w:tc>
          <w:tcPr>
            <w:tcW w:w="21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4,794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2,818</w:t>
            </w:r>
          </w:p>
        </w:tc>
        <w:tc>
          <w:tcPr>
            <w:tcW w:w="0" w:type="dxa"/>
            <w:vAlign w:val="bottom"/>
          </w:tcPr>
          <w:p>
            <w:pPr>
              <w:spacing w:after="0"/>
              <w:rPr>
                <w:sz w:val="1"/>
                <w:szCs w:val="1"/>
                <w:color w:val="auto"/>
              </w:rPr>
            </w:pPr>
          </w:p>
        </w:tc>
      </w:tr>
    </w:tbl>
    <w:p>
      <w:pPr>
        <w:ind w:left="180"/>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$2,732</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$1,578</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$3,148</w:t>
            </w:r>
          </w:p>
        </w:tc>
      </w:tr>
    </w:tbl>
    <w:p>
      <w:pPr>
        <w:ind w:left="18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3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November 30,</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3400" w:type="dxa"/>
            <w:vAlign w:val="bottom"/>
          </w:tcPr>
          <w:p>
            <w:pPr>
              <w:spacing w:after="0"/>
              <w:rPr>
                <w:sz w:val="14"/>
                <w:szCs w:val="14"/>
                <w:color w:val="auto"/>
              </w:rPr>
            </w:pPr>
          </w:p>
        </w:tc>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252"/>
        </w:trPr>
        <w:tc>
          <w:tcPr>
            <w:tcW w:w="34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(in thousands)</w:t>
            </w:r>
          </w:p>
        </w:tc>
      </w:tr>
      <w:tr>
        <w:trPr>
          <w:trHeight w:val="264"/>
        </w:trPr>
        <w:tc>
          <w:tcPr>
            <w:tcW w:w="34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$67,493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$59,838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85,055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60,982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152,736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110,602</w:t>
            </w:r>
          </w:p>
        </w:tc>
      </w:tr>
      <w:tr>
        <w:trPr>
          <w:trHeight w:val="200"/>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3,391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3,592</w:t>
            </w: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$308,675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3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November 30,</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3400" w:type="dxa"/>
            <w:vAlign w:val="bottom"/>
          </w:tcPr>
          <w:p>
            <w:pPr>
              <w:spacing w:after="0"/>
              <w:rPr>
                <w:sz w:val="14"/>
                <w:szCs w:val="14"/>
                <w:color w:val="auto"/>
              </w:rPr>
            </w:pPr>
          </w:p>
        </w:tc>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252"/>
        </w:trPr>
        <w:tc>
          <w:tcPr>
            <w:tcW w:w="34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thousands)</w:t>
            </w:r>
          </w:p>
        </w:tc>
      </w:tr>
      <w:tr>
        <w:trPr>
          <w:trHeight w:val="264"/>
        </w:trPr>
        <w:tc>
          <w:tcPr>
            <w:tcW w:w="34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$19,386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$19,175</w:t>
            </w:r>
          </w:p>
        </w:tc>
      </w:tr>
      <w:tr>
        <w:trPr>
          <w:trHeight w:val="200"/>
        </w:trPr>
        <w:tc>
          <w:tcPr>
            <w:tcW w:w="34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3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289,289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215,839</w:t>
            </w: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$308,675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95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ICON plc</w:t>
      </w:r>
    </w:p>
    <w:p>
      <w:pPr>
        <w:spacing w:after="0" w:line="346"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2003. The Consolidated Financial Statements have been prepared in accordance with accounting principles generally accepted in the United States.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2,450 employees and operations in 32 locations in 19 countries. Our main operations are in the United States, Europe and the Rest of the World. For the six months ended November 30, 2003, we derived approximately 64.4%, 32.1%, and 3.5% of our net revenue in the United States, Europe and Rest of World, respectively.</w:t>
      </w:r>
    </w:p>
    <w:p>
      <w:pPr>
        <w:spacing w:after="0" w:line="87"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87"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8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74" w:lineRule="exact"/>
        <w:rPr>
          <w:sz w:val="20"/>
          <w:szCs w:val="20"/>
          <w:color w:val="auto"/>
        </w:rPr>
      </w:pPr>
    </w:p>
    <w:p>
      <w:pPr>
        <w:ind w:right="3259"/>
        <w:spacing w:after="0" w:line="295"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57"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81" w:lineRule="exact"/>
        <w:rPr>
          <w:sz w:val="20"/>
          <w:szCs w:val="20"/>
          <w:color w:val="auto"/>
        </w:rPr>
      </w:pPr>
    </w:p>
    <w:p>
      <w:pPr>
        <w:ind w:right="3339"/>
        <w:spacing w:after="0" w:line="307" w:lineRule="auto"/>
        <w:rPr>
          <w:sz w:val="20"/>
          <w:szCs w:val="20"/>
          <w:color w:val="auto"/>
        </w:rPr>
      </w:pPr>
      <w:r>
        <w:rPr>
          <w:rFonts w:ascii="Courier New" w:cs="Courier New" w:eastAsia="Courier New" w:hAnsi="Courier New"/>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49"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In addition to translation exposures, we are also subject to transaction exposures because the currency in which contracts are priced can be different from the currencies in which costs relating to those contracts are incurred. We have twelve operations trading in U.S. dollars, four trading in Euros, three in pounds Sterling, and one each in Australian Dollars, Singapore Dollars, Yen, Israeli</w:t>
      </w:r>
    </w:p>
    <w:p>
      <w:pPr>
        <w:sectPr>
          <w:pgSz w:w="11900" w:h="16838" w:orient="portrait"/>
          <w:cols w:equalWidth="0" w:num="1">
            <w:col w:w="10219"/>
          </w:cols>
          <w:pgMar w:left="240" w:top="951" w:right="1440" w:bottom="88" w:gutter="0" w:footer="0" w:header="0"/>
        </w:sectPr>
      </w:pPr>
    </w:p>
    <w:bookmarkStart w:id="14" w:name="page15"/>
    <w:bookmarkEnd w:id="14"/>
    <w:p>
      <w:pPr>
        <w:ind w:left="2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285" w:right="1440" w:bottom="1440" w:gutter="0" w:footer="0" w:header="0"/>
        </w:sectPr>
      </w:pPr>
    </w:p>
    <w:bookmarkStart w:id="15" w:name="page16"/>
    <w:bookmarkEnd w:id="15"/>
    <w:p>
      <w:pPr>
        <w:ind w:right="980"/>
        <w:spacing w:after="0" w:line="249" w:lineRule="auto"/>
        <w:rPr>
          <w:sz w:val="20"/>
          <w:szCs w:val="20"/>
          <w:color w:val="auto"/>
        </w:rPr>
      </w:pPr>
      <w:r>
        <w:rPr>
          <w:rFonts w:ascii="Courier New" w:cs="Courier New" w:eastAsia="Courier New" w:hAnsi="Courier New"/>
          <w:sz w:val="15"/>
          <w:szCs w:val="15"/>
          <w:color w:val="auto"/>
        </w:rPr>
        <w:t>New Shekels, Latvian Lats, Swedish Krona, Argentine Peso, South African Rand, Indian Rupee, Russian Rouble, Hungarian Forint, Canadian dollar and Chinese Yuan Renminbi.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95" w:lineRule="exact"/>
        <w:rPr>
          <w:sz w:val="20"/>
          <w:szCs w:val="20"/>
          <w:color w:val="auto"/>
        </w:rPr>
      </w:pPr>
    </w:p>
    <w:p>
      <w:pPr>
        <w:ind w:right="980"/>
        <w:spacing w:after="0" w:line="250"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2003, we have received $1,490,902 and $1,815,733 under the capital grants and operating grants, respectively. Pursuant to the terms of the grant agreements we are restricted from distributing some of these amounts by way of dividend or otherwise.</w:t>
      </w:r>
    </w:p>
    <w:p>
      <w:pPr>
        <w:spacing w:after="0" w:line="92" w:lineRule="exact"/>
        <w:rPr>
          <w:sz w:val="20"/>
          <w:szCs w:val="20"/>
          <w:color w:val="auto"/>
        </w:rPr>
      </w:pPr>
    </w:p>
    <w:p>
      <w:pPr>
        <w:ind w:right="980"/>
        <w:spacing w:after="0" w:line="262"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1160"/>
        <w:spacing w:after="0" w:line="359" w:lineRule="auto"/>
        <w:rPr>
          <w:sz w:val="20"/>
          <w:szCs w:val="20"/>
          <w:color w:val="auto"/>
        </w:rPr>
      </w:pPr>
      <w:r>
        <w:rPr>
          <w:rFonts w:ascii="Courier New" w:cs="Courier New" w:eastAsia="Courier New" w:hAnsi="Courier New"/>
          <w:sz w:val="15"/>
          <w:szCs w:val="15"/>
          <w:color w:val="auto"/>
        </w:rPr>
        <w:t>Three Months Ended November 30, 2003 Compared with Three Months Ended November 30, 2002</w:t>
      </w:r>
    </w:p>
    <w:p>
      <w:pPr>
        <w:spacing w:after="0" w:line="8" w:lineRule="exact"/>
        <w:rPr>
          <w:sz w:val="20"/>
          <w:szCs w:val="20"/>
          <w:color w:val="auto"/>
        </w:rPr>
      </w:pPr>
    </w:p>
    <w:p>
      <w:pPr>
        <w:ind w:right="980"/>
        <w:spacing w:after="0" w:line="281"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336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20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November 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0" w:type="dxa"/>
            <w:vAlign w:val="bottom"/>
          </w:tcPr>
          <w:p>
            <w:pPr>
              <w:spacing w:after="0"/>
              <w:rPr>
                <w:sz w:val="1"/>
                <w:szCs w:val="1"/>
                <w:color w:val="auto"/>
              </w:rPr>
            </w:pPr>
          </w:p>
        </w:tc>
      </w:tr>
      <w:tr>
        <w:trPr>
          <w:trHeight w:val="252"/>
        </w:trPr>
        <w:tc>
          <w:tcPr>
            <w:tcW w:w="4060" w:type="dxa"/>
            <w:vAlign w:val="bottom"/>
          </w:tcPr>
          <w:p>
            <w:pPr>
              <w:spacing w:after="0"/>
              <w:rPr>
                <w:sz w:val="21"/>
                <w:szCs w:val="21"/>
                <w:color w:val="auto"/>
              </w:rPr>
            </w:pPr>
          </w:p>
        </w:tc>
        <w:tc>
          <w:tcPr>
            <w:tcW w:w="2020" w:type="dxa"/>
            <w:vAlign w:val="bottom"/>
          </w:tcPr>
          <w:p>
            <w:pPr>
              <w:ind w:left="940"/>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344"/>
        </w:trPr>
        <w:tc>
          <w:tcPr>
            <w:tcW w:w="4060" w:type="dxa"/>
            <w:vAlign w:val="bottom"/>
          </w:tcPr>
          <w:p>
            <w:pPr>
              <w:spacing w:after="0"/>
              <w:rPr>
                <w:sz w:val="24"/>
                <w:szCs w:val="24"/>
                <w:color w:val="auto"/>
              </w:rPr>
            </w:pPr>
          </w:p>
        </w:tc>
        <w:tc>
          <w:tcPr>
            <w:tcW w:w="33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Percentage of Net Revenue</w:t>
            </w:r>
          </w:p>
        </w:tc>
        <w:tc>
          <w:tcPr>
            <w:tcW w:w="0" w:type="dxa"/>
            <w:vAlign w:val="bottom"/>
          </w:tcPr>
          <w:p>
            <w:pPr>
              <w:spacing w:after="0"/>
              <w:rPr>
                <w:sz w:val="1"/>
                <w:szCs w:val="1"/>
                <w:color w:val="auto"/>
              </w:rPr>
            </w:pPr>
          </w:p>
        </w:tc>
      </w:tr>
      <w:tr>
        <w:trPr>
          <w:trHeight w:val="4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20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20" w:type="dxa"/>
            <w:vAlign w:val="bottom"/>
            <w:vMerge w:val="restart"/>
          </w:tcPr>
          <w:p>
            <w:pPr>
              <w:jc w:val="right"/>
              <w:ind w:right="825"/>
              <w:spacing w:after="0"/>
              <w:rPr>
                <w:sz w:val="20"/>
                <w:szCs w:val="20"/>
                <w:color w:val="auto"/>
              </w:rPr>
            </w:pPr>
            <w:r>
              <w:rPr>
                <w:rFonts w:ascii="Courier New" w:cs="Courier New" w:eastAsia="Courier New" w:hAnsi="Courier New"/>
                <w:sz w:val="15"/>
                <w:szCs w:val="15"/>
                <w:color w:val="auto"/>
              </w:rPr>
              <w:t>54.8%</w:t>
            </w:r>
          </w:p>
        </w:tc>
        <w:tc>
          <w:tcPr>
            <w:tcW w:w="13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53.6%</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20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020" w:type="dxa"/>
            <w:vAlign w:val="bottom"/>
            <w:vMerge w:val="restart"/>
          </w:tcPr>
          <w:p>
            <w:pPr>
              <w:jc w:val="right"/>
              <w:ind w:right="825"/>
              <w:spacing w:after="0"/>
              <w:rPr>
                <w:sz w:val="20"/>
                <w:szCs w:val="20"/>
                <w:color w:val="auto"/>
              </w:rPr>
            </w:pPr>
            <w:r>
              <w:rPr>
                <w:rFonts w:ascii="Courier New" w:cs="Courier New" w:eastAsia="Courier New" w:hAnsi="Courier New"/>
                <w:sz w:val="15"/>
                <w:szCs w:val="15"/>
                <w:color w:val="auto"/>
              </w:rPr>
              <w:t>30.1%</w:t>
            </w:r>
          </w:p>
        </w:tc>
        <w:tc>
          <w:tcPr>
            <w:tcW w:w="134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31.7%</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expense................................</w:t>
            </w:r>
          </w:p>
        </w:tc>
        <w:tc>
          <w:tcPr>
            <w:tcW w:w="20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0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3.7%</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5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0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11.4%</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980"/>
        <w:spacing w:after="0" w:line="274" w:lineRule="auto"/>
        <w:rPr>
          <w:sz w:val="20"/>
          <w:szCs w:val="20"/>
          <w:color w:val="auto"/>
        </w:rPr>
      </w:pPr>
      <w:r>
        <w:rPr>
          <w:rFonts w:ascii="Courier New" w:cs="Courier New" w:eastAsia="Courier New" w:hAnsi="Courier New"/>
          <w:sz w:val="14"/>
          <w:szCs w:val="14"/>
          <w:color w:val="auto"/>
        </w:rPr>
        <w:t>Net revenue increased by $19.7 million or 36.7%, from $53.5 million to $73.2 million. This improvement arose through a combination of increased business from existing clients, business won from new clients and revenues from acquisitions not included in the comparative period. The additional revenues from these acquisitions (BPA, MCS, Medeval &amp; Globomax) amounted to $8.5 million for the three months ended November 30, 2003. Including the impact of acquisitions, revenues in the United States, Europe/Rest of World grew 26.7% and 59.6%, respectively. For the three months ended November 30, 2003, net revenue for our central laboratory business grew by 9.7% from $6.0 million to $6.6 million while our clinical research segment grew by 40.2% from $47.5 million to $66.6 million over the comparable period. The growth in net revenue is due to the expansion</w:t>
      </w:r>
    </w:p>
    <w:p>
      <w:pPr>
        <w:spacing w:after="0" w:line="200" w:lineRule="exact"/>
        <w:rPr>
          <w:sz w:val="20"/>
          <w:szCs w:val="20"/>
          <w:color w:val="auto"/>
        </w:rPr>
      </w:pPr>
    </w:p>
    <w:p>
      <w:pPr>
        <w:spacing w:after="0" w:line="21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2003</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 2002</w:t>
      </w:r>
    </w:p>
    <w:p>
      <w:pPr>
        <w:spacing w:after="0" w:line="2"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5"/>
          <w:szCs w:val="15"/>
          <w:color w:val="auto"/>
        </w:rPr>
        <w:t>Percentage</w:t>
      </w:r>
    </w:p>
    <w:p>
      <w:pPr>
        <w:spacing w:after="0" w:line="2"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5"/>
          <w:szCs w:val="15"/>
          <w:color w:val="auto"/>
        </w:rPr>
        <w:t>Increase</w:t>
      </w:r>
    </w:p>
    <w:p>
      <w:pPr>
        <w:spacing w:after="0" w:line="31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36.7%</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39.5%</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30.1%</w:t>
      </w:r>
    </w:p>
    <w:p>
      <w:pPr>
        <w:spacing w:after="0" w:line="3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73.1%</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32.9%</w:t>
      </w:r>
    </w:p>
    <w:p>
      <w:pPr>
        <w:sectPr>
          <w:pgSz w:w="11900" w:h="16838" w:orient="portrait"/>
          <w:cols w:equalWidth="0" w:num="2">
            <w:col w:w="8120" w:space="720"/>
            <w:col w:w="1379"/>
          </w:cols>
          <w:pgMar w:left="240" w:top="607" w:right="1440" w:bottom="360" w:gutter="0" w:footer="0" w:header="0"/>
        </w:sectPr>
      </w:pPr>
    </w:p>
    <w:bookmarkStart w:id="16" w:name="page17"/>
    <w:bookmarkEnd w:id="16"/>
    <w:p>
      <w:pPr>
        <w:ind w:right="3259"/>
        <w:spacing w:after="0" w:line="331" w:lineRule="auto"/>
        <w:rPr>
          <w:sz w:val="20"/>
          <w:szCs w:val="20"/>
          <w:color w:val="auto"/>
        </w:rPr>
      </w:pPr>
      <w:r>
        <w:rPr>
          <w:rFonts w:ascii="Courier New" w:cs="Courier New" w:eastAsia="Courier New" w:hAnsi="Courier New"/>
          <w:sz w:val="14"/>
          <w:szCs w:val="14"/>
          <w:color w:val="auto"/>
        </w:rPr>
        <w:t>of our services to both existing and new clients, increased use of outsourcing by the Pharmaceutical and Biotechnology industries, an underlying increase in Research and Development spending and consolidation in the CRO industry.</w:t>
      </w:r>
    </w:p>
    <w:p>
      <w:pPr>
        <w:spacing w:after="0" w:line="32"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5"/>
          <w:szCs w:val="15"/>
          <w:color w:val="auto"/>
        </w:rPr>
        <w:t>Direct costs increased by $11.4 million, or 39.5%, from $28.7 million to $40.1 million, primarily due to increased staff numbers needed to support increased project related activity and increased direct costs arising from the acquisitions amounting to $4.6 million. Direct costs, as a percentage of net revenue increased from 53.6% in the three months to November 30, 2002 to 54.8% for the quarter ended November 30, 2003, or 54.8% when the effects of acquisitions have been excluded.</w:t>
      </w:r>
    </w:p>
    <w:p>
      <w:pPr>
        <w:spacing w:after="0" w:line="78"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Selling, general and administrative expense increased by $5.1 million, or 30.1%, from $16.9 million to $22.0 million. The increase in costs is due to the continued expansion of our operations and additional selling, general and administrative costs from acquisitions of $2.8 million not included in the comparative period. As a percentage of net revenue, selling, general and administrative expenses, decreased from 31.7% in the three months to November 30, 2002, to 30.1% for the quarter ended November 30, 2003 or 29.7% when the effects of acquisitions have been excluded.</w:t>
      </w:r>
    </w:p>
    <w:p>
      <w:pPr>
        <w:spacing w:after="0" w:line="81"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Depreciation increased by $1.1 million, or 73.1%, from $1.6 million to $2.7 million. This increase is due to the continued investment in facilities and information technology to support the growth in activity and in providing for future capacity and increased cost arising from acquisitions of $0.2 million in the current quarter. As a percentage of net revenue, depreciation and amortization increased from 2.9% of net revenues in the three months to November 30, 2002, to 3.7% for the three months ended November 30, 2003, or 3.9% when the effects of acquisitions have been excluded.</w:t>
      </w:r>
    </w:p>
    <w:p>
      <w:pPr>
        <w:spacing w:after="0" w:line="81" w:lineRule="exact"/>
        <w:rPr>
          <w:sz w:val="20"/>
          <w:szCs w:val="20"/>
          <w:color w:val="auto"/>
        </w:rPr>
      </w:pPr>
    </w:p>
    <w:p>
      <w:pPr>
        <w:ind w:right="3079"/>
        <w:spacing w:after="0" w:line="264" w:lineRule="auto"/>
        <w:rPr>
          <w:sz w:val="20"/>
          <w:szCs w:val="20"/>
          <w:color w:val="auto"/>
        </w:rPr>
      </w:pPr>
      <w:r>
        <w:rPr>
          <w:rFonts w:ascii="Courier New" w:cs="Courier New" w:eastAsia="Courier New" w:hAnsi="Courier New"/>
          <w:sz w:val="14"/>
          <w:szCs w:val="14"/>
          <w:color w:val="auto"/>
        </w:rPr>
        <w:t>Income from operations increased by $2.1 million, or 32.9%, from $6.3 million to $8.4 million, including acquisitions. This improvement is due to increased levels of activity carried out across the Company together with the acquisition of BPA, MCS, Medeval and Globomax. As a percentage of net revenue, including the effect of acquisitions, income from operations decreased to 11.4% from 11.8% in the comparative period. For the quarter, income from operations, as a percentage of net revenue, for the central laboratory was (16.4%) from (1.4%) in the same quarter in fiscal 2003. This fall was due to a lower than anticipated level of processing activity. The central laboratory constitutes approximately 9% of our business. Operating margins for our clinical research segment increased from</w:t>
      </w:r>
    </w:p>
    <w:p>
      <w:pPr>
        <w:spacing w:after="0" w:line="4" w:lineRule="exact"/>
        <w:rPr>
          <w:sz w:val="20"/>
          <w:szCs w:val="20"/>
          <w:color w:val="auto"/>
        </w:rPr>
      </w:pPr>
    </w:p>
    <w:p>
      <w:pPr>
        <w:ind w:right="3079"/>
        <w:spacing w:after="0" w:line="319" w:lineRule="auto"/>
        <w:rPr>
          <w:sz w:val="20"/>
          <w:szCs w:val="20"/>
          <w:color w:val="auto"/>
        </w:rPr>
      </w:pPr>
      <w:r>
        <w:rPr>
          <w:rFonts w:ascii="Courier New" w:cs="Courier New" w:eastAsia="Courier New" w:hAnsi="Courier New"/>
          <w:sz w:val="15"/>
          <w:szCs w:val="15"/>
          <w:color w:val="auto"/>
        </w:rPr>
        <w:t>13.4% in the three months ended November 30, 2002, to 14.2% for the three months ended November 30, 2003.</w:t>
      </w:r>
    </w:p>
    <w:p>
      <w:pPr>
        <w:spacing w:after="0" w:line="3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Net interest income for the three months ended November 30, 2003, was $75,000 compared to $73,000 for the equivalent period last year. Net cash invested increased from $11.2 million at May 31, 2003, to $44.0 million at November 30, 2003, due principally to the net proceeds of US$44.3 million raised in our secondary offering in August, 2003. Lower interest rates for the first quarter when compared to the same period last year, contributed to the lower returns on our investments.</w:t>
      </w:r>
    </w:p>
    <w:p>
      <w:pPr>
        <w:spacing w:after="0" w:line="78"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5"/>
          <w:szCs w:val="15"/>
          <w:color w:val="auto"/>
        </w:rPr>
        <w:t>Our effective tax rate for the three months ended November 30, 2003 was 25.8% compared to 30.6% for the comparable period last year. The decrease in the effective rate was due to a change in the geographic distribution of pre-tax earnings and the impact of acquisitions.</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7" w:right="1440" w:bottom="1440" w:gutter="0" w:footer="0" w:header="0"/>
        </w:sectPr>
      </w:pPr>
    </w:p>
    <w:bookmarkStart w:id="17" w:name="page18"/>
    <w:bookmarkEnd w:id="17"/>
    <w:p>
      <w:pPr>
        <w:ind w:right="1260"/>
        <w:spacing w:after="0" w:line="359" w:lineRule="auto"/>
        <w:rPr>
          <w:sz w:val="20"/>
          <w:szCs w:val="20"/>
          <w:color w:val="auto"/>
        </w:rPr>
      </w:pPr>
      <w:r>
        <w:rPr>
          <w:rFonts w:ascii="Courier New" w:cs="Courier New" w:eastAsia="Courier New" w:hAnsi="Courier New"/>
          <w:sz w:val="15"/>
          <w:szCs w:val="15"/>
          <w:color w:val="auto"/>
        </w:rPr>
        <w:t>Six Months Ended November 30, 2003 Compared with six Months Ended November 30, 2002</w:t>
      </w:r>
    </w:p>
    <w:p>
      <w:pPr>
        <w:spacing w:after="0" w:line="8" w:lineRule="exact"/>
        <w:rPr>
          <w:sz w:val="20"/>
          <w:szCs w:val="20"/>
          <w:color w:val="auto"/>
        </w:rPr>
      </w:pPr>
    </w:p>
    <w:p>
      <w:pPr>
        <w:ind w:right="1080"/>
        <w:spacing w:after="0" w:line="281"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3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November 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c>
          <w:tcPr>
            <w:tcW w:w="0" w:type="dxa"/>
            <w:vAlign w:val="bottom"/>
          </w:tcPr>
          <w:p>
            <w:pPr>
              <w:spacing w:after="0"/>
              <w:rPr>
                <w:sz w:val="1"/>
                <w:szCs w:val="1"/>
                <w:color w:val="auto"/>
              </w:rPr>
            </w:pPr>
          </w:p>
        </w:tc>
      </w:tr>
      <w:tr>
        <w:trPr>
          <w:trHeight w:val="252"/>
        </w:trPr>
        <w:tc>
          <w:tcPr>
            <w:tcW w:w="4060" w:type="dxa"/>
            <w:vAlign w:val="bottom"/>
          </w:tcPr>
          <w:p>
            <w:pPr>
              <w:spacing w:after="0"/>
              <w:rPr>
                <w:sz w:val="21"/>
                <w:szCs w:val="21"/>
                <w:color w:val="auto"/>
              </w:rPr>
            </w:pPr>
          </w:p>
        </w:tc>
        <w:tc>
          <w:tcPr>
            <w:tcW w:w="19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344"/>
        </w:trPr>
        <w:tc>
          <w:tcPr>
            <w:tcW w:w="4060" w:type="dxa"/>
            <w:vAlign w:val="bottom"/>
          </w:tcPr>
          <w:p>
            <w:pPr>
              <w:spacing w:after="0"/>
              <w:rPr>
                <w:sz w:val="24"/>
                <w:szCs w:val="24"/>
                <w:color w:val="auto"/>
              </w:rPr>
            </w:pPr>
          </w:p>
        </w:tc>
        <w:tc>
          <w:tcPr>
            <w:tcW w:w="3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Percentage of Net Revenue</w:t>
            </w:r>
          </w:p>
        </w:tc>
        <w:tc>
          <w:tcPr>
            <w:tcW w:w="0" w:type="dxa"/>
            <w:vAlign w:val="bottom"/>
          </w:tcPr>
          <w:p>
            <w:pPr>
              <w:spacing w:after="0"/>
              <w:rPr>
                <w:sz w:val="1"/>
                <w:szCs w:val="1"/>
                <w:color w:val="auto"/>
              </w:rPr>
            </w:pPr>
          </w:p>
        </w:tc>
      </w:tr>
      <w:tr>
        <w:trPr>
          <w:trHeight w:val="436"/>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920" w:type="dxa"/>
            <w:vAlign w:val="bottom"/>
            <w:vMerge w:val="restart"/>
          </w:tcPr>
          <w:p>
            <w:pPr>
              <w:jc w:val="right"/>
              <w:ind w:right="725"/>
              <w:spacing w:after="0"/>
              <w:rPr>
                <w:sz w:val="20"/>
                <w:szCs w:val="20"/>
                <w:color w:val="auto"/>
              </w:rPr>
            </w:pPr>
            <w:r>
              <w:rPr>
                <w:rFonts w:ascii="Courier New" w:cs="Courier New" w:eastAsia="Courier New" w:hAnsi="Courier New"/>
                <w:sz w:val="15"/>
                <w:szCs w:val="15"/>
                <w:color w:val="auto"/>
              </w:rPr>
              <w:t>54.7%</w:t>
            </w:r>
          </w:p>
        </w:tc>
        <w:tc>
          <w:tcPr>
            <w:tcW w:w="13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53.9%</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9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30.3%</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31.5%</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3.8%</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5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80"/>
        <w:spacing w:after="0" w:line="251" w:lineRule="auto"/>
        <w:rPr>
          <w:sz w:val="20"/>
          <w:szCs w:val="20"/>
          <w:color w:val="auto"/>
        </w:rPr>
      </w:pPr>
      <w:r>
        <w:rPr>
          <w:rFonts w:ascii="Courier New" w:cs="Courier New" w:eastAsia="Courier New" w:hAnsi="Courier New"/>
          <w:sz w:val="15"/>
          <w:szCs w:val="15"/>
          <w:color w:val="auto"/>
        </w:rPr>
        <w:t>Net revenue increased by $41.7 million or 41.6%, from $100.4 million to $142.1 million. This improvement arose through a combination of increased business from existing clients, business won from new clients and revenues from acquisitions not included in the comparative period. The additional revenues from these acquisitions (BPA, MCS, Medeval &amp; Globomax) amounted to $16.5 million for the six months ended November 30, 2003. Including the impact of acquisitions, revenues in the United States, Europe/Rest of World grew 29.7% and 69.6%, respectively. For the six months ended November 30, 2003, net revenue for our central laboratory business fell by 6.7% from $13.2 million to $12.3 million while our clinical research segment grew by 48.9% from $87.2 million to $129.8 million over the comparable period. The growth in net revenue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87" w:lineRule="exact"/>
        <w:rPr>
          <w:sz w:val="20"/>
          <w:szCs w:val="20"/>
          <w:color w:val="auto"/>
        </w:rPr>
      </w:pPr>
    </w:p>
    <w:p>
      <w:pPr>
        <w:ind w:right="1080"/>
        <w:spacing w:after="0" w:line="262" w:lineRule="auto"/>
        <w:rPr>
          <w:sz w:val="20"/>
          <w:szCs w:val="20"/>
          <w:color w:val="auto"/>
        </w:rPr>
      </w:pPr>
      <w:r>
        <w:rPr>
          <w:rFonts w:ascii="Courier New" w:cs="Courier New" w:eastAsia="Courier New" w:hAnsi="Courier New"/>
          <w:sz w:val="15"/>
          <w:szCs w:val="15"/>
          <w:color w:val="auto"/>
        </w:rPr>
        <w:t>Direct costs increased by $23.7 million, or 43.6%, from $54.1 million to $77.8 million, primarily due to increased staff numbers needed to support increased project related activity and increased direct costs arising from the acquisitions amounting to $10.2 million. Direct costs, as a percentage of net revenue increased from 53.9% in the six months to November 30, 2002 to 54.7% for the six months ended November 30, 2003, or 54.4% when the effects of acquisitions have been excluded.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 increased by $11.5 million, or</w:t>
      </w:r>
    </w:p>
    <w:p>
      <w:pPr>
        <w:spacing w:after="0" w:line="30" w:lineRule="exact"/>
        <w:rPr>
          <w:sz w:val="20"/>
          <w:szCs w:val="20"/>
          <w:color w:val="auto"/>
        </w:rPr>
      </w:pPr>
    </w:p>
    <w:p>
      <w:pPr>
        <w:ind w:right="1160"/>
        <w:spacing w:after="0" w:line="255" w:lineRule="auto"/>
        <w:rPr>
          <w:sz w:val="20"/>
          <w:szCs w:val="20"/>
          <w:color w:val="auto"/>
        </w:rPr>
      </w:pPr>
      <w:r>
        <w:rPr>
          <w:rFonts w:ascii="Courier New" w:cs="Courier New" w:eastAsia="Courier New" w:hAnsi="Courier New"/>
          <w:sz w:val="15"/>
          <w:szCs w:val="15"/>
          <w:color w:val="auto"/>
        </w:rPr>
        <w:t>36.3%, from $31.6 million to $43.1 million. The increase in costs is due to the continued expansion of our operations and additional selling, general and administrative costs from acquisitions of $5.1 million not included in the comparative period. As a percentage of net revenue, selling, general and administrative expenses, decreased from 31.5% in the six months to November 30, 2002, to 30.3% for the six months ended November 30, 2003 or 30.2% when the effects of acquisitions have been excluded.</w:t>
      </w:r>
    </w:p>
    <w:p>
      <w:pPr>
        <w:spacing w:after="0" w:line="84" w:lineRule="exact"/>
        <w:rPr>
          <w:sz w:val="20"/>
          <w:szCs w:val="20"/>
          <w:color w:val="auto"/>
        </w:rPr>
      </w:pPr>
    </w:p>
    <w:p>
      <w:pPr>
        <w:ind w:right="1080"/>
        <w:spacing w:after="0" w:line="257" w:lineRule="auto"/>
        <w:rPr>
          <w:sz w:val="20"/>
          <w:szCs w:val="20"/>
          <w:color w:val="auto"/>
        </w:rPr>
      </w:pPr>
      <w:r>
        <w:rPr>
          <w:rFonts w:ascii="Courier New" w:cs="Courier New" w:eastAsia="Courier New" w:hAnsi="Courier New"/>
          <w:sz w:val="15"/>
          <w:szCs w:val="15"/>
          <w:color w:val="auto"/>
        </w:rPr>
        <w:t>Depreciation expense increased by $2.2 million, or 69.0%, from $3.1 million to $5.3 million over the same period last year. This increase is due to the continued investment in facilities and information technology to support the growth in activity and in providing for future capacity and increased cost arising from acquisitions of $0.4 million not included in the comparative period. As a percentage of net revenue, depreciation and amortization increased from 3.1% of net revenues in the six months to November 30, 2002, to 3.7% for the six months ended November 30, 2003, or 3.9% when the effects of acquisitions have been excluded.</w:t>
      </w:r>
    </w:p>
    <w:p>
      <w:pPr>
        <w:spacing w:after="0" w:line="83" w:lineRule="exact"/>
        <w:rPr>
          <w:sz w:val="20"/>
          <w:szCs w:val="20"/>
          <w:color w:val="auto"/>
        </w:rPr>
      </w:pPr>
    </w:p>
    <w:p>
      <w:pPr>
        <w:ind w:right="1080"/>
        <w:spacing w:after="0" w:line="253" w:lineRule="auto"/>
        <w:rPr>
          <w:sz w:val="20"/>
          <w:szCs w:val="20"/>
          <w:color w:val="auto"/>
        </w:rPr>
      </w:pPr>
      <w:r>
        <w:rPr>
          <w:rFonts w:ascii="Courier New" w:cs="Courier New" w:eastAsia="Courier New" w:hAnsi="Courier New"/>
          <w:sz w:val="15"/>
          <w:szCs w:val="15"/>
          <w:color w:val="auto"/>
        </w:rPr>
        <w:t>Income from operations increased by $4.5 million or 38.8%, from $11.5 million to $16.0 million, including acquisitions. This improvement is due to increased levels of activity carried out across the Company together with the acquisition of BPA, MCS, Medeval and Globomax. As a percentage of net revenue, including the effect of acquisitions, income from operations decreased to 11.2% from 11.5% in the comparative period. For the six months, income from operations, as a percentage of net revenue, for the central laboratory was (18.7%) from 5.4% in the same period in fiscal 2003. This fall was due to a lower than anticipated level of processing activity. The central laboratory constitutes approximately 9% of our business. Operating margins for our clinical research segment increased from 12.4% in the six months ended November 30, 2002, to 14.1% for the six months ended November 30, 2003.</w:t>
      </w:r>
    </w:p>
    <w:p>
      <w:pPr>
        <w:spacing w:after="0" w:line="87" w:lineRule="exact"/>
        <w:rPr>
          <w:sz w:val="20"/>
          <w:szCs w:val="20"/>
          <w:color w:val="auto"/>
        </w:rPr>
      </w:pPr>
    </w:p>
    <w:p>
      <w:pPr>
        <w:ind w:right="1260"/>
        <w:spacing w:after="0" w:line="262" w:lineRule="auto"/>
        <w:rPr>
          <w:sz w:val="20"/>
          <w:szCs w:val="20"/>
          <w:color w:val="auto"/>
        </w:rPr>
      </w:pPr>
      <w:r>
        <w:rPr>
          <w:rFonts w:ascii="Courier New" w:cs="Courier New" w:eastAsia="Courier New" w:hAnsi="Courier New"/>
          <w:sz w:val="15"/>
          <w:szCs w:val="15"/>
          <w:color w:val="auto"/>
        </w:rPr>
        <w:t>Net interest income for the six months ended November 30, 2003, was $122,000 compared to $259,000 for the equivalent period last year. Net cash invested increased from $11.2 million at May 31, 2003, to $44.1 million at November 30, 2003, due principally to the net proceeds of US$44.3 million raised in our secondary offering in August, 2003. Lower interest rates for the first six months when compared to the same period last year contributed to the lower returns on our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2003</w:t>
      </w:r>
    </w:p>
    <w:p>
      <w:pPr>
        <w:spacing w:after="0" w:line="3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Increase</w:t>
      </w:r>
    </w:p>
    <w:p>
      <w:pPr>
        <w:spacing w:after="0" w:line="31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41.6%</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43.6%</w:t>
      </w:r>
    </w:p>
    <w:p>
      <w:pPr>
        <w:spacing w:after="0" w:line="3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36.3%</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69.0%</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38.8%</w:t>
      </w:r>
    </w:p>
    <w:p>
      <w:pPr>
        <w:sectPr>
          <w:pgSz w:w="11900" w:h="16838" w:orient="portrait"/>
          <w:cols w:equalWidth="0" w:num="2">
            <w:col w:w="8220" w:space="720"/>
            <w:col w:w="1279"/>
          </w:cols>
          <w:pgMar w:left="240" w:top="951" w:right="1440" w:bottom="0" w:gutter="0" w:footer="0" w:header="0"/>
        </w:sectPr>
      </w:pPr>
    </w:p>
    <w:bookmarkStart w:id="18" w:name="page19"/>
    <w:bookmarkEnd w:id="18"/>
    <w:p>
      <w:pPr>
        <w:ind w:left="22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457" w:right="1440" w:bottom="1440" w:gutter="0" w:footer="0" w:header="0"/>
        </w:sectPr>
      </w:pPr>
    </w:p>
    <w:bookmarkStart w:id="19" w:name="page20"/>
    <w:bookmarkEnd w:id="19"/>
    <w:p>
      <w:pPr>
        <w:ind w:right="3439"/>
        <w:spacing w:after="0" w:line="281" w:lineRule="auto"/>
        <w:rPr>
          <w:sz w:val="20"/>
          <w:szCs w:val="20"/>
          <w:color w:val="auto"/>
        </w:rPr>
      </w:pPr>
      <w:r>
        <w:rPr>
          <w:rFonts w:ascii="Courier New" w:cs="Courier New" w:eastAsia="Courier New" w:hAnsi="Courier New"/>
          <w:sz w:val="15"/>
          <w:szCs w:val="15"/>
          <w:color w:val="auto"/>
        </w:rPr>
        <w:t>Our effective tax rate for the six months ended November 30, 2003 was 26.3% compared to 28.7% for the comparable period last year. The decrease in the effective rate was due to a change in the geographic distribution of pre-tax earnings and the impact of acquisitions.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secondary offering in August 2003. Our principal cash needs are payment of salaries, office rents, travel expenditures and payments to subcontractors. The aggregate amount of employee compensation, excluding stock compensation expense, paid by us and our subsidiaries in the six months ended November 30, 2002 and November 30, 2003, amounted to $59.6 million and $84.0 million, respectively. Investing activities primarily reflect capital expenditures for facilities and for information systems enhancements, the sale and purchase of short-term investments and acquisitions.</w:t>
      </w:r>
    </w:p>
    <w:p>
      <w:pPr>
        <w:spacing w:after="0" w:line="87"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83"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As of November 30, 2003, our working capital amounted to $95.8 million, compared to $53.8 million at May 31, 2003, principally due to the receipt of net proceeds of the secondary offering of $44.3 million.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increased from 64 days at May 31, 2003 to 69 days at November 30, 2003.</w:t>
      </w:r>
    </w:p>
    <w:p>
      <w:pPr>
        <w:spacing w:after="0" w:line="83" w:lineRule="exact"/>
        <w:rPr>
          <w:sz w:val="20"/>
          <w:szCs w:val="20"/>
          <w:color w:val="auto"/>
        </w:rPr>
      </w:pPr>
    </w:p>
    <w:p>
      <w:pPr>
        <w:ind w:right="3439"/>
        <w:spacing w:after="0" w:line="301" w:lineRule="auto"/>
        <w:rPr>
          <w:sz w:val="20"/>
          <w:szCs w:val="20"/>
          <w:color w:val="auto"/>
        </w:rPr>
      </w:pPr>
      <w:r>
        <w:rPr>
          <w:rFonts w:ascii="Courier New" w:cs="Courier New" w:eastAsia="Courier New" w:hAnsi="Courier New"/>
          <w:sz w:val="15"/>
          <w:szCs w:val="15"/>
          <w:color w:val="auto"/>
        </w:rPr>
        <w:t>Net cash provided by operating activities was $6.3 million in the six months ended November 30, 2003, compared to $9.5 million in the six months ended November 30, 2002.</w:t>
      </w:r>
    </w:p>
    <w:p>
      <w:pPr>
        <w:spacing w:after="0" w:line="49"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Net cash used in investing activities was $19.3 million in the six months ended November 30, 2003, compared to $16.8 million in the six months ended November 30, 2002.</w:t>
      </w:r>
    </w:p>
    <w:p>
      <w:pPr>
        <w:spacing w:after="0" w:line="49"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Net cash provided by financing activities was $58.1 million in the six months ended November 30, 2003, compared with $3.5 million used in financing activities in the six months ended November 30, 2002. The main reason for this increase is the receipt of the net proceeds of $44.3 million, following the sale of 1,500,000 American Depositary Shares in August 2003 by the Company.</w:t>
      </w:r>
    </w:p>
    <w:p>
      <w:pPr>
        <w:spacing w:after="0" w:line="69" w:lineRule="exact"/>
        <w:rPr>
          <w:sz w:val="20"/>
          <w:szCs w:val="20"/>
          <w:color w:val="auto"/>
        </w:rPr>
      </w:pPr>
    </w:p>
    <w:p>
      <w:pPr>
        <w:jc w:val="both"/>
        <w:ind w:right="3339"/>
        <w:spacing w:after="0" w:line="301" w:lineRule="auto"/>
        <w:rPr>
          <w:sz w:val="20"/>
          <w:szCs w:val="20"/>
          <w:color w:val="auto"/>
        </w:rPr>
      </w:pPr>
      <w:r>
        <w:rPr>
          <w:rFonts w:ascii="Courier New" w:cs="Courier New" w:eastAsia="Courier New" w:hAnsi="Courier New"/>
          <w:sz w:val="15"/>
          <w:szCs w:val="15"/>
          <w:color w:val="auto"/>
        </w:rPr>
        <w:t>As a result of these cash flows, cash and cash equivalents increased by $43.2 million in the six months ended November 30, 2003, compared to a decrease of $11.0 million in the six months ended November 30, 2002.</w:t>
      </w:r>
    </w:p>
    <w:p>
      <w:pPr>
        <w:spacing w:after="0" w:line="49" w:lineRule="exact"/>
        <w:rPr>
          <w:sz w:val="20"/>
          <w:szCs w:val="20"/>
          <w:color w:val="auto"/>
        </w:rPr>
      </w:pPr>
    </w:p>
    <w:p>
      <w:pPr>
        <w:ind w:right="3079"/>
        <w:spacing w:after="0" w:line="271" w:lineRule="auto"/>
        <w:rPr>
          <w:sz w:val="20"/>
          <w:szCs w:val="20"/>
          <w:color w:val="auto"/>
        </w:rPr>
      </w:pPr>
      <w:r>
        <w:rPr>
          <w:rFonts w:ascii="Courier New" w:cs="Courier New" w:eastAsia="Courier New" w:hAnsi="Courier New"/>
          <w:sz w:val="14"/>
          <w:szCs w:val="14"/>
          <w:color w:val="auto"/>
        </w:rPr>
        <w:t>On July 3, 2003, ICON entered into a facility agreement (the "Facility Agreement") for the provision of a term loan facility of U.S.$40 million, multi-currency overdraft facility of U.S.$5 million; and revolving credit facility of U.S.$15 million (the "Facilities") with The Governor and Company of the Bank of Ireland and Ulster Bank Ireland Limited (the "Banks"). The obligations of the borrowers under the Facilities are secured by certain composite guarantees and indemnities and pledges in favour of each of the banks. This facility bears interest at an annual rate equal to the Banks Prime Rate plus three quarters of one percent. ICON is entitled to make borrowings under a term loan facility of US$40 million and a multi currency overdraft facility of US$5 million. As at November 30, 2003, the full amount of these facilities were available to be drawn down. ICON Clinical Research, Inc. (a subsidiary of ICON plc) is entitled to make borrowings under a revolving credit facility of U.S.$15 million. As at November 30, 2003, the full amount of this facility was utilised.</w:t>
      </w:r>
    </w:p>
    <w:p>
      <w:pPr>
        <w:spacing w:after="0" w:line="73"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On November 17, 1998, we entered into an overdraft facility (the "A.I.B. facility") for (euro)2,539,000 (U.S.$2,759,893) with Allied Irish Banks plc ("A.I.B."). This facility bore an annual interest rate equal to A.I.B. Bank's Prime Rate plus one-quarter of one percent. The full sum of the unpaid principal and interest was repayable on demand. This facility was terminated on July 3, 2003.</w:t>
      </w:r>
    </w:p>
    <w:p>
      <w:pPr>
        <w:spacing w:after="0" w:line="74"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On July 29, 2002, we entered into an additional A.I.B. facility for STG(pound)50,000 (U.S.$85,623) This facility bore interest at an annual rate equal to A.I.B. Bank's Prime Rate plus two percent. The full sum of the unpaid principal and interest was repayable on demand. This facility was terminated on July 3, 2003.</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7" w:right="1440" w:bottom="188" w:gutter="0" w:footer="0" w:header="0"/>
        </w:sectPr>
      </w:pPr>
    </w:p>
    <w:bookmarkStart w:id="20" w:name="page21"/>
    <w:bookmarkEnd w:id="20"/>
    <w:p>
      <w:pPr>
        <w:ind w:right="3159"/>
        <w:spacing w:after="0" w:line="262" w:lineRule="auto"/>
        <w:rPr>
          <w:sz w:val="20"/>
          <w:szCs w:val="20"/>
          <w:color w:val="auto"/>
        </w:rPr>
      </w:pPr>
      <w:r>
        <w:rPr>
          <w:rFonts w:ascii="Courier New" w:cs="Courier New" w:eastAsia="Courier New" w:hAnsi="Courier New"/>
          <w:sz w:val="15"/>
          <w:szCs w:val="15"/>
          <w:color w:val="auto"/>
        </w:rPr>
        <w:t>Our U.S. subsidiary, ICON Clinical Research, Inc. (the "Borrower"), had a $12 million secured line of credit (the "PNC Facility") with PNC Bank N.A. ("P.N.C."). The PNC Facility bore interest at an annual rate equal to PNC's Prime Rate less three-quarters of one percent. The full sum of the unpaid principal and interest was payable on demand. The PNC Facility was secured by a first priority security interest in certain assets of the Borrower. This facility was terminated on July 3, 2003.</w:t>
      </w:r>
    </w:p>
    <w:p>
      <w:pPr>
        <w:spacing w:after="0" w:line="78"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We have entered into an overdraft agreement with A.I.B., whereby we guaranteed any overdrafts of our subsidiaries, ICON Clinical Research GmbH and ICON Clinical Research Israel Ltd., up to an amount (euro)112,484 (U.S.$133,945) and U.S.$250,000 (ILS 1,116,022), respectively. As at November 30, 2003, the full German and Israeli facility were available to be drawn down.</w:t>
      </w:r>
    </w:p>
    <w:p>
      <w:pPr>
        <w:spacing w:after="0" w:line="69"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We expect to spend approximately U.S.$16.0 million in the next twelve months on further investments in information technology, the expansion of existing facilities and the addition of new offices, and expect an increased level of spending in subsequent years. We believe that we will be able to fund our additional foreseeable cash needs for the next twelve months from cash flow from operations and existing cash balances. In the future, we will consider acquiring further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The Company adopted SFAS No. 144 on June 1, 2002. Adoption of SFAS No. 144 did not have a material impact on the Company's results of operations and financial position.</w:t>
      </w:r>
    </w:p>
    <w:p>
      <w:pPr>
        <w:spacing w:after="0" w:line="87"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Reimbursed costs include such items as payments to investigators and travel costs for our clinical research staff. The Company does not generally earn a profit on these costs. The Company has always included such reimbursed costs within the measure of gross revenues and adoption of EITF Issue 01-14 had no effect on the reported results.</w:t>
      </w:r>
    </w:p>
    <w:p>
      <w:pPr>
        <w:spacing w:after="0" w:line="81"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the Company's results of operations and financial position.</w:t>
      </w:r>
    </w:p>
    <w:p>
      <w:pPr>
        <w:spacing w:after="0" w:line="87"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costs associated with an exit or disposal activity be recognized and measured initially at fair value only when the liability is incurred. SFAS No. 146 is effective for exit or disposal activities that are initiated after December 31, 2002. SFAS No. 146 did not have a material impact on our results of operations and financial postion.</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7" w:right="1440" w:bottom="704" w:gutter="0" w:footer="0" w:header="0"/>
        </w:sectPr>
      </w:pPr>
    </w:p>
    <w:bookmarkStart w:id="21" w:name="page22"/>
    <w:bookmarkEnd w:id="21"/>
    <w:p>
      <w:pPr>
        <w:ind w:right="3079"/>
        <w:spacing w:after="0" w:line="271"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This interpretation addresses the disclosure to be made by a guarantor in its financial statements about its obligation under guarantees. FIN 45 also requires the guarantor to recognize a liability for the non-contingent component of the guarantee, that is the obligation to stand ready to perform in the event that specified triggering events or conditions occur. The initial measurement of this liability is the fair value of the guarantee at inception. The disclosure requirements in this Interpretation are effective for financial statements of interim and annual periods ending after December 15, 2002. The recognition and measurement provisions are applicable on a prospective basis to guarantees issued or modified after December 31, 2002, irrespective of the guarantors fiscal year-end. Adoption of FIN 45 did not have a significant effect on the Company's financial position or results of operations.</w:t>
      </w:r>
    </w:p>
    <w:p>
      <w:pPr>
        <w:spacing w:after="0" w:line="73"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In December 2002, the FASB issued SFAS No. 148, "Accounting for Stock Based Compensation - Transition and Disclosure - an amendment of FASB statement No. 123" ("SFAS 148"). SFAS 148 provides alternative methods of transition for a voluntary change to the fair value based method of accounting for stock-based employee compensation. In addition, this statement amends the disclosure requirements of SFAS 123 to require prominent disclosures in both annual and interim financial statements about the method of accounting for stock-based employee compensation and the effect of the method used on reported results. The transition provisions of SFAS 148 are effective for fiscal years ending after December 15, 2002. The enhanced disclosure requirements are included in the financial statements. The Company has decided to continue to account for stock options in accordance with the provisions of APB No. 25.</w:t>
      </w:r>
    </w:p>
    <w:p>
      <w:pPr>
        <w:spacing w:after="0" w:line="87"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In January 2003, the FASB issued FASB Interpretation No. 46, Consolidation of Variable Interest Entities ("FIN 46"), which interprets Accounting Research Bulletin ("ARB") No. 51, Consolidated Financial Statements. FIN 46 clarifies the application of ARB No. 51 with respect to the consolidation of certain entities (variable interest entities - "VIE's") to which the usual condition for consolidation described in ARB No. 51 does not apply because the controlling financial interest in VIE's may be achieved through arrangements that do not involve voting interests. In addition, FIN 46 requires the primary beneficiary of VIE's and the holder of a significant variable interest in VIE's to disclose certain information relating to their involvement with the VIE's. The provisions of FIN 46 apply immediately to VIE's created after January 31, 2003, and to VIE's in which an enterprise obtains an interest after that date. FIN 46 applies in the first fiscal year beginning after June 15, 2003, to VIE's in which an enterprise holds a variable interest that it acquired before February 1, 2003. The Company did not create or obtain an interest in a VIE after January 31, 2003 and does not expect the impact of fully adopting FIN 46 to have a significant impact on our financial statements.</w:t>
      </w:r>
    </w:p>
    <w:p>
      <w:pPr>
        <w:spacing w:after="0" w:line="87"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the Company's foreign exchange contracts do not qualify for hedge accounting treatment. The Company does not expect the impact of adopting Statement 149 to have a significant impact on our financial statements.</w:t>
      </w:r>
    </w:p>
    <w:p>
      <w:pPr>
        <w:spacing w:after="0" w:line="86"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mandatorily redeemable financial instruments of non-public entities. It is to be implemented by reporting the cumulative effect of a change in an accounting principle for financial instruments created before the issuance date of the Statement and still existing at the beginning of the interim period of adoption. Restatement is not permitted. The Company does not expect the impact of adopting Statement 150 to have a significant impact on our financial statements.</w:t>
      </w:r>
    </w:p>
    <w:p>
      <w:pPr>
        <w:spacing w:after="0" w:line="92"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The Company have adopted EITF Issue No.</w:t>
      </w:r>
    </w:p>
    <w:p>
      <w:pPr>
        <w:spacing w:after="0" w:line="7" w:lineRule="exact"/>
        <w:rPr>
          <w:sz w:val="20"/>
          <w:szCs w:val="20"/>
          <w:color w:val="auto"/>
        </w:rPr>
      </w:pPr>
    </w:p>
    <w:p>
      <w:pPr>
        <w:ind w:right="3159"/>
        <w:spacing w:after="0" w:line="319" w:lineRule="auto"/>
        <w:rPr>
          <w:sz w:val="20"/>
          <w:szCs w:val="20"/>
          <w:color w:val="auto"/>
        </w:rPr>
      </w:pPr>
      <w:r>
        <w:rPr>
          <w:rFonts w:ascii="Courier New" w:cs="Courier New" w:eastAsia="Courier New" w:hAnsi="Courier New"/>
          <w:sz w:val="15"/>
          <w:szCs w:val="15"/>
          <w:color w:val="auto"/>
        </w:rPr>
        <w:t>00-21 on June 1, 2003 and it did not have a significant impact on the financial statements.</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07"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79" w:right="1440" w:bottom="1440" w:gutter="0" w:footer="0" w:header="0"/>
        </w:sectPr>
      </w:pPr>
    </w:p>
    <w:bookmarkStart w:id="23" w:name="page24"/>
    <w:bookmarkEnd w:id="23"/>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779"/>
        <w:spacing w:after="0" w:line="30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20" w:type="dxa"/>
            <w:vAlign w:val="bottom"/>
          </w:tcPr>
          <w:p>
            <w:pPr>
              <w:spacing w:after="0"/>
              <w:rPr>
                <w:sz w:val="21"/>
                <w:szCs w:val="21"/>
                <w:color w:val="auto"/>
              </w:rPr>
            </w:pPr>
          </w:p>
        </w:tc>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ICON plc</w:t>
            </w:r>
          </w:p>
        </w:tc>
        <w:tc>
          <w:tcPr>
            <w:tcW w:w="0" w:type="dxa"/>
            <w:vAlign w:val="bottom"/>
          </w:tcPr>
          <w:p>
            <w:pPr>
              <w:spacing w:after="0"/>
              <w:rPr>
                <w:sz w:val="1"/>
                <w:szCs w:val="1"/>
                <w:color w:val="auto"/>
              </w:rPr>
            </w:pP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5"/>
                <w:szCs w:val="15"/>
                <w:color w:val="auto"/>
              </w:rPr>
              <w:t>February 2, 2004</w:t>
            </w:r>
          </w:p>
        </w:tc>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/s/ Sean Leech</w:t>
            </w:r>
          </w:p>
        </w:tc>
        <w:tc>
          <w:tcPr>
            <w:tcW w:w="0" w:type="dxa"/>
            <w:vAlign w:val="bottom"/>
          </w:tcPr>
          <w:p>
            <w:pPr>
              <w:spacing w:after="0"/>
              <w:rPr>
                <w:sz w:val="1"/>
                <w:szCs w:val="1"/>
                <w:color w:val="auto"/>
              </w:rPr>
            </w:pPr>
          </w:p>
        </w:tc>
      </w:tr>
      <w:tr>
        <w:trPr>
          <w:trHeight w:val="172"/>
        </w:trPr>
        <w:tc>
          <w:tcPr>
            <w:tcW w:w="3120" w:type="dxa"/>
            <w:vAlign w:val="bottom"/>
            <w:vMerge w:val="restart"/>
          </w:tcPr>
          <w:p>
            <w:pPr>
              <w:spacing w:after="0"/>
              <w:rPr>
                <w:sz w:val="20"/>
                <w:szCs w:val="20"/>
                <w:color w:val="auto"/>
              </w:rPr>
            </w:pPr>
            <w:r>
              <w:rPr>
                <w:rFonts w:ascii="Courier New" w:cs="Courier New" w:eastAsia="Courier New" w:hAnsi="Courier New"/>
                <w:sz w:val="29"/>
                <w:szCs w:val="29"/>
                <w:color w:val="auto"/>
                <w:vertAlign w:val="subscript"/>
              </w:rPr>
              <w:t>Date</w:t>
            </w:r>
            <w:r>
              <w:rPr>
                <w:rFonts w:ascii="Courier New" w:cs="Courier New" w:eastAsia="Courier New" w:hAnsi="Courier New"/>
                <w:sz w:val="15"/>
                <w:szCs w:val="15"/>
                <w:color w:val="auto"/>
              </w:rPr>
              <w:t>---------------------------</w:t>
            </w:r>
          </w:p>
        </w:tc>
        <w:tc>
          <w:tcPr>
            <w:tcW w:w="3320" w:type="dxa"/>
            <w:vAlign w:val="bottom"/>
          </w:tcPr>
          <w:p>
            <w:pPr>
              <w:ind w:left="8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3120" w:type="dxa"/>
            <w:vAlign w:val="bottom"/>
            <w:vMerge w:val="continue"/>
          </w:tcPr>
          <w:p>
            <w:pPr>
              <w:spacing w:after="0"/>
              <w:rPr>
                <w:sz w:val="14"/>
                <w:szCs w:val="14"/>
                <w:color w:val="auto"/>
              </w:rPr>
            </w:pPr>
          </w:p>
        </w:tc>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Sean Leech</w:t>
            </w: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1"/>
                <w:szCs w:val="21"/>
                <w:color w:val="auto"/>
              </w:rPr>
            </w:pPr>
          </w:p>
        </w:tc>
        <w:tc>
          <w:tcPr>
            <w:tcW w:w="3320" w:type="dxa"/>
            <w:vAlign w:val="bottom"/>
          </w:tcPr>
          <w:p>
            <w:pPr>
              <w:ind w:left="620"/>
              <w:spacing w:after="0"/>
              <w:rPr>
                <w:sz w:val="20"/>
                <w:szCs w:val="20"/>
                <w:color w:val="auto"/>
              </w:rPr>
            </w:pPr>
            <w:r>
              <w:rPr>
                <w:rFonts w:ascii="Courier New" w:cs="Courier New" w:eastAsia="Courier New" w:hAnsi="Courier New"/>
                <w:sz w:val="15"/>
                <w:szCs w:val="15"/>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sectPr>
      <w:pgSz w:w="11900" w:h="16838" w:orient="portrait"/>
      <w:cols w:equalWidth="0" w:num="1">
        <w:col w:w="10219"/>
      </w:cols>
      <w:pgMar w:left="240" w:top="9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lowerLetter"/>
      <w:start w:val="1"/>
    </w:lvl>
    <w:lvl w:ilvl="1">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2019-12-14T20:52:52Z</dcterms:created>
  <dcterms:modified xsi:type="dcterms:W3CDTF">2019-12-14T20:52:52Z</dcterms:modified>
</cp:coreProperties>
</file>