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Arial" w:cs="Arial" w:eastAsia="Arial" w:hAnsi="Arial"/>
          <w:sz w:val="21"/>
          <w:szCs w:val="21"/>
          <w:b w:val="1"/>
          <w:bCs w:val="1"/>
          <w:color w:val="auto"/>
        </w:rPr>
        <w:t>As filed with the Securities and Exchange Commission on June 30, 2021.</w:t>
      </w:r>
    </w:p>
    <w:p>
      <w:pPr>
        <w:spacing w:after="0" w:line="24" w:lineRule="exact"/>
        <w:rPr>
          <w:sz w:val="24"/>
          <w:szCs w:val="24"/>
          <w:color w:val="auto"/>
        </w:rPr>
      </w:pPr>
    </w:p>
    <w:p>
      <w:pPr>
        <w:ind w:left="8920"/>
        <w:spacing w:after="0"/>
        <w:rPr>
          <w:sz w:val="20"/>
          <w:szCs w:val="20"/>
          <w:color w:val="auto"/>
        </w:rPr>
      </w:pPr>
      <w:r>
        <w:rPr>
          <w:rFonts w:ascii="Arial" w:cs="Arial" w:eastAsia="Arial" w:hAnsi="Arial"/>
          <w:sz w:val="21"/>
          <w:szCs w:val="2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32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189865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REGISTRATION STATEMENT</w:t>
      </w:r>
    </w:p>
    <w:p>
      <w:pPr>
        <w:jc w:val="center"/>
        <w:spacing w:after="0"/>
        <w:rPr>
          <w:sz w:val="20"/>
          <w:szCs w:val="20"/>
          <w:color w:val="auto"/>
        </w:rPr>
      </w:pPr>
      <w:r>
        <w:rPr>
          <w:rFonts w:ascii="Arial" w:cs="Arial" w:eastAsia="Arial" w:hAnsi="Arial"/>
          <w:sz w:val="21"/>
          <w:szCs w:val="21"/>
          <w:color w:val="auto"/>
        </w:rPr>
        <w:t>UNDER</w:t>
      </w:r>
    </w:p>
    <w:p>
      <w:pPr>
        <w:jc w:val="center"/>
        <w:spacing w:after="0"/>
        <w:rPr>
          <w:sz w:val="20"/>
          <w:szCs w:val="20"/>
          <w:color w:val="auto"/>
        </w:rPr>
      </w:pPr>
      <w:r>
        <w:rPr>
          <w:rFonts w:ascii="Arial" w:cs="Arial" w:eastAsia="Arial" w:hAnsi="Arial"/>
          <w:sz w:val="21"/>
          <w:szCs w:val="21"/>
          <w:color w:val="auto"/>
        </w:rPr>
        <w:t>THE SECURITIES ACT OF 1933</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ICON PUBLIC LIMITED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27" w:lineRule="exact"/>
        <w:rPr>
          <w:sz w:val="24"/>
          <w:szCs w:val="24"/>
          <w:color w:val="auto"/>
        </w:rPr>
      </w:pPr>
    </w:p>
    <w:tbl>
      <w:tblPr>
        <w:tblLayout w:type="fixed"/>
        <w:tblInd w:w="840" w:type="dxa"/>
        <w:tblCellMar>
          <w:top w:w="0" w:type="dxa"/>
          <w:left w:w="0" w:type="dxa"/>
          <w:bottom w:w="0" w:type="dxa"/>
          <w:right w:w="0" w:type="dxa"/>
        </w:tblCellMar>
      </w:tblPr>
      <w:tr>
        <w:trPr>
          <w:trHeight w:val="219"/>
        </w:trPr>
        <w:tc>
          <w:tcPr>
            <w:tcW w:w="2960" w:type="dxa"/>
            <w:vAlign w:val="bottom"/>
          </w:tcPr>
          <w:p>
            <w:pPr>
              <w:jc w:val="center"/>
              <w:ind w:right="791"/>
              <w:spacing w:after="0"/>
              <w:rPr>
                <w:sz w:val="20"/>
                <w:szCs w:val="20"/>
                <w:color w:val="auto"/>
              </w:rPr>
            </w:pPr>
            <w:r>
              <w:rPr>
                <w:rFonts w:ascii="Arial" w:cs="Arial" w:eastAsia="Arial" w:hAnsi="Arial"/>
                <w:sz w:val="18"/>
                <w:szCs w:val="18"/>
                <w:b w:val="1"/>
                <w:bCs w:val="1"/>
                <w:color w:val="auto"/>
                <w:w w:val="94"/>
              </w:rPr>
              <w:t>Ireland</w:t>
            </w:r>
          </w:p>
        </w:tc>
        <w:tc>
          <w:tcPr>
            <w:tcW w:w="3840" w:type="dxa"/>
            <w:vAlign w:val="bottom"/>
          </w:tcPr>
          <w:p>
            <w:pPr>
              <w:jc w:val="center"/>
              <w:ind w:right="91"/>
              <w:spacing w:after="0"/>
              <w:rPr>
                <w:sz w:val="20"/>
                <w:szCs w:val="20"/>
                <w:color w:val="auto"/>
              </w:rPr>
            </w:pPr>
            <w:r>
              <w:rPr>
                <w:rFonts w:ascii="Arial" w:cs="Arial" w:eastAsia="Arial" w:hAnsi="Arial"/>
                <w:sz w:val="18"/>
                <w:szCs w:val="18"/>
                <w:b w:val="1"/>
                <w:bCs w:val="1"/>
                <w:color w:val="auto"/>
                <w:w w:val="84"/>
              </w:rPr>
              <w:t>8731</w:t>
            </w:r>
          </w:p>
        </w:tc>
        <w:tc>
          <w:tcPr>
            <w:tcW w:w="2580" w:type="dxa"/>
            <w:vAlign w:val="bottom"/>
          </w:tcPr>
          <w:p>
            <w:pPr>
              <w:jc w:val="center"/>
              <w:ind w:left="791"/>
              <w:spacing w:after="0"/>
              <w:rPr>
                <w:sz w:val="20"/>
                <w:szCs w:val="20"/>
                <w:color w:val="auto"/>
              </w:rPr>
            </w:pPr>
            <w:r>
              <w:rPr>
                <w:rFonts w:ascii="Arial" w:cs="Arial" w:eastAsia="Arial" w:hAnsi="Arial"/>
                <w:sz w:val="18"/>
                <w:szCs w:val="18"/>
                <w:b w:val="1"/>
                <w:bCs w:val="1"/>
                <w:color w:val="auto"/>
                <w:w w:val="90"/>
              </w:rPr>
              <w:t>Not Applicable</w:t>
            </w:r>
          </w:p>
        </w:tc>
      </w:tr>
      <w:tr>
        <w:trPr>
          <w:trHeight w:val="215"/>
        </w:trPr>
        <w:tc>
          <w:tcPr>
            <w:tcW w:w="2960" w:type="dxa"/>
            <w:vAlign w:val="bottom"/>
          </w:tcPr>
          <w:p>
            <w:pPr>
              <w:jc w:val="center"/>
              <w:ind w:right="731"/>
              <w:spacing w:after="0"/>
              <w:rPr>
                <w:sz w:val="20"/>
                <w:szCs w:val="20"/>
                <w:color w:val="auto"/>
              </w:rPr>
            </w:pPr>
            <w:r>
              <w:rPr>
                <w:rFonts w:ascii="Arial" w:cs="Arial" w:eastAsia="Arial" w:hAnsi="Arial"/>
                <w:sz w:val="18"/>
                <w:szCs w:val="18"/>
                <w:color w:val="auto"/>
                <w:w w:val="91"/>
              </w:rPr>
              <w:t>(State or other jurisdiction of</w:t>
            </w:r>
          </w:p>
        </w:tc>
        <w:tc>
          <w:tcPr>
            <w:tcW w:w="3840" w:type="dxa"/>
            <w:vAlign w:val="bottom"/>
          </w:tcPr>
          <w:p>
            <w:pPr>
              <w:jc w:val="center"/>
              <w:ind w:right="51"/>
              <w:spacing w:after="0"/>
              <w:rPr>
                <w:sz w:val="20"/>
                <w:szCs w:val="20"/>
                <w:color w:val="auto"/>
              </w:rPr>
            </w:pPr>
            <w:r>
              <w:rPr>
                <w:rFonts w:ascii="Arial" w:cs="Arial" w:eastAsia="Arial" w:hAnsi="Arial"/>
                <w:sz w:val="18"/>
                <w:szCs w:val="18"/>
                <w:color w:val="auto"/>
                <w:w w:val="91"/>
              </w:rPr>
              <w:t>(Primary Standard Industrial</w:t>
            </w:r>
          </w:p>
        </w:tc>
        <w:tc>
          <w:tcPr>
            <w:tcW w:w="2580" w:type="dxa"/>
            <w:vAlign w:val="bottom"/>
          </w:tcPr>
          <w:p>
            <w:pPr>
              <w:jc w:val="center"/>
              <w:ind w:left="831"/>
              <w:spacing w:after="0"/>
              <w:rPr>
                <w:sz w:val="20"/>
                <w:szCs w:val="20"/>
                <w:color w:val="auto"/>
              </w:rPr>
            </w:pPr>
            <w:r>
              <w:rPr>
                <w:rFonts w:ascii="Arial" w:cs="Arial" w:eastAsia="Arial" w:hAnsi="Arial"/>
                <w:sz w:val="18"/>
                <w:szCs w:val="18"/>
                <w:color w:val="auto"/>
                <w:w w:val="93"/>
              </w:rPr>
              <w:t>(IRS Employer</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3840" w:type="dxa"/>
            <w:vAlign w:val="bottom"/>
          </w:tcPr>
          <w:p>
            <w:pPr>
              <w:jc w:val="center"/>
              <w:ind w:right="51"/>
              <w:spacing w:after="0"/>
              <w:rPr>
                <w:sz w:val="20"/>
                <w:szCs w:val="20"/>
                <w:color w:val="auto"/>
              </w:rPr>
            </w:pPr>
            <w:r>
              <w:rPr>
                <w:rFonts w:ascii="Arial" w:cs="Arial" w:eastAsia="Arial" w:hAnsi="Arial"/>
                <w:sz w:val="18"/>
                <w:szCs w:val="18"/>
                <w:color w:val="auto"/>
                <w:w w:val="91"/>
              </w:rPr>
              <w:t>Classification Code Number)</w:t>
            </w:r>
          </w:p>
        </w:tc>
        <w:tc>
          <w:tcPr>
            <w:tcW w:w="2580" w:type="dxa"/>
            <w:vAlign w:val="bottom"/>
          </w:tcPr>
          <w:p>
            <w:pPr>
              <w:jc w:val="center"/>
              <w:ind w:left="831"/>
              <w:spacing w:after="0"/>
              <w:rPr>
                <w:sz w:val="20"/>
                <w:szCs w:val="20"/>
                <w:color w:val="auto"/>
              </w:rPr>
            </w:pPr>
            <w:r>
              <w:rPr>
                <w:rFonts w:ascii="Arial" w:cs="Arial" w:eastAsia="Arial" w:hAnsi="Arial"/>
                <w:sz w:val="18"/>
                <w:szCs w:val="18"/>
                <w:color w:val="auto"/>
                <w:w w:val="94"/>
              </w:rPr>
              <w:t>Identification Number)</w:t>
            </w: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South County Business Park</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Leopardstown</w:t>
      </w:r>
    </w:p>
    <w:p>
      <w:pPr>
        <w:jc w:val="center"/>
        <w:spacing w:after="0"/>
        <w:rPr>
          <w:sz w:val="20"/>
          <w:szCs w:val="20"/>
          <w:color w:val="auto"/>
        </w:rPr>
      </w:pPr>
      <w:r>
        <w:rPr>
          <w:rFonts w:ascii="Arial" w:cs="Arial" w:eastAsia="Arial" w:hAnsi="Arial"/>
          <w:sz w:val="21"/>
          <w:szCs w:val="21"/>
          <w:b w:val="1"/>
          <w:bCs w:val="1"/>
          <w:color w:val="auto"/>
        </w:rPr>
        <w:t>Dublin 18, Ireland</w:t>
      </w:r>
    </w:p>
    <w:p>
      <w:pPr>
        <w:jc w:val="center"/>
        <w:spacing w:after="0"/>
        <w:rPr>
          <w:sz w:val="20"/>
          <w:szCs w:val="20"/>
          <w:color w:val="auto"/>
        </w:rPr>
      </w:pPr>
      <w:r>
        <w:rPr>
          <w:rFonts w:ascii="Arial" w:cs="Arial" w:eastAsia="Arial" w:hAnsi="Arial"/>
          <w:sz w:val="21"/>
          <w:szCs w:val="21"/>
          <w:b w:val="1"/>
          <w:bCs w:val="1"/>
          <w:color w:val="auto"/>
        </w:rPr>
        <w:t>Tel: +353-1-291-2000</w:t>
      </w:r>
    </w:p>
    <w:p>
      <w:pPr>
        <w:jc w:val="center"/>
        <w:spacing w:after="0"/>
        <w:rPr>
          <w:sz w:val="20"/>
          <w:szCs w:val="20"/>
          <w:color w:val="auto"/>
        </w:rPr>
      </w:pPr>
      <w:r>
        <w:rPr>
          <w:rFonts w:ascii="Arial" w:cs="Arial" w:eastAsia="Arial" w:hAnsi="Arial"/>
          <w:sz w:val="21"/>
          <w:szCs w:val="21"/>
          <w:color w:val="auto"/>
        </w:rPr>
        <w:t>(Address, including zip code, and telephone number, including area code, of registrant’s principal executive offices)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Puglisi &amp; Associates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850 Library Avenue, Suite 204</w:t>
      </w:r>
    </w:p>
    <w:p>
      <w:pPr>
        <w:jc w:val="center"/>
        <w:spacing w:after="0"/>
        <w:rPr>
          <w:sz w:val="20"/>
          <w:szCs w:val="20"/>
          <w:color w:val="auto"/>
        </w:rPr>
      </w:pPr>
      <w:r>
        <w:rPr>
          <w:rFonts w:ascii="Arial" w:cs="Arial" w:eastAsia="Arial" w:hAnsi="Arial"/>
          <w:sz w:val="21"/>
          <w:szCs w:val="21"/>
          <w:b w:val="1"/>
          <w:bCs w:val="1"/>
          <w:color w:val="auto"/>
        </w:rPr>
        <w:t>Newark, Delaware 19711</w:t>
      </w:r>
    </w:p>
    <w:p>
      <w:pPr>
        <w:jc w:val="center"/>
        <w:spacing w:after="0"/>
        <w:rPr>
          <w:sz w:val="20"/>
          <w:szCs w:val="20"/>
          <w:color w:val="auto"/>
        </w:rPr>
      </w:pPr>
      <w:r>
        <w:rPr>
          <w:rFonts w:ascii="Arial" w:cs="Arial" w:eastAsia="Arial" w:hAnsi="Arial"/>
          <w:sz w:val="21"/>
          <w:szCs w:val="21"/>
          <w:b w:val="1"/>
          <w:bCs w:val="1"/>
          <w:color w:val="auto"/>
        </w:rPr>
        <w:t>(302) 738-6680</w:t>
      </w:r>
    </w:p>
    <w:p>
      <w:pPr>
        <w:jc w:val="center"/>
        <w:spacing w:after="0"/>
        <w:rPr>
          <w:sz w:val="20"/>
          <w:szCs w:val="20"/>
          <w:color w:val="auto"/>
        </w:rPr>
      </w:pPr>
      <w:r>
        <w:rPr>
          <w:rFonts w:ascii="Arial" w:cs="Arial" w:eastAsia="Arial" w:hAnsi="Arial"/>
          <w:sz w:val="21"/>
          <w:szCs w:val="21"/>
          <w:color w:val="auto"/>
        </w:rPr>
        <w:t>(Name, address, including zip code, and telephone number, including area code, of agent of service)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With copies to:</w:t>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215"/>
        </w:trPr>
        <w:tc>
          <w:tcPr>
            <w:tcW w:w="2600" w:type="dxa"/>
            <w:vAlign w:val="bottom"/>
          </w:tcPr>
          <w:p>
            <w:pPr>
              <w:jc w:val="center"/>
              <w:ind w:right="251"/>
              <w:spacing w:after="0"/>
              <w:rPr>
                <w:sz w:val="20"/>
                <w:szCs w:val="20"/>
                <w:color w:val="auto"/>
              </w:rPr>
            </w:pPr>
            <w:r>
              <w:rPr>
                <w:rFonts w:ascii="Arial" w:cs="Arial" w:eastAsia="Arial" w:hAnsi="Arial"/>
                <w:sz w:val="18"/>
                <w:szCs w:val="18"/>
                <w:b w:val="1"/>
                <w:bCs w:val="1"/>
                <w:color w:val="auto"/>
                <w:w w:val="97"/>
              </w:rPr>
              <w:t>William M. Hartnett</w:t>
            </w:r>
          </w:p>
        </w:tc>
        <w:tc>
          <w:tcPr>
            <w:tcW w:w="2840" w:type="dxa"/>
            <w:vAlign w:val="bottom"/>
          </w:tcPr>
          <w:p>
            <w:pPr>
              <w:jc w:val="center"/>
              <w:ind w:right="51"/>
              <w:spacing w:after="0"/>
              <w:rPr>
                <w:sz w:val="20"/>
                <w:szCs w:val="20"/>
                <w:color w:val="auto"/>
              </w:rPr>
            </w:pPr>
            <w:r>
              <w:rPr>
                <w:rFonts w:ascii="Arial" w:cs="Arial" w:eastAsia="Arial" w:hAnsi="Arial"/>
                <w:sz w:val="18"/>
                <w:szCs w:val="18"/>
                <w:b w:val="1"/>
                <w:bCs w:val="1"/>
                <w:color w:val="auto"/>
                <w:w w:val="92"/>
              </w:rPr>
              <w:t>Diarmaid Cunningham</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Christopher L. Gaenzle</w:t>
            </w:r>
          </w:p>
        </w:tc>
        <w:tc>
          <w:tcPr>
            <w:tcW w:w="2800" w:type="dxa"/>
            <w:vAlign w:val="bottom"/>
          </w:tcPr>
          <w:p>
            <w:pPr>
              <w:jc w:val="center"/>
              <w:ind w:left="111"/>
              <w:spacing w:after="0"/>
              <w:rPr>
                <w:sz w:val="20"/>
                <w:szCs w:val="20"/>
                <w:color w:val="auto"/>
              </w:rPr>
            </w:pPr>
            <w:r>
              <w:rPr>
                <w:rFonts w:ascii="Arial" w:cs="Arial" w:eastAsia="Arial" w:hAnsi="Arial"/>
                <w:sz w:val="18"/>
                <w:szCs w:val="18"/>
                <w:b w:val="1"/>
                <w:bCs w:val="1"/>
                <w:color w:val="auto"/>
                <w:w w:val="91"/>
              </w:rPr>
              <w:t>Krishna Veeraraghavan</w:t>
            </w:r>
          </w:p>
        </w:tc>
      </w:tr>
      <w:tr>
        <w:trPr>
          <w:trHeight w:val="215"/>
        </w:trPr>
        <w:tc>
          <w:tcPr>
            <w:tcW w:w="2600" w:type="dxa"/>
            <w:vAlign w:val="bottom"/>
          </w:tcPr>
          <w:p>
            <w:pPr>
              <w:spacing w:after="0"/>
              <w:rPr>
                <w:sz w:val="20"/>
                <w:szCs w:val="20"/>
                <w:color w:val="auto"/>
              </w:rPr>
            </w:pPr>
            <w:r>
              <w:rPr>
                <w:rFonts w:ascii="Arial" w:cs="Arial" w:eastAsia="Arial" w:hAnsi="Arial"/>
                <w:sz w:val="18"/>
                <w:szCs w:val="18"/>
                <w:b w:val="1"/>
                <w:bCs w:val="1"/>
                <w:color w:val="auto"/>
              </w:rPr>
              <w:t>Kimberly C. Petillo-Décossard</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General Counsel</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Secretary</w:t>
            </w:r>
          </w:p>
        </w:tc>
        <w:tc>
          <w:tcPr>
            <w:tcW w:w="2800" w:type="dxa"/>
            <w:vAlign w:val="bottom"/>
          </w:tcPr>
          <w:p>
            <w:pPr>
              <w:jc w:val="center"/>
              <w:ind w:left="171"/>
              <w:spacing w:after="0"/>
              <w:rPr>
                <w:sz w:val="20"/>
                <w:szCs w:val="20"/>
                <w:color w:val="auto"/>
              </w:rPr>
            </w:pPr>
            <w:r>
              <w:rPr>
                <w:rFonts w:ascii="Arial" w:cs="Arial" w:eastAsia="Arial" w:hAnsi="Arial"/>
                <w:sz w:val="18"/>
                <w:szCs w:val="18"/>
                <w:b w:val="1"/>
                <w:bCs w:val="1"/>
                <w:color w:val="auto"/>
                <w:w w:val="94"/>
              </w:rPr>
              <w:t>Laura C. Turano</w:t>
            </w:r>
          </w:p>
        </w:tc>
      </w:tr>
      <w:tr>
        <w:trPr>
          <w:trHeight w:val="215"/>
        </w:trPr>
        <w:tc>
          <w:tcPr>
            <w:tcW w:w="2600" w:type="dxa"/>
            <w:vAlign w:val="bottom"/>
          </w:tcPr>
          <w:p>
            <w:pPr>
              <w:jc w:val="center"/>
              <w:ind w:right="191"/>
              <w:spacing w:after="0"/>
              <w:rPr>
                <w:sz w:val="20"/>
                <w:szCs w:val="20"/>
                <w:color w:val="auto"/>
              </w:rPr>
            </w:pPr>
            <w:r>
              <w:rPr>
                <w:rFonts w:ascii="Arial" w:cs="Arial" w:eastAsia="Arial" w:hAnsi="Arial"/>
                <w:sz w:val="18"/>
                <w:szCs w:val="18"/>
                <w:b w:val="1"/>
                <w:bCs w:val="1"/>
                <w:color w:val="auto"/>
                <w:w w:val="88"/>
              </w:rPr>
              <w:t>Ross E. Sturman</w:t>
            </w:r>
          </w:p>
        </w:tc>
        <w:tc>
          <w:tcPr>
            <w:tcW w:w="2840" w:type="dxa"/>
            <w:vAlign w:val="bottom"/>
          </w:tcPr>
          <w:p>
            <w:pPr>
              <w:jc w:val="center"/>
              <w:ind w:right="11"/>
              <w:spacing w:after="0"/>
              <w:rPr>
                <w:sz w:val="20"/>
                <w:szCs w:val="20"/>
                <w:color w:val="auto"/>
              </w:rPr>
            </w:pPr>
            <w:r>
              <w:rPr>
                <w:rFonts w:ascii="Arial" w:cs="Arial" w:eastAsia="Arial" w:hAnsi="Arial"/>
                <w:sz w:val="18"/>
                <w:szCs w:val="18"/>
                <w:b w:val="1"/>
                <w:bCs w:val="1"/>
                <w:color w:val="auto"/>
                <w:w w:val="97"/>
              </w:rPr>
              <w:t>ICON plc</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PRA Health Sciences, Inc.</w:t>
            </w:r>
          </w:p>
        </w:tc>
        <w:tc>
          <w:tcPr>
            <w:tcW w:w="2800" w:type="dxa"/>
            <w:vAlign w:val="bottom"/>
          </w:tcPr>
          <w:p>
            <w:pPr>
              <w:jc w:val="center"/>
              <w:ind w:left="171"/>
              <w:spacing w:after="0"/>
              <w:rPr>
                <w:sz w:val="20"/>
                <w:szCs w:val="20"/>
                <w:color w:val="auto"/>
              </w:rPr>
            </w:pPr>
            <w:r>
              <w:rPr>
                <w:rFonts w:ascii="Arial" w:cs="Arial" w:eastAsia="Arial" w:hAnsi="Arial"/>
                <w:sz w:val="18"/>
                <w:szCs w:val="18"/>
                <w:b w:val="1"/>
                <w:bCs w:val="1"/>
                <w:color w:val="auto"/>
                <w:w w:val="93"/>
              </w:rPr>
              <w:t>Paul, Weiss, Rifkind, Wharton &amp;</w:t>
            </w:r>
          </w:p>
        </w:tc>
      </w:tr>
      <w:tr>
        <w:trPr>
          <w:trHeight w:val="215"/>
        </w:trPr>
        <w:tc>
          <w:tcPr>
            <w:tcW w:w="2600" w:type="dxa"/>
            <w:vAlign w:val="bottom"/>
          </w:tcPr>
          <w:p>
            <w:pPr>
              <w:jc w:val="center"/>
              <w:ind w:right="191"/>
              <w:spacing w:after="0"/>
              <w:rPr>
                <w:sz w:val="20"/>
                <w:szCs w:val="20"/>
                <w:color w:val="auto"/>
              </w:rPr>
            </w:pPr>
            <w:r>
              <w:rPr>
                <w:rFonts w:ascii="Arial" w:cs="Arial" w:eastAsia="Arial" w:hAnsi="Arial"/>
                <w:sz w:val="18"/>
                <w:szCs w:val="18"/>
                <w:b w:val="1"/>
                <w:bCs w:val="1"/>
                <w:color w:val="auto"/>
                <w:w w:val="94"/>
              </w:rPr>
              <w:t>Cahill Gordon &amp; Reindel LLP</w:t>
            </w:r>
          </w:p>
        </w:tc>
        <w:tc>
          <w:tcPr>
            <w:tcW w:w="2840" w:type="dxa"/>
            <w:vAlign w:val="bottom"/>
          </w:tcPr>
          <w:p>
            <w:pPr>
              <w:jc w:val="center"/>
              <w:ind w:right="11"/>
              <w:spacing w:after="0"/>
              <w:rPr>
                <w:sz w:val="20"/>
                <w:szCs w:val="20"/>
                <w:color w:val="auto"/>
              </w:rPr>
            </w:pPr>
            <w:r>
              <w:rPr>
                <w:rFonts w:ascii="Arial" w:cs="Arial" w:eastAsia="Arial" w:hAnsi="Arial"/>
                <w:sz w:val="18"/>
                <w:szCs w:val="18"/>
                <w:b w:val="1"/>
                <w:bCs w:val="1"/>
                <w:color w:val="auto"/>
                <w:w w:val="88"/>
              </w:rPr>
              <w:t>South County Business Park</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4130 ParkLake Avenue</w:t>
            </w:r>
          </w:p>
        </w:tc>
        <w:tc>
          <w:tcPr>
            <w:tcW w:w="2800" w:type="dxa"/>
            <w:vAlign w:val="bottom"/>
          </w:tcPr>
          <w:p>
            <w:pPr>
              <w:jc w:val="center"/>
              <w:ind w:left="171"/>
              <w:spacing w:after="0"/>
              <w:rPr>
                <w:sz w:val="20"/>
                <w:szCs w:val="20"/>
                <w:color w:val="auto"/>
              </w:rPr>
            </w:pPr>
            <w:r>
              <w:rPr>
                <w:rFonts w:ascii="Arial" w:cs="Arial" w:eastAsia="Arial" w:hAnsi="Arial"/>
                <w:sz w:val="18"/>
                <w:szCs w:val="18"/>
                <w:b w:val="1"/>
                <w:bCs w:val="1"/>
                <w:color w:val="auto"/>
                <w:w w:val="96"/>
              </w:rPr>
              <w:t>Garrison LLP</w:t>
            </w:r>
          </w:p>
        </w:tc>
      </w:tr>
      <w:tr>
        <w:trPr>
          <w:trHeight w:val="215"/>
        </w:trPr>
        <w:tc>
          <w:tcPr>
            <w:tcW w:w="260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32 Old Slip</w:t>
            </w:r>
          </w:p>
        </w:tc>
        <w:tc>
          <w:tcPr>
            <w:tcW w:w="284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Leopardstown</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Suite 400</w:t>
            </w:r>
          </w:p>
        </w:tc>
        <w:tc>
          <w:tcPr>
            <w:tcW w:w="2800" w:type="dxa"/>
            <w:vAlign w:val="bottom"/>
          </w:tcPr>
          <w:p>
            <w:pPr>
              <w:jc w:val="center"/>
              <w:ind w:left="171"/>
              <w:spacing w:after="0"/>
              <w:rPr>
                <w:sz w:val="20"/>
                <w:szCs w:val="20"/>
                <w:color w:val="auto"/>
              </w:rPr>
            </w:pPr>
            <w:r>
              <w:rPr>
                <w:rFonts w:ascii="Arial" w:cs="Arial" w:eastAsia="Arial" w:hAnsi="Arial"/>
                <w:sz w:val="18"/>
                <w:szCs w:val="18"/>
                <w:b w:val="1"/>
                <w:bCs w:val="1"/>
                <w:color w:val="auto"/>
                <w:w w:val="88"/>
              </w:rPr>
              <w:t>1285 Avenue of the Americas</w:t>
            </w:r>
          </w:p>
        </w:tc>
      </w:tr>
      <w:tr>
        <w:trPr>
          <w:trHeight w:val="215"/>
        </w:trPr>
        <w:tc>
          <w:tcPr>
            <w:tcW w:w="2600" w:type="dxa"/>
            <w:vAlign w:val="bottom"/>
          </w:tcPr>
          <w:p>
            <w:pPr>
              <w:jc w:val="center"/>
              <w:ind w:right="191"/>
              <w:spacing w:after="0"/>
              <w:rPr>
                <w:sz w:val="20"/>
                <w:szCs w:val="20"/>
                <w:color w:val="auto"/>
              </w:rPr>
            </w:pPr>
            <w:r>
              <w:rPr>
                <w:rFonts w:ascii="Arial" w:cs="Arial" w:eastAsia="Arial" w:hAnsi="Arial"/>
                <w:sz w:val="18"/>
                <w:szCs w:val="18"/>
                <w:b w:val="1"/>
                <w:bCs w:val="1"/>
                <w:color w:val="auto"/>
                <w:w w:val="92"/>
              </w:rPr>
              <w:t>New York, NY 10005</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3"/>
              </w:rPr>
              <w:t>Dublin 18, Ireland</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Raleigh, NC 27612</w:t>
            </w:r>
          </w:p>
        </w:tc>
        <w:tc>
          <w:tcPr>
            <w:tcW w:w="2800" w:type="dxa"/>
            <w:vAlign w:val="bottom"/>
          </w:tcPr>
          <w:p>
            <w:pPr>
              <w:jc w:val="center"/>
              <w:ind w:left="171"/>
              <w:spacing w:after="0"/>
              <w:rPr>
                <w:sz w:val="20"/>
                <w:szCs w:val="20"/>
                <w:color w:val="auto"/>
              </w:rPr>
            </w:pPr>
            <w:r>
              <w:rPr>
                <w:rFonts w:ascii="Arial" w:cs="Arial" w:eastAsia="Arial" w:hAnsi="Arial"/>
                <w:sz w:val="18"/>
                <w:szCs w:val="18"/>
                <w:b w:val="1"/>
                <w:bCs w:val="1"/>
                <w:color w:val="auto"/>
                <w:w w:val="92"/>
              </w:rPr>
              <w:t>New York, NY 10019-6064</w:t>
            </w:r>
          </w:p>
        </w:tc>
      </w:tr>
      <w:tr>
        <w:trPr>
          <w:trHeight w:val="233"/>
        </w:trPr>
        <w:tc>
          <w:tcPr>
            <w:tcW w:w="260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(212) 701-3000</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Tel: +353-1-291-2000</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(919) 786-8200</w:t>
            </w:r>
          </w:p>
        </w:tc>
        <w:tc>
          <w:tcPr>
            <w:tcW w:w="2800" w:type="dxa"/>
            <w:vAlign w:val="bottom"/>
          </w:tcPr>
          <w:p>
            <w:pPr>
              <w:jc w:val="center"/>
              <w:ind w:left="151"/>
              <w:spacing w:after="0"/>
              <w:rPr>
                <w:sz w:val="20"/>
                <w:szCs w:val="20"/>
                <w:color w:val="auto"/>
              </w:rPr>
            </w:pPr>
            <w:r>
              <w:rPr>
                <w:rFonts w:ascii="Arial" w:cs="Arial" w:eastAsia="Arial" w:hAnsi="Arial"/>
                <w:sz w:val="18"/>
                <w:szCs w:val="18"/>
                <w:b w:val="1"/>
                <w:bCs w:val="1"/>
                <w:color w:val="auto"/>
                <w:w w:val="90"/>
              </w:rPr>
              <w:t>(212) 373-3000</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Approximate date of commencement of proposed sale of the securities to the public:</w:t>
      </w:r>
    </w:p>
    <w:p>
      <w:pPr>
        <w:spacing w:after="0" w:line="24" w:lineRule="exact"/>
        <w:rPr>
          <w:sz w:val="24"/>
          <w:szCs w:val="24"/>
          <w:color w:val="auto"/>
        </w:rPr>
      </w:pPr>
    </w:p>
    <w:p>
      <w:pPr>
        <w:jc w:val="center"/>
        <w:spacing w:after="0" w:line="253" w:lineRule="auto"/>
        <w:rPr>
          <w:sz w:val="20"/>
          <w:szCs w:val="20"/>
          <w:color w:val="auto"/>
        </w:rPr>
      </w:pPr>
      <w:r>
        <w:rPr>
          <w:rFonts w:ascii="Arial" w:cs="Arial" w:eastAsia="Arial" w:hAnsi="Arial"/>
          <w:sz w:val="21"/>
          <w:szCs w:val="21"/>
          <w:b w:val="1"/>
          <w:bCs w:val="1"/>
          <w:color w:val="auto"/>
        </w:rPr>
        <w:t>As soon as practicable after the effectiveness of this registration statement and upon completion of the merger described in the enclosed joint proxy statement/prospectus.</w:t>
      </w:r>
    </w:p>
    <w:p>
      <w:pPr>
        <w:spacing w:after="0" w:line="198" w:lineRule="exact"/>
        <w:rPr>
          <w:sz w:val="24"/>
          <w:szCs w:val="24"/>
          <w:color w:val="auto"/>
        </w:rPr>
      </w:pPr>
    </w:p>
    <w:p>
      <w:pPr>
        <w:jc w:val="both"/>
        <w:spacing w:after="0" w:line="265" w:lineRule="exact"/>
        <w:rPr>
          <w:sz w:val="20"/>
          <w:szCs w:val="20"/>
          <w:color w:val="auto"/>
        </w:rPr>
      </w:pPr>
      <w:r>
        <w:rPr>
          <w:rFonts w:ascii="Arial" w:cs="Arial" w:eastAsia="Arial" w:hAnsi="Arial"/>
          <w:sz w:val="21"/>
          <w:szCs w:val="21"/>
          <w:color w:val="auto"/>
        </w:rPr>
        <w:t xml:space="preserve">If this Form is filed to register additional securities for an offering pursuant to Rule 462(b)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21"/>
          <w:szCs w:val="21"/>
          <w:color w:val="auto"/>
        </w:rPr>
        <w:t>☒</w:t>
      </w:r>
      <w:r>
        <w:rPr>
          <w:rFonts w:ascii="Arial" w:cs="Arial" w:eastAsia="Arial" w:hAnsi="Arial"/>
          <w:sz w:val="21"/>
          <w:szCs w:val="21"/>
          <w:color w:val="auto"/>
        </w:rPr>
        <w:t xml:space="preserve"> 333-254891</w:t>
      </w:r>
    </w:p>
    <w:p>
      <w:pPr>
        <w:spacing w:after="0" w:line="186" w:lineRule="exact"/>
        <w:rPr>
          <w:sz w:val="24"/>
          <w:szCs w:val="24"/>
          <w:color w:val="auto"/>
        </w:rPr>
      </w:pPr>
    </w:p>
    <w:p>
      <w:pPr>
        <w:jc w:val="both"/>
        <w:spacing w:after="0" w:line="278" w:lineRule="auto"/>
        <w:rPr>
          <w:sz w:val="20"/>
          <w:szCs w:val="20"/>
          <w:color w:val="auto"/>
        </w:rPr>
      </w:pPr>
      <w:r>
        <w:rPr>
          <w:rFonts w:ascii="Arial" w:cs="Arial" w:eastAsia="Arial" w:hAnsi="Arial"/>
          <w:sz w:val="19"/>
          <w:szCs w:val="19"/>
          <w:color w:val="auto"/>
        </w:rPr>
        <w:t>If this Form is a post-effective amendment filed pursuant to Rule 462(d) under the U.S. Securities Act, check the following box and list the U.S. Securities Act registration statement number of the earlier effective registration statement for the same offering.</w:t>
      </w:r>
    </w:p>
    <w:p>
      <w:pPr>
        <w:spacing w:after="0" w:line="211" w:lineRule="exact"/>
        <w:rPr>
          <w:sz w:val="20"/>
          <w:szCs w:val="20"/>
          <w:color w:val="auto"/>
        </w:rPr>
      </w:pPr>
      <w:r>
        <w:rPr>
          <w:rFonts w:ascii="MS PGothic" w:cs="MS PGothic" w:eastAsia="MS PGothic" w:hAnsi="MS PGothic"/>
          <w:sz w:val="21"/>
          <w:szCs w:val="21"/>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21"/>
          <w:szCs w:val="21"/>
          <w:color w:val="auto"/>
        </w:rPr>
        <w:t>If applicable, place an X in the box to designate the appropriate rule provision relied upon in conducting this transaction:</w:t>
      </w:r>
    </w:p>
    <w:p>
      <w:pPr>
        <w:spacing w:after="0" w:line="215" w:lineRule="exact"/>
        <w:rPr>
          <w:sz w:val="24"/>
          <w:szCs w:val="24"/>
          <w:color w:val="auto"/>
        </w:rPr>
      </w:pPr>
    </w:p>
    <w:p>
      <w:pPr>
        <w:spacing w:after="0" w:line="242" w:lineRule="exact"/>
        <w:rPr>
          <w:sz w:val="20"/>
          <w:szCs w:val="20"/>
          <w:color w:val="auto"/>
        </w:rPr>
      </w:pPr>
      <w:r>
        <w:rPr>
          <w:rFonts w:ascii="Arial" w:cs="Arial" w:eastAsia="Arial" w:hAnsi="Arial"/>
          <w:sz w:val="21"/>
          <w:szCs w:val="21"/>
          <w:color w:val="auto"/>
        </w:rPr>
        <w:t xml:space="preserve">U.S. Exchange Act Rule 13e-4(i) (Cross-Border Issuer Tender Offer) </w:t>
      </w:r>
      <w:r>
        <w:rPr>
          <w:rFonts w:ascii="MS PGothic" w:cs="MS PGothic" w:eastAsia="MS PGothic" w:hAnsi="MS PGothic"/>
          <w:sz w:val="21"/>
          <w:szCs w:val="21"/>
          <w:color w:val="auto"/>
        </w:rPr>
        <w:t>☐</w:t>
      </w:r>
    </w:p>
    <w:p>
      <w:pPr>
        <w:spacing w:after="0" w:line="255" w:lineRule="exact"/>
        <w:rPr>
          <w:sz w:val="24"/>
          <w:szCs w:val="24"/>
          <w:color w:val="auto"/>
        </w:rPr>
      </w:pPr>
    </w:p>
    <w:p>
      <w:pPr>
        <w:spacing w:after="0" w:line="242" w:lineRule="exact"/>
        <w:rPr>
          <w:sz w:val="20"/>
          <w:szCs w:val="20"/>
          <w:color w:val="auto"/>
        </w:rPr>
      </w:pPr>
      <w:r>
        <w:rPr>
          <w:rFonts w:ascii="Arial" w:cs="Arial" w:eastAsia="Arial" w:hAnsi="Arial"/>
          <w:sz w:val="21"/>
          <w:szCs w:val="21"/>
          <w:color w:val="auto"/>
        </w:rPr>
        <w:t xml:space="preserve">U.S. Exchange Act Rule 14d-1(d) (Cross-Border Third-Party Tender Offer) </w:t>
      </w:r>
      <w:r>
        <w:rPr>
          <w:rFonts w:ascii="MS PGothic" w:cs="MS PGothic" w:eastAsia="MS PGothic" w:hAnsi="MS PGothic"/>
          <w:sz w:val="21"/>
          <w:szCs w:val="21"/>
          <w:color w:val="auto"/>
        </w:rPr>
        <w:t>☐</w:t>
      </w:r>
    </w:p>
    <w:p>
      <w:pPr>
        <w:spacing w:after="0" w:line="282" w:lineRule="exact"/>
        <w:rPr>
          <w:sz w:val="24"/>
          <w:szCs w:val="24"/>
          <w:color w:val="auto"/>
        </w:rPr>
      </w:pPr>
    </w:p>
    <w:p>
      <w:pPr>
        <w:ind w:right="440"/>
        <w:spacing w:after="0" w:line="271"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w:t>
      </w:r>
    </w:p>
    <w:p>
      <w:pPr>
        <w:spacing w:after="0" w:line="193"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Emerging growth company</w:t>
      </w:r>
    </w:p>
    <w:p>
      <w:pPr>
        <w:spacing w:after="0" w:line="242" w:lineRule="exact"/>
        <w:rPr>
          <w:sz w:val="24"/>
          <w:szCs w:val="24"/>
          <w:color w:val="auto"/>
        </w:rPr>
      </w:pPr>
    </w:p>
    <w:p>
      <w:pPr>
        <w:jc w:val="both"/>
        <w:spacing w:after="0" w:line="265" w:lineRule="exact"/>
        <w:rPr>
          <w:sz w:val="20"/>
          <w:szCs w:val="20"/>
          <w:color w:val="auto"/>
        </w:rPr>
      </w:pPr>
      <w:r>
        <w:rPr>
          <w:rFonts w:ascii="Arial" w:cs="Arial" w:eastAsia="Arial" w:hAnsi="Arial"/>
          <w:sz w:val="21"/>
          <w:szCs w:val="2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ectPr>
          <w:pgSz w:w="11900" w:h="16838" w:orient="portrait"/>
          <w:cols w:equalWidth="0" w:num="1">
            <w:col w:w="11240"/>
          </w:cols>
          <w:pgMar w:left="320" w:top="219" w:right="339" w:bottom="0" w:gutter="0" w:footer="0" w:header="0"/>
        </w:sectPr>
      </w:pPr>
    </w:p>
    <w:bookmarkStart w:id="1" w:name="page2"/>
    <w:bookmarkEnd w:id="1"/>
    <w:p>
      <w:pPr>
        <w:ind w:right="20"/>
        <w:spacing w:after="0" w:line="272" w:lineRule="auto"/>
        <w:rPr>
          <w:sz w:val="20"/>
          <w:szCs w:val="20"/>
          <w:color w:val="auto"/>
        </w:rPr>
      </w:pPr>
      <w:r>
        <w:rPr>
          <w:rFonts w:ascii="Arial" w:cs="Arial" w:eastAsia="Arial" w:hAnsi="Arial"/>
          <w:sz w:val="21"/>
          <w:szCs w:val="21"/>
          <w:color w:val="auto"/>
        </w:rPr>
        <w:t>†The term ‘‘new or revised financial accounting standard’’ refers to any update issued by the Financial Accounting Standards Board to its Accounting Standards Codification after April 5, 2012.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CALCULATION OF REGISTRATION FEE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b w:val="1"/>
                <w:bCs w:val="1"/>
                <w:color w:val="auto"/>
                <w:w w:val="91"/>
              </w:rPr>
              <w:t>Proposed Maximum</w:t>
            </w:r>
          </w:p>
        </w:tc>
        <w:tc>
          <w:tcPr>
            <w:tcW w:w="1960" w:type="dxa"/>
            <w:vAlign w:val="bottom"/>
            <w:tcBorders>
              <w:top w:val="single" w:sz="8" w:color="auto"/>
            </w:tcBorders>
          </w:tcPr>
          <w:p>
            <w:pPr>
              <w:jc w:val="center"/>
              <w:ind w:right="38"/>
              <w:spacing w:after="0"/>
              <w:rPr>
                <w:sz w:val="20"/>
                <w:szCs w:val="20"/>
                <w:color w:val="auto"/>
              </w:rPr>
            </w:pPr>
            <w:r>
              <w:rPr>
                <w:rFonts w:ascii="Arial" w:cs="Arial" w:eastAsia="Arial" w:hAnsi="Arial"/>
                <w:sz w:val="18"/>
                <w:szCs w:val="18"/>
                <w:b w:val="1"/>
                <w:bCs w:val="1"/>
                <w:color w:val="auto"/>
                <w:w w:val="91"/>
              </w:rPr>
              <w:t>Proposed Maximum</w:t>
            </w:r>
          </w:p>
        </w:tc>
        <w:tc>
          <w:tcPr>
            <w:tcW w:w="1560" w:type="dxa"/>
            <w:vAlign w:val="bottom"/>
            <w:tcBorders>
              <w:top w:val="single" w:sz="8" w:color="auto"/>
            </w:tcBorders>
          </w:tcPr>
          <w:p>
            <w:pPr>
              <w:jc w:val="center"/>
              <w:ind w:right="18"/>
              <w:spacing w:after="0"/>
              <w:rPr>
                <w:sz w:val="20"/>
                <w:szCs w:val="20"/>
                <w:color w:val="auto"/>
              </w:rPr>
            </w:pPr>
            <w:r>
              <w:rPr>
                <w:rFonts w:ascii="Arial" w:cs="Arial" w:eastAsia="Arial" w:hAnsi="Arial"/>
                <w:sz w:val="18"/>
                <w:szCs w:val="18"/>
                <w:b w:val="1"/>
                <w:bCs w:val="1"/>
                <w:color w:val="auto"/>
                <w:w w:val="91"/>
              </w:rPr>
              <w:t>Amount of</w:t>
            </w:r>
          </w:p>
        </w:tc>
      </w:tr>
      <w:tr>
        <w:trPr>
          <w:trHeight w:val="215"/>
        </w:trPr>
        <w:tc>
          <w:tcPr>
            <w:tcW w:w="4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960" w:type="dxa"/>
            <w:vAlign w:val="bottom"/>
          </w:tcPr>
          <w:p>
            <w:pPr>
              <w:jc w:val="center"/>
              <w:ind w:left="91"/>
              <w:spacing w:after="0"/>
              <w:rPr>
                <w:sz w:val="20"/>
                <w:szCs w:val="20"/>
                <w:color w:val="auto"/>
              </w:rPr>
            </w:pPr>
            <w:r>
              <w:rPr>
                <w:rFonts w:ascii="Arial" w:cs="Arial" w:eastAsia="Arial" w:hAnsi="Arial"/>
                <w:sz w:val="18"/>
                <w:szCs w:val="18"/>
                <w:b w:val="1"/>
                <w:bCs w:val="1"/>
                <w:color w:val="auto"/>
                <w:w w:val="92"/>
              </w:rPr>
              <w:t>Offering Price Per</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40"/>
        </w:trPr>
        <w:tc>
          <w:tcPr>
            <w:tcW w:w="416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7"/>
              </w:rPr>
              <w:t>Title of Each Class of Securities to Be Registered</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96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b w:val="1"/>
                <w:bCs w:val="1"/>
                <w:color w:val="auto"/>
                <w:w w:val="87"/>
              </w:rPr>
              <w:t>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222"/>
        </w:trPr>
        <w:tc>
          <w:tcPr>
            <w:tcW w:w="416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7"/>
              </w:rPr>
              <w:t>Ordinary shares, par value €0.06 per share</w:t>
            </w:r>
          </w:p>
        </w:tc>
        <w:tc>
          <w:tcPr>
            <w:tcW w:w="16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5"/>
                <w:szCs w:val="15"/>
                <w:color w:val="auto"/>
              </w:rPr>
              <w:t>1,168,234</w:t>
            </w:r>
            <w:r>
              <w:rPr>
                <w:rFonts w:ascii="Arial" w:cs="Arial" w:eastAsia="Arial" w:hAnsi="Arial"/>
                <w:sz w:val="24"/>
                <w:szCs w:val="24"/>
                <w:color w:val="auto"/>
                <w:vertAlign w:val="superscript"/>
              </w:rPr>
              <w:t>(1)</w:t>
            </w:r>
          </w:p>
        </w:tc>
        <w:tc>
          <w:tcPr>
            <w:tcW w:w="19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w w:val="99"/>
              </w:rPr>
              <w:t>N/A</w:t>
            </w:r>
          </w:p>
        </w:tc>
        <w:tc>
          <w:tcPr>
            <w:tcW w:w="1960" w:type="dxa"/>
            <w:vAlign w:val="bottom"/>
            <w:tcBorders>
              <w:bottom w:val="single" w:sz="8" w:color="auto"/>
            </w:tcBorders>
          </w:tcPr>
          <w:p>
            <w:pPr>
              <w:jc w:val="center"/>
              <w:ind w:right="38"/>
              <w:spacing w:after="0" w:line="214" w:lineRule="exact"/>
              <w:rPr>
                <w:sz w:val="20"/>
                <w:szCs w:val="20"/>
                <w:color w:val="auto"/>
              </w:rPr>
            </w:pPr>
            <w:r>
              <w:rPr>
                <w:rFonts w:ascii="Arial" w:cs="Arial" w:eastAsia="Arial" w:hAnsi="Arial"/>
                <w:sz w:val="24"/>
                <w:szCs w:val="24"/>
                <w:color w:val="auto"/>
                <w:vertAlign w:val="subscript"/>
              </w:rPr>
              <w:t>N/A</w:t>
            </w:r>
            <w:r>
              <w:rPr>
                <w:rFonts w:ascii="Arial" w:cs="Arial" w:eastAsia="Arial" w:hAnsi="Arial"/>
                <w:sz w:val="12"/>
                <w:szCs w:val="12"/>
                <w:color w:val="auto"/>
              </w:rPr>
              <w:t>(2)</w:t>
            </w:r>
          </w:p>
        </w:tc>
        <w:tc>
          <w:tcPr>
            <w:tcW w:w="1560" w:type="dxa"/>
            <w:vAlign w:val="bottom"/>
            <w:tcBorders>
              <w:bottom w:val="single" w:sz="8" w:color="auto"/>
            </w:tcBorders>
          </w:tcPr>
          <w:p>
            <w:pPr>
              <w:jc w:val="center"/>
              <w:ind w:right="38"/>
              <w:spacing w:after="0" w:line="214" w:lineRule="exact"/>
              <w:rPr>
                <w:sz w:val="20"/>
                <w:szCs w:val="20"/>
                <w:color w:val="auto"/>
              </w:rPr>
            </w:pPr>
            <w:r>
              <w:rPr>
                <w:rFonts w:ascii="Arial" w:cs="Arial" w:eastAsia="Arial" w:hAnsi="Arial"/>
                <w:sz w:val="24"/>
                <w:szCs w:val="24"/>
                <w:color w:val="auto"/>
                <w:vertAlign w:val="subscript"/>
              </w:rPr>
              <w:t>N/A</w:t>
            </w:r>
            <w:r>
              <w:rPr>
                <w:rFonts w:ascii="Arial" w:cs="Arial" w:eastAsia="Arial" w:hAnsi="Arial"/>
                <w:sz w:val="12"/>
                <w:szCs w:val="12"/>
                <w:color w:val="auto"/>
              </w:rPr>
              <w:t xml:space="preserve"> (3)</w:t>
            </w:r>
          </w:p>
        </w:tc>
      </w:tr>
    </w:tbl>
    <w:p>
      <w:pPr>
        <w:spacing w:after="0" w:line="254" w:lineRule="exact"/>
        <w:rPr>
          <w:sz w:val="20"/>
          <w:szCs w:val="20"/>
          <w:color w:val="auto"/>
        </w:rPr>
      </w:pPr>
    </w:p>
    <w:p>
      <w:pPr>
        <w:jc w:val="both"/>
        <w:ind w:left="360" w:hanging="353"/>
        <w:spacing w:after="0" w:line="266" w:lineRule="auto"/>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the estimated maximum number of additional ordinary shares, par value €0.06 each (“ICON ordinary shares”), of ICON plc (the “Registrant”) issuable upon the completion of the merger transactions described herein. The Registrant has previously registered 28,831,766 ICON ordinary shares pursuant to the registration statement on Form F-4 (Registration No. 333-254891) as amended through Amendment No. 1 to Form F-4 (Registration No. 333-254891), filed on April 26, 2021 (the “Prior Registration Statement”), and declared effective on April 27, 2021. The Registrant now estimates that up to 30,000,000 ICON ordinary shares may be issued upon completion of the merger described in the Prior Registration Statement and that 232,620 fewer shares of PRA common stock will be exchanged in the merger.</w:t>
      </w:r>
    </w:p>
    <w:p>
      <w:pPr>
        <w:spacing w:after="0" w:line="3" w:lineRule="exact"/>
        <w:rPr>
          <w:rFonts w:ascii="Arial" w:cs="Arial" w:eastAsia="Arial" w:hAnsi="Arial"/>
          <w:sz w:val="17"/>
          <w:szCs w:val="17"/>
          <w:color w:val="auto"/>
        </w:rPr>
      </w:pPr>
    </w:p>
    <w:p>
      <w:pPr>
        <w:jc w:val="both"/>
        <w:ind w:left="360" w:hanging="353"/>
        <w:spacing w:after="0" w:line="24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Rules 457(c), 457(f)(1) and 457(f)(3) promulgated under the Securities Act and solely for the purpose of calculating the registration fee, the proposed maximum aggregate offering price of the additional ICON ordinary shares covered hereby is nil because the calculation of the registration fee in this registration statement is based on fewer shares of PRA common stock than the registration fee calculation in the Prior Registration Statement.</w:t>
      </w:r>
    </w:p>
    <w:p>
      <w:pPr>
        <w:spacing w:after="0" w:line="3" w:lineRule="exact"/>
        <w:rPr>
          <w:rFonts w:ascii="Arial" w:cs="Arial" w:eastAsia="Arial" w:hAnsi="Arial"/>
          <w:sz w:val="18"/>
          <w:szCs w:val="18"/>
          <w:color w:val="auto"/>
        </w:rPr>
      </w:pPr>
    </w:p>
    <w:p>
      <w:pPr>
        <w:jc w:val="both"/>
        <w:ind w:left="360" w:hanging="353"/>
        <w:spacing w:after="0" w:line="253"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fee for the securities registered hereby has been calculated pursuant to Section 6(b) of the Securities Act, by multiplying the proposed maximum aggregate offering price for the securities by 0.0001091. A registration fee of $518,500.31 was paid in connection with the Prior Registration Statement and no additional registration fee is due herewith.</w:t>
      </w:r>
    </w:p>
    <w:p>
      <w:pPr>
        <w:spacing w:after="0" w:line="209" w:lineRule="exact"/>
        <w:rPr>
          <w:sz w:val="20"/>
          <w:szCs w:val="20"/>
          <w:color w:val="auto"/>
        </w:rPr>
      </w:pPr>
    </w:p>
    <w:p>
      <w:pPr>
        <w:ind w:right="280"/>
        <w:spacing w:after="0" w:line="271" w:lineRule="auto"/>
        <w:rPr>
          <w:sz w:val="20"/>
          <w:szCs w:val="20"/>
          <w:color w:val="auto"/>
        </w:rPr>
      </w:pPr>
      <w:r>
        <w:rPr>
          <w:rFonts w:ascii="Arial" w:cs="Arial" w:eastAsia="Arial" w:hAnsi="Arial"/>
          <w:sz w:val="21"/>
          <w:szCs w:val="21"/>
          <w:color w:val="auto"/>
        </w:rPr>
        <w:t>This registration statement will become effective automatically upon filing with the Commission pursuant to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289560</wp:posOffset>
            </wp:positionV>
            <wp:extent cx="7132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434340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1"/>
          <w:szCs w:val="21"/>
          <w:b w:val="1"/>
          <w:bCs w:val="1"/>
          <w:color w:val="auto"/>
        </w:rPr>
        <w:t>EXPLANATORY NOTE</w:t>
      </w:r>
    </w:p>
    <w:p>
      <w:pPr>
        <w:spacing w:after="0" w:line="248" w:lineRule="exact"/>
        <w:rPr>
          <w:sz w:val="20"/>
          <w:szCs w:val="20"/>
          <w:color w:val="auto"/>
        </w:rPr>
      </w:pPr>
    </w:p>
    <w:p>
      <w:pPr>
        <w:ind w:firstLine="358"/>
        <w:spacing w:after="0" w:line="244" w:lineRule="auto"/>
        <w:rPr>
          <w:sz w:val="20"/>
          <w:szCs w:val="20"/>
          <w:color w:val="auto"/>
        </w:rPr>
      </w:pPr>
      <w:r>
        <w:rPr>
          <w:rFonts w:ascii="Arial" w:cs="Arial" w:eastAsia="Arial" w:hAnsi="Arial"/>
          <w:sz w:val="21"/>
          <w:szCs w:val="21"/>
          <w:color w:val="auto"/>
        </w:rPr>
        <w:t>Pursuant to its Registration Statement on Form F-4 (Registration No. 333-254891), filed on March 31, 2021, as amended through Amendment No. 1 to Form F-4 (Registration No. 333-254891), filed on April 26, 2021 (the “Prior Registration Statement”), and declared effective as of April 27, 2021, ICON plc, a company incorporated under the laws of Ireland (the “Registrant”), registered an aggregate of 28,831,766 of its ordinary shares, par value €0.06 each (“ICON ordinary shares”), and paid an aggregate registration fee of $518,500.31. This Registration Statement is being filed with the Securities and Exchange Commission pursuant to General Instruction H of Form F-4 and Rule 462(b) of the Securities Act of 1933, as amended, for the sole purpose of registering an additional 1,168,234 ICON ordinary shares estimated to be issuable upon the completion of the merger described in the Prior Registration Statement.</w:t>
      </w:r>
    </w:p>
    <w:p>
      <w:pPr>
        <w:spacing w:after="0" w:line="204"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STATEMENT OF INCORPORATION BY REFERENCE</w:t>
      </w:r>
    </w:p>
    <w:p>
      <w:pPr>
        <w:spacing w:after="0" w:line="248" w:lineRule="exact"/>
        <w:rPr>
          <w:sz w:val="20"/>
          <w:szCs w:val="20"/>
          <w:color w:val="auto"/>
        </w:rPr>
      </w:pPr>
    </w:p>
    <w:p>
      <w:pPr>
        <w:ind w:right="200" w:firstLine="358"/>
        <w:spacing w:after="0" w:line="250" w:lineRule="auto"/>
        <w:rPr>
          <w:sz w:val="20"/>
          <w:szCs w:val="20"/>
          <w:color w:val="auto"/>
        </w:rPr>
      </w:pPr>
      <w:r>
        <w:rPr>
          <w:rFonts w:ascii="Arial" w:cs="Arial" w:eastAsia="Arial" w:hAnsi="Arial"/>
          <w:sz w:val="21"/>
          <w:szCs w:val="21"/>
          <w:color w:val="auto"/>
        </w:rPr>
        <w:t>This registration statement incorporates by reference the contents of the Prior Registration Statement including all amendments, supplements and exhibits thereto and all information incorporated or deemed to be incorporated by reference therein. Additional opinions and consents required to be filed with this Registration Statement are listed on the Exhibit Index included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40"/>
          </w:cols>
          <w:pgMar w:left="320" w:top="111" w:right="6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0"/>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ind w:left="3440"/>
              <w:spacing w:after="0"/>
              <w:rPr>
                <w:sz w:val="20"/>
                <w:szCs w:val="20"/>
                <w:color w:val="auto"/>
              </w:rPr>
            </w:pPr>
            <w:r>
              <w:rPr>
                <w:rFonts w:ascii="Arial" w:cs="Arial" w:eastAsia="Arial" w:hAnsi="Arial"/>
                <w:sz w:val="21"/>
                <w:szCs w:val="21"/>
                <w:b w:val="1"/>
                <w:bCs w:val="1"/>
                <w:color w:val="auto"/>
              </w:rPr>
              <w:t>EXHIBIT INDEX</w:t>
            </w:r>
          </w:p>
        </w:tc>
      </w:tr>
      <w:tr>
        <w:trPr>
          <w:trHeight w:val="428"/>
        </w:trPr>
        <w:tc>
          <w:tcPr>
            <w:tcW w:w="13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9880" w:type="dxa"/>
            <w:vAlign w:val="bottom"/>
          </w:tcPr>
          <w:p>
            <w:pPr>
              <w:spacing w:after="0"/>
              <w:rPr>
                <w:sz w:val="24"/>
                <w:szCs w:val="24"/>
                <w:color w:val="auto"/>
              </w:rPr>
            </w:pPr>
          </w:p>
        </w:tc>
      </w:tr>
      <w:tr>
        <w:trPr>
          <w:trHeight w:val="240"/>
        </w:trPr>
        <w:tc>
          <w:tcPr>
            <w:tcW w:w="13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Number</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74"/>
        </w:trPr>
        <w:tc>
          <w:tcPr>
            <w:tcW w:w="680" w:type="dxa"/>
            <w:vAlign w:val="bottom"/>
            <w:tcBorders>
              <w:top w:val="single" w:sz="8" w:color="auto"/>
            </w:tcBorders>
            <w:gridSpan w:val="3"/>
          </w:tcPr>
          <w:p>
            <w:pPr>
              <w:jc w:val="center"/>
              <w:ind w:left="371"/>
              <w:spacing w:after="0" w:line="175"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w w:val="92"/>
              </w:rPr>
              <w:t>Opinion of A&amp;L Goodbody LLP, dated June 30, 2021, as to the validity of the ordinary shares of ICON plc being registered pursuant to</w:t>
            </w:r>
          </w:p>
        </w:tc>
      </w:tr>
      <w:tr>
        <w:trPr>
          <w:trHeight w:val="221"/>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this registration statement</w:t>
            </w:r>
          </w:p>
        </w:tc>
      </w:tr>
      <w:tr>
        <w:trPr>
          <w:trHeight w:val="189"/>
        </w:trPr>
        <w:tc>
          <w:tcPr>
            <w:tcW w:w="720" w:type="dxa"/>
            <w:vAlign w:val="bottom"/>
            <w:gridSpan w:val="4"/>
          </w:tcPr>
          <w:p>
            <w:pPr>
              <w:jc w:val="center"/>
              <w:ind w:left="331"/>
              <w:spacing w:after="0" w:line="189"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89" w:lineRule="exact"/>
              <w:rPr>
                <w:sz w:val="20"/>
                <w:szCs w:val="20"/>
                <w:color w:val="auto"/>
              </w:rPr>
            </w:pPr>
            <w:r>
              <w:rPr>
                <w:rFonts w:ascii="Arial" w:cs="Arial" w:eastAsia="Arial" w:hAnsi="Arial"/>
                <w:sz w:val="18"/>
                <w:szCs w:val="18"/>
                <w:color w:val="auto"/>
              </w:rPr>
              <w:t>Consent of KPMG, Independent Registered Public Accounting Firm, relating to the financial statements of ICON plc</w:t>
            </w:r>
          </w:p>
        </w:tc>
      </w:tr>
      <w:tr>
        <w:trPr>
          <w:trHeight w:val="20"/>
        </w:trPr>
        <w:tc>
          <w:tcPr>
            <w:tcW w:w="4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95"/>
        </w:trPr>
        <w:tc>
          <w:tcPr>
            <w:tcW w:w="720" w:type="dxa"/>
            <w:vAlign w:val="bottom"/>
            <w:gridSpan w:val="4"/>
          </w:tcPr>
          <w:p>
            <w:pPr>
              <w:jc w:val="center"/>
              <w:ind w:left="331"/>
              <w:spacing w:after="0" w:line="195"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5" w:lineRule="exact"/>
              <w:rPr>
                <w:sz w:val="20"/>
                <w:szCs w:val="20"/>
                <w:color w:val="auto"/>
              </w:rPr>
            </w:pPr>
            <w:r>
              <w:rPr>
                <w:rFonts w:ascii="Arial" w:cs="Arial" w:eastAsia="Arial" w:hAnsi="Arial"/>
                <w:sz w:val="18"/>
                <w:szCs w:val="18"/>
                <w:color w:val="auto"/>
              </w:rPr>
              <w:t>Consent of Deloitte &amp; Touche LLP relating to the financial statements of PRA Health Sciences, Inc.</w:t>
            </w:r>
          </w:p>
        </w:tc>
      </w:tr>
      <w:tr>
        <w:trPr>
          <w:trHeight w:val="20"/>
        </w:trPr>
        <w:tc>
          <w:tcPr>
            <w:tcW w:w="4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95"/>
        </w:trPr>
        <w:tc>
          <w:tcPr>
            <w:tcW w:w="720" w:type="dxa"/>
            <w:vAlign w:val="bottom"/>
            <w:gridSpan w:val="4"/>
          </w:tcPr>
          <w:p>
            <w:pPr>
              <w:jc w:val="center"/>
              <w:ind w:left="331"/>
              <w:spacing w:after="0" w:line="195"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5" w:lineRule="exact"/>
              <w:rPr>
                <w:sz w:val="20"/>
                <w:szCs w:val="20"/>
                <w:color w:val="auto"/>
              </w:rPr>
            </w:pPr>
            <w:r>
              <w:rPr>
                <w:rFonts w:ascii="Arial" w:cs="Arial" w:eastAsia="Arial" w:hAnsi="Arial"/>
                <w:sz w:val="18"/>
                <w:szCs w:val="18"/>
                <w:color w:val="auto"/>
              </w:rPr>
              <w:t>Consent of A&amp;L Goodbody LLP (included in Exhibit 5.1)</w:t>
            </w:r>
          </w:p>
        </w:tc>
      </w:tr>
      <w:tr>
        <w:trPr>
          <w:trHeight w:val="20"/>
        </w:trPr>
        <w:tc>
          <w:tcPr>
            <w:tcW w:w="4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95"/>
        </w:trPr>
        <w:tc>
          <w:tcPr>
            <w:tcW w:w="720" w:type="dxa"/>
            <w:vAlign w:val="bottom"/>
            <w:gridSpan w:val="4"/>
          </w:tcPr>
          <w:p>
            <w:pPr>
              <w:jc w:val="center"/>
              <w:ind w:left="331"/>
              <w:spacing w:after="0" w:line="195" w:lineRule="exact"/>
              <w:rPr>
                <w:rFonts w:ascii="Arial" w:cs="Arial" w:eastAsia="Arial" w:hAnsi="Arial"/>
                <w:sz w:val="18"/>
                <w:szCs w:val="18"/>
                <w:color w:val="0000EE"/>
                <w:w w:val="85"/>
              </w:rPr>
            </w:pPr>
            <w:hyperlink r:id="rId1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5" w:lineRule="exact"/>
              <w:rPr>
                <w:sz w:val="20"/>
                <w:szCs w:val="20"/>
                <w:color w:val="auto"/>
              </w:rPr>
            </w:pPr>
            <w:r>
              <w:rPr>
                <w:rFonts w:ascii="Arial" w:cs="Arial" w:eastAsia="Arial" w:hAnsi="Arial"/>
                <w:sz w:val="18"/>
                <w:szCs w:val="18"/>
                <w:color w:val="auto"/>
                <w:w w:val="96"/>
              </w:rPr>
              <w:t>Power of Attorney of Officers and Directors (included on the signature page of the registration statement filed on March 31, 2021)</w:t>
            </w:r>
          </w:p>
        </w:tc>
      </w:tr>
      <w:tr>
        <w:trPr>
          <w:trHeight w:val="20"/>
        </w:trPr>
        <w:tc>
          <w:tcPr>
            <w:tcW w:w="4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95"/>
        </w:trPr>
        <w:tc>
          <w:tcPr>
            <w:tcW w:w="720" w:type="dxa"/>
            <w:vAlign w:val="bottom"/>
            <w:gridSpan w:val="4"/>
          </w:tcPr>
          <w:p>
            <w:pPr>
              <w:jc w:val="center"/>
              <w:ind w:left="331"/>
              <w:spacing w:after="0" w:line="195"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5" w:lineRule="exact"/>
              <w:rPr>
                <w:sz w:val="20"/>
                <w:szCs w:val="20"/>
                <w:color w:val="auto"/>
              </w:rPr>
            </w:pPr>
            <w:r>
              <w:rPr>
                <w:rFonts w:ascii="Arial" w:cs="Arial" w:eastAsia="Arial" w:hAnsi="Arial"/>
                <w:sz w:val="18"/>
                <w:szCs w:val="18"/>
                <w:color w:val="auto"/>
              </w:rPr>
              <w:t>Consent of Centerview Partners LLC</w:t>
            </w:r>
          </w:p>
        </w:tc>
      </w:tr>
      <w:tr>
        <w:trPr>
          <w:trHeight w:val="20"/>
        </w:trPr>
        <w:tc>
          <w:tcPr>
            <w:tcW w:w="4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95"/>
        </w:trPr>
        <w:tc>
          <w:tcPr>
            <w:tcW w:w="720" w:type="dxa"/>
            <w:vAlign w:val="bottom"/>
            <w:gridSpan w:val="4"/>
          </w:tcPr>
          <w:p>
            <w:pPr>
              <w:jc w:val="center"/>
              <w:ind w:left="331"/>
              <w:spacing w:after="0" w:line="195"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5" w:lineRule="exact"/>
              <w:rPr>
                <w:sz w:val="20"/>
                <w:szCs w:val="20"/>
                <w:color w:val="auto"/>
              </w:rPr>
            </w:pPr>
            <w:r>
              <w:rPr>
                <w:rFonts w:ascii="Arial" w:cs="Arial" w:eastAsia="Arial" w:hAnsi="Arial"/>
                <w:sz w:val="18"/>
                <w:szCs w:val="18"/>
                <w:color w:val="auto"/>
              </w:rPr>
              <w:t>Consent of BofA Securities, Inc.</w:t>
            </w:r>
          </w:p>
        </w:tc>
      </w:tr>
      <w:tr>
        <w:trPr>
          <w:trHeight w:val="20"/>
        </w:trPr>
        <w:tc>
          <w:tcPr>
            <w:tcW w:w="4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95"/>
        </w:trPr>
        <w:tc>
          <w:tcPr>
            <w:tcW w:w="720" w:type="dxa"/>
            <w:vAlign w:val="bottom"/>
            <w:gridSpan w:val="4"/>
          </w:tcPr>
          <w:p>
            <w:pPr>
              <w:jc w:val="center"/>
              <w:ind w:left="331"/>
              <w:spacing w:after="0" w:line="195"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5" w:lineRule="exact"/>
              <w:rPr>
                <w:sz w:val="20"/>
                <w:szCs w:val="20"/>
                <w:color w:val="auto"/>
              </w:rPr>
            </w:pPr>
            <w:r>
              <w:rPr>
                <w:rFonts w:ascii="Arial" w:cs="Arial" w:eastAsia="Arial" w:hAnsi="Arial"/>
                <w:sz w:val="18"/>
                <w:szCs w:val="18"/>
                <w:color w:val="auto"/>
              </w:rPr>
              <w:t>Consent of UBS Securities LLC</w:t>
            </w:r>
          </w:p>
        </w:tc>
      </w:tr>
      <w:tr>
        <w:trPr>
          <w:trHeight w:val="685"/>
        </w:trPr>
        <w:tc>
          <w:tcPr>
            <w:tcW w:w="4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b w:val="1"/>
          <w:bCs w:val="1"/>
          <w:color w:val="auto"/>
        </w:rPr>
        <w:t>SIGNATURES</w:t>
      </w:r>
    </w:p>
    <w:p>
      <w:pPr>
        <w:spacing w:after="0" w:line="248" w:lineRule="exact"/>
        <w:rPr>
          <w:sz w:val="20"/>
          <w:szCs w:val="20"/>
          <w:color w:val="auto"/>
        </w:rPr>
      </w:pPr>
    </w:p>
    <w:p>
      <w:pPr>
        <w:ind w:firstLine="358"/>
        <w:spacing w:after="0" w:line="271" w:lineRule="auto"/>
        <w:rPr>
          <w:sz w:val="20"/>
          <w:szCs w:val="20"/>
          <w:color w:val="auto"/>
        </w:rPr>
      </w:pPr>
      <w:r>
        <w:rPr>
          <w:rFonts w:ascii="Arial" w:cs="Arial" w:eastAsia="Arial" w:hAnsi="Arial"/>
          <w:sz w:val="21"/>
          <w:szCs w:val="21"/>
          <w:color w:val="auto"/>
        </w:rPr>
        <w:t>Pursuant to the requirements of the Securities Act of 1933, the registrant has duly caused this registration statement to be signed on its behalf by the undersigned, thereunto duly authorized, in Dublin, Ireland, on June 30, 2021.</w:t>
      </w:r>
    </w:p>
    <w:p>
      <w:pPr>
        <w:spacing w:after="0" w:line="18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158750</wp:posOffset>
            </wp:positionV>
            <wp:extent cx="3570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570605" cy="17145"/>
                    </a:xfrm>
                    <a:prstGeom prst="rect">
                      <a:avLst/>
                    </a:prstGeom>
                    <a:noFill/>
                  </pic:spPr>
                </pic:pic>
              </a:graphicData>
            </a:graphic>
          </wp:anchor>
        </w:drawing>
      </w:r>
    </w:p>
    <w:p>
      <w:pPr>
        <w:spacing w:after="0" w:line="2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Brendan Brennan</w:t>
      </w:r>
    </w:p>
    <w:p>
      <w:pPr>
        <w:spacing w:after="0" w:line="22"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69" w:lineRule="exact"/>
        <w:rPr>
          <w:sz w:val="20"/>
          <w:szCs w:val="20"/>
          <w:color w:val="auto"/>
        </w:rPr>
      </w:pPr>
    </w:p>
    <w:p>
      <w:pPr>
        <w:ind w:firstLine="358"/>
        <w:spacing w:after="0" w:line="271" w:lineRule="auto"/>
        <w:rPr>
          <w:sz w:val="20"/>
          <w:szCs w:val="20"/>
          <w:color w:val="auto"/>
        </w:rPr>
      </w:pPr>
      <w:r>
        <w:rPr>
          <w:rFonts w:ascii="Arial" w:cs="Arial" w:eastAsia="Arial" w:hAnsi="Arial"/>
          <w:sz w:val="21"/>
          <w:szCs w:val="21"/>
          <w:color w:val="auto"/>
        </w:rPr>
        <w:t>Pursuant to the requirements of the Securities Act of 1933, this Registration Statement has been signed below by the following persons in the capacities and on the date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Chairman of the Board and 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92"/>
              </w:rPr>
              <w:t>Ciaran Murray</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90"/>
              </w:rPr>
              <w:t>Dr. Steve Cutler</w:t>
            </w:r>
          </w:p>
        </w:tc>
        <w:tc>
          <w:tcPr>
            <w:tcW w:w="220" w:type="dxa"/>
            <w:vAlign w:val="bottom"/>
          </w:tcPr>
          <w:p>
            <w:pPr>
              <w:spacing w:after="0"/>
              <w:rPr>
                <w:sz w:val="19"/>
                <w:szCs w:val="19"/>
                <w:color w:val="auto"/>
              </w:rPr>
            </w:pPr>
          </w:p>
        </w:tc>
        <w:tc>
          <w:tcPr>
            <w:tcW w:w="40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3"/>
              </w:rPr>
              <w:t>(Principal Executive Officer)</w:t>
            </w: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Brendan Brennan</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89"/>
              </w:rPr>
              <w:t>Brendan Brennan</w:t>
            </w:r>
          </w:p>
        </w:tc>
        <w:tc>
          <w:tcPr>
            <w:tcW w:w="220" w:type="dxa"/>
            <w:vAlign w:val="bottom"/>
          </w:tcPr>
          <w:p>
            <w:pPr>
              <w:spacing w:after="0"/>
              <w:rPr>
                <w:sz w:val="19"/>
                <w:szCs w:val="19"/>
                <w:color w:val="auto"/>
              </w:rPr>
            </w:pPr>
          </w:p>
        </w:tc>
        <w:tc>
          <w:tcPr>
            <w:tcW w:w="40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(Principal Financial Officer)</w:t>
            </w: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Lead Independent 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93"/>
              </w:rPr>
              <w:t>Rónán Murphy</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90"/>
              </w:rPr>
              <w:t>Professor Hugh Brady</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92"/>
              </w:rPr>
              <w:t>Dr. John Climax</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87"/>
              </w:rPr>
              <w:t>Joan Garahy</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94"/>
              </w:rPr>
              <w:t>Professor William Hall</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88"/>
              </w:rPr>
              <w:t>Eugene McCague</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98"/>
              </w:rPr>
              <w:t>Julie O’Neill</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June 30, 2021</w:t>
            </w:r>
          </w:p>
        </w:tc>
      </w:tr>
      <w:tr>
        <w:trPr>
          <w:trHeight w:val="229"/>
        </w:trPr>
        <w:tc>
          <w:tcPr>
            <w:tcW w:w="3500" w:type="dxa"/>
            <w:vAlign w:val="bottom"/>
          </w:tcPr>
          <w:p>
            <w:pPr>
              <w:jc w:val="center"/>
              <w:spacing w:after="0"/>
              <w:rPr>
                <w:sz w:val="20"/>
                <w:szCs w:val="20"/>
                <w:color w:val="auto"/>
              </w:rPr>
            </w:pPr>
            <w:r>
              <w:rPr>
                <w:rFonts w:ascii="Arial" w:cs="Arial" w:eastAsia="Arial" w:hAnsi="Arial"/>
                <w:sz w:val="18"/>
                <w:szCs w:val="18"/>
                <w:color w:val="auto"/>
                <w:w w:val="88"/>
              </w:rPr>
              <w:t>Mary Pendergast</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29"/>
        </w:trPr>
        <w:tc>
          <w:tcPr>
            <w:tcW w:w="800" w:type="dxa"/>
            <w:vAlign w:val="bottom"/>
          </w:tcPr>
          <w:p>
            <w:pPr>
              <w:spacing w:after="0"/>
              <w:rPr>
                <w:sz w:val="19"/>
                <w:szCs w:val="19"/>
                <w:color w:val="auto"/>
              </w:rPr>
            </w:pPr>
          </w:p>
        </w:tc>
        <w:tc>
          <w:tcPr>
            <w:tcW w:w="3360" w:type="dxa"/>
            <w:vAlign w:val="bottom"/>
          </w:tcPr>
          <w:p>
            <w:pPr>
              <w:ind w:left="400"/>
              <w:spacing w:after="0"/>
              <w:rPr>
                <w:sz w:val="20"/>
                <w:szCs w:val="20"/>
                <w:color w:val="auto"/>
              </w:rPr>
            </w:pPr>
            <w:r>
              <w:rPr>
                <w:rFonts w:ascii="Arial" w:cs="Arial" w:eastAsia="Arial" w:hAnsi="Arial"/>
                <w:sz w:val="18"/>
                <w:szCs w:val="18"/>
                <w:color w:val="auto"/>
              </w:rPr>
              <w:t>Brendan Brennan, Attorney-in-Fact</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AUTHORIZED REPRESENTATIVE</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Puglisi &amp; Associates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Donald J. Puglisi</w:t>
            </w:r>
          </w:p>
        </w:tc>
        <w:tc>
          <w:tcPr>
            <w:tcW w:w="4580" w:type="dxa"/>
            <w:vAlign w:val="bottom"/>
          </w:tcPr>
          <w:p>
            <w:pPr>
              <w:ind w:left="420"/>
              <w:spacing w:after="0"/>
              <w:rPr>
                <w:sz w:val="20"/>
                <w:szCs w:val="20"/>
                <w:color w:val="auto"/>
              </w:rPr>
            </w:pPr>
            <w:r>
              <w:rPr>
                <w:rFonts w:ascii="Arial" w:cs="Arial" w:eastAsia="Arial" w:hAnsi="Arial"/>
                <w:sz w:val="18"/>
                <w:szCs w:val="18"/>
                <w:color w:val="auto"/>
              </w:rPr>
              <w:t>Authorized Representative in the United States</w:t>
            </w:r>
          </w:p>
        </w:tc>
        <w:tc>
          <w:tcPr>
            <w:tcW w:w="1800" w:type="dxa"/>
            <w:vAlign w:val="bottom"/>
          </w:tcPr>
          <w:p>
            <w:pPr>
              <w:ind w:left="800"/>
              <w:spacing w:after="0"/>
              <w:rPr>
                <w:sz w:val="20"/>
                <w:szCs w:val="20"/>
                <w:color w:val="auto"/>
              </w:rPr>
            </w:pPr>
            <w:r>
              <w:rPr>
                <w:rFonts w:ascii="Arial" w:cs="Arial" w:eastAsia="Arial" w:hAnsi="Arial"/>
                <w:sz w:val="18"/>
                <w:szCs w:val="18"/>
                <w:color w:val="auto"/>
                <w:w w:val="85"/>
              </w:rPr>
              <w:t>June 30, 2021</w:t>
            </w:r>
          </w:p>
        </w:tc>
      </w:tr>
      <w:tr>
        <w:trPr>
          <w:trHeight w:val="229"/>
        </w:trPr>
        <w:tc>
          <w:tcPr>
            <w:tcW w:w="3720" w:type="dxa"/>
            <w:vAlign w:val="bottom"/>
          </w:tcPr>
          <w:p>
            <w:pPr>
              <w:jc w:val="center"/>
              <w:spacing w:after="0"/>
              <w:rPr>
                <w:sz w:val="20"/>
                <w:szCs w:val="20"/>
                <w:color w:val="auto"/>
              </w:rPr>
            </w:pPr>
            <w:r>
              <w:rPr>
                <w:rFonts w:ascii="Arial" w:cs="Arial" w:eastAsia="Arial" w:hAnsi="Arial"/>
                <w:sz w:val="18"/>
                <w:szCs w:val="18"/>
                <w:color w:val="auto"/>
                <w:w w:val="90"/>
              </w:rPr>
              <w:t>Donald J. Puglisi</w:t>
            </w:r>
          </w:p>
        </w:tc>
        <w:tc>
          <w:tcPr>
            <w:tcW w:w="458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ectPr>
          <w:pgSz w:w="11900" w:h="16838" w:orient="portrait"/>
          <w:cols w:equalWidth="0" w:num="1">
            <w:col w:w="11240"/>
          </w:cols>
          <w:pgMar w:left="320" w:top="112" w:right="339" w:bottom="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Managing Director, Puglisi &amp;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1017270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719"/>
          </w:cols>
          <w:pgMar w:left="740" w:top="125" w:right="1440" w:bottom="1440" w:gutter="0" w:footer="0" w:header="0"/>
        </w:sectPr>
      </w:pPr>
    </w:p>
    <w:bookmarkStart w:id="6" w:name="page7"/>
    <w:bookmarkEnd w:id="6"/>
    <w:tbl>
      <w:tblPr>
        <w:tblLayout w:type="fixed"/>
        <w:tblInd w:w="5680" w:type="dxa"/>
        <w:tblCellMar>
          <w:top w:w="0" w:type="dxa"/>
          <w:left w:w="0" w:type="dxa"/>
          <w:bottom w:w="0" w:type="dxa"/>
          <w:right w:w="0" w:type="dxa"/>
        </w:tblCellMar>
      </w:tblPr>
      <w:tr>
        <w:trPr>
          <w:trHeight w:val="279"/>
        </w:trPr>
        <w:tc>
          <w:tcPr>
            <w:tcW w:w="36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1"/>
                <w:szCs w:val="21"/>
                <w:b w:val="1"/>
                <w:bCs w:val="1"/>
                <w:color w:val="auto"/>
              </w:rPr>
              <w:t>Exhibit 5.1</w:t>
            </w:r>
          </w:p>
        </w:tc>
      </w:tr>
      <w:tr>
        <w:trPr>
          <w:trHeight w:val="432"/>
        </w:trPr>
        <w:tc>
          <w:tcPr>
            <w:tcW w:w="3680" w:type="dxa"/>
            <w:vAlign w:val="bottom"/>
          </w:tcPr>
          <w:p>
            <w:pPr>
              <w:spacing w:after="0"/>
              <w:rPr>
                <w:sz w:val="20"/>
                <w:szCs w:val="20"/>
                <w:color w:val="auto"/>
              </w:rPr>
            </w:pPr>
            <w:r>
              <w:rPr>
                <w:rFonts w:ascii="Arial" w:cs="Arial" w:eastAsia="Arial" w:hAnsi="Arial"/>
                <w:sz w:val="18"/>
                <w:szCs w:val="18"/>
                <w:b w:val="1"/>
                <w:bCs w:val="1"/>
                <w:color w:val="auto"/>
              </w:rPr>
              <w:t>A&amp;L Goodbody</w:t>
            </w:r>
          </w:p>
        </w:tc>
        <w:tc>
          <w:tcPr>
            <w:tcW w:w="1880" w:type="dxa"/>
            <w:vAlign w:val="bottom"/>
          </w:tcPr>
          <w:p>
            <w:pPr>
              <w:jc w:val="right"/>
              <w:spacing w:after="0"/>
              <w:rPr>
                <w:sz w:val="20"/>
                <w:szCs w:val="20"/>
                <w:color w:val="auto"/>
              </w:rPr>
            </w:pPr>
            <w:r>
              <w:rPr>
                <w:rFonts w:ascii="Arial" w:cs="Arial" w:eastAsia="Arial" w:hAnsi="Arial"/>
                <w:sz w:val="18"/>
                <w:szCs w:val="18"/>
                <w:color w:val="auto"/>
              </w:rPr>
              <w:t>Dublin</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International Financial Services Centre</w:t>
            </w:r>
          </w:p>
        </w:tc>
        <w:tc>
          <w:tcPr>
            <w:tcW w:w="1880" w:type="dxa"/>
            <w:vAlign w:val="bottom"/>
          </w:tcPr>
          <w:p>
            <w:pPr>
              <w:jc w:val="right"/>
              <w:spacing w:after="0"/>
              <w:rPr>
                <w:sz w:val="20"/>
                <w:szCs w:val="20"/>
                <w:color w:val="auto"/>
              </w:rPr>
            </w:pPr>
            <w:r>
              <w:rPr>
                <w:rFonts w:ascii="Arial" w:cs="Arial" w:eastAsia="Arial" w:hAnsi="Arial"/>
                <w:sz w:val="18"/>
                <w:szCs w:val="18"/>
                <w:color w:val="auto"/>
              </w:rPr>
              <w:t>Belfast</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25-28 North Wall Quay, Dublin 1</w:t>
            </w:r>
          </w:p>
        </w:tc>
        <w:tc>
          <w:tcPr>
            <w:tcW w:w="1880" w:type="dxa"/>
            <w:vAlign w:val="bottom"/>
          </w:tcPr>
          <w:p>
            <w:pPr>
              <w:jc w:val="right"/>
              <w:spacing w:after="0"/>
              <w:rPr>
                <w:sz w:val="20"/>
                <w:szCs w:val="20"/>
                <w:color w:val="auto"/>
              </w:rPr>
            </w:pPr>
            <w:r>
              <w:rPr>
                <w:rFonts w:ascii="Arial" w:cs="Arial" w:eastAsia="Arial" w:hAnsi="Arial"/>
                <w:sz w:val="18"/>
                <w:szCs w:val="18"/>
                <w:color w:val="auto"/>
              </w:rPr>
              <w:t>London</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D01 H104</w:t>
            </w:r>
          </w:p>
        </w:tc>
        <w:tc>
          <w:tcPr>
            <w:tcW w:w="1880" w:type="dxa"/>
            <w:vAlign w:val="bottom"/>
          </w:tcPr>
          <w:p>
            <w:pPr>
              <w:jc w:val="right"/>
              <w:spacing w:after="0"/>
              <w:rPr>
                <w:sz w:val="20"/>
                <w:szCs w:val="20"/>
                <w:color w:val="auto"/>
              </w:rPr>
            </w:pPr>
            <w:r>
              <w:rPr>
                <w:rFonts w:ascii="Arial" w:cs="Arial" w:eastAsia="Arial" w:hAnsi="Arial"/>
                <w:sz w:val="18"/>
                <w:szCs w:val="18"/>
                <w:color w:val="auto"/>
              </w:rPr>
              <w:t>New York</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T: +353 1 649 2000</w:t>
            </w:r>
          </w:p>
        </w:tc>
        <w:tc>
          <w:tcPr>
            <w:tcW w:w="1880" w:type="dxa"/>
            <w:vAlign w:val="bottom"/>
          </w:tcPr>
          <w:p>
            <w:pPr>
              <w:jc w:val="right"/>
              <w:spacing w:after="0"/>
              <w:rPr>
                <w:sz w:val="20"/>
                <w:szCs w:val="20"/>
                <w:color w:val="auto"/>
              </w:rPr>
            </w:pPr>
            <w:r>
              <w:rPr>
                <w:rFonts w:ascii="Arial" w:cs="Arial" w:eastAsia="Arial" w:hAnsi="Arial"/>
                <w:sz w:val="18"/>
                <w:szCs w:val="18"/>
                <w:color w:val="auto"/>
              </w:rPr>
              <w:t>San Francisco</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DX: 29 Dublin | www.algoodbody.com</w:t>
            </w:r>
          </w:p>
        </w:tc>
        <w:tc>
          <w:tcPr>
            <w:tcW w:w="1880" w:type="dxa"/>
            <w:vAlign w:val="bottom"/>
          </w:tcPr>
          <w:p>
            <w:pPr>
              <w:jc w:val="right"/>
              <w:spacing w:after="0"/>
              <w:rPr>
                <w:sz w:val="20"/>
                <w:szCs w:val="20"/>
                <w:color w:val="auto"/>
              </w:rPr>
            </w:pPr>
            <w:r>
              <w:rPr>
                <w:rFonts w:ascii="Arial" w:cs="Arial" w:eastAsia="Arial" w:hAnsi="Arial"/>
                <w:sz w:val="18"/>
                <w:szCs w:val="18"/>
                <w:color w:val="auto"/>
              </w:rPr>
              <w:t>Palo Alto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-817880</wp:posOffset>
            </wp:positionV>
            <wp:extent cx="17145" cy="817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7145" cy="817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-817880</wp:posOffset>
            </wp:positionV>
            <wp:extent cx="1602105" cy="238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602105" cy="2387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20" w:type="dxa"/>
            <w:vAlign w:val="bottom"/>
            <w:shd w:val="clear" w:color="auto" w:fill="000000"/>
          </w:tcPr>
          <w:p>
            <w:pPr>
              <w:spacing w:after="0"/>
              <w:rPr>
                <w:sz w:val="18"/>
                <w:szCs w:val="18"/>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30 June 2021</w:t>
            </w:r>
          </w:p>
        </w:tc>
        <w:tc>
          <w:tcPr>
            <w:tcW w:w="0" w:type="dxa"/>
            <w:vAlign w:val="bottom"/>
          </w:tcPr>
          <w:p>
            <w:pPr>
              <w:spacing w:after="0"/>
              <w:rPr>
                <w:sz w:val="1"/>
                <w:szCs w:val="1"/>
                <w:color w:val="auto"/>
              </w:rPr>
            </w:pPr>
          </w:p>
        </w:tc>
      </w:tr>
      <w:tr>
        <w:trPr>
          <w:trHeight w:val="215"/>
        </w:trPr>
        <w:tc>
          <w:tcPr>
            <w:tcW w:w="1080" w:type="dxa"/>
            <w:vAlign w:val="bottom"/>
            <w:vMerge w:val="restart"/>
          </w:tcPr>
          <w:p>
            <w:pPr>
              <w:spacing w:after="0"/>
              <w:rPr>
                <w:sz w:val="20"/>
                <w:szCs w:val="20"/>
                <w:color w:val="auto"/>
              </w:rPr>
            </w:pPr>
            <w:r>
              <w:rPr>
                <w:rFonts w:ascii="Arial" w:cs="Arial" w:eastAsia="Arial" w:hAnsi="Arial"/>
                <w:sz w:val="18"/>
                <w:szCs w:val="18"/>
                <w:color w:val="auto"/>
              </w:rPr>
              <w:t>Our ref</w:t>
            </w:r>
          </w:p>
        </w:tc>
        <w:tc>
          <w:tcPr>
            <w:tcW w:w="20" w:type="dxa"/>
            <w:vAlign w:val="bottom"/>
          </w:tcPr>
          <w:p>
            <w:pPr>
              <w:spacing w:after="0"/>
              <w:rPr>
                <w:sz w:val="18"/>
                <w:szCs w:val="18"/>
                <w:color w:val="auto"/>
              </w:rPr>
            </w:pPr>
          </w:p>
        </w:tc>
        <w:tc>
          <w:tcPr>
            <w:tcW w:w="1720" w:type="dxa"/>
            <w:vAlign w:val="bottom"/>
            <w:vMerge w:val="restart"/>
          </w:tcPr>
          <w:p>
            <w:pPr>
              <w:ind w:left="180"/>
              <w:spacing w:after="0"/>
              <w:rPr>
                <w:sz w:val="20"/>
                <w:szCs w:val="20"/>
                <w:color w:val="auto"/>
              </w:rPr>
            </w:pPr>
            <w:r>
              <w:rPr>
                <w:rFonts w:ascii="Arial" w:cs="Arial" w:eastAsia="Arial" w:hAnsi="Arial"/>
                <w:sz w:val="18"/>
                <w:szCs w:val="18"/>
                <w:color w:val="auto"/>
                <w:w w:val="92"/>
              </w:rPr>
              <w:t>BHY/BOF 01435880</w:t>
            </w:r>
          </w:p>
        </w:tc>
        <w:tc>
          <w:tcPr>
            <w:tcW w:w="0" w:type="dxa"/>
            <w:vAlign w:val="bottom"/>
          </w:tcPr>
          <w:p>
            <w:pPr>
              <w:spacing w:after="0"/>
              <w:rPr>
                <w:sz w:val="1"/>
                <w:szCs w:val="1"/>
                <w:color w:val="auto"/>
              </w:rPr>
            </w:pPr>
          </w:p>
        </w:tc>
      </w:tr>
      <w:tr>
        <w:trPr>
          <w:trHeight w:val="215"/>
        </w:trPr>
        <w:tc>
          <w:tcPr>
            <w:tcW w:w="10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ICON plc</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South County Business Park</w:t>
      </w:r>
    </w:p>
    <w:p>
      <w:pPr>
        <w:spacing w:after="0"/>
        <w:rPr>
          <w:sz w:val="20"/>
          <w:szCs w:val="20"/>
          <w:color w:val="auto"/>
        </w:rPr>
      </w:pPr>
      <w:r>
        <w:rPr>
          <w:rFonts w:ascii="Arial" w:cs="Arial" w:eastAsia="Arial" w:hAnsi="Arial"/>
          <w:sz w:val="21"/>
          <w:szCs w:val="21"/>
          <w:color w:val="auto"/>
        </w:rPr>
        <w:t>Leopardstown</w:t>
      </w:r>
    </w:p>
    <w:p>
      <w:pPr>
        <w:spacing w:after="0"/>
        <w:rPr>
          <w:sz w:val="20"/>
          <w:szCs w:val="20"/>
          <w:color w:val="auto"/>
        </w:rPr>
      </w:pPr>
      <w:r>
        <w:rPr>
          <w:rFonts w:ascii="Arial" w:cs="Arial" w:eastAsia="Arial" w:hAnsi="Arial"/>
          <w:sz w:val="21"/>
          <w:szCs w:val="21"/>
          <w:color w:val="auto"/>
        </w:rPr>
        <w:t>Dublin 18</w:t>
      </w:r>
    </w:p>
    <w:p>
      <w:pPr>
        <w:spacing w:after="0"/>
        <w:rPr>
          <w:sz w:val="20"/>
          <w:szCs w:val="20"/>
          <w:color w:val="auto"/>
        </w:rPr>
      </w:pPr>
      <w:r>
        <w:rPr>
          <w:rFonts w:ascii="Arial" w:cs="Arial" w:eastAsia="Arial" w:hAnsi="Arial"/>
          <w:sz w:val="21"/>
          <w:szCs w:val="21"/>
          <w:color w:val="auto"/>
        </w:rPr>
        <w:t>Ireland</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ICON plc </w:t>
      </w:r>
      <w:r>
        <w:rPr>
          <w:rFonts w:ascii="Arial" w:cs="Arial" w:eastAsia="Arial" w:hAnsi="Arial"/>
          <w:sz w:val="21"/>
          <w:szCs w:val="21"/>
          <w:color w:val="auto"/>
        </w:rPr>
        <w:t>(the</w:t>
      </w:r>
      <w:r>
        <w:rPr>
          <w:rFonts w:ascii="Arial" w:cs="Arial" w:eastAsia="Arial" w:hAnsi="Arial"/>
          <w:sz w:val="21"/>
          <w:szCs w:val="21"/>
          <w:b w:val="1"/>
          <w:bCs w:val="1"/>
          <w:color w:val="auto"/>
        </w:rPr>
        <w:t xml:space="preserve"> Company</w:t>
      </w:r>
      <w:r>
        <w:rPr>
          <w:rFonts w:ascii="Arial" w:cs="Arial" w:eastAsia="Arial" w:hAnsi="Arial"/>
          <w:sz w:val="21"/>
          <w:szCs w:val="21"/>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Dear Sirs</w:t>
      </w:r>
    </w:p>
    <w:p>
      <w:pPr>
        <w:spacing w:after="0" w:line="245" w:lineRule="exact"/>
        <w:rPr>
          <w:sz w:val="20"/>
          <w:szCs w:val="20"/>
          <w:color w:val="auto"/>
        </w:rPr>
      </w:pPr>
    </w:p>
    <w:p>
      <w:pPr>
        <w:ind w:left="560" w:hanging="553"/>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Context</w:t>
      </w:r>
    </w:p>
    <w:p>
      <w:pPr>
        <w:spacing w:after="0" w:line="253" w:lineRule="exact"/>
        <w:rPr>
          <w:sz w:val="20"/>
          <w:szCs w:val="20"/>
          <w:color w:val="auto"/>
        </w:rPr>
      </w:pPr>
    </w:p>
    <w:p>
      <w:pPr>
        <w:jc w:val="both"/>
        <w:ind w:left="560" w:hanging="549"/>
        <w:spacing w:after="0" w:line="277"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 xml:space="preserve">We act as Irish counsel for the Company, registered number 145835, a public limited company limited by shares incorporated under the laws of Ireland, in connection with the Registration Statement on Form F-4, which includes the Joint Proxy Statement/Prospectus, filed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in or around 31 March 2021, under the Securities Act of 1933, as amended (such Registration Statement, as amended or supplemented,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98" w:lineRule="exact"/>
        <w:rPr>
          <w:sz w:val="20"/>
          <w:szCs w:val="20"/>
          <w:color w:val="auto"/>
        </w:rPr>
      </w:pPr>
    </w:p>
    <w:p>
      <w:pPr>
        <w:jc w:val="both"/>
        <w:ind w:left="560" w:hanging="549"/>
        <w:spacing w:after="0" w:line="271"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 xml:space="preserve">In connection with the transactions contemplated by an Agreement and Plan of Merger, dated as of February 24, 2021, by and among the Company, ICON US Holdings, Inc., Indigo Merger Sub, Inc. and PRA Health Sciences, Inc. (the </w:t>
      </w:r>
      <w:r>
        <w:rPr>
          <w:rFonts w:ascii="Arial" w:cs="Arial" w:eastAsia="Arial" w:hAnsi="Arial"/>
          <w:sz w:val="17"/>
          <w:szCs w:val="17"/>
          <w:b w:val="1"/>
          <w:bCs w:val="1"/>
          <w:color w:val="auto"/>
        </w:rPr>
        <w:t>Merger Agreement</w:t>
      </w:r>
      <w:r>
        <w:rPr>
          <w:rFonts w:ascii="Arial" w:cs="Arial" w:eastAsia="Arial" w:hAnsi="Arial"/>
          <w:sz w:val="17"/>
          <w:szCs w:val="17"/>
          <w:color w:val="auto"/>
        </w:rPr>
        <w:t xml:space="preserve">), the Company originally expected to issue approximately 28,831,766 ordinary shares, par value €0.06 per share, such number being an estimate as of 30 March 2021. It has since been updated such that the Company now expects to issue up to approximately 30,000,000 ordinary shares, par value €0.06 per share, in aggregate. Such shares, when issued in accordance with the Merger Agreement, are referred to in this opinion as the </w:t>
      </w:r>
      <w:r>
        <w:rPr>
          <w:rFonts w:ascii="Arial" w:cs="Arial" w:eastAsia="Arial" w:hAnsi="Arial"/>
          <w:sz w:val="17"/>
          <w:szCs w:val="17"/>
          <w:b w:val="1"/>
          <w:bCs w:val="1"/>
          <w:color w:val="auto"/>
        </w:rPr>
        <w:t>Merger Shares</w:t>
      </w:r>
      <w:r>
        <w:rPr>
          <w:rFonts w:ascii="Arial" w:cs="Arial" w:eastAsia="Arial" w:hAnsi="Arial"/>
          <w:sz w:val="17"/>
          <w:szCs w:val="17"/>
          <w:color w:val="auto"/>
        </w:rPr>
        <w:t xml:space="preserve"> and the issuance of the Merger Shares is referred to as the </w:t>
      </w:r>
      <w:r>
        <w:rPr>
          <w:rFonts w:ascii="Arial" w:cs="Arial" w:eastAsia="Arial" w:hAnsi="Arial"/>
          <w:sz w:val="17"/>
          <w:szCs w:val="17"/>
          <w:b w:val="1"/>
          <w:bCs w:val="1"/>
          <w:color w:val="auto"/>
        </w:rPr>
        <w:t>Issuance</w:t>
      </w:r>
      <w:r>
        <w:rPr>
          <w:rFonts w:ascii="Arial" w:cs="Arial" w:eastAsia="Arial" w:hAnsi="Arial"/>
          <w:sz w:val="17"/>
          <w:szCs w:val="17"/>
          <w:color w:val="auto"/>
        </w:rPr>
        <w:t>.</w:t>
      </w:r>
    </w:p>
    <w:p>
      <w:pPr>
        <w:spacing w:after="0" w:line="202" w:lineRule="exact"/>
        <w:rPr>
          <w:sz w:val="20"/>
          <w:szCs w:val="20"/>
          <w:color w:val="auto"/>
        </w:rPr>
      </w:pPr>
    </w:p>
    <w:p>
      <w:pPr>
        <w:ind w:left="560" w:hanging="55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Examination</w:t>
      </w:r>
    </w:p>
    <w:p>
      <w:pPr>
        <w:spacing w:after="0" w:line="246" w:lineRule="exact"/>
        <w:rPr>
          <w:sz w:val="20"/>
          <w:szCs w:val="20"/>
          <w:color w:val="auto"/>
        </w:rPr>
      </w:pPr>
    </w:p>
    <w:p>
      <w:pPr>
        <w:ind w:left="560"/>
        <w:spacing w:after="0" w:line="297" w:lineRule="auto"/>
        <w:rPr>
          <w:sz w:val="20"/>
          <w:szCs w:val="20"/>
          <w:color w:val="auto"/>
        </w:rPr>
      </w:pPr>
      <w:r>
        <w:rPr>
          <w:rFonts w:ascii="Arial" w:cs="Arial" w:eastAsia="Arial" w:hAnsi="Arial"/>
          <w:sz w:val="20"/>
          <w:szCs w:val="20"/>
          <w:color w:val="auto"/>
        </w:rPr>
        <w:t>In connection with this opinion, we have reviewed copies of such corporate records and other instruments of the Company as we have deemed necessary as a basis for the opinion as set out in paragraph 3 of this letter, including:</w:t>
      </w:r>
    </w:p>
    <w:p>
      <w:pPr>
        <w:spacing w:after="0" w:line="163" w:lineRule="exact"/>
        <w:rPr>
          <w:sz w:val="20"/>
          <w:szCs w:val="20"/>
          <w:color w:val="auto"/>
        </w:rPr>
      </w:pPr>
    </w:p>
    <w:p>
      <w:pPr>
        <w:ind w:left="1220" w:hanging="66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49" w:lineRule="exact"/>
        <w:rPr>
          <w:rFonts w:ascii="Arial" w:cs="Arial" w:eastAsia="Arial" w:hAnsi="Arial"/>
          <w:sz w:val="18"/>
          <w:szCs w:val="18"/>
          <w:color w:val="auto"/>
        </w:rPr>
      </w:pPr>
    </w:p>
    <w:p>
      <w:pPr>
        <w:ind w:left="1220" w:hanging="66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49" w:lineRule="exact"/>
        <w:rPr>
          <w:rFonts w:ascii="Arial" w:cs="Arial" w:eastAsia="Arial" w:hAnsi="Arial"/>
          <w:sz w:val="18"/>
          <w:szCs w:val="18"/>
          <w:color w:val="auto"/>
        </w:rPr>
      </w:pPr>
    </w:p>
    <w:p>
      <w:pPr>
        <w:ind w:left="1220" w:hanging="662"/>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resolutions of the board of directors of the Company approving, amongst other things, the Merger Agreement and the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1623695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481330</wp:posOffset>
            </wp:positionV>
            <wp:extent cx="7196455" cy="1031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96455" cy="1031240"/>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7" w:name="page8"/>
    <w:bookmarkEnd w:id="7"/>
    <w:p>
      <w:pPr>
        <w:ind w:left="1220" w:hanging="662"/>
        <w:spacing w:after="0" w:line="27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610995" cy="247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10995" cy="247015"/>
                    </a:xfrm>
                    <a:prstGeom prst="rect">
                      <a:avLst/>
                    </a:prstGeom>
                    <a:noFill/>
                  </pic:spPr>
                </pic:pic>
              </a:graphicData>
            </a:graphic>
          </wp:anchor>
        </w:drawing>
        <w:t xml:space="preserve">notice of an extraordinary general meeting of the Company setting out the resolutions passed by the shareholders approving the Issuance (the </w:t>
      </w:r>
      <w:r>
        <w:rPr>
          <w:rFonts w:ascii="Arial" w:cs="Arial" w:eastAsia="Arial" w:hAnsi="Arial"/>
          <w:sz w:val="18"/>
          <w:szCs w:val="18"/>
          <w:b w:val="1"/>
          <w:bCs w:val="1"/>
          <w:color w:val="auto"/>
        </w:rPr>
        <w:t>EGM Resolutions</w:t>
      </w:r>
      <w:r>
        <w:rPr>
          <w:rFonts w:ascii="Arial" w:cs="Arial" w:eastAsia="Arial" w:hAnsi="Arial"/>
          <w:sz w:val="18"/>
          <w:szCs w:val="18"/>
          <w:color w:val="auto"/>
        </w:rPr>
        <w:t>), as contained in the Registration Statement;</w:t>
      </w:r>
    </w:p>
    <w:p>
      <w:pPr>
        <w:spacing w:after="0" w:line="194" w:lineRule="exact"/>
        <w:rPr>
          <w:rFonts w:ascii="Arial" w:cs="Arial" w:eastAsia="Arial" w:hAnsi="Arial"/>
          <w:sz w:val="18"/>
          <w:szCs w:val="18"/>
          <w:color w:val="auto"/>
        </w:rPr>
      </w:pPr>
    </w:p>
    <w:p>
      <w:pPr>
        <w:ind w:left="1220" w:hanging="662"/>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 copy of the Constitution of the Company, in force as of the date hereof (the </w:t>
      </w:r>
      <w:r>
        <w:rPr>
          <w:rFonts w:ascii="Arial" w:cs="Arial" w:eastAsia="Arial" w:hAnsi="Arial"/>
          <w:sz w:val="18"/>
          <w:szCs w:val="18"/>
          <w:b w:val="1"/>
          <w:bCs w:val="1"/>
          <w:color w:val="auto"/>
        </w:rPr>
        <w:t>Constitution</w:t>
      </w:r>
      <w:r>
        <w:rPr>
          <w:rFonts w:ascii="Arial" w:cs="Arial" w:eastAsia="Arial" w:hAnsi="Arial"/>
          <w:sz w:val="18"/>
          <w:szCs w:val="18"/>
          <w:color w:val="auto"/>
        </w:rPr>
        <w:t>).</w:t>
      </w:r>
    </w:p>
    <w:p>
      <w:pPr>
        <w:spacing w:after="0" w:line="249" w:lineRule="exact"/>
        <w:rPr>
          <w:sz w:val="20"/>
          <w:szCs w:val="20"/>
          <w:color w:val="auto"/>
        </w:rPr>
      </w:pPr>
    </w:p>
    <w:p>
      <w:pPr>
        <w:ind w:left="560" w:hanging="553"/>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21"/>
          <w:szCs w:val="21"/>
          <w:color w:val="auto"/>
        </w:rPr>
        <w:t>Based upon and subject to the assumptions, qualifications and limitations set out below, we are of the opinion that:</w:t>
      </w:r>
    </w:p>
    <w:p>
      <w:pPr>
        <w:spacing w:after="0" w:line="249" w:lineRule="exact"/>
        <w:rPr>
          <w:sz w:val="20"/>
          <w:szCs w:val="20"/>
          <w:color w:val="auto"/>
        </w:rPr>
      </w:pPr>
    </w:p>
    <w:p>
      <w:pPr>
        <w:ind w:left="1220" w:hanging="662"/>
        <w:spacing w:after="0"/>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 a public company limited by shares and is duly incorporated and validly existing under the laws of Ireland; and</w:t>
      </w:r>
    </w:p>
    <w:p>
      <w:pPr>
        <w:spacing w:after="0" w:line="260" w:lineRule="exact"/>
        <w:rPr>
          <w:rFonts w:ascii="Arial" w:cs="Arial" w:eastAsia="Arial" w:hAnsi="Arial"/>
          <w:sz w:val="17"/>
          <w:szCs w:val="17"/>
          <w:color w:val="auto"/>
        </w:rPr>
      </w:pPr>
    </w:p>
    <w:p>
      <w:pPr>
        <w:jc w:val="both"/>
        <w:ind w:left="1220" w:hanging="662"/>
        <w:spacing w:after="0" w:line="261"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Merger Shares, when issued by the Company in accordance with the terms of the Registration Statement and the Merger Agreement, will have been duly authorised and will be validly issued, fully paid and non-assessable (which term means that no further sums are required to be paid by the holders thereof in connection with the issue of such Merger Shares).</w:t>
      </w:r>
    </w:p>
    <w:p>
      <w:pPr>
        <w:spacing w:after="0" w:line="206" w:lineRule="exact"/>
        <w:rPr>
          <w:sz w:val="20"/>
          <w:szCs w:val="20"/>
          <w:color w:val="auto"/>
        </w:rPr>
      </w:pPr>
    </w:p>
    <w:p>
      <w:pPr>
        <w:ind w:left="560" w:hanging="55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253" w:lineRule="exact"/>
        <w:rPr>
          <w:sz w:val="20"/>
          <w:szCs w:val="20"/>
          <w:color w:val="auto"/>
        </w:rPr>
      </w:pPr>
    </w:p>
    <w:p>
      <w:pPr>
        <w:jc w:val="both"/>
        <w:ind w:left="560" w:hanging="549"/>
        <w:spacing w:after="0" w:line="261"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w:t>
      </w:r>
    </w:p>
    <w:p>
      <w:pPr>
        <w:spacing w:after="0" w:line="21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We have assumed that when the Issuance occurs:</w:t>
      </w:r>
    </w:p>
    <w:p>
      <w:pPr>
        <w:spacing w:after="0" w:line="249"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the Constitution has not been amended or varied;</w:t>
      </w:r>
    </w:p>
    <w:p>
      <w:pPr>
        <w:spacing w:after="0" w:line="249"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the Registration Statement has become effective;</w:t>
      </w:r>
    </w:p>
    <w:p>
      <w:pPr>
        <w:spacing w:after="0" w:line="249" w:lineRule="exact"/>
        <w:rPr>
          <w:sz w:val="20"/>
          <w:szCs w:val="20"/>
          <w:color w:val="auto"/>
        </w:rPr>
      </w:pPr>
    </w:p>
    <w:p>
      <w:pPr>
        <w:jc w:val="both"/>
        <w:ind w:left="1220" w:hanging="657"/>
        <w:spacing w:after="0" w:line="277" w:lineRule="auto"/>
        <w:tabs>
          <w:tab w:leader="none" w:pos="12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color w:val="auto"/>
        </w:rPr>
        <w:t>the Company is fully solvent at the time of and immediately following the Issuance (ii) no resolution or petition for the appointment of a liquidator or examiner has been presented prior to the Issuance (iii) no receiver will have been appointed in relation to any of the assets or undertaking of the Company and (iv) no composition in satisfaction of debts, scheme of arrangement, or compromise or arrangement with any creditors or members will be proposed, sanctioned or approved in relation to the Company.</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We have further assumed:</w:t>
      </w:r>
    </w:p>
    <w:p>
      <w:pPr>
        <w:spacing w:after="0" w:line="249" w:lineRule="exact"/>
        <w:rPr>
          <w:sz w:val="20"/>
          <w:szCs w:val="20"/>
          <w:color w:val="auto"/>
        </w:rPr>
      </w:pPr>
    </w:p>
    <w:p>
      <w:pPr>
        <w:jc w:val="both"/>
        <w:ind w:left="1220" w:hanging="657"/>
        <w:spacing w:after="0" w:line="274" w:lineRule="auto"/>
        <w:tabs>
          <w:tab w:leader="none" w:pos="12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authenticity of all documents submitted to us, the conformity to the originals of all documents submitted to us as copies and the authenticity of the originals of all documents submitted to us as copies;</w:t>
      </w:r>
    </w:p>
    <w:p>
      <w:pPr>
        <w:spacing w:after="0" w:line="198" w:lineRule="exact"/>
        <w:rPr>
          <w:sz w:val="20"/>
          <w:szCs w:val="20"/>
          <w:color w:val="auto"/>
        </w:rPr>
      </w:pPr>
    </w:p>
    <w:p>
      <w:pPr>
        <w:jc w:val="both"/>
        <w:ind w:left="1220" w:right="20" w:hanging="657"/>
        <w:spacing w:after="0" w:line="274" w:lineRule="auto"/>
        <w:tabs>
          <w:tab w:leader="none" w:pos="12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authority of persons signing on behalf of a particular party and the due authorisation, execution and delivery of all documents by the parties thereto other than the Company; and</w:t>
      </w:r>
    </w:p>
    <w:p>
      <w:pPr>
        <w:spacing w:after="0" w:line="198" w:lineRule="exact"/>
        <w:rPr>
          <w:sz w:val="20"/>
          <w:szCs w:val="20"/>
          <w:color w:val="auto"/>
        </w:rPr>
      </w:pPr>
    </w:p>
    <w:p>
      <w:pPr>
        <w:jc w:val="both"/>
        <w:ind w:left="1220" w:hanging="657"/>
        <w:spacing w:after="0" w:line="261" w:lineRule="auto"/>
        <w:tabs>
          <w:tab w:leader="none" w:pos="12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that none of the EGM Resolutions and authorities of the shareholders or directors of the Company upon which we have relied have been varied, amended or revoked in any respect or have expired and that the Merger Shares will be issued in accordance with such resolutions and authorities and the terms of the Merger Agreement.</w:t>
      </w:r>
    </w:p>
    <w:p>
      <w:pPr>
        <w:spacing w:after="0" w:line="381"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ind w:left="560" w:hanging="553"/>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610995" cy="247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10995" cy="247015"/>
                    </a:xfrm>
                    <a:prstGeom prst="rect">
                      <a:avLst/>
                    </a:prstGeom>
                    <a:noFill/>
                  </pic:spPr>
                </pic:pic>
              </a:graphicData>
            </a:graphic>
          </wp:anchor>
        </w:drawing>
        <w:t>Qualifications</w:t>
      </w:r>
    </w:p>
    <w:p>
      <w:pPr>
        <w:spacing w:after="0" w:line="25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 limited to the specific issues addressed herein, and no opinion may be inferred or implied beyond that expressly stated herein.</w:t>
      </w:r>
    </w:p>
    <w:p>
      <w:pPr>
        <w:spacing w:after="0" w:line="249" w:lineRule="exact"/>
        <w:rPr>
          <w:sz w:val="20"/>
          <w:szCs w:val="20"/>
          <w:color w:val="auto"/>
        </w:rPr>
      </w:pPr>
    </w:p>
    <w:p>
      <w:pPr>
        <w:jc w:val="both"/>
        <w:ind w:left="560" w:hanging="549"/>
        <w:spacing w:after="0" w:line="299"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confined to and given in all respects on the basis of the laws of Ireland (meaning Ireland exclusive of Northern Ireland) in force as at the date of this opinion as currently applied by the courts of Ireland. We have made no investigations of, and we express no opinion as to the laws of, any other jurisdiction or their effect on this opinion. This opinion speaks only as of its date. We assume no obligation to update this opinion at any time in the future or to advise you of any change in law or change in interpretation of law which may occur after the date of this opinion.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We hereby consent to the filing of this opinion with the SEC.</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Yours faithfully</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/s/ A&amp;L Goodbody</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A&amp;L Goodbody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consent to the use of our reports dated February 24, 2021, with respect to the consolidated financial statements of ICON plc and subsidiaries, and the effectiveness of internal control over financial reporting, incorporated herein by reference and to the reference to our firm under the heading “Experts” in the prospectus on Form F-4,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/s/ KPMG</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Dublin, Ireland</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377190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23.2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48" w:lineRule="exact"/>
        <w:rPr>
          <w:sz w:val="20"/>
          <w:szCs w:val="20"/>
          <w:color w:val="auto"/>
        </w:rPr>
      </w:pPr>
    </w:p>
    <w:p>
      <w:pPr>
        <w:jc w:val="both"/>
        <w:ind w:right="120"/>
        <w:spacing w:after="0" w:line="285" w:lineRule="auto"/>
        <w:rPr>
          <w:sz w:val="20"/>
          <w:szCs w:val="20"/>
          <w:color w:val="auto"/>
        </w:rPr>
      </w:pPr>
      <w:r>
        <w:rPr>
          <w:rFonts w:ascii="Arial" w:cs="Arial" w:eastAsia="Arial" w:hAnsi="Arial"/>
          <w:sz w:val="19"/>
          <w:szCs w:val="19"/>
          <w:color w:val="auto"/>
        </w:rPr>
        <w:t>We consent to the incorporation by reference in this Registration Statement on Form F-4 of our reports dated February 24, 2021, relating to the financial statements of PRA Health Sciences, Inc. and the effectiveness of the PRA Health Sciences, Inc. internal control over financial reporting, appearing in the Annual Report on Form 10-K of PRA Health Sciences, Inc. for the year ended December 31, 2020. We also consent to the reference to us under the heading “Experts” in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/s/ Deloitte &amp; Touche LLP</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Raleigh, North Carolina</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0732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073265" cy="17145"/>
                    </a:xfrm>
                    <a:prstGeom prst="rect">
                      <a:avLst/>
                    </a:prstGeom>
                    <a:noFill/>
                  </pic:spPr>
                </pic:pic>
              </a:graphicData>
            </a:graphic>
          </wp:anchor>
        </w:drawing>
      </w:r>
    </w:p>
    <w:p>
      <w:pPr>
        <w:sectPr>
          <w:pgSz w:w="11900" w:h="16838" w:orient="portrait"/>
          <w:cols w:equalWidth="0" w:num="1">
            <w:col w:w="11140"/>
          </w:cols>
          <w:pgMar w:left="420" w:top="273"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Centerview Partners LLC</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ICON plc</w:t>
      </w:r>
    </w:p>
    <w:p>
      <w:pPr>
        <w:spacing w:after="0"/>
        <w:rPr>
          <w:sz w:val="20"/>
          <w:szCs w:val="20"/>
          <w:color w:val="auto"/>
        </w:rPr>
      </w:pPr>
      <w:r>
        <w:rPr>
          <w:rFonts w:ascii="Arial" w:cs="Arial" w:eastAsia="Arial" w:hAnsi="Arial"/>
          <w:sz w:val="21"/>
          <w:szCs w:val="21"/>
          <w:color w:val="auto"/>
        </w:rPr>
        <w:t>South County Business Park</w:t>
      </w:r>
    </w:p>
    <w:p>
      <w:pPr>
        <w:spacing w:after="0"/>
        <w:rPr>
          <w:sz w:val="20"/>
          <w:szCs w:val="20"/>
          <w:color w:val="auto"/>
        </w:rPr>
      </w:pPr>
      <w:r>
        <w:rPr>
          <w:rFonts w:ascii="Arial" w:cs="Arial" w:eastAsia="Arial" w:hAnsi="Arial"/>
          <w:sz w:val="21"/>
          <w:szCs w:val="21"/>
          <w:color w:val="auto"/>
        </w:rPr>
        <w:t>Leopardstown</w:t>
      </w:r>
    </w:p>
    <w:p>
      <w:pPr>
        <w:spacing w:after="0"/>
        <w:rPr>
          <w:sz w:val="20"/>
          <w:szCs w:val="20"/>
          <w:color w:val="auto"/>
        </w:rPr>
      </w:pPr>
      <w:r>
        <w:rPr>
          <w:rFonts w:ascii="Arial" w:cs="Arial" w:eastAsia="Arial" w:hAnsi="Arial"/>
          <w:sz w:val="21"/>
          <w:szCs w:val="21"/>
          <w:color w:val="auto"/>
        </w:rPr>
        <w:t>Dublin 18, Ireland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hereby consent to the inclusion of our opinion letter, dated February 23, 2021, to the Board of Directors of ICON plc</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as Annex B to, and reference to such opinion letter under the headings “SUMMARY – Opinion of ICON’s Financial</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Advisor”, “THE MERGER – ICON’s Reasons for the Merger” and “THE MERGER – Opinion of ICON’s Financial Advisor” in,</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the proxy statement/prospectus relating to the proposed transaction involving Parent and PRA Health Sciences, Inc. (the</w:t>
      </w: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which proxy statement/prospectus forms a part of the Registration Statement on Form F-4 of Parent to register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additional securities for an offering pursuant to Rule 462(b) under the Securities Act of 1933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In</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giving such consent, we do not admit that we come within the category of persons whose consent is required under Section 7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Securities Act of 1933, as amended, or the rules and regulations of the Securities and Exchange Commission promulgated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thereunder nor do we hereby admit that we are experts with respect to any part of the Registration Statement within the meaning</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of the term “experts” as used in the Securities Act of 1933, as amended, or the rules and regulations of the Securities and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Exchange Commission promulgated thereunder.</w:t>
      </w:r>
    </w:p>
    <w:p>
      <w:pPr>
        <w:spacing w:after="0" w:line="200" w:lineRule="exact"/>
        <w:rPr>
          <w:sz w:val="20"/>
          <w:szCs w:val="20"/>
          <w:color w:val="auto"/>
        </w:rPr>
      </w:pPr>
    </w:p>
    <w:p>
      <w:pPr>
        <w:spacing w:after="0" w:line="27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Very truly yours,</w:t>
      </w:r>
    </w:p>
    <w:p>
      <w:pPr>
        <w:spacing w:after="0" w:line="22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CENTERVIEW PARTNERS LLC</w:t>
      </w:r>
    </w:p>
    <w:p>
      <w:pPr>
        <w:spacing w:after="0" w:line="22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13970</wp:posOffset>
            </wp:positionV>
            <wp:extent cx="29914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542290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2" w:name="page13"/>
    <w:bookmarkEnd w:id="12"/>
    <w:p>
      <w:pPr>
        <w:ind w:left="101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99.2</w:t>
      </w:r>
    </w:p>
    <w:p>
      <w:pPr>
        <w:sectPr>
          <w:pgSz w:w="11900" w:h="16838" w:orient="portrait"/>
          <w:cols w:equalWidth="0" w:num="1">
            <w:col w:w="11240"/>
          </w:cols>
          <w:pgMar w:left="320" w:top="273"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BofA Securities, Inc.</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w:t>
      </w:r>
    </w:p>
    <w:p>
      <w:pPr>
        <w:spacing w:after="0"/>
        <w:rPr>
          <w:sz w:val="20"/>
          <w:szCs w:val="20"/>
          <w:color w:val="auto"/>
        </w:rPr>
      </w:pPr>
      <w:r>
        <w:rPr>
          <w:rFonts w:ascii="Arial" w:cs="Arial" w:eastAsia="Arial" w:hAnsi="Arial"/>
          <w:sz w:val="17"/>
          <w:szCs w:val="17"/>
          <w:color w:val="auto"/>
        </w:rPr>
        <w:t>GLOBAL CORPORATE &amp;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INVESTMENT BANKING</w:t>
      </w:r>
    </w:p>
    <w:p>
      <w:pPr>
        <w:spacing w:after="0" w:line="200" w:lineRule="exact"/>
        <w:rPr>
          <w:sz w:val="20"/>
          <w:szCs w:val="20"/>
          <w:color w:val="auto"/>
        </w:rPr>
      </w:pPr>
    </w:p>
    <w:p>
      <w:pPr>
        <w:sectPr>
          <w:pgSz w:w="11900" w:h="16838" w:orient="portrait"/>
          <w:cols w:equalWidth="0" w:num="2">
            <w:col w:w="7720" w:space="720"/>
            <w:col w:w="2800"/>
          </w:cols>
          <w:pgMar w:left="320" w:top="2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June 30, 2021</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PRA Health Sciences, Inc.</w:t>
      </w:r>
    </w:p>
    <w:p>
      <w:pPr>
        <w:spacing w:after="0"/>
        <w:rPr>
          <w:sz w:val="20"/>
          <w:szCs w:val="20"/>
          <w:color w:val="auto"/>
        </w:rPr>
      </w:pPr>
      <w:r>
        <w:rPr>
          <w:rFonts w:ascii="Arial" w:cs="Arial" w:eastAsia="Arial" w:hAnsi="Arial"/>
          <w:sz w:val="21"/>
          <w:szCs w:val="21"/>
          <w:color w:val="auto"/>
        </w:rPr>
        <w:t>4130 ParkLake Avenue, Suite 400</w:t>
      </w:r>
    </w:p>
    <w:p>
      <w:pPr>
        <w:spacing w:after="0"/>
        <w:rPr>
          <w:sz w:val="20"/>
          <w:szCs w:val="20"/>
          <w:color w:val="auto"/>
        </w:rPr>
      </w:pPr>
      <w:r>
        <w:rPr>
          <w:rFonts w:ascii="Arial" w:cs="Arial" w:eastAsia="Arial" w:hAnsi="Arial"/>
          <w:sz w:val="21"/>
          <w:szCs w:val="21"/>
          <w:color w:val="auto"/>
        </w:rPr>
        <w:t>Raleigh, NC 27612</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Members of the Board of Directors:</w:t>
      </w:r>
    </w:p>
    <w:p>
      <w:pPr>
        <w:spacing w:after="0" w:line="242" w:lineRule="exact"/>
        <w:rPr>
          <w:sz w:val="20"/>
          <w:szCs w:val="20"/>
          <w:color w:val="auto"/>
        </w:rPr>
      </w:pPr>
    </w:p>
    <w:p>
      <w:pPr>
        <w:jc w:val="both"/>
        <w:spacing w:after="0" w:line="244" w:lineRule="exact"/>
        <w:rPr>
          <w:sz w:val="20"/>
          <w:szCs w:val="20"/>
          <w:color w:val="auto"/>
        </w:rPr>
      </w:pPr>
      <w:r>
        <w:rPr>
          <w:rFonts w:ascii="Arial" w:cs="Arial" w:eastAsia="Arial" w:hAnsi="Arial"/>
          <w:sz w:val="20"/>
          <w:szCs w:val="20"/>
          <w:color w:val="auto"/>
        </w:rPr>
        <w:t>We hereby consent to the inclusion of our opinion letter, dated February 24, 2021, to the Board of Directors of PRA Health Sciences, Inc. (“PRA”) as Annex C to, and to the reference thereto under the headings “Summary—Opinions of PRA’s Financial Advisors”, “The Merger—Background of the Merger”, “The Merger—Recommendation of the PRA Board of Directors and Reasons for the Merger”, “The Merger—Opinions of PRA’s Financial Advisors”, “The Merger Proposal—ICON Unaudited Financial Forecasts” and “The Merger Proposal—PRA Unaudited Financial Forecasts” in, the joint proxy statement/prospectus relating to the proposed merger involving PRA, ICON plc (“ICON”), ICON US Holdings, Inc. (“US HoldCo”) and Indigo Merger Sub, Inc., a wholly owned subsidiary of ICON and US HoldCo, which joint proxy statement/prospectus forms a part of ICON’s Registration Statement on Form F</w:t>
      </w:r>
      <w:r>
        <w:rPr>
          <w:rFonts w:ascii="MS PGothic" w:cs="MS PGothic" w:eastAsia="MS PGothic" w:hAnsi="MS PGothic"/>
          <w:sz w:val="20"/>
          <w:szCs w:val="20"/>
          <w:color w:val="auto"/>
        </w:rPr>
        <w:t>‑</w:t>
      </w:r>
      <w:r>
        <w:rPr>
          <w:rFonts w:ascii="Arial" w:cs="Arial" w:eastAsia="Arial" w:hAnsi="Arial"/>
          <w:sz w:val="20"/>
          <w:szCs w:val="20"/>
          <w:color w:val="auto"/>
        </w:rPr>
        <w:t>4 (Registration No. 333-254891) (the “Prior Registration Statement”), filed on March 31, 2021, and declared effective as of April 27, 2021, and which Prior Registration Statement is incorporated by reference in ICON’s Registration Statement on Form F</w:t>
      </w:r>
      <w:r>
        <w:rPr>
          <w:rFonts w:ascii="MS PGothic" w:cs="MS PGothic" w:eastAsia="MS PGothic" w:hAnsi="MS PGothic"/>
          <w:sz w:val="20"/>
          <w:szCs w:val="20"/>
          <w:color w:val="auto"/>
        </w:rPr>
        <w:t>‑</w:t>
      </w:r>
      <w:r>
        <w:rPr>
          <w:rFonts w:ascii="Arial" w:cs="Arial" w:eastAsia="Arial" w:hAnsi="Arial"/>
          <w:sz w:val="20"/>
          <w:szCs w:val="20"/>
          <w:color w:val="auto"/>
        </w:rPr>
        <w:t>4 to which this consent is filed as an exhibit (the “Subsequent Registration Statement”).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Subsequent Registration Statement within the meaning of the term “experts” as used in the Securities Act and the rules and regulations of the Commission promulgated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Very truly yours,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7894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78943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695960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99.3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UBS SECURITIES LLC</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We hereby consent to the use of our opinion letter dated February 24, 2021 to the Board of Directors of PRA Health Sciences, Inc. (“PRA”) included as Annex D to the Joint Proxy Statement/Prospectus, which forms a part of the Registration Statement (File No. 333-254891), including all amendments, supplements and exhibits thereto, of ICON plc (“ICON”) on Form F-4 relating to the proposed merger of PRA and ICON (the “Prior Registration Statement”), and references to such opinion in such Joint Proxy Statement/Prospectus, which contents of such Prior Registration Statement, including such Joint Proxy Statement/Prospectus, are incorporated by reference into the Registration Statement of ICON on Form F-4 filed for the sole purpose of registering additional ICON ordinary shares estimated to be issuable upon the completion of the merger described in the Prior Registration Statement.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13970</wp:posOffset>
            </wp:positionV>
            <wp:extent cx="17811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781175" cy="1714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UBS SECURITIES LLC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530860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sectPr>
      <w:pgSz w:w="11900" w:h="16838" w:orient="portrait"/>
      <w:cols w:equalWidth="0" w:num="1">
        <w:col w:w="11240"/>
      </w:cols>
      <w:pgMar w:left="320" w:top="2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Roman"/>
      <w:start w:val="4"/>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4"/>
      <w:numFmt w:val="bullet"/>
      <w:start w:val="1"/>
    </w:lvl>
  </w:abstractNum>
  <w:abstractNum w:abstractNumId="9">
    <w:nsid w:val="4DB127F8"/>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4" Type="http://schemas.openxmlformats.org/officeDocument/2006/relationships/hyperlink" Target="https://www.sec.gov/Archives/edgar/data/1060955/000114036121010936/nt10020839x1_f4.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2021-06-30T16:03:58Z</dcterms:created>
  <dcterms:modified xsi:type="dcterms:W3CDTF">2021-06-30T16:03:58Z</dcterms:modified>
</cp:coreProperties>
</file>