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July, 2010</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 Murray,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Ciaran.Murray@iconplc.com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0" w:lineRule="exact"/>
        <w:rPr>
          <w:sz w:val="24"/>
          <w:szCs w:val="24"/>
          <w:color w:val="auto"/>
        </w:rPr>
      </w:pPr>
    </w:p>
    <w:p>
      <w:pPr>
        <w:spacing w:after="0" w:line="205"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capability and expertise to conduct clinical trials in most major therapeutic areas on a global basis. At June 30, 2010, we had approximately 7,500 employees, in 71 locations in 39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three months ended June 30, 2010, we derived approximately 43.3%, 46.5% and 10.2% of our net revenue in the United States, Europe and Rest of World,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to the pharmaceutical and biotechnology industry, headquartered in Zurich, Switzerland for an initial cash consideration of CHF 1.3 million ($1.2 million). Certain performance milestones were built into the acquisition agreement requiring potential additional consideration of up to CHF 2.9 million ($2.7 million) if these milestones are achieved during the years ended December 31, 2010 to December 31,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Credit Lines and Loan Facilities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On April 21, 2010 the Company reduced this facility to $25 million. As at June 30, 2010, $25 million was available to be drawn under this facility.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2010 AND DECEMBER 31,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r>
      <w:tr>
        <w:trPr>
          <w:trHeight w:val="22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144,801</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49,227</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191,924</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86,631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92,080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13,016</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9,625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20,126</w:t>
            </w:r>
          </w:p>
        </w:tc>
      </w:tr>
      <w:tr>
        <w:trPr>
          <w:trHeight w:val="223"/>
        </w:trPr>
        <w:tc>
          <w:tcPr>
            <w:tcW w:w="20" w:type="dxa"/>
            <w:vAlign w:val="bottom"/>
          </w:tcPr>
          <w:p>
            <w:pPr>
              <w:spacing w:after="0"/>
              <w:rPr>
                <w:sz w:val="19"/>
                <w:szCs w:val="19"/>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528,625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535,426</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162,875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178,989</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169,596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173,568</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deferred tax asset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w:t>
            </w:r>
          </w:p>
        </w:tc>
      </w:tr>
      <w:tr>
        <w:trPr>
          <w:trHeight w:val="223"/>
        </w:trPr>
        <w:tc>
          <w:tcPr>
            <w:tcW w:w="20" w:type="dxa"/>
            <w:vAlign w:val="bottom"/>
          </w:tcPr>
          <w:p>
            <w:pPr>
              <w:spacing w:after="0"/>
              <w:rPr>
                <w:sz w:val="19"/>
                <w:szCs w:val="19"/>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908,398</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12,123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141,338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165,198</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96,528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119,666</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liability</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r>
      <w:tr>
        <w:trPr>
          <w:trHeight w:val="223"/>
        </w:trPr>
        <w:tc>
          <w:tcPr>
            <w:tcW w:w="20" w:type="dxa"/>
            <w:vAlign w:val="bottom"/>
          </w:tcPr>
          <w:p>
            <w:pPr>
              <w:spacing w:after="0"/>
              <w:rPr>
                <w:sz w:val="19"/>
                <w:szCs w:val="19"/>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248,503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299,520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Liabilities: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liabilities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Non-current government grants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payable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19,350</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Non-current deferred tax liability</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13,043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12,688</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par value 6 euro cents per share; 100,000,000 shares authorized,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59,834,190 shares issued and outstanding at June 30, 2010 and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59,007,565 shares issued and outstanding at December 31, 2009</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4,965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174,188</w:t>
            </w: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(21,457)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12,584</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425,581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598,127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572,246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882,356</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908,398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7"/>
              </w:rPr>
              <w:t>ICON plc</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13"/>
          </w:tcPr>
          <w:p>
            <w:pPr>
              <w:jc w:val="center"/>
              <w:ind w:left="27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15"/>
          </w:tcPr>
          <w:p>
            <w:pPr>
              <w:jc w:val="center"/>
              <w:ind w:left="2310"/>
              <w:spacing w:after="0"/>
              <w:rPr>
                <w:sz w:val="20"/>
                <w:szCs w:val="20"/>
                <w:color w:val="auto"/>
              </w:rPr>
            </w:pPr>
            <w:r>
              <w:rPr>
                <w:rFonts w:ascii="Arial" w:cs="Arial" w:eastAsia="Arial" w:hAnsi="Arial"/>
                <w:sz w:val="18"/>
                <w:szCs w:val="18"/>
                <w:b w:val="1"/>
                <w:bCs w:val="1"/>
                <w:color w:val="auto"/>
                <w:w w:val="97"/>
              </w:rPr>
              <w:t>FOR THE THREE AND SIX MONTHS ENDED JUNE 30, 2010 AND JUNE 30, 2009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00" w:type="dxa"/>
            <w:vAlign w:val="bottom"/>
            <w:gridSpan w:val="9"/>
          </w:tcPr>
          <w:p>
            <w:pPr>
              <w:jc w:val="right"/>
              <w:ind w:right="720"/>
              <w:spacing w:after="0" w:line="194" w:lineRule="exact"/>
              <w:rPr>
                <w:sz w:val="20"/>
                <w:szCs w:val="20"/>
                <w:color w:val="auto"/>
              </w:rPr>
            </w:pPr>
            <w:r>
              <w:rPr>
                <w:rFonts w:ascii="Arial" w:cs="Arial" w:eastAsia="Arial" w:hAnsi="Arial"/>
                <w:sz w:val="18"/>
                <w:szCs w:val="18"/>
                <w:b w:val="1"/>
                <w:bCs w:val="1"/>
                <w:color w:val="auto"/>
                <w:w w:val="87"/>
              </w:rPr>
              <w:t>Three Months Ended</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jc w:val="right"/>
              <w:ind w:right="740"/>
              <w:spacing w:after="0" w:line="194" w:lineRule="exact"/>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77"/>
              </w:rPr>
              <w:t>June 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5"/>
          </w:tcPr>
          <w:p>
            <w:pPr>
              <w:jc w:val="right"/>
              <w:ind w:right="200"/>
              <w:spacing w:after="0" w:line="196" w:lineRule="exact"/>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7"/>
                <w:szCs w:val="17"/>
                <w:color w:val="auto"/>
              </w:rPr>
            </w:pPr>
          </w:p>
        </w:tc>
        <w:tc>
          <w:tcPr>
            <w:tcW w:w="10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16"/>
          </w:tcPr>
          <w:p>
            <w:pPr>
              <w:jc w:val="right"/>
              <w:ind w:right="30"/>
              <w:spacing w:after="0"/>
              <w:rPr>
                <w:sz w:val="20"/>
                <w:szCs w:val="20"/>
                <w:color w:val="auto"/>
              </w:rPr>
            </w:pPr>
            <w:r>
              <w:rPr>
                <w:rFonts w:ascii="Arial" w:cs="Arial" w:eastAsia="Arial" w:hAnsi="Arial"/>
                <w:sz w:val="18"/>
                <w:szCs w:val="18"/>
                <w:b w:val="1"/>
                <w:bCs w:val="1"/>
                <w:color w:val="auto"/>
                <w:w w:val="92"/>
              </w:rPr>
              <w:t>(in thousands except share and per share data)</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313,087</w:t>
            </w: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300,969</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622,638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619,507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Reimbursable expenses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(89,336)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(80,968)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rPr>
              <w:t>(179,775)</w:t>
            </w:r>
          </w:p>
        </w:tc>
        <w:tc>
          <w:tcPr>
            <w:tcW w:w="32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(179,675)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revenue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223,751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220,001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442,863</w:t>
            </w:r>
          </w:p>
        </w:tc>
        <w:tc>
          <w:tcPr>
            <w:tcW w:w="3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439,832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130,869</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125,146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262,187</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249,314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58,923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58,010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111,217</w:t>
            </w:r>
          </w:p>
        </w:tc>
        <w:tc>
          <w:tcPr>
            <w:tcW w:w="3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119,268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7,526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17,003</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One-time net charges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8,941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198,073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199,623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390,407</w:t>
            </w:r>
          </w:p>
        </w:tc>
        <w:tc>
          <w:tcPr>
            <w:tcW w:w="320" w:type="dxa"/>
            <w:vAlign w:val="bottom"/>
          </w:tcPr>
          <w:p>
            <w:pPr>
              <w:spacing w:after="0"/>
              <w:rPr>
                <w:sz w:val="19"/>
                <w:szCs w:val="19"/>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392,539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25,678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20,378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52,456</w:t>
            </w:r>
          </w:p>
        </w:tc>
        <w:tc>
          <w:tcPr>
            <w:tcW w:w="3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47,293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rPr>
              <w:t>(771)</w:t>
            </w:r>
          </w:p>
        </w:tc>
        <w:tc>
          <w:tcPr>
            <w:tcW w:w="32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25,739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19,503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52,325</w:t>
            </w:r>
          </w:p>
        </w:tc>
        <w:tc>
          <w:tcPr>
            <w:tcW w:w="3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45,682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(including one-time credits)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(7,253)</w:t>
            </w:r>
          </w:p>
        </w:tc>
        <w:tc>
          <w:tcPr>
            <w:tcW w:w="3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22,873</w:t>
            </w:r>
          </w:p>
        </w:tc>
        <w:tc>
          <w:tcPr>
            <w:tcW w:w="160" w:type="dxa"/>
            <w:vAlign w:val="bottom"/>
            <w:tcBorders>
              <w:left w:val="single" w:sz="8" w:color="CCEEFF"/>
            </w:tcBorders>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18,530</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45,072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Ordinary Share:</w:t>
            </w: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Borders>
              <w:left w:val="single" w:sz="8" w:color="CCEEFF"/>
            </w:tcBorders>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0.31</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0.74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59,667,635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58,576,384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w w:val="90"/>
              </w:rPr>
              <w:t>59,395,142</w:t>
            </w:r>
          </w:p>
        </w:tc>
        <w:tc>
          <w:tcPr>
            <w:tcW w:w="3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58,557,089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60,768,374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59,674,939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w w:val="90"/>
              </w:rPr>
              <w:t>60,557,687</w:t>
            </w:r>
          </w:p>
        </w:tc>
        <w:tc>
          <w:tcPr>
            <w:tcW w:w="3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59,716,244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7"/>
              </w:rPr>
              <w:t>ICON plc</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7"/>
              </w:rPr>
              <w:t>FOR THE SIX MONTHS ENDED JUNE 30, 2010 AND JUNE 30, 2009</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2010</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45,072</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39,474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Loss on disposal of property, plant and equipment</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17,003</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Amortization of grants</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 compensation expense</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(1,451)</w:t>
            </w: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Decrease in accounts receivable</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19,195</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unbilled revenue</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12,398</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(Increase)/decrease in other receivables</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prepayments and other current assets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(3,662)</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Increase in other non current assets</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(Decrease)/increase in payments on account</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(20,784)</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(Decrease)/increase in other current liabilities</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(8,527)</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Increase in other non current liabilities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(Decrease)/increase in income taxes payable</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(6,661)</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Decrease in accounts payable</w:t>
            </w:r>
          </w:p>
        </w:tc>
        <w:tc>
          <w:tcPr>
            <w:tcW w:w="36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(4,107)</w:t>
            </w:r>
          </w:p>
        </w:tc>
        <w:tc>
          <w:tcPr>
            <w:tcW w:w="6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51,820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(16,969)</w:t>
            </w: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subsidiary undertakings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(30,260)</w:t>
            </w: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short term investments</w:t>
            </w:r>
          </w:p>
        </w:tc>
        <w:tc>
          <w:tcPr>
            <w:tcW w:w="36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79,487</w:t>
            </w:r>
          </w:p>
        </w:tc>
        <w:tc>
          <w:tcPr>
            <w:tcW w:w="6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31,097</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Drawdown of bank credit lines and loan facilities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credit lines and facilities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8,996</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2,179</w:t>
            </w:r>
          </w:p>
        </w:tc>
        <w:tc>
          <w:tcPr>
            <w:tcW w:w="6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other liabilities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provided by/(used in) financing activities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10,987</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(17,943)</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75,961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144,801</w:t>
            </w:r>
          </w:p>
        </w:tc>
        <w:tc>
          <w:tcPr>
            <w:tcW w:w="6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5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220,762</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858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580" w:type="dxa"/>
            <w:vAlign w:val="bottom"/>
            <w:gridSpan w:val="2"/>
          </w:tcPr>
          <w:p>
            <w:pPr>
              <w:jc w:val="center"/>
              <w:ind w:left="2750"/>
              <w:spacing w:after="0"/>
              <w:rPr>
                <w:sz w:val="20"/>
                <w:szCs w:val="20"/>
                <w:color w:val="auto"/>
              </w:rPr>
            </w:pPr>
            <w:r>
              <w:rPr>
                <w:rFonts w:ascii="Arial" w:cs="Arial" w:eastAsia="Arial" w:hAnsi="Arial"/>
                <w:sz w:val="18"/>
                <w:szCs w:val="18"/>
                <w:color w:val="auto"/>
                <w:w w:val="99"/>
              </w:rPr>
              <w:t>6</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5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Paid-in</w:t>
            </w:r>
          </w:p>
        </w:tc>
        <w:tc>
          <w:tcPr>
            <w:tcW w:w="1400" w:type="dxa"/>
            <w:vAlign w:val="bottom"/>
            <w:gridSpan w:val="7"/>
          </w:tcPr>
          <w:p>
            <w:pPr>
              <w:ind w:left="80"/>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6"/>
              </w:rPr>
              <w:t>Retained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Income</w:t>
            </w:r>
          </w:p>
        </w:tc>
        <w:tc>
          <w:tcPr>
            <w:tcW w:w="340" w:type="dxa"/>
            <w:vAlign w:val="bottom"/>
          </w:tcPr>
          <w:p>
            <w:pPr>
              <w:spacing w:after="0"/>
              <w:rPr>
                <w:sz w:val="17"/>
                <w:szCs w:val="17"/>
                <w:color w:val="auto"/>
              </w:rPr>
            </w:pPr>
          </w:p>
        </w:tc>
        <w:tc>
          <w:tcPr>
            <w:tcW w:w="9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gridSpan w:val="15"/>
          </w:tcPr>
          <w:p>
            <w:pPr>
              <w:jc w:val="right"/>
              <w:ind w:right="130"/>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59,007,565</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174,188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380,509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572,246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45,072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 adjustment</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of taxation)</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(34,041)</w:t>
            </w:r>
          </w:p>
        </w:tc>
        <w:tc>
          <w:tcPr>
            <w:tcW w:w="3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comprehensive income</w:t>
            </w: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11,031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826,625</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8,930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2010</w:t>
            </w:r>
          </w:p>
        </w:tc>
        <w:tc>
          <w:tcPr>
            <w:tcW w:w="13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59,834,190</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188,972</w:t>
            </w:r>
          </w:p>
        </w:tc>
        <w:tc>
          <w:tcPr>
            <w:tcW w:w="1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(21,457)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425,581</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598,127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2009. Operating results for the six months ended June 30, 2010, are not necessarily indicative of the results that may be expected for the fiscal period ending December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9"/>
        </w:trPr>
        <w:tc>
          <w:tcPr>
            <w:tcW w:w="2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5"/>
              </w:rPr>
              <w:t>June 30,</w:t>
            </w:r>
          </w:p>
        </w:tc>
        <w:tc>
          <w:tcPr>
            <w:tcW w:w="240" w:type="dxa"/>
            <w:vAlign w:val="bottom"/>
          </w:tcPr>
          <w:p>
            <w:pPr>
              <w:spacing w:after="0"/>
              <w:rPr>
                <w:sz w:val="24"/>
                <w:szCs w:val="2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December 31,</w:t>
            </w:r>
          </w:p>
        </w:tc>
      </w:tr>
      <w:tr>
        <w:trPr>
          <w:trHeight w:val="20"/>
        </w:trPr>
        <w:tc>
          <w:tcPr>
            <w:tcW w:w="2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4"/>
              </w:rPr>
              <w:t>2009</w:t>
            </w:r>
          </w:p>
        </w:tc>
      </w:tr>
      <w:tr>
        <w:trPr>
          <w:trHeight w:val="20"/>
        </w:trPr>
        <w:tc>
          <w:tcPr>
            <w:tcW w:w="2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4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173,568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169,344</w:t>
            </w:r>
          </w:p>
        </w:tc>
      </w:tr>
      <w:tr>
        <w:trPr>
          <w:trHeight w:val="216"/>
        </w:trPr>
        <w:tc>
          <w:tcPr>
            <w:tcW w:w="24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3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3,732</w:t>
            </w:r>
          </w:p>
        </w:tc>
        <w:tc>
          <w:tcPr>
            <w:tcW w:w="24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1,584</w:t>
            </w:r>
          </w:p>
        </w:tc>
      </w:tr>
      <w:tr>
        <w:trPr>
          <w:trHeight w:val="216"/>
        </w:trPr>
        <w:tc>
          <w:tcPr>
            <w:tcW w:w="24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(836)</w:t>
            </w:r>
          </w:p>
        </w:tc>
      </w:tr>
      <w:tr>
        <w:trPr>
          <w:trHeight w:val="216"/>
        </w:trPr>
        <w:tc>
          <w:tcPr>
            <w:tcW w:w="24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32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(7,814)</w:t>
            </w:r>
          </w:p>
        </w:tc>
        <w:tc>
          <w:tcPr>
            <w:tcW w:w="24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3,476</w:t>
            </w:r>
          </w:p>
        </w:tc>
      </w:tr>
      <w:tr>
        <w:trPr>
          <w:trHeight w:val="27"/>
        </w:trPr>
        <w:tc>
          <w:tcPr>
            <w:tcW w:w="2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432"/>
        </w:trPr>
        <w:tc>
          <w:tcPr>
            <w:tcW w:w="240" w:type="dxa"/>
            <w:vAlign w:val="bottom"/>
          </w:tcPr>
          <w:p>
            <w:pPr>
              <w:spacing w:after="0"/>
              <w:rPr>
                <w:sz w:val="24"/>
                <w:szCs w:val="2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169,596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173,568</w:t>
            </w:r>
          </w:p>
        </w:tc>
      </w:tr>
      <w:tr>
        <w:trPr>
          <w:trHeight w:val="27"/>
        </w:trPr>
        <w:tc>
          <w:tcPr>
            <w:tcW w:w="240" w:type="dxa"/>
            <w:vAlign w:val="bottom"/>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459"/>
        </w:trPr>
        <w:tc>
          <w:tcPr>
            <w:tcW w:w="8460" w:type="dxa"/>
            <w:vAlign w:val="bottom"/>
            <w:gridSpan w:val="2"/>
          </w:tcPr>
          <w:p>
            <w:pPr>
              <w:spacing w:after="0"/>
              <w:rPr>
                <w:sz w:val="20"/>
                <w:szCs w:val="20"/>
                <w:color w:val="auto"/>
              </w:rPr>
            </w:pPr>
            <w:r>
              <w:rPr>
                <w:rFonts w:ascii="Arial" w:cs="Arial" w:eastAsia="Arial" w:hAnsi="Arial"/>
                <w:sz w:val="18"/>
                <w:szCs w:val="18"/>
                <w:color w:val="auto"/>
              </w:rPr>
              <w:t>The goodwill balance relates entirely to the clinical research segment.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2010, the Company acquired Timaq Medical Imaging (“Timaq”), a European provider of advanced imaging services to the pharmaceutical and biotechnology industry, headquartered in Zurich, Switzerland for an initial cash consideration of CHF 1.3 million ($1.2 million). Certain performance milestones were built into the acquisition agreement requiring potential additional consideration of up to CHF 2.9 million ($2.7 million) if these milestones are achieved during the years ended December 31, 2010 to December 31, 2013.</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summarises the fair values of the assets acquired and the liabilities assumed:</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 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8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the pharmaceutical and biotechnology industry.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Prior Period Acquisitions - Acquisition of Qualia Clinical Services Inc. and Veeda Laboratories Ltd.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2009, the Company completed the acquisitions of Qualia Clinical Services, Inc., a Phase 1 facility located in Omaha, Nebraska and Veeda Laboratories Limited, a specialist provider of biomarker laboratory services to the global pharmaceutical and biotechnology industries, located in Oxford, United Kingdom, neither of which are considered individually significant. In aggregate, the total purchase price for these acquisitions was approximately $2.2 million. The excess of the consideration paid over the carrying value of the assets acquired of $0.6 million, has been recorded as goodwill of $1.6 million.</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acquisitions of Qualia Clinical Services Inc. and Veeda Laboratories Ltd. have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which is effective for all acquisitions which have taken place since January 1, 2009</w:t>
      </w:r>
      <w:r>
        <w:rPr>
          <w:rFonts w:ascii="Arial" w:cs="Arial" w:eastAsia="Arial" w:hAnsi="Arial"/>
          <w:sz w:val="18"/>
          <w:szCs w:val="18"/>
          <w:i w:val="1"/>
          <w:i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gridSpan w:val="3"/>
          </w:tcPr>
          <w:p>
            <w:pPr>
              <w:spacing w:after="0"/>
              <w:rPr>
                <w:sz w:val="20"/>
                <w:szCs w:val="20"/>
                <w:color w:val="auto"/>
              </w:rPr>
            </w:pPr>
            <w:r>
              <w:rPr>
                <w:rFonts w:ascii="Arial" w:cs="Arial" w:eastAsia="Arial" w:hAnsi="Arial"/>
                <w:sz w:val="18"/>
                <w:szCs w:val="18"/>
                <w:color w:val="auto"/>
              </w:rPr>
              <w:t>The following table summarises the fair values of the assets acquired and the liabilities assumed:</w:t>
            </w: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Intangible assets</w:t>
            </w:r>
          </w:p>
        </w:tc>
        <w:tc>
          <w:tcPr>
            <w:tcW w:w="1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w:t>
            </w:r>
          </w:p>
        </w:tc>
        <w:tc>
          <w:tcPr>
            <w:tcW w:w="1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Non current liabilities</w:t>
            </w:r>
          </w:p>
        </w:tc>
        <w:tc>
          <w:tcPr>
            <w:tcW w:w="1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3"/>
        </w:trPr>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Borders>
              <w:top w:val="single" w:sz="8" w:color="CCEEFF"/>
            </w:tcBorders>
          </w:tcPr>
          <w:p>
            <w:pPr>
              <w:spacing w:after="0"/>
              <w:rPr>
                <w:sz w:val="19"/>
                <w:szCs w:val="19"/>
                <w:color w:val="auto"/>
              </w:rPr>
            </w:pPr>
          </w:p>
        </w:tc>
      </w:tr>
    </w:tbl>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3. One-time net charges</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460" w:type="dxa"/>
            <w:vAlign w:val="bottom"/>
            <w:gridSpan w:val="2"/>
          </w:tcPr>
          <w:p>
            <w:pPr>
              <w:spacing w:after="0"/>
              <w:rPr>
                <w:sz w:val="20"/>
                <w:szCs w:val="20"/>
                <w:color w:val="auto"/>
              </w:rPr>
            </w:pPr>
            <w:r>
              <w:rPr>
                <w:rFonts w:ascii="Arial" w:cs="Arial" w:eastAsia="Arial" w:hAnsi="Arial"/>
                <w:sz w:val="18"/>
                <w:szCs w:val="18"/>
                <w:color w:val="auto"/>
              </w:rPr>
              <w:t>One-time net charges recognised during the three months ended June 30, 2010, comprise:</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2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2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June 30,</w:t>
            </w:r>
          </w:p>
        </w:tc>
      </w:tr>
      <w:tr>
        <w:trPr>
          <w:trHeight w:val="216"/>
        </w:trPr>
        <w:tc>
          <w:tcPr>
            <w:tcW w:w="2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6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r>
      <w:tr>
        <w:trPr>
          <w:trHeight w:val="234"/>
        </w:trPr>
        <w:tc>
          <w:tcPr>
            <w:tcW w:w="2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13,434</w:t>
            </w:r>
          </w:p>
        </w:tc>
      </w:tr>
      <w:tr>
        <w:trPr>
          <w:trHeight w:val="216"/>
        </w:trPr>
        <w:tc>
          <w:tcPr>
            <w:tcW w:w="24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Research and development incentives</w:t>
            </w:r>
          </w:p>
        </w:tc>
        <w:tc>
          <w:tcPr>
            <w:tcW w:w="1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(4,493)</w:t>
            </w:r>
          </w:p>
        </w:tc>
      </w:tr>
      <w:tr>
        <w:trPr>
          <w:trHeight w:val="27"/>
        </w:trPr>
        <w:tc>
          <w:tcPr>
            <w:tcW w:w="240" w:type="dxa"/>
            <w:vAlign w:val="bottom"/>
          </w:tcPr>
          <w:p>
            <w:pPr>
              <w:spacing w:after="0"/>
              <w:rPr>
                <w:sz w:val="2"/>
                <w:szCs w:val="2"/>
                <w:color w:val="auto"/>
              </w:rPr>
            </w:pPr>
          </w:p>
        </w:tc>
        <w:tc>
          <w:tcPr>
            <w:tcW w:w="72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4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8,941</w:t>
            </w:r>
          </w:p>
        </w:tc>
      </w:tr>
      <w:tr>
        <w:trPr>
          <w:trHeight w:val="27"/>
        </w:trPr>
        <w:tc>
          <w:tcPr>
            <w:tcW w:w="240" w:type="dxa"/>
            <w:vAlign w:val="bottom"/>
          </w:tcPr>
          <w:p>
            <w:pPr>
              <w:spacing w:after="0"/>
              <w:rPr>
                <w:sz w:val="2"/>
                <w:szCs w:val="2"/>
                <w:color w:val="auto"/>
              </w:rPr>
            </w:pPr>
          </w:p>
        </w:tc>
        <w:tc>
          <w:tcPr>
            <w:tcW w:w="72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response to the globalization of clinical studies and its attendant impact on resources in existing and emerging markets, the Company conducted a review of its existing infrastructure during the three months ended June 30, 2009, to better align its resources with the needs of its clients. This realignment resulted in resource rationalizations in certain more mature markets in which the Company operates. A restructuring charge of $13.4 million was recognised during the three months ended June 30, 2009, comprising $8.3 million in respect of office consolidations and $5.1 million is respect of workforce reductions.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Tax Incentives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June 30, 2009, the Company received research and development incentives in certain jurisdictions in which it operates. Income of $4.5 million was recognized during the three months ended June 30, 2009, in respect of these incentives.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4. Income Taxes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4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tcPr>
          <w:p>
            <w:pPr>
              <w:spacing w:after="0"/>
              <w:rPr>
                <w:sz w:val="24"/>
                <w:szCs w:val="24"/>
                <w:color w:val="auto"/>
              </w:rPr>
            </w:pPr>
          </w:p>
        </w:tc>
        <w:tc>
          <w:tcPr>
            <w:tcW w:w="1440" w:type="dxa"/>
            <w:vAlign w:val="bottom"/>
            <w:gridSpan w:val="5"/>
          </w:tcPr>
          <w:p>
            <w:pPr>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4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6"/>
              </w:rPr>
              <w:t>June 30</w:t>
            </w:r>
          </w:p>
        </w:tc>
        <w:tc>
          <w:tcPr>
            <w:tcW w:w="94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3"/>
              </w:rPr>
              <w:t>June 30</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86"/>
              </w:rPr>
              <w:t>June 30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9"/>
              </w:rPr>
              <w:t>June 30</w:t>
            </w:r>
          </w:p>
        </w:tc>
      </w:tr>
      <w:tr>
        <w:trPr>
          <w:trHeight w:val="196"/>
        </w:trPr>
        <w:tc>
          <w:tcPr>
            <w:tcW w:w="4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940" w:type="dxa"/>
            <w:vAlign w:val="bottom"/>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one-time credits</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940" w:type="dxa"/>
            <w:vAlign w:val="bottom"/>
            <w:tcBorders>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4,263</w:t>
            </w: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7,253</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9,498</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One-time credits</w:t>
            </w:r>
          </w:p>
        </w:tc>
        <w:tc>
          <w:tcPr>
            <w:tcW w:w="130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(3,290)</w:t>
            </w:r>
          </w:p>
        </w:tc>
        <w:tc>
          <w:tcPr>
            <w:tcW w:w="72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(3,290)</w:t>
            </w:r>
          </w:p>
        </w:tc>
      </w:tr>
      <w:tr>
        <w:trPr>
          <w:trHeight w:val="439"/>
        </w:trPr>
        <w:tc>
          <w:tcPr>
            <w:tcW w:w="4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after one time credits</w:t>
            </w:r>
          </w:p>
        </w:tc>
        <w:tc>
          <w:tcPr>
            <w:tcW w:w="1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940" w:type="dxa"/>
            <w:vAlign w:val="bottom"/>
            <w:tcBorders>
              <w:top w:val="single" w:sz="8" w:color="auto"/>
              <w:bottom w:val="single" w:sz="8" w:color="auto"/>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7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7,253</w:t>
            </w:r>
          </w:p>
        </w:tc>
        <w:tc>
          <w:tcPr>
            <w:tcW w:w="7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June 30, 2010, the Company maintains a $17.7 million liability (December 31, 2009: $18.9 million) for unrecognized tax benefit, which is comprised of $14.5 million (December 31, 2009: $15.4 million) related to items generating unrecognized tax benefits and $3.2 million (December 31, 2009: $3.5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2005 through 2009 tax years. The Company does not believe that the outcome of any examination will have a material impact on its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Weighted average number of ordinary shares outstanding for basic net income per ordinary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Effect of dilutive share options outstanding</w:t>
      </w:r>
    </w:p>
    <w:p>
      <w:pPr>
        <w:spacing w:after="0" w:line="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Weighted average number of ordinary shares for diluted net income per ordinary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Options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9"/>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216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w w:val="93"/>
              </w:rPr>
              <w:t>Six Months Ended</w:t>
            </w:r>
          </w:p>
        </w:tc>
      </w:tr>
      <w:tr>
        <w:trPr>
          <w:trHeight w:val="20"/>
        </w:trPr>
        <w:tc>
          <w:tcPr>
            <w:tcW w:w="6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9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7"/>
                <w:szCs w:val="17"/>
                <w:color w:val="auto"/>
              </w:rPr>
            </w:pPr>
          </w:p>
        </w:tc>
        <w:tc>
          <w:tcPr>
            <w:tcW w:w="980" w:type="dxa"/>
            <w:vAlign w:val="bottom"/>
            <w:gridSpan w:val="4"/>
          </w:tcPr>
          <w:p>
            <w:pPr>
              <w:jc w:val="right"/>
              <w:ind w:right="340"/>
              <w:spacing w:after="0" w:line="196" w:lineRule="exact"/>
              <w:rPr>
                <w:sz w:val="20"/>
                <w:szCs w:val="20"/>
                <w:color w:val="auto"/>
              </w:rPr>
            </w:pPr>
            <w:r>
              <w:rPr>
                <w:rFonts w:ascii="Arial" w:cs="Arial" w:eastAsia="Arial" w:hAnsi="Arial"/>
                <w:sz w:val="18"/>
                <w:szCs w:val="18"/>
                <w:b w:val="1"/>
                <w:bCs w:val="1"/>
                <w:color w:val="auto"/>
                <w:w w:val="85"/>
              </w:rPr>
              <w:t>June 30,</w:t>
            </w:r>
          </w:p>
        </w:tc>
        <w:tc>
          <w:tcPr>
            <w:tcW w:w="500" w:type="dxa"/>
            <w:vAlign w:val="bottom"/>
          </w:tcPr>
          <w:p>
            <w:pPr>
              <w:spacing w:after="0"/>
              <w:rPr>
                <w:sz w:val="17"/>
                <w:szCs w:val="17"/>
                <w:color w:val="auto"/>
              </w:rPr>
            </w:pPr>
          </w:p>
        </w:tc>
        <w:tc>
          <w:tcPr>
            <w:tcW w:w="1000" w:type="dxa"/>
            <w:vAlign w:val="bottom"/>
            <w:gridSpan w:val="4"/>
          </w:tcPr>
          <w:p>
            <w:pPr>
              <w:jc w:val="right"/>
              <w:ind w:right="360"/>
              <w:spacing w:after="0" w:line="196" w:lineRule="exact"/>
              <w:rPr>
                <w:sz w:val="20"/>
                <w:szCs w:val="20"/>
                <w:color w:val="auto"/>
              </w:rPr>
            </w:pPr>
            <w:r>
              <w:rPr>
                <w:rFonts w:ascii="Arial" w:cs="Arial" w:eastAsia="Arial" w:hAnsi="Arial"/>
                <w:sz w:val="18"/>
                <w:szCs w:val="18"/>
                <w:b w:val="1"/>
                <w:bCs w:val="1"/>
                <w:color w:val="auto"/>
                <w:w w:val="85"/>
              </w:rPr>
              <w:t>June 30,</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r>
      <w:tr>
        <w:trPr>
          <w:trHeight w:val="20"/>
        </w:trPr>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4"/>
          </w:tcPr>
          <w:p>
            <w:pPr>
              <w:jc w:val="right"/>
              <w:ind w:right="340"/>
              <w:spacing w:after="0" w:line="196" w:lineRule="exact"/>
              <w:rPr>
                <w:sz w:val="20"/>
                <w:szCs w:val="20"/>
                <w:color w:val="auto"/>
              </w:rPr>
            </w:pPr>
            <w:r>
              <w:rPr>
                <w:rFonts w:ascii="Arial" w:cs="Arial" w:eastAsia="Arial" w:hAnsi="Arial"/>
                <w:sz w:val="18"/>
                <w:szCs w:val="18"/>
                <w:b w:val="1"/>
                <w:bCs w:val="1"/>
                <w:color w:val="auto"/>
              </w:rPr>
              <w:t>2009</w:t>
            </w:r>
          </w:p>
        </w:tc>
        <w:tc>
          <w:tcPr>
            <w:tcW w:w="150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rPr>
              <w:t>2010</w:t>
            </w: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2009</w:t>
            </w:r>
          </w:p>
        </w:tc>
      </w:tr>
      <w:tr>
        <w:trPr>
          <w:trHeight w:val="20"/>
        </w:trPr>
        <w:tc>
          <w:tcPr>
            <w:tcW w:w="9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438"/>
        </w:trPr>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59,667,635</w:t>
            </w:r>
          </w:p>
        </w:tc>
        <w:tc>
          <w:tcPr>
            <w:tcW w:w="1480" w:type="dxa"/>
            <w:vAlign w:val="bottom"/>
            <w:gridSpan w:val="5"/>
          </w:tcPr>
          <w:p>
            <w:pPr>
              <w:jc w:val="right"/>
              <w:ind w:right="340"/>
              <w:spacing w:after="0"/>
              <w:rPr>
                <w:sz w:val="20"/>
                <w:szCs w:val="20"/>
                <w:color w:val="auto"/>
              </w:rPr>
            </w:pPr>
            <w:r>
              <w:rPr>
                <w:rFonts w:ascii="Arial" w:cs="Arial" w:eastAsia="Arial" w:hAnsi="Arial"/>
                <w:sz w:val="18"/>
                <w:szCs w:val="18"/>
                <w:color w:val="auto"/>
              </w:rPr>
              <w:t>58,576,384</w:t>
            </w:r>
          </w:p>
        </w:tc>
        <w:tc>
          <w:tcPr>
            <w:tcW w:w="1500" w:type="dxa"/>
            <w:vAlign w:val="bottom"/>
            <w:gridSpan w:val="5"/>
          </w:tcPr>
          <w:p>
            <w:pPr>
              <w:jc w:val="right"/>
              <w:ind w:right="360"/>
              <w:spacing w:after="0"/>
              <w:rPr>
                <w:sz w:val="20"/>
                <w:szCs w:val="20"/>
                <w:color w:val="auto"/>
              </w:rPr>
            </w:pPr>
            <w:r>
              <w:rPr>
                <w:rFonts w:ascii="Arial" w:cs="Arial" w:eastAsia="Arial" w:hAnsi="Arial"/>
                <w:sz w:val="18"/>
                <w:szCs w:val="18"/>
                <w:color w:val="auto"/>
              </w:rPr>
              <w:t>59,395,142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58,557,089</w:t>
            </w:r>
          </w:p>
        </w:tc>
      </w:tr>
      <w:tr>
        <w:trPr>
          <w:trHeight w:val="237"/>
        </w:trPr>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1,100,739</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color w:val="auto"/>
              </w:rPr>
              <w:t>1,098,555</w:t>
            </w:r>
          </w:p>
        </w:tc>
        <w:tc>
          <w:tcPr>
            <w:tcW w:w="15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color w:val="auto"/>
              </w:rPr>
              <w:t>1,162,545</w:t>
            </w: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1,159,155</w:t>
            </w:r>
          </w:p>
        </w:tc>
      </w:tr>
      <w:tr>
        <w:trPr>
          <w:trHeight w:val="432"/>
        </w:trPr>
        <w:tc>
          <w:tcPr>
            <w:tcW w:w="16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color w:val="auto"/>
              </w:rPr>
              <w:t>60,768,374</w:t>
            </w:r>
          </w:p>
        </w:tc>
        <w:tc>
          <w:tcPr>
            <w:tcW w:w="14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color w:val="auto"/>
              </w:rPr>
              <w:t>59,674,939</w:t>
            </w:r>
          </w:p>
        </w:tc>
        <w:tc>
          <w:tcPr>
            <w:tcW w:w="15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color w:val="auto"/>
              </w:rPr>
              <w:t>60,557,687</w:t>
            </w: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59,716,244</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-736600</wp:posOffset>
            </wp:positionV>
            <wp:extent cx="72466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-307975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5160" w:space="520"/>
            <w:col w:w="5740"/>
          </w:cols>
          <w:pgMar w:left="240" w:top="270" w:right="239" w:bottom="1440" w:gutter="0" w:footer="0" w:header="0"/>
          <w:type w:val="continuous"/>
        </w:sectPr>
      </w:pP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21, 2008, the Company adopted the Employee Share Option Plan 2008 (the “2008 Employee Plan”) pursuant to which the Compensation and Organization Committee of the Company’s Board of Directors (the “Committee”)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Committee may grant options to any consultant, adviser or non-executive director retained by the Company or any Subsidiary for the purchase of ordinary shares.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Code. Each grant of an option under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the 2008 Employees Restricted Share Unit Plan (the “2008 RSU Plan”) pursuant to which the Committee may select any employee, or any director holding a salaried office or employment with the Company or a Subsidiary to receive an award under the plan. An aggregate of 1.0 million ordinary shares have been reserved for issuance under the 2008 RSU Plan. Awards under the 2008 RSU Plan may be settled in cash or shares.</w:t>
      </w: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January 17, 2003, the Company adopted the Share Option Plan 2003 (the “2003 Plan”) pursuant to which the Committee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11" w:name="page12"/>
    <w:bookmarkEnd w:id="11"/>
    <w:p>
      <w:pPr>
        <w:ind w:right="60"/>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No options can be granted after January 17, 2013.</w:t>
      </w:r>
    </w:p>
    <w:p>
      <w:pPr>
        <w:spacing w:after="0" w:line="19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2010,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4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Weighted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 Outstanding</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4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 Shares</w:t>
            </w:r>
          </w:p>
        </w:tc>
        <w:tc>
          <w:tcPr>
            <w:tcW w:w="3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4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5,408,222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7.60</w:t>
            </w: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989,327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9.17</w:t>
            </w: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Exercised</w:t>
            </w:r>
          </w:p>
        </w:tc>
        <w:tc>
          <w:tcPr>
            <w:tcW w:w="1980" w:type="dxa"/>
            <w:vAlign w:val="bottom"/>
          </w:tcPr>
          <w:p>
            <w:pPr>
              <w:jc w:val="right"/>
              <w:spacing w:after="0"/>
              <w:rPr>
                <w:sz w:val="20"/>
                <w:szCs w:val="20"/>
                <w:color w:val="auto"/>
              </w:rPr>
            </w:pPr>
            <w:r>
              <w:rPr>
                <w:rFonts w:ascii="Arial" w:cs="Arial" w:eastAsia="Arial" w:hAnsi="Arial"/>
                <w:sz w:val="18"/>
                <w:szCs w:val="18"/>
                <w:color w:val="auto"/>
              </w:rPr>
              <w:t>(826,625)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4.81</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9.96</w:t>
            </w: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2010</w:t>
            </w:r>
          </w:p>
        </w:tc>
        <w:tc>
          <w:tcPr>
            <w:tcW w:w="1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5,402,484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2010</w:t>
            </w:r>
          </w:p>
        </w:tc>
        <w:tc>
          <w:tcPr>
            <w:tcW w:w="1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2,538,000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6.81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granted options with fair values ranging from $3.17 to $13.93 per option or a weighted average fair value of $6.63 per option. The Company issues ordinary shares for all options exercised. The total amount of fully vested share options which remained outstanding at June 30, 2010, was 2,538,000. Fully vested share options at June 30, 2010, have an average remaining contractual term of 3.81 years, an average exercise price of $16.80 and a total intrinsic value of $33.4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during the three months ended June 30, 2010, was $6.7 million (June 30, 2009: $0.5 million). The total intrinsic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 of options exercised during the six months ended June 30, 2010, was $14.9 million (June 30, 2009: $1.0 million).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w w:val="96"/>
              </w:rPr>
              <w:t>Non vested shares outstanding as at June 30, 2010, are as follows:</w:t>
            </w:r>
          </w:p>
        </w:tc>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Weighted Average</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Number of Shares</w:t>
            </w:r>
          </w:p>
        </w:tc>
        <w:tc>
          <w:tcPr>
            <w:tcW w:w="3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Exercise Price</w:t>
            </w:r>
          </w:p>
        </w:tc>
        <w:tc>
          <w:tcPr>
            <w:tcW w:w="4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2009</w:t>
            </w:r>
          </w:p>
        </w:tc>
        <w:tc>
          <w:tcPr>
            <w:tcW w:w="2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2,904,687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989,327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Vested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(889,889)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(139,641)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June 30, 2010</w:t>
            </w:r>
          </w:p>
        </w:tc>
        <w:tc>
          <w:tcPr>
            <w:tcW w:w="2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2,864,484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18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jc w:val="right"/>
              <w:ind w:right="650"/>
              <w:spacing w:after="0"/>
              <w:rPr>
                <w:sz w:val="20"/>
                <w:szCs w:val="20"/>
                <w:color w:val="auto"/>
              </w:rPr>
            </w:pPr>
            <w:r>
              <w:rPr>
                <w:rFonts w:ascii="Arial" w:cs="Arial" w:eastAsia="Arial" w:hAnsi="Arial"/>
                <w:sz w:val="18"/>
                <w:szCs w:val="18"/>
                <w:color w:val="auto"/>
              </w:rPr>
              <w:t>12</w:t>
            </w:r>
          </w:p>
        </w:tc>
        <w:tc>
          <w:tcPr>
            <w:tcW w:w="16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Fair value of Stock Options Assumptions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fair value of options granted during the period ended June 30, 2010, and June 30, 2009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Six Months Ended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5"/>
              </w:rPr>
              <w:t>June 30,</w:t>
            </w:r>
          </w:p>
        </w:tc>
        <w:tc>
          <w:tcPr>
            <w:tcW w:w="640" w:type="dxa"/>
            <w:vAlign w:val="bottom"/>
          </w:tcPr>
          <w:p>
            <w:pPr>
              <w:spacing w:after="0"/>
              <w:rPr>
                <w:sz w:val="17"/>
                <w:szCs w:val="17"/>
                <w:color w:val="auto"/>
              </w:rPr>
            </w:pPr>
          </w:p>
        </w:tc>
        <w:tc>
          <w:tcPr>
            <w:tcW w:w="82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3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volatility</w:t>
            </w:r>
          </w:p>
        </w:tc>
        <w:tc>
          <w:tcPr>
            <w:tcW w:w="358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8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8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8"/>
                <w:szCs w:val="18"/>
                <w:color w:val="auto"/>
                <w:w w:val="92"/>
              </w:rPr>
              <w:t>4.05 years</w:t>
            </w:r>
          </w:p>
        </w:tc>
        <w:tc>
          <w:tcPr>
            <w:tcW w:w="6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5.11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the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7, 2008, the Company issued 6,280 restricted share units to certain employees of the Group. These shares are exercisable over periods ranging from February 26, 2009, to February 26, 2011. The market value of the Company’s shares on date of issue was $41.95.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w:t>
      </w:r>
    </w:p>
    <w:p>
      <w:pPr>
        <w:spacing w:after="0" w:line="25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Non-cash stock compensation expense for the three and six months ended June 30, 2010, has been allocated to direct costs and selling, general and administrative expenses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9"/>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Pr>
          <w:p>
            <w:pPr>
              <w:spacing w:after="0"/>
              <w:rPr>
                <w:sz w:val="18"/>
                <w:szCs w:val="18"/>
                <w:color w:val="auto"/>
              </w:rPr>
            </w:pPr>
          </w:p>
        </w:tc>
        <w:tc>
          <w:tcPr>
            <w:tcW w:w="15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74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740" w:type="dxa"/>
            <w:vAlign w:val="bottom"/>
          </w:tcPr>
          <w:p>
            <w:pPr>
              <w:spacing w:after="0"/>
              <w:rPr>
                <w:sz w:val="17"/>
                <w:szCs w:val="17"/>
                <w:color w:val="auto"/>
              </w:rPr>
            </w:pPr>
          </w:p>
        </w:tc>
        <w:tc>
          <w:tcPr>
            <w:tcW w:w="76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w w:val="85"/>
              </w:rPr>
              <w:t>June 30,</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2009</w:t>
            </w:r>
          </w:p>
        </w:tc>
        <w:tc>
          <w:tcPr>
            <w:tcW w:w="740" w:type="dxa"/>
            <w:vAlign w:val="bottom"/>
          </w:tcPr>
          <w:p>
            <w:pPr>
              <w:spacing w:after="0"/>
              <w:rPr>
                <w:sz w:val="17"/>
                <w:szCs w:val="17"/>
                <w:color w:val="auto"/>
              </w:rPr>
            </w:pPr>
          </w:p>
        </w:tc>
        <w:tc>
          <w:tcPr>
            <w:tcW w:w="76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2010</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2,007</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888</w:t>
            </w: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747</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1,696</w:t>
            </w:r>
          </w:p>
        </w:tc>
        <w:tc>
          <w:tcPr>
            <w:tcW w:w="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1,663</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3,703</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Total non-cash stock compensation expense not yet recognized at June 30, 2010, amounted to U.S.$19.6 million. The weighted average period over which this is expected to be recognized is 2.09 years. Total tax benefit recognized in additional paid in capital related to the non-cash compensation expense amounted to U.S. $1.0 million for the three months ended June 30, 2010 (2009: U.S.$nil) and $2.2 million for the six months ended June 30, 2010 (2009:$nil).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Segment Information</w:t>
      </w:r>
    </w:p>
    <w:p>
      <w:pPr>
        <w:spacing w:after="0" w:line="25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areas of operation outside of Ireland principally include the United States, United Kingdom, France, Germany, Italy, Spain, The Netherlands, Denmark, Sweden, Finland, Poland, Czech Republic, Lithuania, Latvia, Russia, Ukraine, Hungary, Israel, Romania, Canada, Mexico, Brazil, Colombia, Argentina, Chile, Peru, India, China, Hong Kong, South Korea, Japan, Thailand, Taiwan, Singapore, The Philippines, Australia, New Zealand and South Africa. Segment information as at June 30, 2010 and June 30, 2009 and for the three and six months ended June 30, 2010 and June 30, 2009, is as follows:</w:t>
      </w:r>
    </w:p>
    <w:p>
      <w:pPr>
        <w:spacing w:after="0" w:line="181" w:lineRule="exact"/>
        <w:rPr>
          <w:sz w:val="20"/>
          <w:szCs w:val="20"/>
          <w:color w:val="auto"/>
        </w:rPr>
      </w:pPr>
    </w:p>
    <w:p>
      <w:pPr>
        <w:ind w:left="920" w:hanging="331"/>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net revenue by geographical area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20" w:type="dxa"/>
            <w:vAlign w:val="bottom"/>
            <w:gridSpan w:val="9"/>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89"/>
              </w:rPr>
              <w:t>Six Months Ended</w:t>
            </w:r>
          </w:p>
        </w:tc>
      </w:tr>
      <w:tr>
        <w:trPr>
          <w:trHeight w:val="20"/>
        </w:trPr>
        <w:tc>
          <w:tcPr>
            <w:tcW w:w="3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2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72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77"/>
              </w:rPr>
              <w:t>June 30,</w:t>
            </w:r>
          </w:p>
        </w:tc>
      </w:tr>
      <w:tr>
        <w:trPr>
          <w:trHeight w:val="196"/>
        </w:trPr>
        <w:tc>
          <w:tcPr>
            <w:tcW w:w="3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r>
      <w:tr>
        <w:trPr>
          <w:trHeight w:val="20"/>
        </w:trPr>
        <w:tc>
          <w:tcPr>
            <w:tcW w:w="3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33,906</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27,046</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62,878</w:t>
            </w:r>
          </w:p>
        </w:tc>
        <w:tc>
          <w:tcPr>
            <w:tcW w:w="720" w:type="dxa"/>
            <w:vAlign w:val="bottom"/>
            <w:tcBorders>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70,726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2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70,112</w:t>
            </w:r>
          </w:p>
        </w:tc>
        <w:tc>
          <w:tcPr>
            <w:tcW w:w="72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62,616</w:t>
            </w:r>
          </w:p>
        </w:tc>
        <w:tc>
          <w:tcPr>
            <w:tcW w:w="6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140,850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117,809</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96,876</w:t>
            </w:r>
          </w:p>
        </w:tc>
        <w:tc>
          <w:tcPr>
            <w:tcW w:w="7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113,458</w:t>
            </w:r>
          </w:p>
        </w:tc>
        <w:tc>
          <w:tcPr>
            <w:tcW w:w="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194,331</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216,697</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2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22,857</w:t>
            </w: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16,881</w:t>
            </w: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44,804</w:t>
            </w: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34,600</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223,751</w:t>
            </w:r>
          </w:p>
        </w:tc>
        <w:tc>
          <w:tcPr>
            <w:tcW w:w="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220,001</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442,863</w:t>
            </w: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439,832</w:t>
            </w:r>
          </w:p>
        </w:tc>
      </w:tr>
    </w:tbl>
    <w:p>
      <w:pPr>
        <w:ind w:left="800" w:hanging="144"/>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37" w:lineRule="exact"/>
        <w:rPr>
          <w:rFonts w:ascii="Arial" w:cs="Arial" w:eastAsia="Arial" w:hAnsi="Arial"/>
          <w:sz w:val="18"/>
          <w:szCs w:val="18"/>
          <w:color w:val="auto"/>
        </w:rPr>
      </w:pPr>
    </w:p>
    <w:p>
      <w:pPr>
        <w:ind w:left="920" w:hanging="331"/>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20" w:type="dxa"/>
            <w:vAlign w:val="bottom"/>
            <w:gridSpan w:val="9"/>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89"/>
              </w:rPr>
              <w:t>Six Months Ended</w:t>
            </w:r>
          </w:p>
        </w:tc>
      </w:tr>
      <w:tr>
        <w:trPr>
          <w:trHeight w:val="20"/>
        </w:trPr>
        <w:tc>
          <w:tcPr>
            <w:tcW w:w="3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2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6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9"/>
              </w:rPr>
              <w:t>June 30,</w:t>
            </w:r>
          </w:p>
        </w:tc>
        <w:tc>
          <w:tcPr>
            <w:tcW w:w="72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77"/>
              </w:rPr>
              <w:t>June 30,</w:t>
            </w:r>
          </w:p>
        </w:tc>
      </w:tr>
      <w:tr>
        <w:trPr>
          <w:trHeight w:val="196"/>
        </w:trPr>
        <w:tc>
          <w:tcPr>
            <w:tcW w:w="3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r>
      <w:tr>
        <w:trPr>
          <w:trHeight w:val="20"/>
        </w:trPr>
        <w:tc>
          <w:tcPr>
            <w:tcW w:w="3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4,765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23,059</w:t>
            </w:r>
          </w:p>
        </w:tc>
        <w:tc>
          <w:tcPr>
            <w:tcW w:w="720" w:type="dxa"/>
            <w:vAlign w:val="bottom"/>
            <w:tcBorders>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2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5,072</w:t>
            </w:r>
          </w:p>
        </w:tc>
        <w:tc>
          <w:tcPr>
            <w:tcW w:w="72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7,684</w:t>
            </w:r>
          </w:p>
        </w:tc>
        <w:tc>
          <w:tcPr>
            <w:tcW w:w="66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12,932</w:t>
            </w:r>
          </w:p>
        </w:tc>
        <w:tc>
          <w:tcPr>
            <w:tcW w:w="7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8,576</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7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7,307</w:t>
            </w:r>
          </w:p>
        </w:tc>
        <w:tc>
          <w:tcPr>
            <w:tcW w:w="6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13,432</w:t>
            </w:r>
          </w:p>
        </w:tc>
        <w:tc>
          <w:tcPr>
            <w:tcW w:w="7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13,658</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2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1,317</w:t>
            </w: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622</w:t>
            </w: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1,477</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25,678</w:t>
            </w:r>
          </w:p>
        </w:tc>
        <w:tc>
          <w:tcPr>
            <w:tcW w:w="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20,378</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52,456</w:t>
            </w:r>
          </w:p>
        </w:tc>
        <w:tc>
          <w:tcPr>
            <w:tcW w:w="720" w:type="dxa"/>
            <w:vAlign w:val="bottom"/>
            <w:tcBorders>
              <w:bottom w:val="single" w:sz="8" w:color="auto"/>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47,293</w:t>
            </w:r>
          </w:p>
        </w:tc>
      </w:tr>
    </w:tbl>
    <w:p>
      <w:pPr>
        <w:spacing w:after="0" w:line="229" w:lineRule="exact"/>
        <w:rPr>
          <w:sz w:val="20"/>
          <w:szCs w:val="20"/>
          <w:color w:val="auto"/>
        </w:rPr>
      </w:pPr>
    </w:p>
    <w:p>
      <w:pPr>
        <w:ind w:left="1200"/>
        <w:spacing w:after="0"/>
        <w:tabs>
          <w:tab w:leader="none" w:pos="14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196"/>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100,519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107,049</w:t>
            </w: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Rest of Europe</w:t>
            </w:r>
          </w:p>
        </w:tc>
        <w:tc>
          <w:tcPr>
            <w:tcW w:w="56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15,490</w:t>
            </w: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16,673</w:t>
            </w:r>
          </w:p>
        </w:tc>
      </w:tr>
      <w:tr>
        <w:trPr>
          <w:trHeight w:val="216"/>
        </w:trPr>
        <w:tc>
          <w:tcPr>
            <w:tcW w:w="5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6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45,194</w:t>
            </w:r>
          </w:p>
        </w:tc>
      </w:tr>
      <w:tr>
        <w:trPr>
          <w:trHeight w:val="223"/>
        </w:trPr>
        <w:tc>
          <w:tcPr>
            <w:tcW w:w="58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5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10,331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10,073</w:t>
            </w:r>
          </w:p>
        </w:tc>
      </w:tr>
      <w:tr>
        <w:trPr>
          <w:trHeight w:val="473"/>
        </w:trPr>
        <w:tc>
          <w:tcPr>
            <w:tcW w:w="580" w:type="dxa"/>
            <w:vAlign w:val="bottom"/>
          </w:tcPr>
          <w:p>
            <w:pPr>
              <w:spacing w:after="0"/>
              <w:rPr>
                <w:sz w:val="24"/>
                <w:szCs w:val="24"/>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162,875</w:t>
            </w: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178,989</w:t>
            </w:r>
          </w:p>
        </w:tc>
      </w:tr>
      <w:tr>
        <w:trPr>
          <w:trHeight w:val="601"/>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40" w:type="dxa"/>
            <w:vAlign w:val="bottom"/>
          </w:tcPr>
          <w:p>
            <w:pPr>
              <w:jc w:val="right"/>
              <w:ind w:right="34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ind w:left="1200"/>
        <w:spacing w:after="0"/>
        <w:tabs>
          <w:tab w:leader="none" w:pos="14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distribution of depreciation and amortization by geographical area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9"/>
          </w:tcPr>
          <w:p>
            <w:pPr>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89"/>
              </w:rPr>
              <w:t>Six Months Ended</w:t>
            </w:r>
          </w:p>
        </w:tc>
      </w:tr>
      <w:tr>
        <w:trPr>
          <w:trHeight w:val="20"/>
        </w:trPr>
        <w:tc>
          <w:tcPr>
            <w:tcW w:w="3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2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440" w:type="dxa"/>
            <w:vAlign w:val="bottom"/>
          </w:tcPr>
          <w:p>
            <w:pPr>
              <w:spacing w:after="0"/>
              <w:rPr>
                <w:sz w:val="17"/>
                <w:szCs w:val="17"/>
                <w:color w:val="auto"/>
              </w:rPr>
            </w:pPr>
          </w:p>
        </w:tc>
        <w:tc>
          <w:tcPr>
            <w:tcW w:w="980" w:type="dxa"/>
            <w:vAlign w:val="bottom"/>
            <w:gridSpan w:val="5"/>
          </w:tcPr>
          <w:p>
            <w:pPr>
              <w:ind w:left="240"/>
              <w:spacing w:after="0" w:line="196" w:lineRule="exact"/>
              <w:rPr>
                <w:sz w:val="20"/>
                <w:szCs w:val="20"/>
                <w:color w:val="auto"/>
              </w:rPr>
            </w:pPr>
            <w:r>
              <w:rPr>
                <w:rFonts w:ascii="Arial" w:cs="Arial" w:eastAsia="Arial" w:hAnsi="Arial"/>
                <w:sz w:val="18"/>
                <w:szCs w:val="18"/>
                <w:b w:val="1"/>
                <w:bCs w:val="1"/>
                <w:color w:val="auto"/>
                <w:w w:val="99"/>
              </w:rPr>
              <w:t>June 30,</w:t>
            </w:r>
          </w:p>
        </w:tc>
        <w:tc>
          <w:tcPr>
            <w:tcW w:w="72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3"/>
              </w:rPr>
              <w:t>June 30,</w:t>
            </w:r>
          </w:p>
        </w:tc>
      </w:tr>
      <w:tr>
        <w:trPr>
          <w:trHeight w:val="196"/>
        </w:trPr>
        <w:tc>
          <w:tcPr>
            <w:tcW w:w="3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r>
      <w:tr>
        <w:trPr>
          <w:trHeight w:val="20"/>
        </w:trPr>
        <w:tc>
          <w:tcPr>
            <w:tcW w:w="3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4,977</w:t>
            </w:r>
          </w:p>
        </w:tc>
        <w:tc>
          <w:tcPr>
            <w:tcW w:w="720" w:type="dxa"/>
            <w:vAlign w:val="bottom"/>
            <w:tcBorders>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4,459</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2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1,283</w:t>
            </w:r>
          </w:p>
        </w:tc>
        <w:tc>
          <w:tcPr>
            <w:tcW w:w="72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1,200</w:t>
            </w:r>
          </w:p>
        </w:tc>
        <w:tc>
          <w:tcPr>
            <w:tcW w:w="44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2,859</w:t>
            </w:r>
          </w:p>
        </w:tc>
        <w:tc>
          <w:tcPr>
            <w:tcW w:w="7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2,614</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7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3,282</w:t>
            </w:r>
          </w:p>
        </w:tc>
        <w:tc>
          <w:tcPr>
            <w:tcW w:w="4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7,215</w:t>
            </w:r>
          </w:p>
        </w:tc>
        <w:tc>
          <w:tcPr>
            <w:tcW w:w="7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6,567</w:t>
            </w:r>
          </w:p>
        </w:tc>
      </w:tr>
      <w:tr>
        <w:trPr>
          <w:trHeight w:val="223"/>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2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1,004</w:t>
            </w: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737</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1,952</w:t>
            </w: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1,376</w:t>
            </w:r>
          </w:p>
        </w:tc>
      </w:tr>
      <w:tr>
        <w:trPr>
          <w:trHeight w:val="473"/>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7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7,526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17,003</w:t>
            </w:r>
          </w:p>
        </w:tc>
        <w:tc>
          <w:tcPr>
            <w:tcW w:w="720" w:type="dxa"/>
            <w:vAlign w:val="bottom"/>
            <w:tcBorders>
              <w:bottom w:val="single" w:sz="8" w:color="auto"/>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15,016</w:t>
            </w:r>
          </w:p>
        </w:tc>
      </w:tr>
    </w:tbl>
    <w:p>
      <w:pPr>
        <w:spacing w:after="0" w:line="229" w:lineRule="exact"/>
        <w:rPr>
          <w:sz w:val="20"/>
          <w:szCs w:val="20"/>
          <w:color w:val="auto"/>
        </w:rPr>
      </w:pPr>
    </w:p>
    <w:p>
      <w:pPr>
        <w:ind w:left="1200"/>
        <w:spacing w:after="0"/>
        <w:tabs>
          <w:tab w:leader="none" w:pos="14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The distribution of total assets by geographical area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5"/>
              </w:rPr>
              <w:t>June 30,</w:t>
            </w:r>
          </w:p>
        </w:tc>
        <w:tc>
          <w:tcPr>
            <w:tcW w:w="24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196"/>
        </w:trPr>
        <w:tc>
          <w:tcPr>
            <w:tcW w:w="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gridSpan w:val="7"/>
          </w:tcPr>
          <w:p>
            <w:pPr>
              <w:ind w:left="2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360,543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319,528</w:t>
            </w: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Rest of Europe</w:t>
            </w:r>
          </w:p>
        </w:tc>
        <w:tc>
          <w:tcPr>
            <w:tcW w:w="55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167,415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184,630</w:t>
            </w:r>
          </w:p>
        </w:tc>
      </w:tr>
      <w:tr>
        <w:trPr>
          <w:trHeight w:val="216"/>
        </w:trPr>
        <w:tc>
          <w:tcPr>
            <w:tcW w:w="5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325,938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375,682</w:t>
            </w:r>
          </w:p>
        </w:tc>
      </w:tr>
      <w:tr>
        <w:trPr>
          <w:trHeight w:val="223"/>
        </w:trPr>
        <w:tc>
          <w:tcPr>
            <w:tcW w:w="58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5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28,460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tcPr>
          <w:p>
            <w:pPr>
              <w:spacing w:after="0"/>
              <w:rPr>
                <w:sz w:val="19"/>
                <w:szCs w:val="19"/>
                <w:color w:val="auto"/>
              </w:rPr>
            </w:pPr>
          </w:p>
        </w:tc>
      </w:tr>
      <w:tr>
        <w:trPr>
          <w:trHeight w:val="473"/>
        </w:trPr>
        <w:tc>
          <w:tcPr>
            <w:tcW w:w="580" w:type="dxa"/>
            <w:vAlign w:val="bottom"/>
          </w:tcPr>
          <w:p>
            <w:pPr>
              <w:spacing w:after="0"/>
              <w:rPr>
                <w:sz w:val="24"/>
                <w:szCs w:val="24"/>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882,356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908,398</w:t>
            </w:r>
          </w:p>
        </w:tc>
      </w:tr>
      <w:tr>
        <w:trPr>
          <w:trHeight w:val="601"/>
        </w:trPr>
        <w:tc>
          <w:tcPr>
            <w:tcW w:w="58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5520" w:type="dxa"/>
            <w:vAlign w:val="bottom"/>
            <w:tcBorders>
              <w:top w:val="single" w:sz="8" w:color="auto"/>
            </w:tcBorders>
          </w:tcPr>
          <w:p>
            <w:pPr>
              <w:jc w:val="right"/>
              <w:ind w:right="3370"/>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2009.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 highly fragmented industry, we are one of a small number of companies with the capability and expertise to conduct clinical trials in all major therapeutic areas on a global basis. At June 30, 2010, we had approximately 7,500 employees, in 71 locations in 39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investigator fees and certain other costs where reimbursed by clients, are, in accordance with industry practice, deducted from gross revenu 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We have 17 operations operating in U.S. dollars, 11 trading in Euros, 5 in pounds Sterling and Indian Rupee, 2 each in Russian Rouble, Japanese Yen, Swedish Krona, Chinese Yuan Renminbi and Singapore dollars and 1 each in Polish Zloty, Israeli New Shekels, Latvian Lats, Hungarian Forint, Czech Koruna, Ukraine Hryvnia, Romanian New Leu, Lithuanian Litas, South African Rand, Australian dollars, Philippine Peso, Hong Kong dollar, Taiwan dollar, South Korean Won, Thai Baht, New Zealand dollars, Argentine Peso, Mexican Peso, Brazilian Real, Chilean Peso, Colombian Peso, Peruvian Neuvo Sol, and C anadian dollar.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when appro priate, hedge a portion of these, using forward exchange contracts, where they are not covered by natural hedges. In addition, we usually negotiate currency fluctuation clauses in our contracts which allow for price negotiation if changes in the relative value of those currencies exceed predetermined tolerances.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The Company's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with Three Months Ended June 30, 2009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20" w:type="dxa"/>
            <w:vAlign w:val="bottom"/>
          </w:tcPr>
          <w:p>
            <w:pPr>
              <w:spacing w:after="0"/>
              <w:rPr>
                <w:sz w:val="17"/>
                <w:szCs w:val="17"/>
                <w:color w:val="auto"/>
              </w:rPr>
            </w:pPr>
          </w:p>
        </w:tc>
        <w:tc>
          <w:tcPr>
            <w:tcW w:w="6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2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7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2009</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6"/>
              </w:rPr>
              <w:t>to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340" w:type="dxa"/>
            <w:vAlign w:val="bottom"/>
            <w:gridSpan w:val="9"/>
          </w:tcPr>
          <w:p>
            <w:pPr>
              <w:jc w:val="center"/>
              <w:ind w:right="28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9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2"/>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26.3%</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26.4%</w:t>
            </w:r>
          </w:p>
        </w:tc>
        <w:tc>
          <w:tcPr>
            <w:tcW w:w="1220" w:type="dxa"/>
            <w:vAlign w:val="bottom"/>
            <w:gridSpan w:val="6"/>
          </w:tcPr>
          <w:p>
            <w:pPr>
              <w:jc w:val="center"/>
              <w:ind w:left="30"/>
              <w:spacing w:after="0"/>
              <w:rPr>
                <w:sz w:val="20"/>
                <w:szCs w:val="20"/>
                <w:color w:val="auto"/>
              </w:rPr>
            </w:pPr>
            <w:r>
              <w:rPr>
                <w:rFonts w:ascii="Arial" w:cs="Arial" w:eastAsia="Arial" w:hAnsi="Arial"/>
                <w:sz w:val="18"/>
                <w:szCs w:val="18"/>
                <w:color w:val="auto"/>
                <w:w w:val="92"/>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One-time net charges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4.1%</w:t>
            </w:r>
          </w:p>
        </w:tc>
        <w:tc>
          <w:tcPr>
            <w:tcW w:w="1220" w:type="dxa"/>
            <w:vAlign w:val="bottom"/>
            <w:gridSpan w:val="6"/>
          </w:tcPr>
          <w:p>
            <w:pPr>
              <w:jc w:val="center"/>
              <w:ind w:left="1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0"/>
              </w:rPr>
              <w:t>26.0%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increased by $3.8 million, or 1.7%, from $220.0 million for the three months ended June 30, 2009, to $223.8 million for the three months ended June 30, 2010. The rate of increase in net revenue growth has slowed in recent quarters mainly due to the economic downturn, its impact on market confidence and the availability of funding for drug development. For the three months ended June 30, 2010, we derived approximately 43.3%, 46.5% and 10.2% of our net revenue in the United States, Europe and Rest of World, respectively.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increased by $5.8 million, or 4.6%, from $125.1 million for the three months ended June 30, 2009, to $130.9 million for the three months ended June 30, 2010. Direct costs consist primarily of compensation, associated fringe benefits and share based compensation expense for project-related employees and other direct project driven costs. This increase was primarily due to increases in both compensation and travel expenditure for project related staff of $6.3 million and $2.2 million respectively. These increases were offset by a reduction in laboratory costs of $1.9 million and other direct project costs $1.2 million. Direct costs as a percentage of net revenue increased from 56.9% for the three months ended June 30, 2009, to 58.5% for three months ended June 30, 2010.</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increased by $0.9 million, or 1.6%, from $58.0 million for the three months ended June 30, 2009, to $58.9 million for the three months ended June 30, 2010. Selling, general and administrative expenses consist of compensation, related fringe benefits, share based compensation expense and travel expenditure for selling and administrative employees, professional services costs, advertising costs and all costs related to facilities and information systems. The increase in selling, general and administrative expenses arises primarily from an increase of $2.8 million in personnel related costs, comprising compensation, related fringe benefits and travel costs for selling, general and administrative employees and recruitment expenditure, offset by a decrease of $1.0 million in facilities and inform ation systems expenditure, comprising rent, utility and support and maintenance costs, and a decrease of $0.9 million in professional services costs. As a percentage of net revenue, selling, general and administrative expenses, decreased from 26.4% for the three months ended June 30, 2009, to 26.3% for the three months ended June 30, 2010.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Total share based compensation expense recognized during the three months ended June 30, 2010 amounted to $1.9 million compared to $1.7 million during the three months ended June 30, 2009.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by $0.8 million, or 10.0%, from $7.5 million for the three months ended June 30, 2009, to $8.3 million for the three months ended June 30, 2010. As a percentage of net revenue, depreciation and amortization increased from 3.4% of net revenues for the three months ended June 30, 2009, to 3.7% for the three months ended June 30, 2010. The increase arises primarily from our continued investment in facilities and equipment to support the Company’s growth.</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One-time net charges of $8.9 million were recognised during the three months ended June 30, 2009. In response to the globalization of clinical studies and its attendant impact on resources in existing and emerging markets, the Company conducted a review of its existing infrastructure to better align its resources with the needs of its clients. This realignment resulted in resource rationalizations in certain more mature markets and the recognition of a restructuring charge of $13.4 million in the second quarter of 2009. This was offset by research and development incentives of $4.5 million received by the Company in certain jurisdictions in which it operates.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increased by $5.3 million, or 26.0%, from $20.4 million for the three months ended June 30, 2009, to $25.7 million for the three months ended June 30, 2010. As a percentage of net revenue, income from operations increased from 9.3% for the three months ended June 30, 2009, to 11.5% of net revenues for the three months ended June 30, 2010. Excluding the impact of one-time net charges recognised during the three months ended June 30, 2009, income from operations as a percentage of net revenue decreased from 13.3% for the three months ended June 30, 2009 to 11.5% for the three months ended June 30, 2010.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for the three months ended June 30, 2010, was $0.1 million, compared with net interest expense of $0.9 million for the three months ended June 30, 2009. Interest expense for the period decreased by $0.6 million from $0.9 million for the three months ended June 30, 2009 to $0.3 million for the three months ended June 30, 2010. Interest income for the period increased by $0.3 million from $0.1 million for the three months ended June 30, 2009, to $0.4 million for the three months ended June 30, 2010.</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increased from $1.0 million for the three months ended June 30, 2009, to $2.9 million for the three months ended June 30,</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2010. The Company’s effective tax rate for the three months ended June 30, 2010, was 11.1% compared with 5.0% for the three months ended June 30, 2009. The effective rate for the three months ended June 30, 2009, was lower than the three months ended June 30, 2010, primarily as a consequence of research and development tax credits received in certain jurisdictions in 2009.</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25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5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88"/>
              </w:rPr>
              <w:t>Six Months Ended</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17"/>
                <w:szCs w:val="17"/>
                <w:color w:val="auto"/>
              </w:rPr>
            </w:pPr>
          </w:p>
        </w:tc>
        <w:tc>
          <w:tcPr>
            <w:tcW w:w="6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0"/>
              </w:rPr>
              <w:t>June 30,</w:t>
            </w:r>
          </w:p>
        </w:tc>
        <w:tc>
          <w:tcPr>
            <w:tcW w:w="122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2010</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2009</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6"/>
              </w:rPr>
              <w:t>to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340" w:type="dxa"/>
            <w:vAlign w:val="bottom"/>
            <w:gridSpan w:val="7"/>
          </w:tcPr>
          <w:p>
            <w:pPr>
              <w:jc w:val="right"/>
              <w:ind w:right="280"/>
              <w:spacing w:after="0" w:line="196" w:lineRule="exact"/>
              <w:rPr>
                <w:sz w:val="20"/>
                <w:szCs w:val="20"/>
                <w:color w:val="auto"/>
              </w:rPr>
            </w:pPr>
            <w:r>
              <w:rPr>
                <w:rFonts w:ascii="Arial" w:cs="Arial" w:eastAsia="Arial" w:hAnsi="Arial"/>
                <w:sz w:val="18"/>
                <w:szCs w:val="18"/>
                <w:b w:val="1"/>
                <w:bCs w:val="1"/>
                <w:color w:val="auto"/>
                <w:w w:val="87"/>
              </w:rPr>
              <w:t>Percentage of Net Revenue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9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27.1%</w:t>
            </w:r>
          </w:p>
        </w:tc>
        <w:tc>
          <w:tcPr>
            <w:tcW w:w="1220" w:type="dxa"/>
            <w:vAlign w:val="bottom"/>
            <w:gridSpan w:val="6"/>
          </w:tcPr>
          <w:p>
            <w:pPr>
              <w:jc w:val="center"/>
              <w:ind w:left="30"/>
              <w:spacing w:after="0"/>
              <w:rPr>
                <w:sz w:val="20"/>
                <w:szCs w:val="20"/>
                <w:color w:val="auto"/>
              </w:rPr>
            </w:pPr>
            <w:r>
              <w:rPr>
                <w:rFonts w:ascii="Arial" w:cs="Arial" w:eastAsia="Arial" w:hAnsi="Arial"/>
                <w:sz w:val="18"/>
                <w:szCs w:val="18"/>
                <w:color w:val="auto"/>
                <w:w w:val="94"/>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0"/>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One-time net charges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6"/>
          </w:tcPr>
          <w:p>
            <w:pPr>
              <w:jc w:val="center"/>
              <w:ind w:left="1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20" w:type="dxa"/>
            <w:vAlign w:val="bottom"/>
            <w:gridSpan w:val="6"/>
            <w:shd w:val="clear" w:color="auto" w:fill="CCEEFF"/>
          </w:tcPr>
          <w:p>
            <w:pPr>
              <w:jc w:val="center"/>
              <w:ind w:left="30"/>
              <w:spacing w:after="0"/>
              <w:rPr>
                <w:sz w:val="20"/>
                <w:szCs w:val="20"/>
                <w:color w:val="auto"/>
              </w:rPr>
            </w:pPr>
            <w:r>
              <w:rPr>
                <w:rFonts w:ascii="Arial" w:cs="Arial" w:eastAsia="Arial" w:hAnsi="Arial"/>
                <w:sz w:val="18"/>
                <w:szCs w:val="18"/>
                <w:color w:val="auto"/>
                <w:w w:val="90"/>
              </w:rPr>
              <w:t>10.9%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increased by $3.1 million, or 0.7%, from $439.8 million for the six months ended June 30, 2009, to $442.9 million for the six months ended June 30, 2010. The rate of increase in net revenue growth has slowed in recent quarters mainly due to the economic downturn and its impact on market confidence and the availability of funding for drug development. For the six months ended June 30, 2010, we derived approximately 43.9%, 46.0% and 10.1% of our net revenue in the United States, Europe and Rest of World, respectively.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increased by $12.9 million, or 5.2%, from $249.3 million for the six months ended June 30, 2009, to $262.2 million for the six months ended June 30, 2010. Direct costs consist primarily of compensation, associated fringe benefits and share based compensation expense for project-related employees and other direct project driven costs. The increase in direct costs arose primarily from increases in both compensation and travel costs for project-related employees of $15.1 million and $3.1 million respectively, offset by reductions in laboratory costs of $3.1 million and other direct project costs of $2.2 million. Direct costs as a percentage of net revenue increased from 56.7% for the six months ended June 30, 2009, to 59.2% for the six months ended June 30, 2010.</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decreased by $8.1 million, or 6.8%, from $119.3 million for the six months ended June 30, 2009, to $111.2 million for the six months ended June 30, 2010. Selling, general and administrative expenses consist of compensation, related fringe benefits, share based compensation expense and travel expenditure for selling and administrative employees, professional services costs, advertising costs and all costs related to facilities and information systems. The decrease in selling, general and administrative expenses arises primarily from decreases in general overhead costs and facility related costs of $6.8 million and $1.5 million respectively. The decrease in general overhead costs is primarily attributable to a decrease in professional services costs of $3.2 million, a reduction in bad debt allowances of $1.5 million, and a decrease in foreign exchange losses on the retranslation of monetary assets and liabilities of $0.9 million. As a percentage of net revenue, selling, general and administrative expenses, decreased from 27.1% for the six months ended June 30, 2009, to 25.1% for the six months ended June 30, 2010.</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six months ended June 30, 2010 amounted to $3.7 million compared to $3.3 million during the six months ended June 30, 2009.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by $2.0 million, or 13.2%, from $15.0 million for the six months ended June 30, 2009, to $17.0 million for the six months ended June 30, 2010. As a percentage of net revenue, depreciation and amortization increased from 3.4% of net revenues for the six months ended June 30, 2009, to 3.9% for the six months ended June 30, 2010. The increase arises primarily from our continued investment in facilities and equipment to support the Company’s growth.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One-time net charges of $8.9 million were recognised during the six months ended June 30, 2009. In response to the globalization of clinical studies and its attendant impact on resources in existing and emerging markets, the Company conducted a review of its existing infrastructure to better align its resources with the needs of its clients. This realignment resulted in resource rationalizations in certain more mature markets and the recognition of a restructuring charge of $13.4 million in the second quarter of 2009. This was offset by research and development incentives of $4.5 million received by the Company in certain jurisdictions in which it operates.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increased by $5.2 million, or 10.9%, from $47.3 million for the six months ended June 30, 2009, to $52.5 million for the six months ended June 30, 2010. As a percentage of net revenue, income from operations increased from 10.8% for the six months ended June 30, 2009, to 11.8% of net revenues for the six months ended June 30, 2010. Excluding the impact of one-time net charges recognised during the six months ended June 30, 2009, income from operations as a percentage of net revenue decreased from 12.8% for the six months ended June 30, 2009 to 11.8% for the six months ended June 30, 2010.</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expense for the six months ended June 30, 2010, was $0.1 million, a decrease of $1.5 million on net interest expense of $1.6 million for the six months ended June 30, 2009. Interest expense for the period decreased by $1.4 million from $2.2 million for the six months ended June 30, 2009, to $0.8 million for the six months ended June 30, 2010. Interest income for the six months ended June 30, 2010, increased by $0.1 million to $0.6 million.</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Provision for income taxes increased from $6.2 million for the six months ended June 30, 2009, to $7.4 million for the six months ended June 30, 2010. The Company’s effective tax rate for the six months ended June 30, 2010, was 13.9% compared with 13.6% for the six months ended June 30,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generally is not capital intensive. The Group’s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at June 30, 2010 amounted to $220.8 million compared with net cash of $194.0 million at December 31, 2009. Net cash at June 30, 2010 comprised cash and cash equivalents of $220.8 million. Net cash at December 31, 2009 comprised cash and cash equivalents of $144.8 million and short term investments of $49.2 million. Borrowings available to the Group under negotiated facilities at June 30, 2010 amounted to $87.0 million compared with $162.5 million at December 31, 2009.</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provided by operating activities was $51.8 million for the six months ended June 30, 2010, compared with cash provided by operating activities of $128.1 million for the six months ended June 30, 2009. The Group’s working capital, comprising total current assets less total current liabilities, at June 30, 2010 amounted to $280.1 million, compared to $235.9 million at December 31, 2009. The most significant influence on our working capital and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 ing was 30 days at June 30, 2010 and 33 days at December 31, 2009.</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investing activities was $31.1 million for the six months ended June 30, 2010, compared to net cash used in investing activities of $91.5 million for the six months ended June 30, 2009. Net cash provided by investing activities in the six months ended June 30, 2010 arose principally from the sale of short term investments. During the six months ended June 30, 2010, the Company realized a net $49.2 million from the sale of its short term investments. The Company actively manages its available cash resources to try to ensure optimum returns. Amounts realized from the sale of short term investments during the period were reinvested in cash equivalents. Capital expenditure for the six months ended June 30, 2010, amounted to $17.0 million, and comprised mainly of expenditure on global infrastructure and infor mation technology systems to support the Company’s growth.</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2010, amounted to $11.0 million compared with net cash used in financing activities of $42.7 million for the six months ended June 30, 2009.</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result of these cash flows, cash and cash equivalents increased by $76.0 million for the six months ended June 30, 2010, compared to a decrease of $5.0 million for the six months ended June 30, 2009.</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($43.3 million) with Bank of Ireland. The facility bears interest at an annual rate equal to EURIBOR plus a margin and is secured by certain composite guarantees, indemnities and pledges in favor of the bank. At June 30, 2010, €21.8 million ($27.0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On April 21, 2010 the Company reduced this facility to $25 million. The facility bears interest at LIBOR plus a margin and is secured by certain composite guarantees and pledges in favor of the bank. At June 30, 2010, $25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2009, an additional four year committed credit facility was negotiated with Bank of Ireland for $25 million. The facility bears interest at LIBOR plus a margin and is secured by certain composite guarantees, indemnities and pledges in favor of the bank. At June 30, 2010, $25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29, 2009, a three year committed credit facility was negotiated with Citibank Europe for $10 million. The facility bears interest at LIBOR plus a margin and is secured by certain composite guarantees and pledges in favor of the bank. At June 30, 2010, $10 million was available to be drawn under the facility.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135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spacing w:after="0"/>
        <w:tabs>
          <w:tab w:leader="none" w:pos="5700" w:val="left"/>
        </w:tabs>
        <w:rPr>
          <w:sz w:val="20"/>
          <w:szCs w:val="20"/>
          <w:color w:val="auto"/>
        </w:rPr>
      </w:pPr>
      <w:r>
        <w:rPr>
          <w:rFonts w:ascii="Arial" w:cs="Arial" w:eastAsia="Arial" w:hAnsi="Arial"/>
          <w:sz w:val="18"/>
          <w:szCs w:val="18"/>
          <w:color w:val="auto"/>
        </w:rPr>
        <w:t>Date: July 19, 2010</w:t>
      </w:r>
      <w:r>
        <w:rPr>
          <w:sz w:val="20"/>
          <w:szCs w:val="20"/>
          <w:color w:val="auto"/>
        </w:rPr>
        <w:tab/>
      </w:r>
      <w:r>
        <w:rPr>
          <w:rFonts w:ascii="Arial" w:cs="Arial" w:eastAsia="Arial" w:hAnsi="Arial"/>
          <w:sz w:val="16"/>
          <w:szCs w:val="16"/>
          <w:color w:val="auto"/>
        </w:rPr>
        <w:t>Ciaran Murray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22</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2019-12-10T16:56:53Z</dcterms:created>
  <dcterms:modified xsi:type="dcterms:W3CDTF">2019-12-10T16:56:53Z</dcterms:modified>
</cp:coreProperties>
</file>