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July, 2021</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 Brennan, CFO</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Brendan.Brennan@iconplc.com</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+353-1-291-2000</w:t>
      </w:r>
    </w:p>
    <w:p>
      <w:pPr>
        <w:spacing w:after="0" w:line="5" w:lineRule="exact"/>
        <w:rPr>
          <w:sz w:val="24"/>
          <w:szCs w:val="24"/>
          <w:color w:val="auto"/>
        </w:rPr>
      </w:pPr>
    </w:p>
    <w:p>
      <w:pPr>
        <w:jc w:val="center"/>
        <w:ind w:right="-85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09" w:lineRule="exact"/>
        <w:rPr>
          <w:sz w:val="24"/>
          <w:szCs w:val="24"/>
          <w:color w:val="auto"/>
        </w:rPr>
      </w:pPr>
    </w:p>
    <w:p>
      <w:pPr>
        <w:spacing w:after="0" w:line="232"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40" w:top="1242"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87" w:lineRule="exact"/>
        <w:rPr>
          <w:sz w:val="20"/>
          <w:szCs w:val="20"/>
          <w:color w:val="auto"/>
        </w:rPr>
      </w:pPr>
    </w:p>
    <w:p>
      <w:pPr>
        <w:jc w:val="both"/>
        <w:ind w:firstLine="200"/>
        <w:spacing w:after="0" w:line="248"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registration statement on Form F-4 (Registration No. 333-254891) of ICON plc and in the prospectus contained therein, registration statement on Form S-8 (Registration No. 333-152802) of ICON plc, registration statement on Form S-8 (Registration No. 333-190068)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2021 we had approximately 16,480 employees, in 89 locations in 45 countries. During the six months ended June 30, 2021, we derived approximately 38.5%, 52.7% and 8.8% of our revenue in the United States, Europe and Rest of World respectively.</w:t>
      </w:r>
    </w:p>
    <w:p>
      <w:pPr>
        <w:spacing w:after="0" w:line="229"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July 1, 2021, ICON plc announced the completion of its merger (the "Merger") with PRA Health Sciences, Inc. ("PRA"). The combined company will retain the name ICON and will bring together 38,000 employees across 47 countries, creating the world’s most advanced healthcare intelligence and clinical research organization.</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combined company will leverage its enhanced operations to transform clinical trials and accelerate biopharma customers’ commercial success through the development of much needed medicines and medical devices. The new ICON will have a renewed focus on leveraging data, applying technology and accessing diverse patient populations to speed up drug development.</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condensed financial statements below do not reflect the results of the combined company at June 30, 2021.</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will be, at the option of the applicable borrower (as defined in the credit agreement), either (1) the base rate (as described in the credit agreement) plus an applicable margin of 1.50% or (2) LIBOR plus an applicable margin of 2.50%, in each case, with a step down of 0.25% if the first lien net leverage ratio is equal to or less than 4.00 to 1.00. The senior secured term loan facility is subject to a LIBOR floor of 0.50%.</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Senior Secured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 The Senior Secured Notes are guaranteed on a senior secured basis by ICON and its direct and indirect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Repayment of the </w:t>
      </w:r>
      <w:r>
        <w:rPr>
          <w:rFonts w:ascii="Arial" w:cs="Arial" w:eastAsia="Arial" w:hAnsi="Arial"/>
          <w:sz w:val="16"/>
          <w:szCs w:val="16"/>
          <w:color w:val="auto"/>
        </w:rPr>
        <w:t>2020 Senior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December 8,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was recorded within other comprehensive income and amortized over the life of the 2020 Senior Notes. The effective rate on the 2020 Senior Notes is fixed at 2.41%.</w:t>
      </w: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connection with the Merger with PRA, the Company was required to repay the 2020 Senior Notes prior to entering into the Senior Secured Credit Facilities and the Senior Secured Notes. In June 2021, ICON committed to entering into the Senior Secured Credit Facilities and the Senior Secured Notes and therefore committed to replacing the 2020 Senior Notes. The 2020 Senior Notes have been repaid and long term financing consisting of the Senior Secured Credit Facilities and the Senior Secured Notes have been drawn. As the 2020 Senior Notes have been replaced by long term financing we continue to present the 2020 Senior Notes as non-current at June 30, 2021. The 2020 Senior Notes were repaid on July 1, 2021 inclusive of early repayment charges. The total repayment on July 1, 2021 was $364.3 million.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Appointments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Merger, Mr. Colin Shannon and Dr. Linda Grais, who both served on the PRA Board, will join ICON’s Board of Directors.</w:t>
      </w:r>
    </w:p>
    <w:p>
      <w:pPr>
        <w:spacing w:after="0" w:line="2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Mr. Shannon previously served as PRA's President and Chief Executive Officer and was a director of the Company since 2010. He was also the Chairman of the Board of Directors at PRA. Mr. Shannon joined PRA in 2007, serving first as President and Chief Operating Officer. Prior to joining PRA, he was Executive Vice President, Global Clinical Operations at Pharmaceutical Product Development, Inc. (now known as PPD, Inc., or PPD). During his 12 year tenure with PPD, he held various leadership roles, including Chief Operating Officer for its European division and Chief Financial and Administration Officer for Europe and the Pacific Rim.</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Dr. Grais was previously a member of the PRA board since October 2015. Dr. Grais served as a member of the board of directors of Ocera Therapeutics, Inc., a biopharmaceutical company, from January 2008 through December 2017 and as President and Chief Executive Officer of Ocera Therapeutics, Inc. from June 2012 to December 2017. Prior to her employment by Ocera Therapeutics, Dr. Grais served as a managing member at InterWest Partners, a venture capital firm from May 2005 until February 2011. She sits on the audit committees of Corvus Pharmaceuticals, Inc., Zosano Pharma Corporation and Arca Biopharma, Inc. and on the compensation committee of Arca Biopharma, Inc.</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64" w:lineRule="exact"/>
        <w:rPr>
          <w:sz w:val="20"/>
          <w:szCs w:val="20"/>
          <w:color w:val="auto"/>
        </w:rPr>
      </w:pPr>
    </w:p>
    <w:p>
      <w:pPr>
        <w:jc w:val="both"/>
        <w:ind w:firstLine="184"/>
        <w:spacing w:after="0" w:line="250" w:lineRule="auto"/>
        <w:rPr>
          <w:sz w:val="20"/>
          <w:szCs w:val="20"/>
          <w:color w:val="auto"/>
        </w:rPr>
      </w:pPr>
      <w:r>
        <w:rPr>
          <w:rFonts w:ascii="Arial" w:cs="Arial" w:eastAsia="Arial" w:hAnsi="Arial"/>
          <w:sz w:val="16"/>
          <w:szCs w:val="16"/>
          <w:color w:val="auto"/>
        </w:rPr>
        <w:t>In the period since December 31, 2020, the Company has continued to experience a return to positive growth in revenue and net income as a result of the ongoing recovery from the global COVID-19 pandemic. At this point in time, there still remains some degree of uncertainty relating to the long-term effect of COVID-19 on our business and when it will be possible for business activity to return to normal operating levels. Although the impact of the global COVID-19 pandemic is reducing, we continue to experience restrictions on our ability to ensure laboratory samples are collected and analyzed on time, our ability to monitor our clinical trials, the ability of patients or service providers to travel, and our ability to travel, as a result of the outbreak.</w:t>
      </w:r>
    </w:p>
    <w:p>
      <w:pPr>
        <w:spacing w:after="0" w:line="23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ICON has continued to successfully mobilize its vaccine resources to address the COVID-19 global threat, including its ability to conduct home-based trials to minimize infection. In addition, the Company is currently providing clinical monitoring and safety oversight on more than 100 COVID-19 trials for both the private and government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4" w:name="page5"/>
    <w:bookmarkEnd w:id="4"/>
    <w:p>
      <w:pPr>
        <w:jc w:val="both"/>
        <w:ind w:firstLine="648"/>
        <w:spacing w:after="0" w:line="251" w:lineRule="auto"/>
        <w:rPr>
          <w:sz w:val="20"/>
          <w:szCs w:val="20"/>
          <w:color w:val="auto"/>
        </w:rPr>
      </w:pPr>
      <w:r>
        <w:rPr>
          <w:rFonts w:ascii="Arial" w:cs="Arial" w:eastAsia="Arial" w:hAnsi="Arial"/>
          <w:sz w:val="16"/>
          <w:szCs w:val="16"/>
          <w:color w:val="auto"/>
        </w:rPr>
        <w:t>Revenue for the three months ended June 30, 2021 increased by $250.9 million, or 40.5%, to $871.2 million, compared to $620.2 million for the three months ended June 30, 2020. Revenue increased by 37.5% in both constant currency and constant dollar organic terms. The increase in revenues in the three months ended June 30, 2021 is due to the continued recovery from the impact the COVID-19 global pandemic had on operations and the additional clinical trials commenced in direct response to COVID-19 over the last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64" w:lineRule="exact"/>
        <w:rPr>
          <w:sz w:val="20"/>
          <w:szCs w:val="20"/>
          <w:color w:val="auto"/>
        </w:rPr>
      </w:pPr>
    </w:p>
    <w:p>
      <w:pPr>
        <w:jc w:val="both"/>
        <w:ind w:firstLine="184"/>
        <w:spacing w:after="0" w:line="250"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year ended December 31, 2020, 1,235,218 ordinary shares were redeemed by the Company under this buyback program for a total consideration of $175.0 million. During the six months ended June 30, 2021, no ordinary shares were redeemed by the Company under this buyback program.</w:t>
      </w:r>
    </w:p>
    <w:p>
      <w:pPr>
        <w:spacing w:after="0" w:line="230" w:lineRule="exact"/>
        <w:rPr>
          <w:sz w:val="20"/>
          <w:szCs w:val="20"/>
          <w:color w:val="auto"/>
        </w:rPr>
      </w:pPr>
    </w:p>
    <w:p>
      <w:pPr>
        <w:jc w:val="both"/>
        <w:ind w:right="20" w:firstLine="196"/>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will adopt the amendments in this ASU on a prospective basis, except where the required method of adoption is retrospective or modified retrospective. ASU 2019-12 is effective for the Company for fiscal years commencing on or after December 15, 2020. The adoption of this ASU did not have a significant impact on the financial statements.</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ASU 2020-01 states any equity security transitioning from the alternative method of accounting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The adoption of this ASU did not have a significant impact on the financial statements.</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August 2020, the FASB issues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which removes the separation models in ASC 470 ‘Debt’ for convertible debt with cash conversion features and convertible instruments with beneficial conversion features. The ASU also removes from ASC 815 </w:t>
      </w: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xml:space="preserve"> certain conditions for equity classification for contracts on an entity’s own equity. The adoption of this ASU did not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6"/>
          <w:szCs w:val="16"/>
          <w:b w:val="1"/>
          <w:bCs w:val="1"/>
          <w:color w:val="auto"/>
        </w:rPr>
        <w:t>ICON plc</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JUNE 30, 2021 AND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June 30,</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5"/>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1,055,496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840,305</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1,729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677,247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715,271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415,390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428,684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32,289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71,200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53,477</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32,037</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2,285,388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2,102,978</w:t>
            </w:r>
          </w:p>
        </w:tc>
        <w:tc>
          <w:tcPr>
            <w:tcW w:w="0" w:type="dxa"/>
            <w:vAlign w:val="bottom"/>
          </w:tcPr>
          <w:p>
            <w:pPr>
              <w:spacing w:after="0"/>
              <w:rPr>
                <w:sz w:val="1"/>
                <w:szCs w:val="1"/>
                <w:color w:val="auto"/>
              </w:rPr>
            </w:pPr>
          </w:p>
        </w:tc>
      </w:tr>
      <w:tr>
        <w:trPr>
          <w:trHeight w:val="165"/>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166,244</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933,387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936,257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69,238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84,561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22,445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20,773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receivable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12,373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deferred tax asset</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12,282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Investments in equity-long term</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22,286</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15,765</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57,070</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3,584,464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37,818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675,234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660,883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382,593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399,769</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9,396</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1,105,041</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1,123,943</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348,477</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operating lease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47,334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60,801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26,541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26,366</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government grants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795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13,262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deferred tax liability</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13,548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10,406</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1,556,521</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1,585,370</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52,958,063 shares issued and outstanding at June 30, 2021 and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52,788,093 shares issued and outstanding at December 31, 2020</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632,069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617,104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1,134</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(43,734)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(35,477)</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1,433,882</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1,262,895</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2,027,943</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3,584,464</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2021 AND JUNE 30, 2020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40" w:type="dxa"/>
            <w:vAlign w:val="bottom"/>
            <w:gridSpan w:val="7"/>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70"/>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871,155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620,228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1,729,353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1,335,330</w:t>
            </w:r>
          </w:p>
        </w:tc>
      </w:tr>
      <w:tr>
        <w:trPr>
          <w:trHeight w:val="270"/>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Direct costs (excluding depreciation and amortization)</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631,123</w:t>
            </w:r>
          </w:p>
        </w:tc>
        <w:tc>
          <w:tcPr>
            <w:tcW w:w="2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445,833</w:t>
            </w:r>
          </w:p>
        </w:tc>
        <w:tc>
          <w:tcPr>
            <w:tcW w:w="2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1,257,367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951,126</w:t>
            </w: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109,884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83,499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208,419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170,695</w:t>
            </w: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17,276</w:t>
            </w:r>
          </w:p>
        </w:tc>
        <w:tc>
          <w:tcPr>
            <w:tcW w:w="2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15,858</w:t>
            </w:r>
          </w:p>
        </w:tc>
        <w:tc>
          <w:tcPr>
            <w:tcW w:w="2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34,681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32,180</w:t>
            </w:r>
          </w:p>
        </w:tc>
      </w:tr>
      <w:tr>
        <w:trPr>
          <w:trHeight w:val="212"/>
        </w:trPr>
        <w:tc>
          <w:tcPr>
            <w:tcW w:w="5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18,089</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3"/>
        </w:trPr>
        <w:tc>
          <w:tcPr>
            <w:tcW w:w="5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758,283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563,279</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1,500,467</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1,172,090</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112,872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56,949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228,886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163,240</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2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441</w:t>
            </w:r>
          </w:p>
        </w:tc>
        <w:tc>
          <w:tcPr>
            <w:tcW w:w="2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2,250</w:t>
            </w:r>
          </w:p>
        </w:tc>
      </w:tr>
      <w:tr>
        <w:trPr>
          <w:trHeight w:val="22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(27,278)</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(6,401)</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88,507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54,170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202,051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159,089</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w:t>
            </w:r>
          </w:p>
        </w:tc>
      </w:tr>
      <w:tr>
        <w:trPr>
          <w:trHeight w:val="243"/>
        </w:trPr>
        <w:tc>
          <w:tcPr>
            <w:tcW w:w="5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74,374</w:t>
            </w:r>
          </w:p>
        </w:tc>
        <w:tc>
          <w:tcPr>
            <w:tcW w:w="2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47,760</w:t>
            </w:r>
          </w:p>
        </w:tc>
        <w:tc>
          <w:tcPr>
            <w:tcW w:w="2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171,770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140,089</w:t>
            </w:r>
          </w:p>
        </w:tc>
      </w:tr>
      <w:tr>
        <w:trPr>
          <w:trHeight w:val="22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of equity method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73,865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47,760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170,987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140,089</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38"/>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47,760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170,987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139,456</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 attributable to the Group (note 11):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8"/>
        </w:trPr>
        <w:tc>
          <w:tcPr>
            <w:tcW w:w="5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620" w:type="dxa"/>
            <w:vAlign w:val="bottom"/>
            <w:tcBorders>
              <w:bottom w:val="single" w:sz="8" w:color="auto"/>
            </w:tcBorders>
          </w:tcPr>
          <w:p>
            <w:pPr>
              <w:ind w:left="360"/>
              <w:spacing w:after="0" w:line="166" w:lineRule="exact"/>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line="166" w:lineRule="exact"/>
              <w:rPr>
                <w:sz w:val="20"/>
                <w:szCs w:val="20"/>
                <w:color w:val="auto"/>
              </w:rPr>
            </w:pPr>
            <w:r>
              <w:rPr>
                <w:rFonts w:ascii="Arial" w:cs="Arial" w:eastAsia="Arial" w:hAnsi="Arial"/>
                <w:sz w:val="16"/>
                <w:szCs w:val="16"/>
                <w:color w:val="auto"/>
              </w:rPr>
              <w:t>1.38</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line="166" w:lineRule="exact"/>
              <w:rPr>
                <w:sz w:val="20"/>
                <w:szCs w:val="20"/>
                <w:color w:val="auto"/>
              </w:rPr>
            </w:pPr>
            <w:r>
              <w:rPr>
                <w:rFonts w:ascii="Arial" w:cs="Arial" w:eastAsia="Arial" w:hAnsi="Arial"/>
                <w:sz w:val="16"/>
                <w:szCs w:val="16"/>
                <w:color w:val="auto"/>
              </w:rPr>
              <w:t>0.90</w:t>
            </w:r>
          </w:p>
        </w:tc>
        <w:tc>
          <w:tcPr>
            <w:tcW w:w="2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line="166" w:lineRule="exact"/>
              <w:rPr>
                <w:sz w:val="20"/>
                <w:szCs w:val="20"/>
                <w:color w:val="auto"/>
              </w:rPr>
            </w:pPr>
            <w:r>
              <w:rPr>
                <w:rFonts w:ascii="Arial" w:cs="Arial" w:eastAsia="Arial" w:hAnsi="Arial"/>
                <w:sz w:val="16"/>
                <w:szCs w:val="16"/>
                <w:color w:val="auto"/>
              </w:rPr>
              <w:t>3.21</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2.51</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0"/>
        </w:trPr>
        <w:tc>
          <w:tcPr>
            <w:tcW w:w="5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3"/>
        </w:trPr>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52,909,368</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52,570,104</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52,860,414</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52,959,229</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7"/>
        </w:trPr>
        <w:tc>
          <w:tcPr>
            <w:tcW w:w="5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53,381,501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53,028,567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53,294,435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53,691,138</w:t>
            </w:r>
          </w:p>
        </w:tc>
      </w:tr>
      <w:tr>
        <w:trPr>
          <w:trHeight w:val="23"/>
        </w:trPr>
        <w:tc>
          <w:tcPr>
            <w:tcW w:w="5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2021 AND JUNE 30, 2020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8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8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170,987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140,089</w:t>
            </w: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(Gain)/loss on disposal of property, plant and equipment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Depreciation expense</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25,940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22,643</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right-of-use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Reduction in carrying value of operating right-of-use assets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14,037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14,337</w:t>
            </w:r>
          </w:p>
        </w:tc>
      </w:tr>
      <w:tr>
        <w:trPr>
          <w:trHeight w:val="219"/>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8,741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w:t>
            </w:r>
          </w:p>
        </w:tc>
      </w:tr>
      <w:tr>
        <w:trPr>
          <w:trHeight w:val="213"/>
        </w:trPr>
        <w:tc>
          <w:tcPr>
            <w:tcW w:w="8460" w:type="dxa"/>
            <w:vAlign w:val="bottom"/>
          </w:tcPr>
          <w:p>
            <w:pPr>
              <w:ind w:left="260"/>
              <w:spacing w:after="0"/>
              <w:rPr>
                <w:sz w:val="20"/>
                <w:szCs w:val="20"/>
                <w:color w:val="auto"/>
              </w:rPr>
            </w:pPr>
            <w:r>
              <w:rPr>
                <w:rFonts w:ascii="Arial" w:cs="Arial" w:eastAsia="Arial" w:hAnsi="Arial"/>
                <w:sz w:val="16"/>
                <w:szCs w:val="16"/>
                <w:color w:val="auto"/>
              </w:rPr>
              <w:t>Amortization of government grants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on non-current operating lease liability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Realized gain on sale of short term investments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re-measurement of financial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Loss on equity method investments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14,874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13,186</w:t>
            </w:r>
          </w:p>
        </w:tc>
      </w:tr>
      <w:tr>
        <w:trPr>
          <w:trHeight w:val="213"/>
        </w:trPr>
        <w:tc>
          <w:tcPr>
            <w:tcW w:w="8460" w:type="dxa"/>
            <w:vAlign w:val="bottom"/>
          </w:tcPr>
          <w:p>
            <w:pPr>
              <w:ind w:left="260"/>
              <w:spacing w:after="0"/>
              <w:rPr>
                <w:sz w:val="20"/>
                <w:szCs w:val="20"/>
                <w:color w:val="auto"/>
              </w:rPr>
            </w:pPr>
            <w:r>
              <w:rPr>
                <w:rFonts w:ascii="Arial" w:cs="Arial" w:eastAsia="Arial" w:hAnsi="Arial"/>
                <w:sz w:val="16"/>
                <w:szCs w:val="16"/>
                <w:color w:val="auto"/>
              </w:rPr>
              <w:t>Amortization of interest rate hedge</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9"/>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financing costs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14,434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accounts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36,650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58,170</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 in unbilled revenue</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12,690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12,226</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other receivables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 in prepayments and other current assets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5,748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2,937</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(Increase)/decrease in other non-current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Increase in unearned revenue</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14,534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25,056</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other current liabilities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(33,507)</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 in operating lease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(14,951)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(15,416)</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other non-current liabilities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Decrease in income taxes payable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(5,931)</w:t>
            </w:r>
          </w:p>
        </w:tc>
      </w:tr>
      <w:tr>
        <w:trPr>
          <w:trHeight w:val="226"/>
        </w:trPr>
        <w:tc>
          <w:tcPr>
            <w:tcW w:w="8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(Decrease)/increase in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8,370</w:t>
            </w: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240,354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260,648</w:t>
            </w: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(21,653)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(21,161)</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subsidiary undertakings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(47,367)</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Purchase of equity method investments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acquired with subsidiary undertaking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10,170</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Sale of available for sale investments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47,902</w:t>
            </w:r>
          </w:p>
        </w:tc>
      </w:tr>
      <w:tr>
        <w:trPr>
          <w:trHeight w:val="226"/>
        </w:trPr>
        <w:tc>
          <w:tcPr>
            <w:tcW w:w="8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Purchase of investments in equity - long term</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8460" w:type="dxa"/>
            <w:vAlign w:val="bottom"/>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(25,874)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(11,729)</w:t>
            </w: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Proceeds from exercise of equity compensation</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issue costs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Repurchase of ordinary shares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(175,000)</w:t>
            </w:r>
          </w:p>
        </w:tc>
      </w:tr>
      <w:tr>
        <w:trPr>
          <w:trHeight w:val="213"/>
        </w:trPr>
        <w:tc>
          <w:tcPr>
            <w:tcW w:w="8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Share repurchase costs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(173,685)</w:t>
            </w:r>
          </w:p>
        </w:tc>
      </w:tr>
      <w:tr>
        <w:trPr>
          <w:trHeight w:val="22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r>
      <w:tr>
        <w:trPr>
          <w:trHeight w:val="215"/>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215,191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71,791</w:t>
            </w:r>
          </w:p>
        </w:tc>
      </w:tr>
      <w:tr>
        <w:trPr>
          <w:trHeight w:val="224"/>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840,305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520,309</w:t>
            </w:r>
          </w:p>
        </w:tc>
      </w:tr>
      <w:tr>
        <w:trPr>
          <w:trHeight w:val="21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1,055,496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592,100</w:t>
            </w:r>
          </w:p>
        </w:tc>
      </w:tr>
      <w:tr>
        <w:trPr>
          <w:trHeight w:val="21"/>
        </w:trPr>
        <w:tc>
          <w:tcPr>
            <w:tcW w:w="8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60" w:type="dxa"/>
            <w:vAlign w:val="bottom"/>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351"/>
        </w:trPr>
        <w:tc>
          <w:tcPr>
            <w:tcW w:w="3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170,987</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(8,909)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Currency impact of long term funding (net of</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Amortization of interest rate hedge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Write off of loss on interest rate hedge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(8,257)</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170,987</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162,730</w:t>
            </w:r>
          </w:p>
        </w:tc>
        <w:tc>
          <w:tcPr>
            <w:tcW w:w="0" w:type="dxa"/>
            <w:vAlign w:val="bottom"/>
          </w:tcPr>
          <w:p>
            <w:pPr>
              <w:spacing w:after="0"/>
              <w:rPr>
                <w:sz w:val="1"/>
                <w:szCs w:val="1"/>
                <w:color w:val="auto"/>
              </w:rPr>
            </w:pPr>
          </w:p>
        </w:tc>
      </w:tr>
      <w:tr>
        <w:trPr>
          <w:trHeight w:val="351"/>
        </w:trPr>
        <w:tc>
          <w:tcPr>
            <w:tcW w:w="3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4,020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165,950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14,805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14,805</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June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52,958,063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632,069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1,433,882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2,027,943</w:t>
            </w:r>
          </w:p>
        </w:tc>
        <w:tc>
          <w:tcPr>
            <w:tcW w:w="0" w:type="dxa"/>
            <w:vAlign w:val="bottom"/>
          </w:tcPr>
          <w:p>
            <w:pPr>
              <w:spacing w:after="0"/>
              <w:rPr>
                <w:sz w:val="1"/>
                <w:szCs w:val="1"/>
                <w:color w:val="auto"/>
              </w:rPr>
            </w:pP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June 30, 2021</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68"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30" w:lineRule="exact"/>
        <w:rPr>
          <w:sz w:val="20"/>
          <w:szCs w:val="20"/>
          <w:color w:val="auto"/>
        </w:rPr>
      </w:pPr>
    </w:p>
    <w:p>
      <w:pPr>
        <w:jc w:val="both"/>
        <w:ind w:firstLine="269"/>
        <w:spacing w:after="0" w:line="251"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2020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six months ended June 30, 2021 are not necessarily indicative of the results that may be expected for the fiscal period ending December 31, 2021.</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Redeemable noncontrolling interests and equity</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May 23, 2019, ICON acquired a majority ownership interest in MeDiNova. Included in the purchase agreement were put and call option arrangements with the noncontrolling interest holders that required (put option) or enabled (call option) ICON to purchase the remaining minority ownership at a future date. The option was accounted for as temporary equity, which was presented separately as redeemable noncontrolling interest on the Condensed Consolidated Balance Sheet. This classification reflects the assessment that the instruments were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On exercise of the call option, the noncontrolling interest is extinguished and a liability was recorded for the amount payable to the former noncontrolling interest holders. This liability was settled on July 17, 2020 for $43.9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 credit losses</w:t>
      </w:r>
    </w:p>
    <w:p>
      <w:pPr>
        <w:spacing w:after="0" w:line="248" w:lineRule="exact"/>
        <w:rPr>
          <w:sz w:val="20"/>
          <w:szCs w:val="20"/>
          <w:color w:val="auto"/>
        </w:rPr>
      </w:pPr>
    </w:p>
    <w:p>
      <w:pPr>
        <w:jc w:val="both"/>
        <w:ind w:firstLine="212"/>
        <w:spacing w:after="0" w:line="255" w:lineRule="auto"/>
        <w:rPr>
          <w:sz w:val="20"/>
          <w:szCs w:val="20"/>
          <w:color w:val="auto"/>
        </w:rPr>
      </w:pPr>
      <w:r>
        <w:rPr>
          <w:rFonts w:ascii="Arial" w:cs="Arial" w:eastAsia="Arial" w:hAnsi="Arial"/>
          <w:sz w:val="16"/>
          <w:szCs w:val="16"/>
          <w:color w:val="auto"/>
        </w:rPr>
        <w:t xml:space="preserve">On January 1, 2020, the Group adopted ASU 2016-13 </w:t>
      </w:r>
      <w:r>
        <w:rPr>
          <w:rFonts w:ascii="Arial" w:cs="Arial" w:eastAsia="Arial" w:hAnsi="Arial"/>
          <w:sz w:val="16"/>
          <w:szCs w:val="16"/>
          <w:i w:val="1"/>
          <w:iCs w:val="1"/>
          <w:color w:val="auto"/>
        </w:rPr>
        <w:t>'Measurement of Credit Losses on Financial Instruments (ASC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w:t>
      </w:r>
    </w:p>
    <w:p>
      <w:pPr>
        <w:spacing w:after="0" w:line="227" w:lineRule="exact"/>
        <w:rPr>
          <w:sz w:val="20"/>
          <w:szCs w:val="20"/>
          <w:color w:val="auto"/>
        </w:rPr>
      </w:pPr>
    </w:p>
    <w:p>
      <w:pPr>
        <w:jc w:val="both"/>
        <w:ind w:firstLine="283"/>
        <w:spacing w:after="0" w:line="251" w:lineRule="auto"/>
        <w:rPr>
          <w:sz w:val="20"/>
          <w:szCs w:val="20"/>
          <w:color w:val="auto"/>
        </w:rPr>
      </w:pPr>
      <w:r>
        <w:rPr>
          <w:rFonts w:ascii="Arial" w:cs="Arial" w:eastAsia="Arial" w:hAnsi="Arial"/>
          <w:sz w:val="16"/>
          <w:szCs w:val="16"/>
          <w:color w:val="auto"/>
        </w:rPr>
        <w:t>The Group adopted ASC 326 using the modified retrospective measurement method for all in scope financial assets. Results for reporting periods beginning after January 1, 2020 are presented under ASC 326 while prior period amounts continue to be reported in accordance with previously applicable GAAP. The impact of transitioning to the new standard at January 1, 2020 was immaterial and no adjustment was recorded to retained earnings for the cumulative effect of adopting ASC 326.</w:t>
      </w:r>
    </w:p>
    <w:p>
      <w:pPr>
        <w:spacing w:after="0" w:line="229" w:lineRule="exact"/>
        <w:rPr>
          <w:sz w:val="20"/>
          <w:szCs w:val="20"/>
          <w:color w:val="auto"/>
        </w:rPr>
      </w:pPr>
    </w:p>
    <w:p>
      <w:pPr>
        <w:jc w:val="both"/>
        <w:ind w:firstLine="222"/>
        <w:spacing w:after="0" w:line="249" w:lineRule="auto"/>
        <w:rPr>
          <w:sz w:val="20"/>
          <w:szCs w:val="20"/>
          <w:color w:val="auto"/>
        </w:rPr>
      </w:pPr>
      <w:r>
        <w:rPr>
          <w:rFonts w:ascii="Arial" w:cs="Arial" w:eastAsia="Arial" w:hAnsi="Arial"/>
          <w:sz w:val="16"/>
          <w:szCs w:val="16"/>
          <w:color w:val="auto"/>
        </w:rPr>
        <w:t>On transition to ASC 326, the Group has revised the methodology to calculate the allowance for credit losses. 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202"/>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Condensed Consolidated Statement of Operations. Losses are charged against the allowance when management believes the uncollectibility of a previously provisioned amount is confirmed.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48" w:lineRule="exact"/>
        <w:rPr>
          <w:sz w:val="20"/>
          <w:szCs w:val="20"/>
          <w:color w:val="auto"/>
        </w:rPr>
      </w:pPr>
    </w:p>
    <w:p>
      <w:pPr>
        <w:jc w:val="both"/>
        <w:ind w:firstLine="191"/>
        <w:spacing w:after="0" w:line="258" w:lineRule="auto"/>
        <w:rPr>
          <w:sz w:val="20"/>
          <w:szCs w:val="20"/>
          <w:color w:val="auto"/>
        </w:rPr>
      </w:pPr>
      <w:r>
        <w:rPr>
          <w:rFonts w:ascii="Arial" w:cs="Arial" w:eastAsia="Arial" w:hAnsi="Arial"/>
          <w:sz w:val="16"/>
          <w:szCs w:val="16"/>
          <w:color w:val="auto"/>
        </w:rPr>
        <w:t xml:space="preserve">The new leasing standard (ASC 842 </w:t>
      </w:r>
      <w:r>
        <w:rPr>
          <w:rFonts w:ascii="Arial" w:cs="Arial" w:eastAsia="Arial" w:hAnsi="Arial"/>
          <w:sz w:val="16"/>
          <w:szCs w:val="16"/>
          <w:i w:val="1"/>
          <w:iCs w:val="1"/>
          <w:color w:val="auto"/>
        </w:rPr>
        <w:t>'Leases'</w:t>
      </w:r>
      <w:r>
        <w:rPr>
          <w:rFonts w:ascii="Arial" w:cs="Arial" w:eastAsia="Arial" w:hAnsi="Arial"/>
          <w:sz w:val="16"/>
          <w:szCs w:val="16"/>
          <w:color w:val="auto"/>
        </w:rPr>
        <w:t>) was effective and adopted by ICON from January 1, 2019.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w:t>
      </w:r>
    </w:p>
    <w:p>
      <w:pPr>
        <w:spacing w:after="0" w:line="224"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ICON adopted the new standard under the cumulative effect adjustment approach. Under this transition method, the new standard is applied from January 1, 2019 without restatement of comparative period amounts. Operating lease liabilities and right-of-use assets of $106.5 million were recorded on the Condensed Consolidated Balance Sheet as at January 1, 2019.</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was no impact of adopting ASC 842 on opening retained earnings at January 1, 2019.</w:t>
      </w:r>
    </w:p>
    <w:p>
      <w:pPr>
        <w:spacing w:after="0" w:line="25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Revenue disaggregated by customer profile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Top client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110,356</w:t>
            </w:r>
          </w:p>
        </w:tc>
        <w:tc>
          <w:tcPr>
            <w:tcW w:w="2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74,932</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274,650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156,199</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Clients 2-5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246,094</w:t>
            </w:r>
          </w:p>
        </w:tc>
        <w:tc>
          <w:tcPr>
            <w:tcW w:w="2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179,018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475,994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381,996</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116,237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86,449</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239,130</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160,800</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158,577</w:t>
            </w:r>
          </w:p>
        </w:tc>
        <w:tc>
          <w:tcPr>
            <w:tcW w:w="28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101,417</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296,432</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231,501</w:t>
            </w:r>
          </w:p>
        </w:tc>
      </w:tr>
      <w:tr>
        <w:trPr>
          <w:trHeight w:val="22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239,891</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178,412</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443,147</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404,834</w:t>
            </w:r>
          </w:p>
        </w:tc>
      </w:tr>
      <w:tr>
        <w:trPr>
          <w:trHeight w:val="257"/>
        </w:trPr>
        <w:tc>
          <w:tcPr>
            <w:tcW w:w="5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8"/>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871,155</w:t>
            </w:r>
          </w:p>
        </w:tc>
        <w:tc>
          <w:tcPr>
            <w:tcW w:w="28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620,228</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1,729,353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1,335,330</w:t>
            </w: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right="1540" w:hanging="172"/>
        <w:spacing w:after="0" w:line="496" w:lineRule="auto"/>
        <w:tabs>
          <w:tab w:leader="none" w:pos="18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62"/>
        </w:trPr>
        <w:tc>
          <w:tcPr>
            <w:tcW w:w="4500" w:type="dxa"/>
            <w:vAlign w:val="bottom"/>
            <w:shd w:val="clear" w:color="auto" w:fill="CCEEFF"/>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shd w:val="clear" w:color="auto" w:fill="CCEEFF"/>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4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40"/>
              <w:spacing w:after="0"/>
              <w:rPr>
                <w:sz w:val="20"/>
                <w:szCs w:val="20"/>
                <w:color w:val="auto"/>
              </w:rPr>
            </w:pPr>
            <w:r>
              <w:rPr>
                <w:rFonts w:ascii="Arial" w:cs="Arial" w:eastAsia="Arial" w:hAnsi="Arial"/>
                <w:sz w:val="16"/>
                <w:szCs w:val="16"/>
                <w:color w:val="auto"/>
              </w:rPr>
              <w:t>Billed services (accounts receivable)</w:t>
            </w:r>
          </w:p>
        </w:tc>
        <w:tc>
          <w:tcPr>
            <w:tcW w:w="41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684,355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722,420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Unbilled services (unbilled revenue)</w:t>
            </w:r>
          </w:p>
        </w:tc>
        <w:tc>
          <w:tcPr>
            <w:tcW w:w="4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415,390</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40"/>
              <w:spacing w:after="0"/>
              <w:rPr>
                <w:sz w:val="20"/>
                <w:szCs w:val="20"/>
                <w:color w:val="auto"/>
              </w:rPr>
            </w:pPr>
            <w:r>
              <w:rPr>
                <w:rFonts w:ascii="Arial" w:cs="Arial" w:eastAsia="Arial" w:hAnsi="Arial"/>
                <w:sz w:val="16"/>
                <w:szCs w:val="16"/>
                <w:color w:val="auto"/>
              </w:rPr>
              <w:t>Accounts receivable and unbilled revenue</w:t>
            </w:r>
          </w:p>
        </w:tc>
        <w:tc>
          <w:tcPr>
            <w:tcW w:w="41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1,099,745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1,151,104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4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and unbilled revenue, net</w:t>
            </w:r>
          </w:p>
        </w:tc>
        <w:tc>
          <w:tcPr>
            <w:tcW w:w="4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1,092,637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4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4500" w:type="dxa"/>
            <w:vAlign w:val="bottom"/>
          </w:tcPr>
          <w:p>
            <w:pPr>
              <w:spacing w:after="0"/>
              <w:rPr>
                <w:sz w:val="24"/>
                <w:szCs w:val="24"/>
                <w:color w:val="auto"/>
              </w:rPr>
            </w:pPr>
          </w:p>
        </w:tc>
        <w:tc>
          <w:tcPr>
            <w:tcW w:w="4100" w:type="dxa"/>
            <w:vAlign w:val="bottom"/>
          </w:tcPr>
          <w:p>
            <w:pPr>
              <w:jc w:val="right"/>
              <w:ind w:right="2799"/>
              <w:spacing w:after="0"/>
              <w:rPr>
                <w:sz w:val="20"/>
                <w:szCs w:val="20"/>
                <w:color w:val="auto"/>
              </w:rPr>
            </w:pPr>
            <w:r>
              <w:rPr>
                <w:rFonts w:ascii="Arial" w:cs="Arial" w:eastAsia="Arial" w:hAnsi="Arial"/>
                <w:sz w:val="16"/>
                <w:szCs w:val="16"/>
                <w:color w:val="auto"/>
              </w:rPr>
              <w:t>10</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 Change</w:t>
            </w:r>
          </w:p>
        </w:tc>
        <w:tc>
          <w:tcPr>
            <w:tcW w:w="13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415,390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428,684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(13,294)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rPr>
              <w:t>(675,234)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(660,883)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(14,351)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Net balance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rPr>
              <w:t>(259,844)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(232,199)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(27,645)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3"/>
        </w:trPr>
        <w:tc>
          <w:tcPr>
            <w:tcW w:w="4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18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30"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29" w:lineRule="exact"/>
        <w:rPr>
          <w:sz w:val="20"/>
          <w:szCs w:val="20"/>
          <w:color w:val="auto"/>
        </w:rPr>
      </w:pPr>
    </w:p>
    <w:p>
      <w:pPr>
        <w:jc w:val="both"/>
        <w:ind w:firstLine="219"/>
        <w:spacing w:after="0" w:line="249" w:lineRule="auto"/>
        <w:rPr>
          <w:sz w:val="20"/>
          <w:szCs w:val="20"/>
          <w:color w:val="auto"/>
        </w:rPr>
      </w:pPr>
      <w:r>
        <w:rPr>
          <w:rFonts w:ascii="Arial" w:cs="Arial" w:eastAsia="Arial" w:hAnsi="Arial"/>
          <w:sz w:val="16"/>
          <w:szCs w:val="16"/>
          <w:color w:val="auto"/>
        </w:rPr>
        <w:t>Unbilled services as at June 30, 2021 decreased by $13.3 million compared to December 31, 2020. Unearned revenue increased by $14.4 million over the same period resulting in a decrease of $27.6 million in the net balance of unbilled services and unearned revenue or payments on account between December 31, 2020 and June 30, 2021.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32" w:lineRule="exact"/>
        <w:rPr>
          <w:sz w:val="20"/>
          <w:szCs w:val="20"/>
          <w:color w:val="auto"/>
        </w:rPr>
      </w:pPr>
    </w:p>
    <w:p>
      <w:pPr>
        <w:jc w:val="both"/>
        <w:ind w:firstLine="181"/>
        <w:spacing w:after="0" w:line="260" w:lineRule="auto"/>
        <w:rPr>
          <w:sz w:val="20"/>
          <w:szCs w:val="20"/>
          <w:color w:val="auto"/>
        </w:rPr>
      </w:pPr>
      <w:r>
        <w:rPr>
          <w:rFonts w:ascii="Arial" w:cs="Arial" w:eastAsia="Arial" w:hAnsi="Arial"/>
          <w:sz w:val="16"/>
          <w:szCs w:val="16"/>
          <w:color w:val="auto"/>
        </w:rPr>
        <w:t>The credit loss expense and allowance for credit losses recognized on the Group's receivables and unbilled services were de minimis for the three and six months ended June 30, 2021 and June 30, 2020.</w:t>
      </w:r>
    </w:p>
    <w:p>
      <w:pPr>
        <w:spacing w:after="0" w:line="222"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As of June 30, 2021 approximately $6.6 billion (June 30, 2020: $5.7 billion) of revenue is expected to be recognized in the future in respect of unsatisfied performance obligations. The Company expects to recognize revenue on approximately 43% of the unsatisfied performance obligation over the next 12 months, with the remainder recognized thereafter over the duration of the customer contracts.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2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56"/>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936,257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883,170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Prior period acquisitions</w:t>
            </w:r>
          </w:p>
        </w:tc>
        <w:tc>
          <w:tcPr>
            <w:tcW w:w="2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25,773</w:t>
            </w:r>
          </w:p>
        </w:tc>
        <w:tc>
          <w:tcPr>
            <w:tcW w:w="0" w:type="dxa"/>
            <w:vAlign w:val="bottom"/>
          </w:tcPr>
          <w:p>
            <w:pPr>
              <w:spacing w:after="0"/>
              <w:rPr>
                <w:sz w:val="1"/>
                <w:szCs w:val="1"/>
                <w:color w:val="auto"/>
              </w:rPr>
            </w:pPr>
          </w:p>
        </w:tc>
      </w:tr>
      <w:tr>
        <w:trPr>
          <w:trHeight w:val="243"/>
        </w:trPr>
        <w:tc>
          <w:tcPr>
            <w:tcW w:w="8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933,387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936,257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July 1, 2021, ICON plc announced the completion of its Merger with PRA Health Sciences Inc ("PRA"). The combined company will retain the name ICON and will bring together approximately 38,000 employees across 47 countries, creating the world’s most advanced healthcare intelligence and clinical research organization.</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combined company will leverage its enhanced operations to transform clinical trials and accelerate biopharma customers’ commercial success through the development of much needed medicines and medical devices. The new ICON will have a renewed focus on leveraging data, applying technology and accessing diverse patient populations to speed up drug development.</w:t>
      </w:r>
    </w:p>
    <w:p>
      <w:pPr>
        <w:spacing w:after="0" w:line="2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2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consideration for the Merger is estimated at approximately $12.5 billion. The opening balance sheet remains under preparation but we expect to record additional intangible assets of approximately $5.5 billion from the acquisition. The purchase accounting associated with the PRA Merger remains ongoing and we await formal valuations reports to support the assets acquired and the liabilities assumed. We expect to conclude the purchase accounting exercise within the next 12 months.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r>
        <w:rPr>
          <w:rFonts w:ascii="Arial" w:cs="Arial" w:eastAsia="Arial" w:hAnsi="Arial"/>
          <w:sz w:val="16"/>
          <w:szCs w:val="16"/>
          <w:color w:val="auto"/>
        </w:rPr>
        <w:t xml:space="preserve"> Accounting for the acquisition of MedPass was finalized in the period ended December 31, 2020.</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3" w:name="page14"/>
    <w:bookmarkEnd w:id="13"/>
    <w:p>
      <w:pPr>
        <w:ind w:right="80" w:firstLine="180"/>
        <w:spacing w:after="0" w:line="272"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10,170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11,725</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149"/>
        </w:trPr>
        <w:tc>
          <w:tcPr>
            <w:tcW w:w="6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r>
        <w:trPr>
          <w:trHeight w:val="189"/>
        </w:trPr>
        <w:tc>
          <w:tcPr>
            <w:tcW w:w="6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46,992</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as $Nil. Depending on performance of MedPass for the 12 month period ended December 31, 2020, the total consideration could have increased by a maximum of $6.7 million in contingent consideration. In January 2021, the contingent consideration was finalized and a value of $Nil was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color w:val="auto"/>
        </w:rPr>
        <w:t>Acquisitions – CRN Holdings LLC (trading as Symphony Clinical Research ("Symphony"))</w:t>
      </w:r>
    </w:p>
    <w:p>
      <w:pPr>
        <w:spacing w:after="0" w:line="264"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 Accounting for the acquisition of Symphony was finalized in the period ended September 30, 2020. The total consideration was $37.8 million and resulted in the recognition of $22.9 million in Goodwill.</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total consideration included $2.5 million in contingent consideration, which was dependent on Symphony meeting certain revenue targets. The fair value of the contingent consideration was estimated at the date of acquisition. On June 12, 2020 the contingent consideration was settled at its revised fair value in the amount of $0.5 million. The change in fair value has been recorded in the selling, general and administrative expense line of the Condensed Consolidated Statement of Operations in the year ended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MeDiNova</w:t>
      </w:r>
    </w:p>
    <w:p>
      <w:pPr>
        <w:spacing w:after="0" w:line="264" w:lineRule="exact"/>
        <w:rPr>
          <w:sz w:val="20"/>
          <w:szCs w:val="20"/>
          <w:color w:val="auto"/>
        </w:rPr>
      </w:pPr>
    </w:p>
    <w:p>
      <w:pPr>
        <w:jc w:val="both"/>
        <w:ind w:firstLine="190"/>
        <w:spacing w:after="0" w:line="250" w:lineRule="auto"/>
        <w:rPr>
          <w:sz w:val="20"/>
          <w:szCs w:val="20"/>
          <w:color w:val="auto"/>
        </w:rPr>
      </w:pPr>
      <w:r>
        <w:rPr>
          <w:rFonts w:ascii="Arial" w:cs="Arial" w:eastAsia="Arial" w:hAnsi="Arial"/>
          <w:sz w:val="16"/>
          <w:szCs w:val="16"/>
          <w:color w:val="auto"/>
        </w:rPr>
        <w:t>On May 23, 2019 a subsidiary of the Company, ICON Clinical Research (U.K.) Limited acquired a 60% majority shareholding in MeDiNova, a site network with research sites in key markets in Europe and Africa.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 Accounting for the acquisition of MeDiNova was finalized in the period ended June 30, 2020. The total consideration was $86.2 million and resulted in the recognition of $81.8 million in Goodwill.</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total consideration included $32.6 million to reflect the fair value of the redeemable noncontrolling interest. The fair value of the redeemable noncontrolling interest was estimated by applying an income based approach. The valuation approach used was based on the future earnings of the company times an appropriate earnings multiple. Effective from March 9, 2020, the noncontrolling interest was derecognized and a liability was recognized, representing the assessment of the redemption value of the noncontrolling interest. This liability was settled on July 17, 2020 for $43.9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MolecularMD Corp ("MMD")</w:t>
      </w:r>
    </w:p>
    <w:p>
      <w:pPr>
        <w:spacing w:after="0" w:line="264" w:lineRule="exact"/>
        <w:rPr>
          <w:sz w:val="20"/>
          <w:szCs w:val="20"/>
          <w:color w:val="auto"/>
        </w:rPr>
      </w:pPr>
    </w:p>
    <w:p>
      <w:pPr>
        <w:jc w:val="both"/>
        <w:ind w:firstLine="244"/>
        <w:spacing w:after="0" w:line="252"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Accounting for the acquisition of MMD was finalized in the year ended December 31, 2019. The total consideration was $42.2 million and resulted in the recognition of $22.4 million in Goodwill.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Equity method investments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invested $4.9 million to obtain a 49% interest in the voting share capital of Oncacare Limited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Condensed Consolidated Statement of Operations.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 two and half year period commencing from January 1, 2023 and ICON also has the right to acquire the 51% majority voting share capital from August 1, 2025.</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June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shd w:val="clear" w:color="auto" w:fill="CCEEFF"/>
          </w:tcPr>
          <w:p>
            <w:pPr>
              <w:spacing w:after="0"/>
              <w:rPr>
                <w:sz w:val="18"/>
                <w:szCs w:val="18"/>
                <w:color w:val="auto"/>
              </w:rPr>
            </w:pPr>
          </w:p>
        </w:tc>
        <w:tc>
          <w:tcPr>
            <w:tcW w:w="42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Ownership Percentage</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5"/>
        </w:trPr>
        <w:tc>
          <w:tcPr>
            <w:tcW w:w="3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June 30,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31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4200" w:type="dxa"/>
            <w:vAlign w:val="bottom"/>
          </w:tcPr>
          <w:p>
            <w:pPr>
              <w:jc w:val="right"/>
              <w:ind w:right="399"/>
              <w:spacing w:after="0"/>
              <w:rPr>
                <w:sz w:val="20"/>
                <w:szCs w:val="20"/>
                <w:color w:val="auto"/>
              </w:rPr>
            </w:pPr>
            <w:r>
              <w:rPr>
                <w:rFonts w:ascii="Arial" w:cs="Arial" w:eastAsia="Arial" w:hAnsi="Arial"/>
                <w:sz w:val="16"/>
                <w:szCs w:val="16"/>
                <w:color w:val="auto"/>
              </w:rPr>
              <w:t>49 % $</w:t>
            </w:r>
          </w:p>
        </w:tc>
        <w:tc>
          <w:tcPr>
            <w:tcW w:w="1640" w:type="dxa"/>
            <w:vAlign w:val="bottom"/>
          </w:tcPr>
          <w:p>
            <w:pPr>
              <w:jc w:val="right"/>
              <w:spacing w:after="0"/>
              <w:rPr>
                <w:sz w:val="20"/>
                <w:szCs w:val="20"/>
                <w:color w:val="auto"/>
              </w:rPr>
            </w:pPr>
            <w:r>
              <w:rPr>
                <w:rFonts w:ascii="Arial" w:cs="Arial" w:eastAsia="Arial" w:hAnsi="Arial"/>
                <w:sz w:val="16"/>
                <w:szCs w:val="16"/>
                <w:color w:val="auto"/>
              </w:rPr>
              <w:t>3,751</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73"/>
        </w:trPr>
        <w:tc>
          <w:tcPr>
            <w:tcW w:w="3140" w:type="dxa"/>
            <w:vAlign w:val="bottom"/>
            <w:tcBorders>
              <w:bottom w:val="single" w:sz="8" w:color="auto"/>
            </w:tcBorders>
            <w:shd w:val="clear" w:color="auto" w:fill="CCEEFF"/>
          </w:tcPr>
          <w:p>
            <w:pPr>
              <w:spacing w:after="0"/>
              <w:rPr>
                <w:sz w:val="23"/>
                <w:szCs w:val="23"/>
                <w:color w:val="auto"/>
              </w:rPr>
            </w:pPr>
          </w:p>
        </w:tc>
        <w:tc>
          <w:tcPr>
            <w:tcW w:w="4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invested $4.9 million in Oncacare, which includes $2.5 million that was paid on June 30, 2021.</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recorded a loss of $0.5 million representing its pro rata share of the losses in Oncacare for the three month period ended June 30, 2021. The Company recorded a loss of $0.8 million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8. Restructuring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 restructuring charge was recognized during the six months ended June 30, 2021 (June 30, 2020: $18.1 million).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 restructuring charge of $18.1 million was recognized in the year ended December 31, 2020 under a restructuring plan adopted following a review of operations. The restructuring plan reflected resource rationalization across the business to improve resource utilization, resulting in a charge of $11.4 million and office consolidation resulting in a charge for onerous lease obligations of $6.7 million, including the recognition of an impairment of right of use assets of $5.4 million and provision for other related costs of $1.3 million. No additional charge was recorded during the three and six months ended June 30, 2021.</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Provision at December 31, 2020</w:t>
            </w:r>
          </w:p>
        </w:tc>
        <w:tc>
          <w:tcPr>
            <w:tcW w:w="24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4,404</w:t>
            </w:r>
          </w:p>
        </w:tc>
        <w:tc>
          <w:tcPr>
            <w:tcW w:w="2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5,714</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10,118</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June 30, 2021</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4,373</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6"/>
          <w:szCs w:val="16"/>
          <w:color w:val="auto"/>
        </w:rPr>
        <w:t>Future minimum lease payments (including related costs), associated with the 2020 restructuring plan, under the non-cancelable onerous leases as at June 30, 2021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69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5"/>
        </w:trPr>
        <w:tc>
          <w:tcPr>
            <w:tcW w:w="6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92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2021</w:t>
            </w:r>
          </w:p>
        </w:tc>
        <w:tc>
          <w:tcPr>
            <w:tcW w:w="2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1,210</w:t>
            </w:r>
          </w:p>
        </w:tc>
      </w:tr>
      <w:tr>
        <w:trPr>
          <w:trHeight w:val="21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2023</w:t>
            </w: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1,015</w:t>
            </w:r>
          </w:p>
        </w:tc>
      </w:tr>
      <w:tr>
        <w:trPr>
          <w:trHeight w:val="21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2025</w:t>
            </w: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2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Total future minimum lease payments (including related costs)</w:t>
            </w:r>
          </w:p>
        </w:tc>
        <w:tc>
          <w:tcPr>
            <w:tcW w:w="2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4,781</w:t>
            </w:r>
          </w:p>
        </w:tc>
      </w:tr>
      <w:tr>
        <w:trPr>
          <w:trHeight w:val="22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imputed interest</w:t>
            </w:r>
          </w:p>
        </w:tc>
        <w:tc>
          <w:tcPr>
            <w:tcW w:w="2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1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4,373</w:t>
            </w:r>
          </w:p>
        </w:tc>
      </w:tr>
      <w:tr>
        <w:trPr>
          <w:trHeight w:val="23"/>
        </w:trPr>
        <w:tc>
          <w:tcPr>
            <w:tcW w:w="69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9" w:lineRule="exact"/>
        <w:rPr>
          <w:sz w:val="20"/>
          <w:szCs w:val="20"/>
          <w:color w:val="auto"/>
        </w:rPr>
      </w:pPr>
    </w:p>
    <w:p>
      <w:pPr>
        <w:jc w:val="both"/>
        <w:ind w:firstLine="177"/>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 No additional charge was recorded during the six months ended June 30, 2021.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6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9,684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2,134</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2020</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June 30, 2021</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533</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June 30, 2021, $4.4 million is included within other liabilities and $2.6 million within non-current other liabilities.</w:t>
      </w:r>
    </w:p>
    <w:p>
      <w:pPr>
        <w:spacing w:after="0" w:line="200" w:lineRule="exact"/>
        <w:rPr>
          <w:sz w:val="20"/>
          <w:szCs w:val="20"/>
          <w:color w:val="auto"/>
        </w:rPr>
      </w:pPr>
    </w:p>
    <w:p>
      <w:pPr>
        <w:spacing w:after="0" w:line="29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leases</w:t>
      </w:r>
    </w:p>
    <w:p>
      <w:pPr>
        <w:spacing w:after="0" w:line="187"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Lease costs recorded under operating leases for the three and six months ended June 30, 2021 and June 30, 2020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2020</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June 30, 2021</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2020</w:t>
            </w:r>
          </w:p>
        </w:tc>
      </w:tr>
      <w:tr>
        <w:trPr>
          <w:trHeight w:val="210"/>
        </w:trPr>
        <w:tc>
          <w:tcPr>
            <w:tcW w:w="4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w w:val="99"/>
              </w:rPr>
              <w:t>(in thousands)</w:t>
            </w:r>
          </w:p>
        </w:tc>
        <w:tc>
          <w:tcPr>
            <w:tcW w:w="1080" w:type="dxa"/>
            <w:vAlign w:val="bottom"/>
            <w:shd w:val="clear" w:color="auto" w:fill="CCEEFF"/>
          </w:tcPr>
          <w:p>
            <w:pPr>
              <w:spacing w:after="0"/>
              <w:rPr>
                <w:sz w:val="18"/>
                <w:szCs w:val="18"/>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7,549</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7,768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ind w:left="740"/>
              <w:spacing w:after="0"/>
              <w:rPr>
                <w:sz w:val="20"/>
                <w:szCs w:val="20"/>
                <w:color w:val="auto"/>
              </w:rPr>
            </w:pPr>
            <w:r>
              <w:rPr>
                <w:rFonts w:ascii="Arial" w:cs="Arial" w:eastAsia="Arial" w:hAnsi="Arial"/>
                <w:sz w:val="16"/>
                <w:szCs w:val="16"/>
                <w:color w:val="auto"/>
              </w:rPr>
              <w:t>15,338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15,857</w:t>
            </w:r>
          </w:p>
        </w:tc>
      </w:tr>
      <w:tr>
        <w:trPr>
          <w:trHeight w:val="216"/>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(431)</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1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14,907</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15,343</w:t>
            </w:r>
          </w:p>
        </w:tc>
      </w:tr>
      <w:tr>
        <w:trPr>
          <w:trHeight w:val="23"/>
        </w:trPr>
        <w:tc>
          <w:tcPr>
            <w:tcW w:w="4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Of the total cost of $14.9 million incurred in the six months ended June 30, 2021 (June 30, 2020: $15.3 million), $13.8 million (June 30, 2020: $14.0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is recorded within selling, general and administration costs and $1.1 million (June 30, 2020: $1.3 million) is recorded within direct costs.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the three and six months ended June 30, 2021 and June 30, 2020, costs incurred by the Group related to variable lease payments was de minimis.</w:t>
      </w:r>
    </w:p>
    <w:p>
      <w:pPr>
        <w:spacing w:after="0" w:line="248" w:lineRule="exact"/>
        <w:rPr>
          <w:sz w:val="20"/>
          <w:szCs w:val="20"/>
          <w:color w:val="auto"/>
        </w:rPr>
      </w:pPr>
    </w:p>
    <w:p>
      <w:pPr>
        <w:jc w:val="both"/>
        <w:ind w:firstLine="187"/>
        <w:spacing w:after="0" w:line="249" w:lineRule="auto"/>
        <w:rPr>
          <w:sz w:val="20"/>
          <w:szCs w:val="20"/>
          <w:color w:val="auto"/>
        </w:rPr>
      </w:pPr>
      <w:r>
        <w:rPr>
          <w:rFonts w:ascii="Arial" w:cs="Arial" w:eastAsia="Arial" w:hAnsi="Arial"/>
          <w:sz w:val="16"/>
          <w:szCs w:val="16"/>
          <w:color w:val="auto"/>
        </w:rPr>
        <w:t xml:space="preserve">Right-of-use assets obtained during the three months ended June 30, 2021 excluding early termination options, now reasonably certain to be exercised of $Nil (June 30, 2020: $1.6 million), totaled $1.0 million (June 30, 2020: $0.2 million). Right-of-use assets obtained during the six months ended June 30, 2021, excluding early termination options now reasonably certain to be exercised of $4.2 million (June 30, 2020: $1.6 million), totaled $3.8 million (June 30, 2020: $4.5 million). In the three and six months ended June 30, 2020, office consolidations resulted in the recognition of an onerous lease obligation. The right-of-use assets related to these offices have been impaired to the extent they are considered onerous and a loss $5.4 million was recorded (see </w:t>
      </w:r>
      <w:r>
        <w:rPr>
          <w:rFonts w:ascii="Arial" w:cs="Arial" w:eastAsia="Arial" w:hAnsi="Arial"/>
          <w:sz w:val="16"/>
          <w:szCs w:val="16"/>
          <w:i w:val="1"/>
          <w:iCs w:val="1"/>
          <w:color w:val="auto"/>
        </w:rPr>
        <w:t>note 8 -</w:t>
      </w:r>
      <w:r>
        <w:rPr>
          <w:rFonts w:ascii="Arial" w:cs="Arial" w:eastAsia="Arial" w:hAnsi="Arial"/>
          <w:sz w:val="16"/>
          <w:szCs w:val="16"/>
          <w:color w:val="auto"/>
        </w:rPr>
        <w:t xml:space="preserve"> </w:t>
      </w:r>
      <w:r>
        <w:rPr>
          <w:rFonts w:ascii="Arial" w:cs="Arial" w:eastAsia="Arial" w:hAnsi="Arial"/>
          <w:sz w:val="16"/>
          <w:szCs w:val="16"/>
          <w:i w:val="1"/>
          <w:iCs w:val="1"/>
          <w:color w:val="auto"/>
        </w:rPr>
        <w:t>Restructuring</w:t>
      </w:r>
      <w:r>
        <w:rPr>
          <w:rFonts w:ascii="Arial" w:cs="Arial" w:eastAsia="Arial" w:hAnsi="Arial"/>
          <w:sz w:val="16"/>
          <w:szCs w:val="16"/>
          <w:color w:val="auto"/>
        </w:rPr>
        <w:t>). No impairment losses were recognized in the three and six months ended June 30, 2021.</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June 30, 2021 were 3.93 years and 2.52%,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7" w:name="page18"/>
    <w:bookmarkEnd w:id="17"/>
    <w:p>
      <w:pPr>
        <w:ind w:left="180"/>
        <w:spacing w:after="0"/>
        <w:rPr>
          <w:sz w:val="20"/>
          <w:szCs w:val="20"/>
          <w:color w:val="auto"/>
        </w:rPr>
      </w:pPr>
      <w:r>
        <w:rPr>
          <w:rFonts w:ascii="Arial" w:cs="Arial" w:eastAsia="Arial" w:hAnsi="Arial"/>
          <w:sz w:val="16"/>
          <w:szCs w:val="16"/>
          <w:color w:val="auto"/>
        </w:rPr>
        <w:t>Future minimum lease payments under non-cancelable leases as of June 30, 2021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60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5"/>
        </w:trPr>
        <w:tc>
          <w:tcPr>
            <w:tcW w:w="60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060" w:type="dxa"/>
            <w:vAlign w:val="bottom"/>
            <w:tcBorders>
              <w:bottom w:val="single" w:sz="8" w:color="auto"/>
            </w:tcBorders>
            <w:shd w:val="clear" w:color="auto" w:fill="CCEEFF"/>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Due within 1 year</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24,293</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between 1 and 5 years</w:t>
            </w:r>
          </w:p>
        </w:tc>
        <w:tc>
          <w:tcPr>
            <w:tcW w:w="3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43,579</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6,377</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74,249</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r>
      <w:tr>
        <w:trPr>
          <w:trHeight w:val="238"/>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70,142</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$22.8 million have been included in other liabilities as at June 30, 2021 (June 30, 2020: $23.1 million).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recognized during the six months ended June 30, 2021 and June 30, 2020, comprise: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gridSpan w:val="3"/>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center"/>
              <w:ind w:right="2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Provision for income taxes (excluding restructuring)</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14,133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center"/>
              <w:ind w:left="559"/>
              <w:spacing w:after="0"/>
              <w:rPr>
                <w:sz w:val="20"/>
                <w:szCs w:val="20"/>
                <w:color w:val="auto"/>
              </w:rPr>
            </w:pPr>
            <w:r>
              <w:rPr>
                <w:rFonts w:ascii="Arial" w:cs="Arial" w:eastAsia="Arial" w:hAnsi="Arial"/>
                <w:sz w:val="16"/>
                <w:szCs w:val="16"/>
                <w:color w:val="auto"/>
              </w:rPr>
              <w:t>8,671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30,281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21,261</w:t>
            </w:r>
          </w:p>
        </w:tc>
      </w:tr>
      <w:tr>
        <w:trPr>
          <w:trHeight w:val="22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impact of restructuring</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rPr>
              <w:t>(2,261)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14,133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rPr>
              <w:t>6,410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30,281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w:t>
            </w:r>
          </w:p>
        </w:tc>
      </w:tr>
      <w:tr>
        <w:trPr>
          <w:trHeight w:val="24"/>
        </w:trPr>
        <w:tc>
          <w:tcPr>
            <w:tcW w:w="5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191"/>
        <w:spacing w:after="0" w:line="252" w:lineRule="auto"/>
        <w:rPr>
          <w:sz w:val="20"/>
          <w:szCs w:val="20"/>
          <w:color w:val="auto"/>
        </w:rPr>
      </w:pPr>
      <w:r>
        <w:rPr>
          <w:rFonts w:ascii="Arial" w:cs="Arial" w:eastAsia="Arial" w:hAnsi="Arial"/>
          <w:sz w:val="16"/>
          <w:szCs w:val="16"/>
          <w:color w:val="auto"/>
        </w:rPr>
        <w:t>As at June 30, 2021 the Company maintains a $17.4 million liability (December 31, 2020: $19.6 million) for unrecognized tax benefit, which is comprised of $17.1 million (December 31, 2020: $19.1 million) related to items generating unrecognized tax benefits and $0.3 million (December 31, 2020: $0.5 million) for interest and penalties related to such items. The Company recognizes interest accrued on unrecognized tax benefits as an additional income tax expense.</w:t>
      </w:r>
    </w:p>
    <w:p>
      <w:pPr>
        <w:spacing w:after="0" w:line="200" w:lineRule="exact"/>
        <w:rPr>
          <w:sz w:val="20"/>
          <w:szCs w:val="20"/>
          <w:color w:val="auto"/>
        </w:rPr>
      </w:pPr>
    </w:p>
    <w:p>
      <w:pPr>
        <w:spacing w:after="0" w:line="219"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2020 tax years. During such audits, local tax authorities may challenge the positions taken by us in our tax returns.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11. Net income per ordinary share</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18"/>
                <w:szCs w:val="18"/>
                <w:color w:val="auto"/>
              </w:rPr>
            </w:pPr>
          </w:p>
        </w:tc>
        <w:tc>
          <w:tcPr>
            <w:tcW w:w="2900" w:type="dxa"/>
            <w:vAlign w:val="bottom"/>
            <w:tcBorders>
              <w:bottom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2700" w:type="dxa"/>
            <w:vAlign w:val="bottom"/>
            <w:tcBorders>
              <w:bottom w:val="single" w:sz="8" w:color="auto"/>
            </w:tcBorders>
            <w:gridSpan w:val="2"/>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2021</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2020</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172"/>
        </w:trPr>
        <w:tc>
          <w:tcPr>
            <w:tcW w:w="564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14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01"/>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52,909,368</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52,570,104</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52,860,414</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52,959,229</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472,133</w:t>
            </w: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458,463</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434,021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731,909</w:t>
            </w:r>
          </w:p>
        </w:tc>
      </w:tr>
      <w:tr>
        <w:trPr>
          <w:trHeight w:val="177"/>
        </w:trPr>
        <w:tc>
          <w:tcPr>
            <w:tcW w:w="56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1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53,381,501</w:t>
            </w: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53,028,567</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53,294,435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53,691,138</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The reconciliation of net income attributable to the Group and net income attributable to the Group (including NCI redemption amount) as used to calculate net income per ordinary share attributable to the Group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Net income attributable to the Group</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73,865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47,760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170,987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139,456</w:t>
            </w:r>
          </w:p>
        </w:tc>
      </w:tr>
      <w:tr>
        <w:trPr>
          <w:trHeight w:val="22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w:t>
            </w:r>
          </w:p>
        </w:tc>
      </w:tr>
      <w:tr>
        <w:trPr>
          <w:trHeight w:val="21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 (including NCI redemption adjustment)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47,760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170,987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134,934</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0"/>
        </w:trPr>
        <w:tc>
          <w:tcPr>
            <w:tcW w:w="5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156"/>
        </w:trPr>
        <w:tc>
          <w:tcPr>
            <w:tcW w:w="566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Net income per Ordinary Share attributable to the Group (including NCI</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redemption adjustment):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3"/>
        </w:trPr>
        <w:tc>
          <w:tcPr>
            <w:tcW w:w="5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12.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jc w:val="both"/>
        <w:ind w:firstLine="22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3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228" w:lineRule="exact"/>
        <w:rPr>
          <w:sz w:val="20"/>
          <w:szCs w:val="20"/>
          <w:color w:val="auto"/>
        </w:rPr>
      </w:pPr>
    </w:p>
    <w:p>
      <w:pPr>
        <w:jc w:val="both"/>
        <w:ind w:firstLine="264"/>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200" w:lineRule="exact"/>
        <w:rPr>
          <w:sz w:val="20"/>
          <w:szCs w:val="20"/>
          <w:color w:val="auto"/>
        </w:rPr>
      </w:pPr>
    </w:p>
    <w:p>
      <w:pPr>
        <w:spacing w:after="0" w:line="22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29" w:lineRule="exact"/>
        <w:rPr>
          <w:sz w:val="20"/>
          <w:szCs w:val="20"/>
          <w:color w:val="auto"/>
        </w:rPr>
      </w:pPr>
    </w:p>
    <w:p>
      <w:pPr>
        <w:jc w:val="both"/>
        <w:ind w:firstLine="265"/>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35" w:lineRule="exact"/>
        <w:rPr>
          <w:sz w:val="20"/>
          <w:szCs w:val="20"/>
          <w:color w:val="auto"/>
        </w:rPr>
      </w:pPr>
    </w:p>
    <w:p>
      <w:pPr>
        <w:jc w:val="both"/>
        <w:ind w:firstLine="207"/>
        <w:spacing w:after="0" w:line="252"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June 30, 2021 is eight years.</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option activity for the six months ended June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shd w:val="clear" w:color="auto" w:fill="CCEEFF"/>
          </w:tcPr>
          <w:p>
            <w:pPr>
              <w:spacing w:after="0"/>
              <w:rPr>
                <w:sz w:val="16"/>
                <w:szCs w:val="16"/>
                <w:color w:val="auto"/>
              </w:rPr>
            </w:pPr>
          </w:p>
        </w:tc>
        <w:tc>
          <w:tcPr>
            <w:tcW w:w="2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4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2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Weighted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14"/>
                <w:szCs w:val="14"/>
                <w:color w:val="auto"/>
              </w:rPr>
            </w:pPr>
          </w:p>
        </w:tc>
        <w:tc>
          <w:tcPr>
            <w:tcW w:w="256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14"/>
                <w:szCs w:val="14"/>
                <w:color w:val="auto"/>
              </w:rPr>
            </w:pPr>
          </w:p>
        </w:tc>
        <w:tc>
          <w:tcPr>
            <w:tcW w:w="2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39"/>
              <w:spacing w:after="0" w:line="162" w:lineRule="exact"/>
              <w:rPr>
                <w:sz w:val="20"/>
                <w:szCs w:val="20"/>
                <w:color w:val="auto"/>
              </w:rPr>
            </w:pPr>
            <w:r>
              <w:rPr>
                <w:rFonts w:ascii="Arial" w:cs="Arial" w:eastAsia="Arial" w:hAnsi="Arial"/>
                <w:sz w:val="16"/>
                <w:szCs w:val="16"/>
                <w:b w:val="1"/>
                <w:bCs w:val="1"/>
                <w:color w:val="auto"/>
              </w:rPr>
              <w:t>Average Grant</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spacing w:after="0"/>
              <w:rPr>
                <w:sz w:val="14"/>
                <w:szCs w:val="14"/>
                <w:color w:val="auto"/>
              </w:rPr>
            </w:pPr>
          </w:p>
        </w:tc>
        <w:tc>
          <w:tcPr>
            <w:tcW w:w="2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Exercise</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79"/>
              <w:spacing w:after="0" w:line="162" w:lineRule="exact"/>
              <w:rPr>
                <w:sz w:val="20"/>
                <w:szCs w:val="20"/>
                <w:color w:val="auto"/>
              </w:rPr>
            </w:pPr>
            <w:r>
              <w:rPr>
                <w:rFonts w:ascii="Arial" w:cs="Arial" w:eastAsia="Arial" w:hAnsi="Arial"/>
                <w:sz w:val="16"/>
                <w:szCs w:val="16"/>
                <w:b w:val="1"/>
                <w:bCs w:val="1"/>
                <w:color w:val="auto"/>
              </w:rPr>
              <w:t>Date</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Price</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2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553,746</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108.53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31.63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100,299</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177.76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49.15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560" w:type="dxa"/>
            <w:vAlign w:val="bottom"/>
          </w:tcPr>
          <w:p>
            <w:pPr>
              <w:jc w:val="right"/>
              <w:spacing w:after="0"/>
              <w:rPr>
                <w:sz w:val="20"/>
                <w:szCs w:val="20"/>
                <w:color w:val="auto"/>
              </w:rPr>
            </w:pPr>
            <w:r>
              <w:rPr>
                <w:rFonts w:ascii="Arial" w:cs="Arial" w:eastAsia="Arial" w:hAnsi="Arial"/>
                <w:sz w:val="16"/>
                <w:szCs w:val="16"/>
                <w:color w:val="auto"/>
              </w:rPr>
              <w:t>(4,020)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42.24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14.07</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Canceled/expired</w:t>
            </w: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June 30, 2021</w:t>
            </w: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650,025</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119.62</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34.44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June 30, 2021</w:t>
            </w:r>
          </w:p>
        </w:tc>
        <w:tc>
          <w:tcPr>
            <w:tcW w:w="2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336,942</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92.71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27.42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ind w:firstLine="220"/>
        <w:spacing w:after="0" w:line="250" w:lineRule="auto"/>
        <w:rPr>
          <w:sz w:val="20"/>
          <w:szCs w:val="20"/>
          <w:color w:val="auto"/>
        </w:rPr>
      </w:pPr>
      <w:r>
        <w:rPr>
          <w:rFonts w:ascii="Arial" w:cs="Arial" w:eastAsia="Arial" w:hAnsi="Arial"/>
          <w:sz w:val="16"/>
          <w:szCs w:val="16"/>
          <w:color w:val="auto"/>
        </w:rPr>
        <w:t>The Company has outstanding options with fair values ranging from $12.24 to $64.07 per option or a weighted average fair value of $25.97 per option. The Company issues ordinary shares for all options exercised. The total amount of fully vested share options which remained outstanding at June 30, 2021 was 336,942. Fully vested share options at June 30, 2021 have an average remaining contractual term of 3.63 years, an average exercise price of $92.71 and a total intrinsic value of $38.4 million. The total intrinsic value of options exercised during the six months ended June 30, 2021 was $0.7 million (June 30, 2020: $4.3 million).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movement in non-vested share options for the six months ended June 30, 2021:</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5040" w:type="dxa"/>
            <w:vAlign w:val="bottom"/>
            <w:shd w:val="clear" w:color="auto" w:fill="CCEEFF"/>
          </w:tcPr>
          <w:p>
            <w:pPr>
              <w:spacing w:after="0"/>
              <w:rPr>
                <w:sz w:val="16"/>
                <w:szCs w:val="16"/>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156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w:t>
            </w: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14"/>
                <w:szCs w:val="14"/>
                <w:color w:val="auto"/>
              </w:rPr>
            </w:pPr>
          </w:p>
        </w:tc>
        <w:tc>
          <w:tcPr>
            <w:tcW w:w="3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5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Number of Shares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December 31, 2020</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328,901</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125.89</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Granted</w:t>
            </w:r>
          </w:p>
        </w:tc>
        <w:tc>
          <w:tcPr>
            <w:tcW w:w="3120" w:type="dxa"/>
            <w:vAlign w:val="bottom"/>
          </w:tcPr>
          <w:p>
            <w:pPr>
              <w:jc w:val="right"/>
              <w:ind w:right="39"/>
              <w:spacing w:after="0"/>
              <w:rPr>
                <w:sz w:val="20"/>
                <w:szCs w:val="20"/>
                <w:color w:val="auto"/>
              </w:rPr>
            </w:pPr>
            <w:r>
              <w:rPr>
                <w:rFonts w:ascii="Arial" w:cs="Arial" w:eastAsia="Arial" w:hAnsi="Arial"/>
                <w:sz w:val="16"/>
                <w:szCs w:val="16"/>
                <w:color w:val="auto"/>
              </w:rPr>
              <w:t>100,299</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177.76</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(116,117)</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109.53</w:t>
            </w:r>
          </w:p>
        </w:tc>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June 30, 2021</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313,083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148.58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weighted average fair value of options granted during the six months ended June 30, 2021 and June 30, 2020 was calculated using the Black-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The weighted average grant date fair values and assumptions used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2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49.15</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42.43</w:t>
            </w:r>
          </w:p>
        </w:tc>
      </w:tr>
      <w:tr>
        <w:trPr>
          <w:trHeight w:val="175"/>
        </w:trPr>
        <w:tc>
          <w:tcPr>
            <w:tcW w:w="20" w:type="dxa"/>
            <w:vAlign w:val="bottom"/>
          </w:tcPr>
          <w:p>
            <w:pPr>
              <w:spacing w:after="0"/>
              <w:rPr>
                <w:sz w:val="15"/>
                <w:szCs w:val="15"/>
                <w:color w:val="auto"/>
              </w:rPr>
            </w:pPr>
          </w:p>
        </w:tc>
        <w:tc>
          <w:tcPr>
            <w:tcW w:w="540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2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8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2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0.57 %</w:t>
            </w:r>
          </w:p>
        </w:tc>
      </w:tr>
      <w:tr>
        <w:trPr>
          <w:trHeight w:val="213"/>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2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3"/>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184"/>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32"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2020 and 2021 vest over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1" w:name="page22"/>
    <w:bookmarkEnd w:id="21"/>
    <w:p>
      <w:pPr>
        <w:ind w:right="340" w:firstLine="177"/>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six months ended June 30,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RSU</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6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Weighted</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Weighted</w:t>
            </w: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12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Weighted</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Remaining</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Date</w:t>
            </w:r>
          </w:p>
        </w:tc>
        <w:tc>
          <w:tcPr>
            <w:tcW w:w="13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Contractual</w:t>
            </w: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Date</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30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Life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137.64</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1.14</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341,424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145.77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55,444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177.77</w:t>
            </w:r>
          </w:p>
        </w:tc>
        <w:tc>
          <w:tcPr>
            <w:tcW w:w="1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144,274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207.29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115.61</w:t>
            </w: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(122,331)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131.37</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115.61</w:t>
            </w: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146.64</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2021</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167,794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159.18</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1.35</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353,549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175.83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PSUs vested for the six months ended June 30, 2021 totaled $5.1 million (full year 2020: $5.3 million).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RSUs vested for the six months ended June 30, 2021 totaled $16.1 million (full year 2020: $14.3 million).</w:t>
      </w:r>
    </w:p>
    <w:p>
      <w:pPr>
        <w:spacing w:after="0" w:line="248" w:lineRule="exact"/>
        <w:rPr>
          <w:sz w:val="20"/>
          <w:szCs w:val="20"/>
          <w:color w:val="auto"/>
        </w:rPr>
      </w:pPr>
    </w:p>
    <w:p>
      <w:pPr>
        <w:jc w:val="both"/>
        <w:ind w:firstLine="214"/>
        <w:spacing w:after="0" w:line="260" w:lineRule="auto"/>
        <w:rPr>
          <w:sz w:val="20"/>
          <w:szCs w:val="20"/>
          <w:color w:val="auto"/>
        </w:rPr>
      </w:pPr>
      <w:r>
        <w:rPr>
          <w:rFonts w:ascii="Arial" w:cs="Arial" w:eastAsia="Arial" w:hAnsi="Arial"/>
          <w:sz w:val="16"/>
          <w:szCs w:val="16"/>
          <w:color w:val="auto"/>
        </w:rPr>
        <w:t>The PSUs vest based on service and specified EPS targets over the periods 2019 – 2021, 2020 – 2022 and 2021 - 2023. Depending on the amount of EPS from 2019 to 2023, up to an additional 83,897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Non-cash stock compensation expense for the six months ended June 30, 2021 and June 30, 2020 has been allocated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ind w:left="660"/>
              <w:spacing w:after="0"/>
              <w:rPr>
                <w:sz w:val="20"/>
                <w:szCs w:val="20"/>
                <w:color w:val="auto"/>
              </w:rPr>
            </w:pPr>
            <w:r>
              <w:rPr>
                <w:rFonts w:ascii="Arial" w:cs="Arial" w:eastAsia="Arial" w:hAnsi="Arial"/>
                <w:sz w:val="16"/>
                <w:szCs w:val="16"/>
                <w:color w:val="auto"/>
              </w:rPr>
              <w:t>3,101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4,188</w:t>
            </w:r>
          </w:p>
        </w:tc>
      </w:tr>
      <w:tr>
        <w:trPr>
          <w:trHeight w:val="22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5,379</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4,764</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9,718</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8,998</w:t>
            </w: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56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8,480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13,186</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non-cash stock compensation expense not yet recognized at June 30, 2021 amounted to $72.6 million. The weighted average period over which this is expected to be recognized is 2.42 years.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Share capital</w:t>
      </w:r>
    </w:p>
    <w:p>
      <w:pPr>
        <w:spacing w:after="0" w:line="268" w:lineRule="exact"/>
        <w:rPr>
          <w:sz w:val="20"/>
          <w:szCs w:val="20"/>
          <w:color w:val="auto"/>
        </w:rPr>
      </w:pPr>
    </w:p>
    <w:p>
      <w:pPr>
        <w:jc w:val="both"/>
        <w:ind w:right="20" w:firstLine="194"/>
        <w:spacing w:after="0" w:line="260"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222" w:lineRule="exact"/>
        <w:rPr>
          <w:sz w:val="20"/>
          <w:szCs w:val="20"/>
          <w:color w:val="auto"/>
        </w:rPr>
      </w:pPr>
    </w:p>
    <w:p>
      <w:pPr>
        <w:jc w:val="both"/>
        <w:ind w:right="20" w:firstLine="184"/>
        <w:spacing w:after="0" w:line="251"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year ended December 31, 2020, 1,235,218 ordinary shares were redeemed by the Company under this buyback program for a total consideration of $175.0 million.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2021, no ordinary shares were redeemed by the Company under this buyback program.</w:t>
      </w:r>
    </w:p>
    <w:p>
      <w:pPr>
        <w:spacing w:after="0" w:line="248"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14. Business segment information</w:t>
      </w:r>
    </w:p>
    <w:p>
      <w:pPr>
        <w:spacing w:after="0" w:line="268"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251"/>
        <w:spacing w:after="0" w:line="253"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28"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339"/>
        <w:spacing w:after="0" w:line="250" w:lineRule="auto"/>
        <w:rPr>
          <w:sz w:val="20"/>
          <w:szCs w:val="20"/>
          <w:color w:val="auto"/>
        </w:rPr>
      </w:pPr>
      <w:r>
        <w:rPr>
          <w:rFonts w:ascii="Arial" w:cs="Arial" w:eastAsia="Arial" w:hAnsi="Arial"/>
          <w:sz w:val="16"/>
          <w:szCs w:val="16"/>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30"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2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29" w:lineRule="exact"/>
        <w:rPr>
          <w:sz w:val="20"/>
          <w:szCs w:val="20"/>
          <w:color w:val="auto"/>
        </w:rPr>
      </w:pPr>
    </w:p>
    <w:p>
      <w:pPr>
        <w:jc w:val="both"/>
        <w:ind w:firstLine="203"/>
        <w:spacing w:after="0" w:line="251"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29" w:lineRule="exact"/>
        <w:rPr>
          <w:sz w:val="20"/>
          <w:szCs w:val="20"/>
          <w:color w:val="auto"/>
        </w:rPr>
      </w:pPr>
    </w:p>
    <w:p>
      <w:pPr>
        <w:jc w:val="both"/>
        <w:ind w:firstLine="208"/>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Belgium, Bulgaria, Czechia, France, Germany, Hungary, Italy, Latvia, Lithuania, Poland, Portugal, Romania, Russia, Serbia, Slovakia, Spain, Sweden, Switzerland, The Netherlands, Turkey, Ukraine, Canada, Argentina, Brazil, Chile, Colombia, Mexico, Peru, China (including Hong Kong), India, Israel, Japan, Malaysia, Singapore, South Korea, The Philippines, Taiwan, Thailand, Australia, New Zealand and South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ind w:firstLine="204"/>
        <w:spacing w:after="0" w:line="260" w:lineRule="auto"/>
        <w:rPr>
          <w:sz w:val="20"/>
          <w:szCs w:val="20"/>
          <w:color w:val="auto"/>
        </w:rPr>
      </w:pPr>
      <w:r>
        <w:rPr>
          <w:rFonts w:ascii="Arial" w:cs="Arial" w:eastAsia="Arial" w:hAnsi="Arial"/>
          <w:sz w:val="16"/>
          <w:szCs w:val="16"/>
          <w:color w:val="auto"/>
        </w:rPr>
        <w:t>The geographical distribution of the Company’s segment measures as at June 30, 2021 and December 31, 2020 and for the six months ended June 30, 2021 and June 30, 2020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ind w:left="660"/>
              <w:spacing w:after="0"/>
              <w:rPr>
                <w:sz w:val="20"/>
                <w:szCs w:val="20"/>
                <w:color w:val="auto"/>
              </w:rPr>
            </w:pPr>
            <w:r>
              <w:rPr>
                <w:rFonts w:ascii="Arial" w:cs="Arial" w:eastAsia="Arial" w:hAnsi="Arial"/>
                <w:sz w:val="16"/>
                <w:szCs w:val="16"/>
                <w:color w:val="auto"/>
              </w:rPr>
              <w:t>a) The distribution of revenue by geographical area was as follows: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14"/>
        </w:trPr>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54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3"/>
          </w:tcPr>
          <w:p>
            <w:pPr>
              <w:spacing w:after="0"/>
              <w:rPr>
                <w:sz w:val="9"/>
                <w:szCs w:val="9"/>
                <w:color w:val="auto"/>
              </w:rPr>
            </w:pPr>
          </w:p>
        </w:tc>
      </w:tr>
      <w:tr>
        <w:trPr>
          <w:trHeight w:val="215"/>
        </w:trPr>
        <w:tc>
          <w:tcPr>
            <w:tcW w:w="5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Ireland *</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363,730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279,743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671,851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594,715</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118,579</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89,387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238,933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191,818</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313,113</w:t>
            </w: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189,466</w:t>
            </w:r>
          </w:p>
        </w:tc>
        <w:tc>
          <w:tcPr>
            <w:tcW w:w="2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665,609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414,933</w:t>
            </w:r>
          </w:p>
        </w:tc>
      </w:tr>
      <w:tr>
        <w:trPr>
          <w:trHeight w:val="22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75,733</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61,632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152,960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133,864</w:t>
            </w:r>
          </w:p>
        </w:tc>
      </w:tr>
      <w:tr>
        <w:trPr>
          <w:trHeight w:val="243"/>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871,155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620,228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1,729,353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1,335,330</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00" w:hanging="106"/>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sales shown for Ireland are export sales.</w:t>
      </w:r>
    </w:p>
    <w:p>
      <w:pPr>
        <w:spacing w:after="0" w:line="248" w:lineRule="exact"/>
        <w:rPr>
          <w:rFonts w:ascii="Arial" w:cs="Arial" w:eastAsia="Arial" w:hAnsi="Arial"/>
          <w:sz w:val="16"/>
          <w:szCs w:val="16"/>
          <w:color w:val="auto"/>
        </w:rPr>
      </w:pPr>
    </w:p>
    <w:p>
      <w:pPr>
        <w:ind w:left="840" w:hanging="184"/>
        <w:spacing w:after="0"/>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distribution of income from operations including restructuring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Ireland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85,736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38,655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174,648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112,590</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8,794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7,120</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17,816</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12,470</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9,377</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25,707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23,268</w:t>
            </w:r>
          </w:p>
        </w:tc>
      </w:tr>
      <w:tr>
        <w:trPr>
          <w:trHeight w:val="22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1,797</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12,127</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9,566</w:t>
            </w:r>
          </w:p>
        </w:tc>
      </w:tr>
      <w:tr>
        <w:trPr>
          <w:trHeight w:val="243"/>
        </w:trPr>
        <w:tc>
          <w:tcPr>
            <w:tcW w:w="5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56,949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228,886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163,240</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distribution of income from operations excluding restructuring by geographical area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Ireland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85,736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56,744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174,648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130,679</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8,794</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7,120</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17,816</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12,470</w:t>
            </w:r>
          </w:p>
        </w:tc>
        <w:tc>
          <w:tcPr>
            <w:tcW w:w="18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9,377</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25,707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23,268</w:t>
            </w:r>
          </w:p>
        </w:tc>
      </w:tr>
      <w:tr>
        <w:trPr>
          <w:trHeight w:val="226"/>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1,797</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12,127</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9,566</w:t>
            </w:r>
          </w:p>
        </w:tc>
      </w:tr>
      <w:tr>
        <w:trPr>
          <w:trHeight w:val="243"/>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228,886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181,329</w:t>
            </w: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d) The distribution of long-lived assets (including right-of-use assets), net, by geographical area was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800" w:type="dxa"/>
            <w:vAlign w:val="bottom"/>
            <w:tcBorders>
              <w:bottom w:val="single" w:sz="8" w:color="auto"/>
            </w:tcBorders>
            <w:shd w:val="clear" w:color="auto" w:fill="CCEEFF"/>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8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113,132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118,361</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29,724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36,723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60,676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31,950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38,668</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235,482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258,904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48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 The distribution of depreciation, amortization and reduction in carrying value of the right-of-use assets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gridSpan w:val="3"/>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Ireland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18,424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16,192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3,681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8,168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6,201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16,716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14,840</w:t>
            </w:r>
          </w:p>
        </w:tc>
        <w:tc>
          <w:tcPr>
            <w:tcW w:w="0" w:type="dxa"/>
            <w:vAlign w:val="bottom"/>
          </w:tcPr>
          <w:p>
            <w:pPr>
              <w:spacing w:after="0"/>
              <w:rPr>
                <w:sz w:val="1"/>
                <w:szCs w:val="1"/>
                <w:color w:val="auto"/>
              </w:rPr>
            </w:pPr>
          </w:p>
        </w:tc>
      </w:tr>
      <w:tr>
        <w:trPr>
          <w:trHeight w:val="22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2,964</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7,998</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46,517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860" w:type="dxa"/>
            <w:vAlign w:val="bottom"/>
          </w:tcPr>
          <w:p>
            <w:pPr>
              <w:ind w:left="660"/>
              <w:spacing w:after="0"/>
              <w:rPr>
                <w:sz w:val="20"/>
                <w:szCs w:val="20"/>
                <w:color w:val="auto"/>
              </w:rPr>
            </w:pPr>
            <w:r>
              <w:rPr>
                <w:rFonts w:ascii="Arial" w:cs="Arial" w:eastAsia="Arial" w:hAnsi="Arial"/>
                <w:sz w:val="16"/>
                <w:szCs w:val="16"/>
                <w:color w:val="auto"/>
              </w:rPr>
              <w:t>f) The distribution of total assets by geographical area was as follows: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June 30, 2021</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8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1,936,492</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1,675,980</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639,961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671,218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830,877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909,202</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177,134</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179,206</w:t>
            </w: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3,584,464</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3"/>
        </w:trPr>
        <w:tc>
          <w:tcPr>
            <w:tcW w:w="5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15. Impact of change in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ASC 326 Financial Instruments - Credit Losses</w:t>
      </w:r>
    </w:p>
    <w:p>
      <w:pPr>
        <w:spacing w:after="0" w:line="248"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was effective, and adopted by the Group, from January 1, 2020. Primarily, ASU 2016-13 introduces an expected loss methodology that is referred to as the current expected credit loss (CECL) methodology.</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objectives of previous loss methodologies for instruments within the scope of this update generally delayed recognition of the full amount of credit losses until the loss was probable of occurring. Under ASU 2016-13, losses reflect an entity’s current estimate of all expected credit losses including, in addition to the consideration of past events and current conditions, as under the current guidance, incorporating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ASC 326 changed the accounting for available-for-sale (AFS) debt securities to require credit losses to be presented as an allowance rather than as a write-down to align the income statement recognition of credit losses on AFS debt securities with the reporting period in which the changes occur.</w:t>
      </w:r>
    </w:p>
    <w:p>
      <w:pPr>
        <w:spacing w:after="0" w:line="228" w:lineRule="exact"/>
        <w:rPr>
          <w:sz w:val="20"/>
          <w:szCs w:val="20"/>
          <w:color w:val="auto"/>
        </w:rPr>
      </w:pPr>
    </w:p>
    <w:p>
      <w:pPr>
        <w:jc w:val="both"/>
        <w:ind w:firstLine="265"/>
        <w:spacing w:after="0" w:line="260" w:lineRule="auto"/>
        <w:rPr>
          <w:sz w:val="20"/>
          <w:szCs w:val="20"/>
          <w:color w:val="auto"/>
        </w:rPr>
      </w:pPr>
      <w:r>
        <w:rPr>
          <w:rFonts w:ascii="Arial" w:cs="Arial" w:eastAsia="Arial" w:hAnsi="Arial"/>
          <w:sz w:val="16"/>
          <w:szCs w:val="16"/>
          <w:color w:val="auto"/>
        </w:rPr>
        <w:t>The Group adopted ASC 326 using the modified retrospective measurement method on January 1, 2020. The adoption of ASC 326 did not have a material impact on the Group and there was no impact of adopting ASC 326 on opening balances at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8" w:lineRule="exact"/>
        <w:rPr>
          <w:sz w:val="20"/>
          <w:szCs w:val="20"/>
          <w:color w:val="auto"/>
        </w:rPr>
      </w:pPr>
    </w:p>
    <w:p>
      <w:pPr>
        <w:jc w:val="both"/>
        <w:ind w:firstLine="207"/>
        <w:spacing w:after="0" w:line="25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2020. The consolidated financial statements have been prepared in accordance with accounting principles generally accepted in the United States.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2021 we employed approximately 16,480 employees, in 89 locations in 45 countries. During the six months ended June 30, 2021 we derived approximately 38.5%, 52.7% and 8.8% of our revenue in the United States, Europe and Rest of World respectively.</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July 1, 2021, ICON plc announced the completion of its Merger with PRA. The combined company will retain the name ICON and will bring together approximately 38,000 employees across 47 countries, creating the world’s most advanced healthcare intelligence and clinical research organization. The combined company will leverage its enhanced operations to transform clinical trials and accelerate biopharma customers’ commercial success through the development of much needed medicines and medical devices. The new ICON will have a renewed focus on leveraging data, applying technology and accessing diverse patient populations to speed up drug development. On a standalone basis, PRA revenue for the three month period to June 30, 2021 was approximately $1,047.4 million and days sales outstanding (DSO) was approximately 14 days at June 30, 2021.</w:t>
      </w:r>
    </w:p>
    <w:p>
      <w:pPr>
        <w:spacing w:after="0" w:line="232" w:lineRule="exact"/>
        <w:rPr>
          <w:sz w:val="20"/>
          <w:szCs w:val="20"/>
          <w:color w:val="auto"/>
        </w:rPr>
      </w:pPr>
    </w:p>
    <w:p>
      <w:pPr>
        <w:jc w:val="both"/>
        <w:ind w:firstLine="237"/>
        <w:spacing w:after="0" w:line="251" w:lineRule="auto"/>
        <w:rPr>
          <w:sz w:val="20"/>
          <w:szCs w:val="20"/>
          <w:color w:val="auto"/>
        </w:rPr>
      </w:pPr>
      <w:r>
        <w:rPr>
          <w:rFonts w:ascii="Arial" w:cs="Arial" w:eastAsia="Arial" w:hAnsi="Arial"/>
          <w:sz w:val="16"/>
          <w:szCs w:val="16"/>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2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288"/>
        <w:spacing w:after="0" w:line="251" w:lineRule="auto"/>
        <w:rPr>
          <w:sz w:val="20"/>
          <w:szCs w:val="20"/>
          <w:color w:val="auto"/>
        </w:rPr>
      </w:pPr>
      <w:r>
        <w:rPr>
          <w:rFonts w:ascii="Arial" w:cs="Arial" w:eastAsia="Arial" w:hAnsi="Arial"/>
          <w:sz w:val="16"/>
          <w:szCs w:val="16"/>
          <w:color w:val="auto"/>
        </w:rPr>
        <w:t xml:space="preserve">Our unsatisfied performance obligation consists of potential revenue yet to be earned from projects awarded by clients. At June 30, 2021 we had unsatisfied performance obligations of approximately $6.6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for further details). We believe that our remaining or unrealized performance obligations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revenue.</w:t>
      </w:r>
    </w:p>
    <w:p>
      <w:pPr>
        <w:spacing w:after="0" w:line="22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2" w:lineRule="exact"/>
        <w:rPr>
          <w:sz w:val="20"/>
          <w:szCs w:val="20"/>
          <w:color w:val="auto"/>
        </w:rPr>
      </w:pPr>
    </w:p>
    <w:p>
      <w:pPr>
        <w:jc w:val="both"/>
        <w:ind w:firstLine="21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firstLine="209"/>
        <w:spacing w:after="0" w:line="253" w:lineRule="auto"/>
        <w:rPr>
          <w:sz w:val="20"/>
          <w:szCs w:val="20"/>
          <w:color w:val="auto"/>
        </w:rPr>
      </w:pPr>
      <w:r>
        <w:rPr>
          <w:rFonts w:ascii="Arial" w:cs="Arial" w:eastAsia="Arial" w:hAnsi="Arial"/>
          <w:sz w:val="16"/>
          <w:szCs w:val="16"/>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8" w:lineRule="exact"/>
        <w:rPr>
          <w:sz w:val="20"/>
          <w:szCs w:val="20"/>
          <w:color w:val="auto"/>
        </w:rPr>
      </w:pPr>
    </w:p>
    <w:p>
      <w:pPr>
        <w:jc w:val="both"/>
        <w:ind w:right="20" w:firstLine="261"/>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3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74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 to 2021</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3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7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rPr>
              <w:t>Increase/</w:t>
            </w:r>
          </w:p>
        </w:tc>
      </w:tr>
      <w:tr>
        <w:trPr>
          <w:trHeight w:val="215"/>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(Decrease)</w:t>
            </w: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64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72.4 %</w:t>
            </w:r>
          </w:p>
        </w:tc>
        <w:tc>
          <w:tcPr>
            <w:tcW w:w="1400" w:type="dxa"/>
            <w:vAlign w:val="bottom"/>
          </w:tcPr>
          <w:p>
            <w:pPr>
              <w:jc w:val="right"/>
              <w:spacing w:after="0"/>
              <w:rPr>
                <w:sz w:val="20"/>
                <w:szCs w:val="20"/>
                <w:color w:val="auto"/>
              </w:rPr>
            </w:pPr>
            <w:r>
              <w:rPr>
                <w:rFonts w:ascii="Arial" w:cs="Arial" w:eastAsia="Arial" w:hAnsi="Arial"/>
                <w:sz w:val="16"/>
                <w:szCs w:val="16"/>
                <w:color w:val="auto"/>
              </w:rPr>
              <w:t>71.9 %</w:t>
            </w:r>
          </w:p>
        </w:tc>
        <w:tc>
          <w:tcPr>
            <w:tcW w:w="1740" w:type="dxa"/>
            <w:vAlign w:val="bottom"/>
          </w:tcPr>
          <w:p>
            <w:pPr>
              <w:jc w:val="right"/>
              <w:spacing w:after="0"/>
              <w:rPr>
                <w:sz w:val="20"/>
                <w:szCs w:val="20"/>
                <w:color w:val="auto"/>
              </w:rPr>
            </w:pPr>
            <w:r>
              <w:rPr>
                <w:rFonts w:ascii="Arial" w:cs="Arial" w:eastAsia="Arial" w:hAnsi="Arial"/>
                <w:sz w:val="16"/>
                <w:szCs w:val="16"/>
                <w:color w:val="auto"/>
              </w:rPr>
              <w:t>41.6 %</w:t>
            </w:r>
          </w:p>
        </w:tc>
      </w:tr>
      <w:tr>
        <w:trPr>
          <w:trHeight w:val="21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9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12.6 %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31.6 %</w:t>
            </w: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1.5 %</w:t>
            </w:r>
          </w:p>
        </w:tc>
        <w:tc>
          <w:tcPr>
            <w:tcW w:w="1400" w:type="dxa"/>
            <w:vAlign w:val="bottom"/>
          </w:tcPr>
          <w:p>
            <w:pPr>
              <w:jc w:val="right"/>
              <w:spacing w:after="0"/>
              <w:rPr>
                <w:sz w:val="20"/>
                <w:szCs w:val="20"/>
                <w:color w:val="auto"/>
              </w:rPr>
            </w:pPr>
            <w:r>
              <w:rPr>
                <w:rFonts w:ascii="Arial" w:cs="Arial" w:eastAsia="Arial" w:hAnsi="Arial"/>
                <w:sz w:val="16"/>
                <w:szCs w:val="16"/>
                <w:color w:val="auto"/>
              </w:rPr>
              <w:t>1.8 %</w:t>
            </w:r>
          </w:p>
        </w:tc>
        <w:tc>
          <w:tcPr>
            <w:tcW w:w="1740" w:type="dxa"/>
            <w:vAlign w:val="bottom"/>
          </w:tcPr>
          <w:p>
            <w:pPr>
              <w:jc w:val="right"/>
              <w:spacing w:after="0"/>
              <w:rPr>
                <w:sz w:val="20"/>
                <w:szCs w:val="20"/>
                <w:color w:val="auto"/>
              </w:rPr>
            </w:pPr>
            <w:r>
              <w:rPr>
                <w:rFonts w:ascii="Arial" w:cs="Arial" w:eastAsia="Arial" w:hAnsi="Arial"/>
                <w:sz w:val="16"/>
                <w:szCs w:val="16"/>
                <w:color w:val="auto"/>
              </w:rPr>
              <w:t>17.7 %</w:t>
            </w:r>
          </w:p>
        </w:tc>
      </w:tr>
      <w:tr>
        <w:trPr>
          <w:trHeight w:val="21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9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0.5 %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23"/>
        </w:trPr>
        <w:tc>
          <w:tcPr>
            <w:tcW w:w="2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Restructuring</w:t>
            </w: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13.0 %</w:t>
            </w:r>
          </w:p>
        </w:tc>
        <w:tc>
          <w:tcPr>
            <w:tcW w:w="1400" w:type="dxa"/>
            <w:vAlign w:val="bottom"/>
          </w:tcPr>
          <w:p>
            <w:pPr>
              <w:jc w:val="right"/>
              <w:spacing w:after="0"/>
              <w:rPr>
                <w:sz w:val="20"/>
                <w:szCs w:val="20"/>
                <w:color w:val="auto"/>
              </w:rPr>
            </w:pPr>
            <w:r>
              <w:rPr>
                <w:rFonts w:ascii="Arial" w:cs="Arial" w:eastAsia="Arial" w:hAnsi="Arial"/>
                <w:sz w:val="16"/>
                <w:szCs w:val="16"/>
                <w:color w:val="auto"/>
              </w:rPr>
              <w:t>9.2 %</w:t>
            </w:r>
          </w:p>
        </w:tc>
        <w:tc>
          <w:tcPr>
            <w:tcW w:w="1740" w:type="dxa"/>
            <w:vAlign w:val="bottom"/>
          </w:tcPr>
          <w:p>
            <w:pPr>
              <w:jc w:val="right"/>
              <w:spacing w:after="0"/>
              <w:rPr>
                <w:sz w:val="20"/>
                <w:szCs w:val="20"/>
                <w:color w:val="auto"/>
              </w:rPr>
            </w:pPr>
            <w:r>
              <w:rPr>
                <w:rFonts w:ascii="Arial" w:cs="Arial" w:eastAsia="Arial" w:hAnsi="Arial"/>
                <w:sz w:val="16"/>
                <w:szCs w:val="16"/>
                <w:color w:val="auto"/>
              </w:rPr>
              <w:t>98.2 %</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 excluding restructuring</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3320" w:type="dxa"/>
            <w:vAlign w:val="bottom"/>
            <w:tcBorders>
              <w:top w:val="single" w:sz="8" w:color="CCEEFF"/>
              <w:bottom w:val="single" w:sz="8" w:color="auto"/>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32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3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Six Months Ended</w:t>
            </w:r>
          </w:p>
        </w:tc>
        <w:tc>
          <w:tcPr>
            <w:tcW w:w="174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 to 2021</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3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7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rPr>
              <w:t>Increase/</w:t>
            </w:r>
          </w:p>
        </w:tc>
      </w:tr>
      <w:tr>
        <w:trPr>
          <w:trHeight w:val="215"/>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(Decrease)</w:t>
            </w: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1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72.7 %</w:t>
            </w:r>
          </w:p>
        </w:tc>
        <w:tc>
          <w:tcPr>
            <w:tcW w:w="1400" w:type="dxa"/>
            <w:vAlign w:val="bottom"/>
          </w:tcPr>
          <w:p>
            <w:pPr>
              <w:jc w:val="right"/>
              <w:spacing w:after="0"/>
              <w:rPr>
                <w:sz w:val="20"/>
                <w:szCs w:val="20"/>
                <w:color w:val="auto"/>
              </w:rPr>
            </w:pPr>
            <w:r>
              <w:rPr>
                <w:rFonts w:ascii="Arial" w:cs="Arial" w:eastAsia="Arial" w:hAnsi="Arial"/>
                <w:sz w:val="16"/>
                <w:szCs w:val="16"/>
                <w:color w:val="auto"/>
              </w:rPr>
              <w:t>71.2 %</w:t>
            </w:r>
          </w:p>
        </w:tc>
        <w:tc>
          <w:tcPr>
            <w:tcW w:w="1740" w:type="dxa"/>
            <w:vAlign w:val="bottom"/>
          </w:tcPr>
          <w:p>
            <w:pPr>
              <w:jc w:val="right"/>
              <w:spacing w:after="0"/>
              <w:rPr>
                <w:sz w:val="20"/>
                <w:szCs w:val="20"/>
                <w:color w:val="auto"/>
              </w:rPr>
            </w:pPr>
            <w:r>
              <w:rPr>
                <w:rFonts w:ascii="Arial" w:cs="Arial" w:eastAsia="Arial" w:hAnsi="Arial"/>
                <w:sz w:val="16"/>
                <w:szCs w:val="16"/>
                <w:color w:val="auto"/>
              </w:rPr>
              <w:t>32.2 %</w:t>
            </w:r>
          </w:p>
        </w:tc>
      </w:tr>
      <w:tr>
        <w:trPr>
          <w:trHeight w:val="21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9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12.1 %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1.5 %</w:t>
            </w:r>
          </w:p>
        </w:tc>
        <w:tc>
          <w:tcPr>
            <w:tcW w:w="1400" w:type="dxa"/>
            <w:vAlign w:val="bottom"/>
          </w:tcPr>
          <w:p>
            <w:pPr>
              <w:jc w:val="right"/>
              <w:spacing w:after="0"/>
              <w:rPr>
                <w:sz w:val="20"/>
                <w:szCs w:val="20"/>
                <w:color w:val="auto"/>
              </w:rPr>
            </w:pPr>
            <w:r>
              <w:rPr>
                <w:rFonts w:ascii="Arial" w:cs="Arial" w:eastAsia="Arial" w:hAnsi="Arial"/>
                <w:sz w:val="16"/>
                <w:szCs w:val="16"/>
                <w:color w:val="auto"/>
              </w:rPr>
              <w:t>1.7 %</w:t>
            </w:r>
          </w:p>
        </w:tc>
        <w:tc>
          <w:tcPr>
            <w:tcW w:w="1740" w:type="dxa"/>
            <w:vAlign w:val="bottom"/>
          </w:tcPr>
          <w:p>
            <w:pPr>
              <w:jc w:val="right"/>
              <w:spacing w:after="0"/>
              <w:rPr>
                <w:sz w:val="20"/>
                <w:szCs w:val="20"/>
                <w:color w:val="auto"/>
              </w:rPr>
            </w:pPr>
            <w:r>
              <w:rPr>
                <w:rFonts w:ascii="Arial" w:cs="Arial" w:eastAsia="Arial" w:hAnsi="Arial"/>
                <w:sz w:val="16"/>
                <w:szCs w:val="16"/>
                <w:color w:val="auto"/>
              </w:rPr>
              <w:t>14.6 %</w:t>
            </w:r>
          </w:p>
        </w:tc>
      </w:tr>
      <w:tr>
        <w:trPr>
          <w:trHeight w:val="21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9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0.5 %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23"/>
        </w:trPr>
        <w:tc>
          <w:tcPr>
            <w:tcW w:w="2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Restructuring</w:t>
            </w: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13.2 %</w:t>
            </w:r>
          </w:p>
        </w:tc>
        <w:tc>
          <w:tcPr>
            <w:tcW w:w="1400" w:type="dxa"/>
            <w:vAlign w:val="bottom"/>
          </w:tcPr>
          <w:p>
            <w:pPr>
              <w:jc w:val="right"/>
              <w:spacing w:after="0"/>
              <w:rPr>
                <w:sz w:val="20"/>
                <w:szCs w:val="20"/>
                <w:color w:val="auto"/>
              </w:rPr>
            </w:pPr>
            <w:r>
              <w:rPr>
                <w:rFonts w:ascii="Arial" w:cs="Arial" w:eastAsia="Arial" w:hAnsi="Arial"/>
                <w:sz w:val="16"/>
                <w:szCs w:val="16"/>
                <w:color w:val="auto"/>
              </w:rPr>
              <w:t>12.2 %</w:t>
            </w:r>
          </w:p>
        </w:tc>
        <w:tc>
          <w:tcPr>
            <w:tcW w:w="1740" w:type="dxa"/>
            <w:vAlign w:val="bottom"/>
          </w:tcPr>
          <w:p>
            <w:pPr>
              <w:jc w:val="right"/>
              <w:spacing w:after="0"/>
              <w:rPr>
                <w:sz w:val="20"/>
                <w:szCs w:val="20"/>
                <w:color w:val="auto"/>
              </w:rPr>
            </w:pPr>
            <w:r>
              <w:rPr>
                <w:rFonts w:ascii="Arial" w:cs="Arial" w:eastAsia="Arial" w:hAnsi="Arial"/>
                <w:sz w:val="16"/>
                <w:szCs w:val="16"/>
                <w:color w:val="auto"/>
              </w:rPr>
              <w:t>40.2 %</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 excluding restructuring</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13.2 %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28" w:name="page29"/>
    <w:bookmarkEnd w:id="28"/>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300" w:type="dxa"/>
            <w:vAlign w:val="bottom"/>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14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871,155 $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620,228</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250,927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40.5 %</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for the three months ended June 30, 2021 increased by $250.9 million, or 40.5%, to $871.2 million, compared to $620.2 million for the three months ended June 30, 2020. Revenue increased by 37.5% in both constant currency and constant dollar organic terms. The increase in revenues in the three months ended June 30, 2021 is due to the continued recovery from the impact the COVID-19 global pandemic has had on operations including: our ability to ensure laboratory samples are collected and analyzed on time, our ability to perform on-site monitoring of clinical trials, the ability of patients or service providers to travel, and our ability to travel.</w:t>
      </w:r>
    </w:p>
    <w:p>
      <w:pPr>
        <w:spacing w:after="0" w:line="230"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16"/>
          <w:szCs w:val="16"/>
          <w:color w:val="auto"/>
        </w:rPr>
        <w:t>During the three months ended June 30, 2021 we derived approximately 35.9%, 55.4% and 8.7% of our revenue in the United States, Europe and Rest of World respectively. During the three months ended June 30, 2021, $356.5 million or 40.9% of our revenues were derived from our top 5 customers. Revenue from our largest customer contributed 12.7% of revenue for the quarter. Revenue from our second largest customer contributed 11.2% of revenue for the quarter. New customer accounts are continually added, particularly from mid-tier pharma customers and biotech customers, which over time will result in a reduction in concentration of revenues from our top 5 customers.</w:t>
      </w:r>
    </w:p>
    <w:p>
      <w:pPr>
        <w:spacing w:after="0" w:line="230" w:lineRule="exact"/>
        <w:rPr>
          <w:sz w:val="20"/>
          <w:szCs w:val="20"/>
          <w:color w:val="auto"/>
        </w:rPr>
      </w:pPr>
    </w:p>
    <w:p>
      <w:pPr>
        <w:jc w:val="both"/>
        <w:ind w:firstLine="180"/>
        <w:spacing w:after="0" w:line="249" w:lineRule="auto"/>
        <w:rPr>
          <w:sz w:val="20"/>
          <w:szCs w:val="20"/>
          <w:color w:val="auto"/>
        </w:rPr>
      </w:pPr>
      <w:r>
        <w:rPr>
          <w:rFonts w:ascii="Arial" w:cs="Arial" w:eastAsia="Arial" w:hAnsi="Arial"/>
          <w:sz w:val="16"/>
          <w:szCs w:val="16"/>
          <w:color w:val="auto"/>
        </w:rPr>
        <w:t xml:space="preserve">Revenue in Ireland for the three months ended June 30, 2021 increased to $363.7 million compared to $279.7 million for the three months ended June 30, 2020. Revenue in Ireland is principally a function of the Company’s global transfer pricing model (see </w:t>
      </w:r>
      <w:r>
        <w:rPr>
          <w:rFonts w:ascii="Arial" w:cs="Arial" w:eastAsia="Arial" w:hAnsi="Arial"/>
          <w:sz w:val="16"/>
          <w:szCs w:val="16"/>
          <w:i w:val="1"/>
          <w:iCs w:val="1"/>
          <w:color w:val="auto"/>
        </w:rPr>
        <w:t>note 14 - Business segment information</w:t>
      </w:r>
      <w:r>
        <w:rPr>
          <w:rFonts w:ascii="Arial" w:cs="Arial" w:eastAsia="Arial" w:hAnsi="Arial"/>
          <w:sz w:val="16"/>
          <w:szCs w:val="16"/>
          <w:color w:val="auto"/>
        </w:rPr>
        <w:t xml:space="preserve"> for further details). Revenue in our Rest of Europe region increased to $118.6 million compared to $89.4 million for the three months ended June 30, 2020. Revenue in the Rest of World region increased to $75.7 million compared to $61.6 million for the three months ended June 30, 2020. Revenue in the U.S. region increased to $313.1 million from $189.5 million for the three months ended June 30, 2020 driven by the operation of significant COVID-19 trials during the quarter in this region.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shd w:val="clear" w:color="auto" w:fill="CCEEFF"/>
          </w:tcPr>
          <w:p>
            <w:pPr>
              <w:spacing w:after="0"/>
              <w:rPr>
                <w:sz w:val="16"/>
                <w:szCs w:val="16"/>
                <w:color w:val="auto"/>
              </w:rPr>
            </w:pPr>
          </w:p>
        </w:tc>
        <w:tc>
          <w:tcPr>
            <w:tcW w:w="2760" w:type="dxa"/>
            <w:vAlign w:val="bottom"/>
            <w:shd w:val="clear" w:color="auto" w:fill="CCEEFF"/>
          </w:tcPr>
          <w:p>
            <w:pPr>
              <w:jc w:val="center"/>
              <w:ind w:left="839"/>
              <w:spacing w:after="0"/>
              <w:rPr>
                <w:sz w:val="20"/>
                <w:szCs w:val="20"/>
                <w:color w:val="auto"/>
              </w:rPr>
            </w:pPr>
            <w:r>
              <w:rPr>
                <w:rFonts w:ascii="Arial" w:cs="Arial" w:eastAsia="Arial" w:hAnsi="Arial"/>
                <w:sz w:val="16"/>
                <w:szCs w:val="16"/>
                <w:b w:val="1"/>
                <w:bCs w:val="1"/>
                <w:color w:val="auto"/>
              </w:rPr>
              <w:t>Six Months Ended</w:t>
            </w:r>
          </w:p>
        </w:tc>
        <w:tc>
          <w:tcPr>
            <w:tcW w:w="1580" w:type="dxa"/>
            <w:vAlign w:val="bottom"/>
            <w:shd w:val="clear" w:color="auto" w:fill="CCEEFF"/>
          </w:tcPr>
          <w:p>
            <w:pPr>
              <w:spacing w:after="0"/>
              <w:rPr>
                <w:sz w:val="16"/>
                <w:szCs w:val="16"/>
                <w:color w:val="auto"/>
              </w:rPr>
            </w:pPr>
          </w:p>
        </w:tc>
        <w:tc>
          <w:tcPr>
            <w:tcW w:w="220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b w:val="1"/>
                <w:bCs w:val="1"/>
                <w:color w:val="auto"/>
              </w:rPr>
              <w:t>June 30, 2021</w:t>
            </w:r>
          </w:p>
        </w:tc>
        <w:tc>
          <w:tcPr>
            <w:tcW w:w="158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7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2021</w:t>
            </w: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2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1,729,353 $</w:t>
            </w:r>
          </w:p>
        </w:tc>
        <w:tc>
          <w:tcPr>
            <w:tcW w:w="15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1,335,330</w:t>
            </w:r>
          </w:p>
        </w:tc>
        <w:tc>
          <w:tcPr>
            <w:tcW w:w="22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394,023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for the six months ended June 30, 2021 increased by $394.0 million, or 29.5%, to $1,729.4 million, compared to $1,335.3 million for the six months ended June 30, 2020. Revenue increased by 27% in both constant currency and constant dollar organic terms. The increase in revenues in the six months ended June 30, 2021 is due to the continued recovery from the impact the COVID-19 global pandemic has had on operations including: our ability to ensure laboratory samples are collected and analyzed on time, our ability to perform on-site monitoring of clinical trials, the ability of patients or service providers to travel, and our ability to travel.</w:t>
      </w:r>
    </w:p>
    <w:p>
      <w:pPr>
        <w:spacing w:after="0" w:line="230" w:lineRule="exact"/>
        <w:rPr>
          <w:sz w:val="20"/>
          <w:szCs w:val="20"/>
          <w:color w:val="auto"/>
        </w:rPr>
      </w:pPr>
    </w:p>
    <w:p>
      <w:pPr>
        <w:jc w:val="both"/>
        <w:ind w:firstLine="207"/>
        <w:spacing w:after="0" w:line="249" w:lineRule="auto"/>
        <w:rPr>
          <w:sz w:val="20"/>
          <w:szCs w:val="20"/>
          <w:color w:val="auto"/>
        </w:rPr>
      </w:pPr>
      <w:r>
        <w:rPr>
          <w:rFonts w:ascii="Arial" w:cs="Arial" w:eastAsia="Arial" w:hAnsi="Arial"/>
          <w:sz w:val="16"/>
          <w:szCs w:val="16"/>
          <w:color w:val="auto"/>
        </w:rPr>
        <w:t>During the six months ended June 30, 2021 we derived approximately 38.5%, 52.7% and 8.8% of our revenue in the United States, Europe and Rest of World respectively. During the six months ended June 30, 2021, $750.6 million or 43.4% of our revenues were derived from our top 5 customers. Revenue from our largest customer contributed 15.9% of revenue for the six months ended June 30, 2021. Revenue from our second largest customer contributed 11.2% of revenue for the six months ended June 30, 2021. This reflects the operation of significant COVID-19 trials during the six months ended June 30, 2021 for these customers. New customer accounts are continually added, particularly from mid-tier pharma customers and biotech customers, which over time will result in a reduction in concentration of revenues from our top 5 customers.</w:t>
      </w:r>
    </w:p>
    <w:p>
      <w:pPr>
        <w:spacing w:after="0" w:line="232" w:lineRule="exact"/>
        <w:rPr>
          <w:sz w:val="20"/>
          <w:szCs w:val="20"/>
          <w:color w:val="auto"/>
        </w:rPr>
      </w:pPr>
    </w:p>
    <w:p>
      <w:pPr>
        <w:jc w:val="both"/>
        <w:ind w:firstLine="220"/>
        <w:spacing w:after="0" w:line="249" w:lineRule="auto"/>
        <w:rPr>
          <w:sz w:val="20"/>
          <w:szCs w:val="20"/>
          <w:color w:val="auto"/>
        </w:rPr>
      </w:pPr>
      <w:r>
        <w:rPr>
          <w:rFonts w:ascii="Arial" w:cs="Arial" w:eastAsia="Arial" w:hAnsi="Arial"/>
          <w:sz w:val="16"/>
          <w:szCs w:val="16"/>
          <w:color w:val="auto"/>
        </w:rPr>
        <w:t xml:space="preserve">Revenue in Ireland for the six months ended June 30, 2021 increased to $671.9 million compared to $594.7 million for the six months ended June 30, 2020. Revenue in Ireland is principally a function of the Company’s global transfer pricing model (see </w:t>
      </w:r>
      <w:r>
        <w:rPr>
          <w:rFonts w:ascii="Arial" w:cs="Arial" w:eastAsia="Arial" w:hAnsi="Arial"/>
          <w:sz w:val="16"/>
          <w:szCs w:val="16"/>
          <w:i w:val="1"/>
          <w:iCs w:val="1"/>
          <w:color w:val="auto"/>
        </w:rPr>
        <w:t>note 14 - Business segment information</w:t>
      </w:r>
      <w:r>
        <w:rPr>
          <w:rFonts w:ascii="Arial" w:cs="Arial" w:eastAsia="Arial" w:hAnsi="Arial"/>
          <w:sz w:val="16"/>
          <w:szCs w:val="16"/>
          <w:color w:val="auto"/>
        </w:rPr>
        <w:t xml:space="preserve"> for further details). Revenue in our Rest of Europe region increased to $238.9 million compared to $191.8 million for the six months ended June 30, 2020. Revenue in the Rest of World region increased to $153.0 million compared to $133.9 million for the six months ended June 30, 2020. Revenue in the U.S. region increased to $665.6 million from $414.9 million for the six months ended June 30, 2020 driven by the operation of significant COVID-19 trials during the period in this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2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2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0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631,123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445,833</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185,290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1,257,367</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951,126</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306,241</w:t>
            </w: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72.4 %</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71.9 %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41.6 %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71.2 %</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32.2 %</w:t>
            </w:r>
          </w:p>
        </w:tc>
      </w:tr>
    </w:tbl>
    <w:p>
      <w:pPr>
        <w:spacing w:after="0" w:line="345"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16"/>
          <w:szCs w:val="16"/>
          <w:color w:val="auto"/>
        </w:rPr>
        <w:t>Direct costs consist primarily of investigator and other reimbursable costs, compensation, associated fringe benefits and share based compensation expense for project-related employees and other direct project driven costs. Direct costs for the three months ended June 30, 2021 increased by $185.3 million, or 41.6%, to $631.1 million compared to $445.8 million for the three months ended June 30, 2020. The increase in direct costs relates to an increase in third party investigator and other reimbursable costs, an increase in personnel related expenditure and an increase in laboratory costs during the period. As a percentage of revenue, direct costs were 72.4% for the three months ended June 30, 2021 compared to 71.9% for the three months ended June 30, 2020. The increase in direct costs as a percentage of revenue reflect the different activity mix for the three months ended June 30, 2021 compared to the three months ended June 30, 2020.</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Direct costs for the six months ended June 30, 2021 increased by $306.2 million, or 32.2%, to $1,257.4 million compared to $951.1 million for the six months ended June 30, 2020. The increase in direct costs relates to an increase in third party investigator and other reimbursable costs, an increase in personnel related expenditure and an increase in laboratory costs during the period. As a percentage of revenue, direct costs have increased to 72.7% compared to 71.2% for the six months ended June 30,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6"/>
        </w:trPr>
        <w:tc>
          <w:tcPr>
            <w:tcW w:w="29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r>
      <w:tr>
        <w:trPr>
          <w:trHeight w:val="20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158"/>
        </w:trPr>
        <w:tc>
          <w:tcPr>
            <w:tcW w:w="29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109,884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83,499</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26,385</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208,419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170,695</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37,724</w:t>
            </w: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12.6 %</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31.6 %</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12.1 %</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12.8 %</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22.1 %</w:t>
            </w:r>
          </w:p>
        </w:tc>
      </w:tr>
    </w:tbl>
    <w:p>
      <w:pPr>
        <w:spacing w:after="0" w:line="2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Selling, general and administrative expenses also includes $20.0 million relating to the transaction costs incurred associated with the PRA merger. Selling, general and administrative expenses for the three months ended June 30, 2021 increased by $26.4 million, or 31.6%, to $109.9 million, compared to $83.5 million for the three months ended June 30, 2020. As a percentage of revenue, selling, general and administrative expenses decreased to 12.6% compared to 13.5% for the three months ended June 30, 2020. Excluding transaction costs in 2021, the selling, general and administrative expenses for the three months ended June 30, 2021 increased by $6.4 million, or 7.6%, to $89.9 million, compared to $83.5 million for the three months ended June 30, 2020.</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Selling, general and administrative expenses for the six months ended June 30, 2021 increased by $37.7 million, or 22.1%, to $208.4 million, compared to $170.7 million for the six months ended June 30, 2020. As a percentage of revenue, selling, general and administrative expenses decreased to 12.1% compared to 12.8% for the six months ended June 30, 2020. Selling, general and administrative expenses also includes $32.5 million relating to the transaction costs incurred associated with the PRA merger. Excluding transaction costs in 2021, the selling, general and administrative expenses for the six months ended June 30, 2021 increased by $5.2 million, or 3%, to $175.9 million, compared to $170.7 million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80" w:type="dxa"/>
            <w:vAlign w:val="bottom"/>
            <w:gridSpan w:val="4"/>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6"/>
        </w:trPr>
        <w:tc>
          <w:tcPr>
            <w:tcW w:w="2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11,230</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25,940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22,643</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3,297</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1.5 %</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1.8 %</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17.7 %</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1.7 %</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14.6 %</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4,058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4,628</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8,741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9,537</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0.5 %</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0.7 %</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0.7 %</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r>
    </w:tbl>
    <w:p>
      <w:pPr>
        <w:spacing w:after="0" w:line="332" w:lineRule="exact"/>
        <w:rPr>
          <w:sz w:val="20"/>
          <w:szCs w:val="20"/>
          <w:color w:val="auto"/>
        </w:rPr>
      </w:pPr>
    </w:p>
    <w:p>
      <w:pPr>
        <w:jc w:val="both"/>
        <w:ind w:firstLine="207"/>
        <w:spacing w:after="0" w:line="249" w:lineRule="auto"/>
        <w:rPr>
          <w:sz w:val="20"/>
          <w:szCs w:val="20"/>
          <w:color w:val="auto"/>
        </w:rPr>
      </w:pPr>
      <w:r>
        <w:rPr>
          <w:rFonts w:ascii="Arial" w:cs="Arial" w:eastAsia="Arial" w:hAnsi="Arial"/>
          <w:sz w:val="16"/>
          <w:szCs w:val="16"/>
          <w:color w:val="auto"/>
        </w:rPr>
        <w:t>Depreciation expense arises principally from investment in facilities, information systems and equipment to support the Company’s growth. Depreciation expense for the three months ended June 30, 2021 increased by $2.0 million, or 17.7%, to $13.2 million compared to $11.2 million for the three months ended June 30, 2020. As a percentage of revenue the depreciation expense was 1.5%, which decreased from 1.8% for the three months ended June 30, 2020. Depreciation expense for the six months ended June 30, 2021 increased by $3.3 million, or 14.6%, to $25.9 million compared to $22.6 million for the six months ended June 30, 2020. As a percentage of revenue the depreciation expense was 1.5%, which decreased from 1.7% for the six months ended June 30, 2020.</w:t>
      </w: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Amortization expense represents the amortization of intangible assets acquired on business combinations. Amortization of intangibles for the three months ended June 30, 2021 decreased by $0.6 million, or 12.3%, to $4.1 million compared to $4.6 million for the three months ended June 30, 2020. As a percentage of revenue, amortization expense decreased to 0.5%, compared to 0.7% for the three months ended June 30, 2020. Amortization of intangibles for the six months ended June 30, 2021 decreased by $0.8 million, or 8.3%, to $8.7 million compared to $9.5 million for the six months ended June 30, 2020. As a percentage of revenue, amortization expense decreased to 0.5%, compared to 0.7% for the six months ended June 30, 2020. The decrease in the amortization expense for the three and six months ended June 30, 2021 was driven by certain intangible assets becoming fully amortized over the last year.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6"/>
        </w:trPr>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112,872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56,949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55,923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228,886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163,240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65,646</w:t>
            </w: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13.0 %</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9.2 %</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98.2 %</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13.2 %</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12.2 %</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40.2 %</w:t>
            </w:r>
          </w:p>
        </w:tc>
      </w:tr>
      <w:tr>
        <w:trPr>
          <w:trHeight w:val="180"/>
        </w:trPr>
        <w:tc>
          <w:tcPr>
            <w:tcW w:w="34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Income from operations (excl. transaction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1"/>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restructuring charges)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132,889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75,038</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57,851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261,404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181,329</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80,075</w:t>
            </w:r>
          </w:p>
        </w:tc>
      </w:tr>
      <w:tr>
        <w:trPr>
          <w:trHeight w:val="177"/>
        </w:trPr>
        <w:tc>
          <w:tcPr>
            <w:tcW w:w="3420" w:type="dxa"/>
            <w:vAlign w:val="bottom"/>
          </w:tcPr>
          <w:p>
            <w:pPr>
              <w:ind w:left="20"/>
              <w:spacing w:after="0" w:line="178" w:lineRule="exact"/>
              <w:rPr>
                <w:sz w:val="20"/>
                <w:szCs w:val="20"/>
                <w:color w:val="auto"/>
              </w:rPr>
            </w:pPr>
            <w:r>
              <w:rPr>
                <w:rFonts w:ascii="Arial" w:cs="Arial" w:eastAsia="Arial" w:hAnsi="Arial"/>
                <w:sz w:val="16"/>
                <w:szCs w:val="16"/>
                <w:color w:val="auto"/>
              </w:rPr>
              <w:t>% of revenue (excl. transaction costs and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5"/>
        </w:trPr>
        <w:tc>
          <w:tcPr>
            <w:tcW w:w="342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15.3 %</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12.1 %</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77.1 %</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15.1 %</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13.6 %</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44.2 %</w:t>
            </w:r>
          </w:p>
        </w:tc>
      </w:tr>
    </w:tbl>
    <w:p>
      <w:pPr>
        <w:spacing w:after="0" w:line="200" w:lineRule="exact"/>
        <w:rPr>
          <w:sz w:val="20"/>
          <w:szCs w:val="20"/>
          <w:color w:val="auto"/>
        </w:rPr>
      </w:pPr>
    </w:p>
    <w:p>
      <w:pPr>
        <w:spacing w:after="0" w:line="213" w:lineRule="exact"/>
        <w:rPr>
          <w:sz w:val="20"/>
          <w:szCs w:val="20"/>
          <w:color w:val="auto"/>
        </w:rPr>
      </w:pPr>
    </w:p>
    <w:p>
      <w:pPr>
        <w:jc w:val="both"/>
        <w:ind w:firstLine="193"/>
        <w:spacing w:after="0" w:line="251" w:lineRule="auto"/>
        <w:rPr>
          <w:sz w:val="20"/>
          <w:szCs w:val="20"/>
          <w:color w:val="auto"/>
        </w:rPr>
      </w:pPr>
      <w:r>
        <w:rPr>
          <w:rFonts w:ascii="Arial" w:cs="Arial" w:eastAsia="Arial" w:hAnsi="Arial"/>
          <w:sz w:val="16"/>
          <w:szCs w:val="16"/>
          <w:color w:val="auto"/>
        </w:rPr>
        <w:t>Income from operations for the three months ended June 30, 2021 increased by $55.9 million ($57.9 million excluding transaction costs and restructuring charges), or 98.2%, to $112.9 million ($132.9 million excluding transaction costs) compared to $56.9 million ($75.0 million excluding restructuring charges) for the three months ended June 30, 2020. As a percentage of revenue, income from operations increased to 13.0% (15.3% excluding transaction costs) compared to 9.2% (12.1% excluding restructuring charges) of revenue for the three months ended June 30, 2020.</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Income from operations for the six months ended June 30, 2021 increased by $65.6 million ($80.1 million excluding transaction costs and restructuring charges), or 40.2%, to $228.9 million ($261.4 million excluding transaction costs) compared to $163.2 million ($181.3 million excluding restructuring charges) for the six months ended June 30, 2020. As a percentage of revenue, income from operations increased to 13.2% (15.1% excluding transaction costs) compared to 12.2% (13.6% excluding restructuring charges) of revenue for the six months ended June 30, 2020.</w:t>
      </w:r>
    </w:p>
    <w:p>
      <w:pPr>
        <w:spacing w:after="0" w:line="229"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6"/>
          <w:szCs w:val="16"/>
          <w:color w:val="auto"/>
        </w:rPr>
        <w:t xml:space="preserve">Income from operations in Ireland increased to a profit of $85.7 million compared to a profit of $38.7 million for the three months ended June 30, 2020. Income from operations in Ireland is impacted by the Group’s global transfer pricing model </w:t>
      </w:r>
      <w:r>
        <w:rPr>
          <w:rFonts w:ascii="Arial" w:cs="Arial" w:eastAsia="Arial" w:hAnsi="Arial"/>
          <w:sz w:val="16"/>
          <w:szCs w:val="16"/>
          <w:i w:val="1"/>
          <w:iCs w:val="1"/>
          <w:color w:val="auto"/>
        </w:rPr>
        <w:t>(see note 14 - Business segment information</w:t>
      </w:r>
      <w:r>
        <w:rPr>
          <w:rFonts w:ascii="Arial" w:cs="Arial" w:eastAsia="Arial" w:hAnsi="Arial"/>
          <w:sz w:val="16"/>
          <w:szCs w:val="16"/>
          <w:color w:val="auto"/>
        </w:rPr>
        <w:t xml:space="preserve"> for further details)</w:t>
      </w:r>
      <w:r>
        <w:rPr>
          <w:rFonts w:ascii="Arial" w:cs="Arial" w:eastAsia="Arial" w:hAnsi="Arial"/>
          <w:sz w:val="16"/>
          <w:szCs w:val="16"/>
          <w:i w:val="1"/>
          <w:iCs w:val="1"/>
          <w:color w:val="auto"/>
        </w:rPr>
        <w:t>.</w:t>
      </w:r>
      <w:r>
        <w:rPr>
          <w:rFonts w:ascii="Arial" w:cs="Arial" w:eastAsia="Arial" w:hAnsi="Arial"/>
          <w:sz w:val="16"/>
          <w:szCs w:val="16"/>
          <w:color w:val="auto"/>
        </w:rPr>
        <w:t xml:space="preserve"> Income from operations in our Rest of Europe region increased to $8.8 million compared to $7.1 million for the three months ended June 30, 2020. Income from operations in our Rest of World region increased to $5.9 million compared to $1.8 million for the three months ended June 30, 2020. Income from operations in the U.S. region increased to $12.5 million compared to $9.4 million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1" w:name="page32"/>
    <w:bookmarkEnd w:id="31"/>
    <w:p>
      <w:pPr>
        <w:jc w:val="both"/>
        <w:ind w:firstLine="648"/>
        <w:spacing w:after="0" w:line="250" w:lineRule="auto"/>
        <w:rPr>
          <w:sz w:val="20"/>
          <w:szCs w:val="20"/>
          <w:color w:val="auto"/>
        </w:rPr>
      </w:pPr>
      <w:r>
        <w:rPr>
          <w:rFonts w:ascii="Arial" w:cs="Arial" w:eastAsia="Arial" w:hAnsi="Arial"/>
          <w:sz w:val="16"/>
          <w:szCs w:val="16"/>
          <w:color w:val="auto"/>
        </w:rPr>
        <w:t xml:space="preserve">Income from operations in Ireland increased to a profit of $174.6 million compared to a profit of $112.6 million for the six months ended June 30, 2020. Income from operations in Ireland is impacted by the Group’s global transfer pricing model </w:t>
      </w:r>
      <w:r>
        <w:rPr>
          <w:rFonts w:ascii="Arial" w:cs="Arial" w:eastAsia="Arial" w:hAnsi="Arial"/>
          <w:sz w:val="16"/>
          <w:szCs w:val="16"/>
          <w:i w:val="1"/>
          <w:iCs w:val="1"/>
          <w:color w:val="auto"/>
        </w:rPr>
        <w:t>(see note 14 - Business segment information</w:t>
      </w:r>
      <w:r>
        <w:rPr>
          <w:rFonts w:ascii="Arial" w:cs="Arial" w:eastAsia="Arial" w:hAnsi="Arial"/>
          <w:sz w:val="16"/>
          <w:szCs w:val="16"/>
          <w:color w:val="auto"/>
        </w:rPr>
        <w:t xml:space="preserve"> for further details)</w:t>
      </w:r>
      <w:r>
        <w:rPr>
          <w:rFonts w:ascii="Arial" w:cs="Arial" w:eastAsia="Arial" w:hAnsi="Arial"/>
          <w:sz w:val="16"/>
          <w:szCs w:val="16"/>
          <w:i w:val="1"/>
          <w:iCs w:val="1"/>
          <w:color w:val="auto"/>
        </w:rPr>
        <w:t>.</w:t>
      </w:r>
      <w:r>
        <w:rPr>
          <w:rFonts w:ascii="Arial" w:cs="Arial" w:eastAsia="Arial" w:hAnsi="Arial"/>
          <w:sz w:val="16"/>
          <w:szCs w:val="16"/>
          <w:color w:val="auto"/>
        </w:rPr>
        <w:t xml:space="preserve"> Income from operations in our Rest of Europe region decreased to $16.4 million compared to $17.8 million for the six months ended June 30, 2020. Income from operations in our Rest of World region increased to $12.1 million compared to $9.6 million for the six months ended June 30, 2020. Income from operations in the U.S. region increased to $25.7 million compared to $23.3 million for the six months ended June 30,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(24,551)</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(3,220)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59"/>
              <w:spacing w:after="0"/>
              <w:rPr>
                <w:sz w:val="20"/>
                <w:szCs w:val="20"/>
                <w:color w:val="auto"/>
              </w:rPr>
            </w:pPr>
            <w:r>
              <w:rPr>
                <w:rFonts w:ascii="Arial" w:cs="Arial" w:eastAsia="Arial" w:hAnsi="Arial"/>
                <w:sz w:val="16"/>
                <w:szCs w:val="16"/>
                <w:color w:val="auto"/>
              </w:rPr>
              <w:t>(21,331)</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662.5 % $</w:t>
            </w:r>
          </w:p>
        </w:tc>
        <w:tc>
          <w:tcPr>
            <w:tcW w:w="840" w:type="dxa"/>
            <w:vAlign w:val="bottom"/>
          </w:tcPr>
          <w:p>
            <w:pPr>
              <w:jc w:val="right"/>
              <w:spacing w:after="0"/>
              <w:rPr>
                <w:sz w:val="20"/>
                <w:szCs w:val="20"/>
                <w:color w:val="auto"/>
              </w:rPr>
            </w:pPr>
            <w:r>
              <w:rPr>
                <w:rFonts w:ascii="Arial" w:cs="Arial" w:eastAsia="Arial" w:hAnsi="Arial"/>
                <w:sz w:val="16"/>
                <w:szCs w:val="16"/>
                <w:color w:val="auto"/>
              </w:rPr>
              <w:t>(27,278)</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(6,401)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59"/>
              <w:spacing w:after="0"/>
              <w:rPr>
                <w:sz w:val="20"/>
                <w:szCs w:val="20"/>
                <w:color w:val="auto"/>
              </w:rPr>
            </w:pPr>
            <w:r>
              <w:rPr>
                <w:rFonts w:ascii="Arial" w:cs="Arial" w:eastAsia="Arial" w:hAnsi="Arial"/>
                <w:sz w:val="16"/>
                <w:szCs w:val="16"/>
                <w:color w:val="auto"/>
              </w:rPr>
              <w:t>(20,877)</w:t>
            </w:r>
          </w:p>
        </w:tc>
        <w:tc>
          <w:tcPr>
            <w:tcW w:w="660" w:type="dxa"/>
            <w:vAlign w:val="bottom"/>
          </w:tcPr>
          <w:p>
            <w:pPr>
              <w:jc w:val="right"/>
              <w:spacing w:after="0"/>
              <w:rPr>
                <w:sz w:val="20"/>
                <w:szCs w:val="20"/>
                <w:color w:val="auto"/>
              </w:rPr>
            </w:pPr>
            <w:r>
              <w:rPr>
                <w:rFonts w:ascii="Arial" w:cs="Arial" w:eastAsia="Arial" w:hAnsi="Arial"/>
                <w:sz w:val="16"/>
                <w:szCs w:val="16"/>
                <w:color w:val="auto"/>
              </w:rPr>
              <w:t>326.2 %</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income for the three months ended June 30, 2021 decreased to $0.2 million, compared to $0.4 million for the three months ended June 30, 2020. Interest expense for the three months ended June 30, 2021 increased to $24.6 million ($2.4 million excluding transaction related interest costs), compared to $3.2 million for the three months ended June 30, 2020.</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Interest income for the six months ended June 30, 2021 decreased to $0.4 million, compared to $2.3 million for the six months ended June 30, 2020. Interest expense for the six months ended June 30, 2021 increased to $27.3 million ($4.8 million excluding transaction related interest costs), compared to $6.4 million for the six months ended June 30, 2020. The increase in interest expense for the three and six months ended June 30, 2021 represents the additional charges associated with the early repayment of the 2020 Senior Notes.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36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14,133</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30,281</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19,000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11,281</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16.0 %</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120.5 %</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15.0 %</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59.4 %</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Income tax expense (excl. transaction costs and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16,984</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8,671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8,313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33,416</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21,261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12,155</w:t>
            </w:r>
          </w:p>
        </w:tc>
        <w:tc>
          <w:tcPr>
            <w:tcW w:w="0" w:type="dxa"/>
            <w:vAlign w:val="bottom"/>
          </w:tcPr>
          <w:p>
            <w:pPr>
              <w:spacing w:after="0"/>
              <w:rPr>
                <w:sz w:val="1"/>
                <w:szCs w:val="1"/>
                <w:color w:val="auto"/>
              </w:rPr>
            </w:pPr>
          </w:p>
        </w:tc>
      </w:tr>
      <w:tr>
        <w:trPr>
          <w:trHeight w:val="177"/>
        </w:trPr>
        <w:tc>
          <w:tcPr>
            <w:tcW w:w="3700" w:type="dxa"/>
            <w:vAlign w:val="bottom"/>
          </w:tcPr>
          <w:p>
            <w:pPr>
              <w:ind w:left="20"/>
              <w:spacing w:after="0" w:line="178" w:lineRule="exact"/>
              <w:rPr>
                <w:sz w:val="20"/>
                <w:szCs w:val="20"/>
                <w:color w:val="auto"/>
              </w:rPr>
            </w:pPr>
            <w:r>
              <w:rPr>
                <w:rFonts w:ascii="Arial" w:cs="Arial" w:eastAsia="Arial" w:hAnsi="Arial"/>
                <w:sz w:val="16"/>
                <w:szCs w:val="16"/>
                <w:color w:val="auto"/>
              </w:rPr>
              <w:t>Effective income tax rate (excl. transaction costs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rPr>
                <w:sz w:val="20"/>
                <w:szCs w:val="20"/>
                <w:color w:val="auto"/>
              </w:rPr>
            </w:pPr>
            <w:r>
              <w:rPr>
                <w:rFonts w:ascii="Arial" w:cs="Arial" w:eastAsia="Arial" w:hAnsi="Arial"/>
                <w:sz w:val="16"/>
                <w:szCs w:val="16"/>
                <w:color w:val="auto"/>
              </w:rPr>
              <w:t>and restructuring charges)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13.0 %</w:t>
            </w: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12.0 %</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95.9 %</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13.0 %</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57.2 %</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right="20" w:firstLine="301"/>
        <w:spacing w:after="0" w:line="253" w:lineRule="auto"/>
        <w:rPr>
          <w:sz w:val="20"/>
          <w:szCs w:val="20"/>
          <w:color w:val="auto"/>
        </w:rPr>
      </w:pPr>
      <w:r>
        <w:rPr>
          <w:rFonts w:ascii="Arial" w:cs="Arial" w:eastAsia="Arial" w:hAnsi="Arial"/>
          <w:sz w:val="16"/>
          <w:szCs w:val="16"/>
          <w:color w:val="auto"/>
        </w:rPr>
        <w:t>Provision for income taxes increased to $14.1 million ($17.0 million excluding transaction costs), compared to $6.4 million ($8.7 million excluding restructuring charges) for the three months ended June 30, 2020. The Company’s effective tax rate for the three months ended June 30, 2021 was 16.0% (13.0% excluding transaction costs) compared with 11.8% (12.0% excluding restructuring charges) for the three months ended June 30, 2020.</w:t>
      </w:r>
    </w:p>
    <w:p>
      <w:pPr>
        <w:spacing w:after="0" w:line="22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Provision for income taxes increased to $30.3 million ($33.4 million excluding transaction costs), compared to $19.0 million ($21.3 million excluding restructuring charges) for the six months ended June 30, 2020. The Company’s effective tax rate for the six months ended June 30, 2021 was 15.0% (13.0% excluding transaction costs) compared with 11.9% (12.0% excluding restructuring charges) for the six months ended June 30, 2020.</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2" w:name="page33"/>
    <w:bookmarkEnd w:id="32"/>
    <w:p>
      <w:pPr>
        <w:jc w:val="both"/>
        <w:ind w:firstLine="246"/>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Balance</w:t>
            </w: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Drawn</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Net cash</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Other non-</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Effect of</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 June 30,</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December</w:t>
            </w:r>
          </w:p>
        </w:tc>
        <w:tc>
          <w:tcPr>
            <w:tcW w:w="108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down/</w:t>
            </w:r>
          </w:p>
        </w:tc>
        <w:tc>
          <w:tcPr>
            <w:tcW w:w="1220" w:type="dxa"/>
            <w:vAlign w:val="bottom"/>
            <w:shd w:val="clear" w:color="auto" w:fill="CCEEFF"/>
          </w:tcPr>
          <w:p>
            <w:pPr>
              <w:jc w:val="right"/>
              <w:ind w:right="199"/>
              <w:spacing w:after="0" w:line="162" w:lineRule="exact"/>
              <w:rPr>
                <w:sz w:val="20"/>
                <w:szCs w:val="20"/>
                <w:color w:val="auto"/>
              </w:rPr>
            </w:pPr>
            <w:r>
              <w:rPr>
                <w:rFonts w:ascii="Arial" w:cs="Arial" w:eastAsia="Arial" w:hAnsi="Arial"/>
                <w:sz w:val="16"/>
                <w:szCs w:val="16"/>
                <w:b w:val="1"/>
                <w:bCs w:val="1"/>
                <w:color w:val="auto"/>
              </w:rPr>
              <w:t>inflow/</w:t>
            </w:r>
          </w:p>
        </w:tc>
        <w:tc>
          <w:tcPr>
            <w:tcW w:w="1520" w:type="dxa"/>
            <w:vAlign w:val="bottom"/>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cash</w:t>
            </w:r>
          </w:p>
        </w:tc>
        <w:tc>
          <w:tcPr>
            <w:tcW w:w="126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exchange</w:t>
            </w:r>
          </w:p>
        </w:tc>
        <w:tc>
          <w:tcPr>
            <w:tcW w:w="1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31, 2020</w:t>
            </w: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(repaid)</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(outflow)</w:t>
            </w:r>
          </w:p>
        </w:tc>
        <w:tc>
          <w:tcPr>
            <w:tcW w:w="1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rates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(in thousands)</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7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840,305</w:t>
            </w:r>
          </w:p>
        </w:tc>
        <w:tc>
          <w:tcPr>
            <w:tcW w:w="10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214,652</w:t>
            </w:r>
          </w:p>
        </w:tc>
        <w:tc>
          <w:tcPr>
            <w:tcW w:w="1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539</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1,055,496</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740" w:type="dxa"/>
            <w:vAlign w:val="bottom"/>
          </w:tcPr>
          <w:p>
            <w:pPr>
              <w:jc w:val="right"/>
              <w:ind w:right="219"/>
              <w:spacing w:after="0"/>
              <w:rPr>
                <w:sz w:val="20"/>
                <w:szCs w:val="20"/>
                <w:color w:val="auto"/>
              </w:rPr>
            </w:pPr>
            <w:r>
              <w:rPr>
                <w:rFonts w:ascii="Arial" w:cs="Arial" w:eastAsia="Arial" w:hAnsi="Arial"/>
                <w:sz w:val="16"/>
                <w:szCs w:val="16"/>
                <w:color w:val="auto"/>
              </w:rPr>
              <w:t>1,729</w:t>
            </w:r>
          </w:p>
        </w:tc>
        <w:tc>
          <w:tcPr>
            <w:tcW w:w="1080" w:type="dxa"/>
            <w:vAlign w:val="bottom"/>
          </w:tcPr>
          <w:p>
            <w:pPr>
              <w:ind w:left="6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1,729</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Private placement notes</w:t>
            </w:r>
          </w:p>
        </w:tc>
        <w:tc>
          <w:tcPr>
            <w:tcW w:w="17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(348,477)</w:t>
            </w: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(1,523)</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8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493,557</w:t>
            </w: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214,652</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(1,523)</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539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707,225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ind w:firstLine="197"/>
        <w:spacing w:after="0" w:line="251" w:lineRule="auto"/>
        <w:rPr>
          <w:sz w:val="20"/>
          <w:szCs w:val="20"/>
          <w:color w:val="auto"/>
        </w:rPr>
      </w:pPr>
      <w:r>
        <w:rPr>
          <w:rFonts w:ascii="Arial" w:cs="Arial" w:eastAsia="Arial" w:hAnsi="Arial"/>
          <w:sz w:val="16"/>
          <w:szCs w:val="16"/>
          <w:color w:val="auto"/>
        </w:rPr>
        <w:t>The Company’s cash and short term investment balances at June 30, 2021 amounted to $1,057.2 million compared with cash and short term investment balances of $842.0 million at December 31, 2020. The Company’s cash and short term investment balances at June 30, 2021 comprised of cash and cash equivalents of $1,055.5 million and short-term investments of $1.7 million. The Company’s cash and short term investment balances at December 31, 2020 comprised of cash and cash equivalents of $840.3 million and short-term investments of $1.7 million.</w:t>
      </w:r>
    </w:p>
    <w:p>
      <w:pPr>
        <w:spacing w:after="0" w:line="229" w:lineRule="exact"/>
        <w:rPr>
          <w:sz w:val="20"/>
          <w:szCs w:val="20"/>
          <w:color w:val="auto"/>
        </w:rPr>
      </w:pPr>
    </w:p>
    <w:p>
      <w:pPr>
        <w:jc w:val="both"/>
        <w:ind w:firstLine="247"/>
        <w:spacing w:after="0" w:line="25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Interest payable was fixed at 3.64%, and was payable semi-annually on the Senior Notes on each June 15 and December 15, commencing June 15, 2016. The Senior Notes were guaranteed by ICON plc and matured on December 15, 2020 at which time they were repaid in full.</w:t>
      </w:r>
    </w:p>
    <w:p>
      <w:pPr>
        <w:spacing w:after="0" w:line="228" w:lineRule="exact"/>
        <w:rPr>
          <w:sz w:val="20"/>
          <w:szCs w:val="20"/>
          <w:color w:val="auto"/>
        </w:rPr>
      </w:pPr>
    </w:p>
    <w:p>
      <w:pPr>
        <w:jc w:val="both"/>
        <w:ind w:firstLine="197"/>
        <w:spacing w:after="0" w:line="250"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$ 30.0 million to the facility, with equal terms and conditions in place with all institutions. The facility is guaranteed by ICON plc. The facility bears interest at LIBOR plus a margin. No amounts were drawn at June 30, 2021, or at December 31, 2020, in respect of the Revolving Credit Facility. Amounts available to the Group under the facility at June 30, 2021 and at December 31, 2020 were $150.0 million.</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December 8, 2020, ICON Investments Five Unlimited Company issued new senior notes ("2020 Senior Notes") for aggregate gross proceeds of $350.0 million in a private placement which was guaranteed by ICON plc. The 2020 Senior Notes were issued in two tranches; Series A Notes of $275.0 million maturing on December 8, 2023 and Series B Notes of $75.0 million maturing on December 8, 2025. Interest payable on the 2020 Senior Notes is fixed at 2.32% and 2.43% for Series A Notes and Series B Notes respectively. The interest is payable semi-annually on the 2020 Senior Notes on each June 8 and December 8, starting June 8, 2021. Due to the conditions attached to the additional borrowings to fund the PRA merger, the 2020 Senior Notes were repaid in full on July 1, 2021.</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on maturity in July 2020 of $0.9 million, representing the realized loss on the interest rate hedge. The</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portion of this loss has been released in the period in line with the commitment to early settle the 2020 Senior Notes.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to the Senior Secured Credit Facilities, on July 1, 2021, the Company, issued $500 million in aggregate principal amount of 2.875% senior secured notes due 2026 (the “Notes”) in a private offering. The Notes will mature on July 15, 2026 and will bear interest at a rate of 2.875%.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192"/>
        <w:spacing w:after="0" w:line="247" w:lineRule="auto"/>
        <w:rPr>
          <w:sz w:val="20"/>
          <w:szCs w:val="20"/>
          <w:color w:val="auto"/>
        </w:rPr>
      </w:pPr>
      <w:r>
        <w:rPr>
          <w:rFonts w:ascii="Arial" w:cs="Arial" w:eastAsia="Arial" w:hAnsi="Arial"/>
          <w:sz w:val="16"/>
          <w:szCs w:val="16"/>
          <w:color w:val="auto"/>
        </w:rPr>
        <w:t>Net cash provided by operating activities was $240.4 million for the six months ended June 30, 2021 compared with cash provided by operating activities of $260.6 million for the six months ended June 30, 2020. This reflects the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2021 was 43 days compared with 57 days at December 31, 2020 and 71 days at June 30, 2020. This reflects the timing of cash collections. The increase in cash driven by the decrease in days sales outstanding is offset by payments of other liabilities and reimbursable costs paid to investigators during the six months ended June 30, 2021.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193"/>
        <w:spacing w:after="0" w:line="251" w:lineRule="auto"/>
        <w:rPr>
          <w:sz w:val="20"/>
          <w:szCs w:val="20"/>
          <w:color w:val="auto"/>
        </w:rPr>
      </w:pPr>
      <w:r>
        <w:rPr>
          <w:rFonts w:ascii="Arial" w:cs="Arial" w:eastAsia="Arial" w:hAnsi="Arial"/>
          <w:sz w:val="16"/>
          <w:szCs w:val="16"/>
          <w:color w:val="auto"/>
        </w:rPr>
        <w:t>Net cash used in investing activities was $25.9 million for the six months ended June 30, 2021 compared to net cash used in investing activities of $11.7 million for the six months ended June 30, 2020. Net cash used in investing activities during the six months ended June 30, 2021 were attributable to cash outflows of $21.7 million for capital expenditures made mainly relating to investment in facilities and IT infrastructure, a cash outflow of $2.5 million in relation to the Company's investment in Oncacare and cash outflows of $1.8 million for the purchase of investments in equity.</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used in investing activities during the six months ended June 30, 2020 was largely attributable to cash outflows on the acquisition of MedPass of $47.0 million on January 22, 2020, cash outflows of $0.3 million in relation to the working capital adjustment on the acquisition of Symphony which was acquired on September 24, 2019, cash outflows of $0.5 million in relation to the contingent consideration paid for Symphony in the period and a cash inflow of $0.5 million in relation to the working capital adjustment on the acquisition of MeDiNova which was acquired on May 23, 2019. These were offset in part by cash acquired of $10.2 million. During the six months ended June 30, 2020, capital expenditure of $21.2 million was made which was mainly comprised of investment in facilities and IT infrastructure. In addition, $1.3 million was used for the purchase of investments in equity. During the six months ended June 30, 2020 $47.9 million was generated by the sale of short term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229"/>
        <w:spacing w:after="0" w:line="251" w:lineRule="auto"/>
        <w:rPr>
          <w:sz w:val="20"/>
          <w:szCs w:val="20"/>
          <w:color w:val="auto"/>
        </w:rPr>
      </w:pPr>
      <w:r>
        <w:rPr>
          <w:rFonts w:ascii="Arial" w:cs="Arial" w:eastAsia="Arial" w:hAnsi="Arial"/>
          <w:sz w:val="16"/>
          <w:szCs w:val="16"/>
          <w:color w:val="auto"/>
        </w:rPr>
        <w:t>Net cash provided by financing activities during the six months ended June 30, 2021 amounted to $0.2 million compared to net cash used in financing activities of $173.7 million for the six months ended June 30, 2020. During the six months ended June 30, 2021 $0.2 million was received by the Company from the exercise of share options. During the six months ended June 30, 2020, $175.0 million was recognized in relation to the Company's share repurchase program. In addition, $1.5 million was received by the Company from the exercise of share options.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8" w:lineRule="exact"/>
        <w:rPr>
          <w:sz w:val="20"/>
          <w:szCs w:val="20"/>
          <w:color w:val="auto"/>
        </w:rPr>
      </w:pPr>
    </w:p>
    <w:p>
      <w:pPr>
        <w:jc w:val="both"/>
        <w:ind w:right="20" w:firstLine="189"/>
        <w:spacing w:after="0" w:line="260" w:lineRule="auto"/>
        <w:rPr>
          <w:sz w:val="20"/>
          <w:szCs w:val="20"/>
          <w:color w:val="auto"/>
        </w:rPr>
      </w:pPr>
      <w:r>
        <w:rPr>
          <w:rFonts w:ascii="Arial" w:cs="Arial" w:eastAsia="Arial" w:hAnsi="Arial"/>
          <w:sz w:val="16"/>
          <w:szCs w:val="16"/>
          <w:color w:val="auto"/>
        </w:rPr>
        <w:t>As a result of these cash flows, cash and cash equivalents increased by $215.2 million for the six months ended June 30, 2021 compared to an increase of $71.8 million for the six months ended June 30,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On April 20, 2020, an individual named Chrystal Miller (“Miller”) who previously worked for a subsidiary of the Company, ICON Clinical Research LLC (“ICON Clinical”), filed a putative class action lawsuit, Chrystal Miller v. ICON plc et al., in the Superior Court of California, County of San Mateo. Her lawsuit was brought against the Company, ICON Clinical, DOCS Global, Inc., a subsidiary of the Company, and an individual former employee of ICON Clinical (collectively, “the ICON defendants”). Miller has filed several amended complaints and the operative complaint alleges that the ICON defendants violated the California Labor Code and the California Business &amp; Professions Code by failing to pay overtime wages, provide meal and rest periods, provide accurate, itemized wage statements, timely pay all final wages, and provide personnel records upon request to Clinical Research Associates employed in California from April 20, 2016, to June 22, 2020. The suit seeks monetary damages, interest, injunctive relief, and attorneys’ fees and costs. ICON Clinical has filed a cross-complaint against Miller alleging causes of action for fraud, negligent misrepresentation and breach of contract. The ICON defendants deny the allegations that they have acted unlawfully and are vigorously defending the lawsuit.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do not expect the Miller litigation or any other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8" w:lineRule="exact"/>
        <w:rPr>
          <w:sz w:val="20"/>
          <w:szCs w:val="20"/>
          <w:color w:val="auto"/>
        </w:rPr>
      </w:pPr>
    </w:p>
    <w:p>
      <w:pPr>
        <w:jc w:val="both"/>
        <w:ind w:firstLine="188"/>
        <w:spacing w:after="0" w:line="249"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February 24, 2021 for risks and uncertainties facing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277"/>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65" w:lineRule="exact"/>
        <w:rPr>
          <w:sz w:val="20"/>
          <w:szCs w:val="20"/>
          <w:color w:val="auto"/>
        </w:rPr>
      </w:pPr>
    </w:p>
    <w:p>
      <w:pPr>
        <w:ind w:left="790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231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6" w:lineRule="exact"/>
        <w:rPr>
          <w:sz w:val="20"/>
          <w:szCs w:val="20"/>
          <w:color w:val="auto"/>
        </w:rPr>
      </w:pPr>
    </w:p>
    <w:p>
      <w:pPr>
        <w:ind w:left="680" w:right="1740" w:hanging="7869"/>
        <w:spacing w:after="0" w:line="267" w:lineRule="auto"/>
        <w:tabs>
          <w:tab w:leader="none" w:pos="660" w:val="left"/>
        </w:tabs>
        <w:rPr>
          <w:sz w:val="20"/>
          <w:szCs w:val="20"/>
          <w:color w:val="auto"/>
        </w:rPr>
      </w:pPr>
      <w:r>
        <w:rPr>
          <w:rFonts w:ascii="Arial" w:cs="Arial" w:eastAsia="Arial" w:hAnsi="Arial"/>
          <w:sz w:val="16"/>
          <w:szCs w:val="16"/>
          <w:color w:val="auto"/>
        </w:rPr>
        <w:t>Date:</w:t>
        <w:tab/>
        <w:t>July 23, 2021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2021-07-23T07:23:17Z</dcterms:created>
  <dcterms:modified xsi:type="dcterms:W3CDTF">2021-07-23T07:23:17Z</dcterms:modified>
</cp:coreProperties>
</file>