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December, 2012</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December 18,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December 18, 2012</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right="940"/>
        <w:spacing w:after="0" w:line="256" w:lineRule="auto"/>
        <w:rPr>
          <w:sz w:val="20"/>
          <w:szCs w:val="20"/>
          <w:color w:val="auto"/>
        </w:rPr>
      </w:pPr>
      <w:r>
        <w:rPr>
          <w:rFonts w:ascii="Arial" w:cs="Arial" w:eastAsia="Arial" w:hAnsi="Arial"/>
          <w:sz w:val="22"/>
          <w:szCs w:val="22"/>
          <w:b w:val="1"/>
          <w:bCs w:val="1"/>
          <w:color w:val="auto"/>
        </w:rPr>
        <w:t>ICON shareholders vote in favour of all resolutions at its Extraordinary General Meeting relating to the proposed conversion to a direct listing of ICON’s shares on NASDAQ</w:t>
      </w:r>
    </w:p>
    <w:p>
      <w:pPr>
        <w:spacing w:after="0" w:line="163" w:lineRule="exact"/>
        <w:rPr>
          <w:sz w:val="20"/>
          <w:szCs w:val="20"/>
          <w:color w:val="auto"/>
        </w:rPr>
      </w:pPr>
    </w:p>
    <w:p>
      <w:pPr>
        <w:ind w:right="320"/>
        <w:spacing w:after="0" w:line="283" w:lineRule="auto"/>
        <w:rPr>
          <w:sz w:val="20"/>
          <w:szCs w:val="20"/>
          <w:color w:val="auto"/>
        </w:rPr>
      </w:pPr>
      <w:r>
        <w:rPr>
          <w:rFonts w:ascii="Arial" w:cs="Arial" w:eastAsia="Arial" w:hAnsi="Arial"/>
          <w:sz w:val="19"/>
          <w:szCs w:val="19"/>
          <w:color w:val="auto"/>
        </w:rPr>
        <w:t>DUBLIN--(BUSINESS WIRE)--December 18, 2012--</w:t>
      </w:r>
      <w:r>
        <w:rPr>
          <w:rFonts w:ascii="Arial" w:cs="Arial" w:eastAsia="Arial" w:hAnsi="Arial"/>
          <w:sz w:val="19"/>
          <w:szCs w:val="19"/>
          <w:b w:val="1"/>
          <w:bCs w:val="1"/>
          <w:color w:val="auto"/>
        </w:rPr>
        <w:t>ICON plc,</w:t>
      </w:r>
      <w:r>
        <w:rPr>
          <w:rFonts w:ascii="Arial" w:cs="Arial" w:eastAsia="Arial" w:hAnsi="Arial"/>
          <w:sz w:val="19"/>
          <w:szCs w:val="19"/>
          <w:color w:val="auto"/>
        </w:rPr>
        <w:t xml:space="preserve"> (NASDAQ:ICLR) (ISIN:IE0005711209), a global provider of outsourced development services to the pharmaceutical, biotechnology and medical device industries, today announced that all</w:t>
      </w:r>
    </w:p>
    <w:p>
      <w:pPr>
        <w:ind w:right="320"/>
        <w:spacing w:after="0" w:line="225" w:lineRule="auto"/>
        <w:rPr>
          <w:sz w:val="20"/>
          <w:szCs w:val="20"/>
          <w:color w:val="auto"/>
        </w:rPr>
      </w:pPr>
      <w:r>
        <w:rPr>
          <w:rFonts w:ascii="Arial" w:cs="Arial" w:eastAsia="Arial" w:hAnsi="Arial"/>
          <w:sz w:val="19"/>
          <w:szCs w:val="19"/>
          <w:color w:val="auto"/>
        </w:rPr>
        <w:t>resolutions recommended by the Board at the Extraordinary General Meeting (“EGM”) of the Company, held on 17</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December 2012, were duly passed by shareholders. These resolutions, relating to the proposed conversion to a direct NASDAQ listing for</w:t>
      </w:r>
    </w:p>
    <w:p>
      <w:pPr>
        <w:spacing w:after="0" w:line="1" w:lineRule="exact"/>
        <w:rPr>
          <w:sz w:val="20"/>
          <w:szCs w:val="20"/>
          <w:color w:val="auto"/>
        </w:rPr>
      </w:pPr>
    </w:p>
    <w:p>
      <w:pPr>
        <w:ind w:right="260"/>
        <w:spacing w:after="0" w:line="197" w:lineRule="auto"/>
        <w:rPr>
          <w:sz w:val="20"/>
          <w:szCs w:val="20"/>
          <w:color w:val="auto"/>
        </w:rPr>
      </w:pPr>
      <w:r>
        <w:rPr>
          <w:rFonts w:ascii="Arial" w:cs="Arial" w:eastAsia="Arial" w:hAnsi="Arial"/>
          <w:sz w:val="22"/>
          <w:szCs w:val="22"/>
          <w:color w:val="auto"/>
        </w:rPr>
        <w:t>ICON Shares, were set out in the Notice of the EGM sent to shareholders on 16</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November 2012 and are available on the ICON plc website.</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Forms of Proxy were received before the meeting, appointing proxies and giving them the following voting instructions: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color w:val="auto"/>
              </w:rPr>
              <w:t>TOTAL NUMBER</w:t>
            </w:r>
          </w:p>
        </w:tc>
        <w:tc>
          <w:tcPr>
            <w:tcW w:w="2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49"/>
        </w:trPr>
        <w:tc>
          <w:tcPr>
            <w:tcW w:w="228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color w:val="auto"/>
                <w:w w:val="95"/>
              </w:rPr>
              <w:t>OF PROXIES</w:t>
            </w:r>
          </w:p>
        </w:tc>
        <w:tc>
          <w:tcPr>
            <w:tcW w:w="22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9"/>
              </w:rPr>
              <w:t>VOTE</w:t>
            </w:r>
          </w:p>
        </w:tc>
        <w:tc>
          <w:tcPr>
            <w:tcW w:w="202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9"/>
              </w:rPr>
              <w:t>VOTE</w:t>
            </w:r>
          </w:p>
        </w:tc>
      </w:tr>
      <w:tr>
        <w:trPr>
          <w:trHeight w:val="181"/>
        </w:trPr>
        <w:tc>
          <w:tcPr>
            <w:tcW w:w="22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VOTE FOR</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AGAINST</w:t>
            </w:r>
          </w:p>
        </w:tc>
        <w:tc>
          <w:tcPr>
            <w:tcW w:w="20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WITHHELD</w:t>
            </w:r>
          </w:p>
        </w:tc>
      </w:tr>
      <w:tr>
        <w:trPr>
          <w:trHeight w:val="169"/>
        </w:trPr>
        <w:tc>
          <w:tcPr>
            <w:tcW w:w="2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95"/>
              </w:rPr>
              <w:t>Resolution Number</w:t>
            </w:r>
          </w:p>
        </w:tc>
        <w:tc>
          <w:tcPr>
            <w:tcW w:w="24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Number of Votes</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Number of Votes</w:t>
            </w:r>
          </w:p>
        </w:tc>
        <w:tc>
          <w:tcPr>
            <w:tcW w:w="2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3"/>
              </w:rPr>
              <w:t>Number of Votes</w:t>
            </w:r>
          </w:p>
        </w:tc>
      </w:tr>
      <w:tr>
        <w:trPr>
          <w:trHeight w:val="169"/>
        </w:trPr>
        <w:tc>
          <w:tcPr>
            <w:tcW w:w="22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rPr>
              <w:t>1</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53,406,101</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53,341,438</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246</w:t>
            </w:r>
          </w:p>
        </w:tc>
        <w:tc>
          <w:tcPr>
            <w:tcW w:w="2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88"/>
              </w:rPr>
              <w:t>64,417</w:t>
            </w:r>
          </w:p>
        </w:tc>
      </w:tr>
      <w:tr>
        <w:trPr>
          <w:trHeight w:val="210"/>
        </w:trPr>
        <w:tc>
          <w:tcPr>
            <w:tcW w:w="2280" w:type="dxa"/>
            <w:vAlign w:val="bottom"/>
            <w:tcBorders>
              <w:bottom w:val="single" w:sz="8" w:color="auto"/>
            </w:tcBorders>
          </w:tcPr>
          <w:p>
            <w:pPr>
              <w:jc w:val="center"/>
              <w:ind w:right="117"/>
              <w:spacing w:after="0" w:line="210" w:lineRule="exact"/>
              <w:rPr>
                <w:sz w:val="20"/>
                <w:szCs w:val="20"/>
                <w:color w:val="auto"/>
              </w:rPr>
            </w:pPr>
            <w:r>
              <w:rPr>
                <w:rFonts w:ascii="Arial" w:cs="Arial" w:eastAsia="Arial" w:hAnsi="Arial"/>
                <w:sz w:val="24"/>
                <w:szCs w:val="24"/>
                <w:color w:val="auto"/>
                <w:vertAlign w:val="subscript"/>
              </w:rPr>
              <w:t>2</w:t>
            </w:r>
            <w:r>
              <w:rPr>
                <w:rFonts w:ascii="Arial" w:cs="Arial" w:eastAsia="Arial" w:hAnsi="Arial"/>
                <w:sz w:val="11"/>
                <w:szCs w:val="11"/>
                <w:color w:val="auto"/>
              </w:rPr>
              <w:t>**</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53,406,101</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53,329,851</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3,081</w:t>
            </w:r>
          </w:p>
        </w:tc>
        <w:tc>
          <w:tcPr>
            <w:tcW w:w="2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88"/>
              </w:rPr>
              <w:t>73,169</w:t>
            </w:r>
          </w:p>
        </w:tc>
      </w:tr>
      <w:tr>
        <w:trPr>
          <w:trHeight w:val="210"/>
        </w:trPr>
        <w:tc>
          <w:tcPr>
            <w:tcW w:w="2280" w:type="dxa"/>
            <w:vAlign w:val="bottom"/>
            <w:tcBorders>
              <w:bottom w:val="single" w:sz="8" w:color="auto"/>
            </w:tcBorders>
          </w:tcPr>
          <w:p>
            <w:pPr>
              <w:jc w:val="center"/>
              <w:ind w:right="117"/>
              <w:spacing w:after="0" w:line="210" w:lineRule="exact"/>
              <w:rPr>
                <w:sz w:val="20"/>
                <w:szCs w:val="20"/>
                <w:color w:val="auto"/>
              </w:rPr>
            </w:pPr>
            <w:r>
              <w:rPr>
                <w:rFonts w:ascii="Arial" w:cs="Arial" w:eastAsia="Arial" w:hAnsi="Arial"/>
                <w:sz w:val="24"/>
                <w:szCs w:val="24"/>
                <w:color w:val="auto"/>
                <w:vertAlign w:val="subscript"/>
              </w:rPr>
              <w:t>3</w:t>
            </w:r>
            <w:r>
              <w:rPr>
                <w:rFonts w:ascii="Arial" w:cs="Arial" w:eastAsia="Arial" w:hAnsi="Arial"/>
                <w:sz w:val="11"/>
                <w:szCs w:val="11"/>
                <w:color w:val="auto"/>
              </w:rPr>
              <w:t>**</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53,406,101</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53,009,922</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6,211</w:t>
            </w:r>
          </w:p>
        </w:tc>
        <w:tc>
          <w:tcPr>
            <w:tcW w:w="2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0"/>
              </w:rPr>
              <w:t>389,968</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 Special Resolution. All resolutions are ordinary resolutions unless otherwise stated.</w:t>
      </w:r>
    </w:p>
    <w:p>
      <w:pPr>
        <w:spacing w:after="0" w:line="213" w:lineRule="exact"/>
        <w:rPr>
          <w:sz w:val="20"/>
          <w:szCs w:val="20"/>
          <w:color w:val="auto"/>
        </w:rPr>
      </w:pPr>
    </w:p>
    <w:p>
      <w:pPr>
        <w:ind w:right="140"/>
        <w:spacing w:after="0" w:line="205" w:lineRule="auto"/>
        <w:rPr>
          <w:sz w:val="20"/>
          <w:szCs w:val="20"/>
          <w:color w:val="auto"/>
        </w:rPr>
      </w:pPr>
      <w:r>
        <w:rPr>
          <w:rFonts w:ascii="Arial" w:cs="Arial" w:eastAsia="Arial" w:hAnsi="Arial"/>
          <w:sz w:val="22"/>
          <w:szCs w:val="22"/>
          <w:color w:val="auto"/>
        </w:rPr>
        <w:t>Consequently, the date of delisting from the Irish Stock Exchange is expected to be 30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January 2013 and the expected date of the termination of the current ADR programme is 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February 2013. The direct trading of ICON Shares on NASDAQ is expected to commence on 4</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February 2013.</w:t>
      </w:r>
    </w:p>
    <w:p>
      <w:pPr>
        <w:spacing w:after="0" w:line="47" w:lineRule="exact"/>
        <w:rPr>
          <w:sz w:val="20"/>
          <w:szCs w:val="20"/>
          <w:color w:val="auto"/>
        </w:rPr>
      </w:pPr>
    </w:p>
    <w:p>
      <w:pPr>
        <w:ind w:right="220"/>
        <w:spacing w:after="0" w:line="217" w:lineRule="auto"/>
        <w:rPr>
          <w:sz w:val="20"/>
          <w:szCs w:val="20"/>
          <w:color w:val="auto"/>
        </w:rPr>
      </w:pPr>
      <w:r>
        <w:rPr>
          <w:rFonts w:ascii="Arial" w:cs="Arial" w:eastAsia="Arial" w:hAnsi="Arial"/>
          <w:sz w:val="22"/>
          <w:szCs w:val="22"/>
          <w:color w:val="auto"/>
        </w:rPr>
        <w:t>The information contained in this release is as of 18</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December 2012. The statements made in this press release may contain forward-looking statements that involve a number of risks and uncertainties. A description of risks and uncertainties relating to ICON and its business can be found in ICON’s Annual Report for the fiscal year ended December 31, 2011 and in the forms filed with the US Securities and Exchange Commission, including the Forms 20-F, F-1, S-8 and F-3. ICON disclaims any intent or obligation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ICON plc</w:t>
      </w:r>
      <w:r>
        <w:rPr>
          <w:rFonts w:ascii="Arial" w:cs="Arial" w:eastAsia="Arial" w:hAnsi="Arial"/>
          <w:sz w:val="22"/>
          <w:szCs w:val="22"/>
          <w:color w:val="auto"/>
        </w:rPr>
        <w:t>:</w:t>
      </w:r>
    </w:p>
    <w:p>
      <w:pPr>
        <w:spacing w:after="0" w:line="21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82 locations in 40 countries and has approximately 9,430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08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Sam Farthing</w:t>
      </w:r>
    </w:p>
    <w:p>
      <w:pPr>
        <w:spacing w:after="0" w:line="230" w:lineRule="auto"/>
        <w:rPr>
          <w:rFonts w:ascii="Arial" w:cs="Arial" w:eastAsia="Arial" w:hAnsi="Arial"/>
          <w:sz w:val="22"/>
          <w:szCs w:val="22"/>
          <w:color w:val="auto"/>
        </w:rPr>
      </w:pPr>
      <w:r>
        <w:rPr>
          <w:rFonts w:ascii="Arial" w:cs="Arial" w:eastAsia="Arial" w:hAnsi="Arial"/>
          <w:sz w:val="22"/>
          <w:szCs w:val="22"/>
          <w:color w:val="auto"/>
        </w:rPr>
        <w:t>VP Investor Relations</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0860"/>
      </w:cols>
      <w:pgMar w:left="240" w:top="112"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2019-12-09T12:05:31Z</dcterms:created>
  <dcterms:modified xsi:type="dcterms:W3CDTF">2019-12-09T12:05:31Z</dcterms:modified>
</cp:coreProperties>
</file>