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648335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0" w:lineRule="exact"/>
        <w:rPr>
          <w:sz w:val="24"/>
          <w:szCs w:val="24"/>
          <w:color w:val="auto"/>
        </w:rPr>
      </w:pP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8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For the month of June 2026</w:t>
      </w:r>
    </w:p>
    <w:p>
      <w:pPr>
        <w:spacing w:after="0" w:line="20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Commission File Number: 333-08704</w:t>
      </w:r>
    </w:p>
    <w:p>
      <w:pPr>
        <w:spacing w:after="0" w:line="3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4"/>
          <w:szCs w:val="34"/>
          <w:b w:val="1"/>
          <w:bCs w:val="1"/>
          <w:color w:val="auto"/>
        </w:rPr>
        <w:t>ICON plc</w:t>
      </w:r>
    </w:p>
    <w:p>
      <w:pPr>
        <w:spacing w:after="0" w:line="3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1"/>
          <w:szCs w:val="11"/>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253365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South County Business Park, Leopardstown, Dublin 18, D18 X5R3, Ireland</w:t>
      </w:r>
    </w:p>
    <w:p>
      <w:pPr>
        <w:spacing w:after="0" w:line="2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20-F or Form 40-F.</w:t>
            </w:r>
          </w:p>
        </w:tc>
        <w:tc>
          <w:tcPr>
            <w:tcW w:w="960" w:type="dxa"/>
            <w:vAlign w:val="bottom"/>
            <w:vMerge w:val="restart"/>
          </w:tcPr>
          <w:p>
            <w:pPr>
              <w:ind w:left="200"/>
              <w:spacing w:after="0" w:line="161" w:lineRule="exact"/>
              <w:rPr>
                <w:sz w:val="20"/>
                <w:szCs w:val="20"/>
                <w:color w:val="auto"/>
              </w:rPr>
            </w:pPr>
            <w:r>
              <w:rPr>
                <w:rFonts w:ascii="Times New Roman" w:cs="Times New Roman" w:eastAsia="Times New Roman" w:hAnsi="Times New Roman"/>
                <w:sz w:val="14"/>
                <w:szCs w:val="14"/>
                <w:color w:val="auto"/>
                <w:w w:val="95"/>
              </w:rPr>
              <w:t xml:space="preserve">Form 40-F </w:t>
            </w:r>
            <w:r>
              <w:rPr>
                <w:rFonts w:ascii="MS PGothic" w:cs="MS PGothic" w:eastAsia="MS PGothic" w:hAnsi="MS PGothic"/>
                <w:sz w:val="14"/>
                <w:szCs w:val="14"/>
                <w:color w:val="auto"/>
                <w:w w:val="95"/>
              </w:rPr>
              <w:t>☐</w:t>
            </w:r>
          </w:p>
        </w:tc>
        <w:tc>
          <w:tcPr>
            <w:tcW w:w="0" w:type="dxa"/>
            <w:vAlign w:val="bottom"/>
          </w:tcPr>
          <w:p>
            <w:pPr>
              <w:spacing w:after="0"/>
              <w:rPr>
                <w:sz w:val="1"/>
                <w:szCs w:val="1"/>
                <w:color w:val="auto"/>
              </w:rPr>
            </w:pPr>
          </w:p>
        </w:tc>
      </w:tr>
      <w:tr>
        <w:trPr>
          <w:trHeight w:val="237"/>
        </w:trPr>
        <w:tc>
          <w:tcPr>
            <w:tcW w:w="6720" w:type="dxa"/>
            <w:vAlign w:val="bottom"/>
          </w:tcPr>
          <w:p>
            <w:pPr>
              <w:ind w:left="3420"/>
              <w:spacing w:after="0" w:line="161" w:lineRule="exact"/>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39"/>
          </w:cols>
          <w:pgMar w:left="320" w:top="107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EXHIBIT LIST</w:t>
            </w:r>
          </w:p>
        </w:tc>
      </w:tr>
      <w:tr>
        <w:trPr>
          <w:trHeight w:val="192"/>
        </w:trPr>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1060" w:type="dxa"/>
            <w:vAlign w:val="bottom"/>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3960" w:type="dxa"/>
            <w:vAlign w:val="bottom"/>
            <w:gridSpan w:val="7"/>
          </w:tcPr>
          <w:p>
            <w:pPr>
              <w:spacing w:after="0"/>
              <w:rPr>
                <w:sz w:val="16"/>
                <w:szCs w:val="16"/>
                <w:color w:val="auto"/>
              </w:rPr>
            </w:pPr>
          </w:p>
        </w:tc>
      </w:tr>
      <w:tr>
        <w:trPr>
          <w:trHeight w:val="362"/>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ICON plc Shareholders Letter and Notice of Annual General Meeting</w:t>
            </w:r>
          </w:p>
        </w:tc>
        <w:tc>
          <w:tcPr>
            <w:tcW w:w="680" w:type="dxa"/>
            <w:vAlign w:val="bottom"/>
          </w:tcPr>
          <w:p>
            <w:pPr>
              <w:spacing w:after="0"/>
              <w:rPr>
                <w:sz w:val="24"/>
                <w:szCs w:val="24"/>
                <w:color w:val="auto"/>
              </w:rPr>
            </w:pPr>
          </w:p>
        </w:tc>
      </w:tr>
      <w:tr>
        <w:trPr>
          <w:trHeight w:val="224"/>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2</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7"/>
              </w:rPr>
              <w:t>Proxy Voting Card</w:t>
            </w:r>
          </w:p>
        </w:tc>
        <w:tc>
          <w:tcPr>
            <w:tcW w:w="3560" w:type="dxa"/>
            <w:vAlign w:val="bottom"/>
            <w:gridSpan w:val="6"/>
          </w:tcPr>
          <w:p>
            <w:pPr>
              <w:spacing w:after="0"/>
              <w:rPr>
                <w:sz w:val="19"/>
                <w:szCs w:val="19"/>
                <w:color w:val="auto"/>
              </w:rPr>
            </w:pPr>
          </w:p>
        </w:tc>
      </w:tr>
      <w:tr>
        <w:trPr>
          <w:trHeight w:val="224"/>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3</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ICON plc Consolidated IFRS Financial Statements</w:t>
            </w:r>
          </w:p>
        </w:tc>
      </w:tr>
      <w:tr>
        <w:trPr>
          <w:trHeight w:val="224"/>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4</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ICON plc Annual Report (IFRS)</w:t>
            </w:r>
          </w:p>
        </w:tc>
        <w:tc>
          <w:tcPr>
            <w:tcW w:w="1740" w:type="dxa"/>
            <w:vAlign w:val="bottom"/>
            <w:gridSpan w:val="3"/>
          </w:tcPr>
          <w:p>
            <w:pPr>
              <w:spacing w:after="0"/>
              <w:rPr>
                <w:sz w:val="19"/>
                <w:szCs w:val="19"/>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r>
      <w:tr>
        <w:trPr>
          <w:trHeight w:val="224"/>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5</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ICON plc Annual Report (Form 20-F)</w:t>
            </w:r>
          </w:p>
        </w:tc>
        <w:tc>
          <w:tcPr>
            <w:tcW w:w="2460" w:type="dxa"/>
            <w:vAlign w:val="bottom"/>
            <w:gridSpan w:val="4"/>
          </w:tcPr>
          <w:p>
            <w:pPr>
              <w:spacing w:after="0"/>
              <w:rPr>
                <w:sz w:val="19"/>
                <w:szCs w:val="19"/>
                <w:color w:val="auto"/>
              </w:rPr>
            </w:pPr>
          </w:p>
        </w:tc>
      </w:tr>
    </w:tbl>
    <w:p>
      <w:pPr>
        <w:sectPr>
          <w:pgSz w:w="11900" w:h="16838" w:orient="portrait"/>
          <w:cols w:equalWidth="0" w:num="1">
            <w:col w:w="10139"/>
          </w:cols>
          <w:pgMar w:left="320" w:top="912" w:right="1440"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92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ICON plc</w:t>
            </w:r>
          </w:p>
        </w:tc>
        <w:tc>
          <w:tcPr>
            <w:tcW w:w="4180" w:type="dxa"/>
            <w:vAlign w:val="bottom"/>
          </w:tcPr>
          <w:p>
            <w:pPr>
              <w:spacing w:after="0"/>
              <w:rPr>
                <w:sz w:val="16"/>
                <w:szCs w:val="16"/>
                <w:color w:val="auto"/>
              </w:rPr>
            </w:pPr>
          </w:p>
        </w:tc>
      </w:tr>
      <w:tr>
        <w:trPr>
          <w:trHeight w:val="382"/>
        </w:trPr>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92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Nigel Clerkin</w:t>
            </w:r>
          </w:p>
        </w:tc>
      </w:tr>
      <w:tr>
        <w:trPr>
          <w:trHeight w:val="167"/>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26, 2026</w:t>
            </w:r>
          </w:p>
        </w:tc>
        <w:tc>
          <w:tcPr>
            <w:tcW w:w="392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Name:</w:t>
            </w: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Nigel Clerkin</w:t>
            </w:r>
          </w:p>
        </w:tc>
      </w:tr>
      <w:tr>
        <w:trPr>
          <w:trHeight w:val="184"/>
        </w:trPr>
        <w:tc>
          <w:tcPr>
            <w:tcW w:w="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92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Title:</w:t>
            </w: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20" w:top="728" w:right="319" w:bottom="1440" w:gutter="0" w:footer="0" w:header="0"/>
        </w:sectPr>
      </w:pPr>
    </w:p>
    <w:bookmarkStart w:id="3" w:name="page4"/>
    <w:bookmarkEnd w:id="3"/>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on 31 July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THIS DOCUMENT IS IMPORTANT AND REQUIRES YOUR IMMEDIATE ATTENTION.</w:t>
      </w:r>
    </w:p>
    <w:p>
      <w:pPr>
        <w:spacing w:after="0" w:line="212" w:lineRule="exact"/>
        <w:rPr>
          <w:sz w:val="20"/>
          <w:szCs w:val="20"/>
          <w:color w:val="auto"/>
        </w:rPr>
      </w:pPr>
    </w:p>
    <w:p>
      <w:pPr>
        <w:ind w:left="1320" w:right="1619"/>
        <w:spacing w:after="0" w:line="239" w:lineRule="auto"/>
        <w:rPr>
          <w:sz w:val="20"/>
          <w:szCs w:val="20"/>
          <w:color w:val="auto"/>
        </w:rPr>
      </w:pPr>
      <w:r>
        <w:rPr>
          <w:rFonts w:ascii="Times New Roman" w:cs="Times New Roman" w:eastAsia="Times New Roman" w:hAnsi="Times New Roman"/>
          <w:sz w:val="16"/>
          <w:szCs w:val="16"/>
          <w:color w:val="auto"/>
        </w:rPr>
        <w:t>If you are in any doubt as to the action to be taken, you should consult with your independent financial adviser who, if you are taking advice in Ireland, is authorised or exempted under the European Communities (Markets in Financial Instruments) Regulations 2017 (as amended) or the Investment Intermediaries Act, 1995 (as amended)</w:t>
      </w:r>
      <w:r>
        <w:rPr>
          <w:rFonts w:ascii="Times New Roman" w:cs="Times New Roman" w:eastAsia="Times New Roman" w:hAnsi="Times New Roman"/>
          <w:sz w:val="16"/>
          <w:szCs w:val="16"/>
          <w:b w:val="1"/>
          <w:bCs w:val="1"/>
          <w:color w:val="auto"/>
        </w:rPr>
        <w:t>.</w:t>
      </w:r>
    </w:p>
    <w:p>
      <w:pPr>
        <w:spacing w:after="0" w:line="158" w:lineRule="exact"/>
        <w:rPr>
          <w:sz w:val="20"/>
          <w:szCs w:val="20"/>
          <w:color w:val="auto"/>
        </w:rPr>
      </w:pPr>
    </w:p>
    <w:p>
      <w:pPr>
        <w:ind w:left="1320" w:right="1359"/>
        <w:spacing w:after="0" w:line="243" w:lineRule="auto"/>
        <w:rPr>
          <w:sz w:val="20"/>
          <w:szCs w:val="20"/>
          <w:color w:val="auto"/>
        </w:rPr>
      </w:pPr>
      <w:r>
        <w:rPr>
          <w:rFonts w:ascii="Times New Roman" w:cs="Times New Roman" w:eastAsia="Times New Roman" w:hAnsi="Times New Roman"/>
          <w:sz w:val="16"/>
          <w:szCs w:val="16"/>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26 June 2026</w:t>
      </w:r>
    </w:p>
    <w:p>
      <w:pPr>
        <w:spacing w:after="0" w:line="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To: All ICON Shareholders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NOTICE OF ANNUAL GENERAL MEETING</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Dear Shareholder</w:t>
      </w:r>
    </w:p>
    <w:p>
      <w:pPr>
        <w:spacing w:after="0" w:line="177" w:lineRule="exact"/>
        <w:rPr>
          <w:sz w:val="20"/>
          <w:szCs w:val="20"/>
          <w:color w:val="auto"/>
        </w:rPr>
      </w:pPr>
    </w:p>
    <w:p>
      <w:pPr>
        <w:jc w:val="both"/>
        <w:ind w:left="1320" w:right="1479"/>
        <w:spacing w:after="0" w:line="247" w:lineRule="auto"/>
        <w:rPr>
          <w:sz w:val="20"/>
          <w:szCs w:val="20"/>
          <w:color w:val="auto"/>
        </w:rPr>
      </w:pPr>
      <w:r>
        <w:rPr>
          <w:rFonts w:ascii="Times New Roman" w:cs="Times New Roman" w:eastAsia="Times New Roman" w:hAnsi="Times New Roman"/>
          <w:sz w:val="16"/>
          <w:szCs w:val="16"/>
          <w:color w:val="auto"/>
        </w:rPr>
        <w:t>The Annual General Meeting of ICON plc will be held at 11.00am (Dublin time) on 31 July 2026 at ICON’s global headquarters in South County Business Park, Leopardstown, Dublin 18, Ireland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1320" w:right="1319"/>
        <w:spacing w:after="0" w:line="238" w:lineRule="auto"/>
        <w:rPr>
          <w:sz w:val="20"/>
          <w:szCs w:val="20"/>
          <w:color w:val="auto"/>
        </w:rPr>
      </w:pPr>
      <w:r>
        <w:rPr>
          <w:rFonts w:ascii="Times New Roman" w:cs="Times New Roman" w:eastAsia="Times New Roman" w:hAnsi="Times New Roman"/>
          <w:sz w:val="16"/>
          <w:szCs w:val="16"/>
          <w:color w:val="auto"/>
        </w:rPr>
        <w:t>The purpose of this letter is to outline the background to and summarise the resolutions to be proposed at the AGM. Please refer to the Form of Proxy for the AGM (which is separately enclosed) and the notes on pages 9 to 11 for details on how to vote your shares and return your Form of Proxy. Your attention is also drawn to the notice of the AGM on pages 5 to 8 which sets out the matters to be considered at the AGM.</w:t>
      </w:r>
    </w:p>
    <w:p>
      <w:pPr>
        <w:spacing w:after="0" w:line="1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u w:val="single" w:color="auto"/>
          <w:color w:val="auto"/>
        </w:rPr>
        <w:t>Election and Re-election of Directors (ordinary resolutions 1.1 to 1.10)</w:t>
      </w:r>
    </w:p>
    <w:p>
      <w:pPr>
        <w:spacing w:after="0" w:line="21" w:lineRule="exact"/>
        <w:rPr>
          <w:sz w:val="20"/>
          <w:szCs w:val="20"/>
          <w:color w:val="auto"/>
        </w:rPr>
      </w:pPr>
    </w:p>
    <w:p>
      <w:pPr>
        <w:ind w:left="1320" w:right="1319"/>
        <w:spacing w:after="0" w:line="297" w:lineRule="auto"/>
        <w:rPr>
          <w:sz w:val="20"/>
          <w:szCs w:val="20"/>
          <w:color w:val="auto"/>
        </w:rPr>
      </w:pPr>
      <w:r>
        <w:rPr>
          <w:rFonts w:ascii="Times New Roman" w:cs="Times New Roman" w:eastAsia="Times New Roman" w:hAnsi="Times New Roman"/>
          <w:sz w:val="14"/>
          <w:szCs w:val="14"/>
          <w:color w:val="auto"/>
        </w:rPr>
        <w:t>In accordance with our Constitution (by-laws), one third of the members of 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who are subject to retirement by rotation are required to retire from office</w:t>
      </w:r>
    </w:p>
    <w:p>
      <w:pPr>
        <w:sectPr>
          <w:pgSz w:w="11900" w:h="16986" w:orient="portrait"/>
          <w:cols w:equalWidth="0" w:num="1">
            <w:col w:w="9019"/>
          </w:cols>
          <w:pgMar w:left="1440" w:top="600" w:right="1440" w:bottom="0" w:gutter="0" w:footer="0" w:header="0"/>
        </w:sectPr>
      </w:pPr>
    </w:p>
    <w:bookmarkStart w:id="4" w:name="page5"/>
    <w:bookmarkEnd w:id="4"/>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r>
    </w:p>
    <w:p>
      <w:pPr>
        <w:ind w:left="1320" w:right="1419"/>
        <w:spacing w:after="0" w:line="241" w:lineRule="auto"/>
        <w:rPr>
          <w:sz w:val="20"/>
          <w:szCs w:val="20"/>
          <w:color w:val="auto"/>
        </w:rPr>
      </w:pPr>
      <w:r>
        <w:rPr>
          <w:rFonts w:ascii="Times New Roman" w:cs="Times New Roman" w:eastAsia="Times New Roman" w:hAnsi="Times New Roman"/>
          <w:sz w:val="16"/>
          <w:szCs w:val="16"/>
          <w:color w:val="auto"/>
        </w:rPr>
        <w:t>and may stand for re-election at the AGM. Notwithstanding the Company’s Constitution, the Board’s current policy (in place since July 2022 and reflected in the Company’s Corporate Governance Guidelines) is that all Directors shall retire from office and seek election/re-election by the shareholders at the AGM annually. Accordingly, the following Directors (being all of the current Directors on the Board) will stand for election/ re-election:</w:t>
      </w:r>
    </w:p>
    <w:p>
      <w:pPr>
        <w:spacing w:after="0" w:line="158" w:lineRule="exact"/>
        <w:rPr>
          <w:sz w:val="20"/>
          <w:szCs w:val="20"/>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Ciaran Murray – non-executive Director and Chair</w:t>
      </w:r>
    </w:p>
    <w:p>
      <w:pPr>
        <w:spacing w:after="0" w:line="166" w:lineRule="exact"/>
        <w:rPr>
          <w:rFonts w:ascii="Times New Roman" w:cs="Times New Roman" w:eastAsia="Times New Roman" w:hAnsi="Times New Roman"/>
          <w:sz w:val="16"/>
          <w:szCs w:val="16"/>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Barry Balfe – Chief Executive Officer and Director</w:t>
      </w:r>
    </w:p>
    <w:p>
      <w:pPr>
        <w:spacing w:after="0" w:line="176" w:lineRule="exact"/>
        <w:rPr>
          <w:rFonts w:ascii="Times New Roman" w:cs="Times New Roman" w:eastAsia="Times New Roman" w:hAnsi="Times New Roman"/>
          <w:sz w:val="16"/>
          <w:szCs w:val="16"/>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Rónán Murphy – Lead Independent Director and non-executive Director</w:t>
      </w:r>
    </w:p>
    <w:p>
      <w:pPr>
        <w:spacing w:after="0" w:line="176" w:lineRule="exact"/>
        <w:rPr>
          <w:rFonts w:ascii="Times New Roman" w:cs="Times New Roman" w:eastAsia="Times New Roman" w:hAnsi="Times New Roman"/>
          <w:sz w:val="16"/>
          <w:szCs w:val="16"/>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John Climax – founder &amp; non-executive Director</w:t>
      </w:r>
    </w:p>
    <w:p>
      <w:pPr>
        <w:spacing w:after="0" w:line="166" w:lineRule="exact"/>
        <w:rPr>
          <w:rFonts w:ascii="Times New Roman" w:cs="Times New Roman" w:eastAsia="Times New Roman" w:hAnsi="Times New Roman"/>
          <w:sz w:val="16"/>
          <w:szCs w:val="16"/>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Julie O’Neill – non-executive Director</w:t>
      </w:r>
    </w:p>
    <w:p>
      <w:pPr>
        <w:spacing w:after="0" w:line="176" w:lineRule="exact"/>
        <w:rPr>
          <w:rFonts w:ascii="Times New Roman" w:cs="Times New Roman" w:eastAsia="Times New Roman" w:hAnsi="Times New Roman"/>
          <w:sz w:val="16"/>
          <w:szCs w:val="16"/>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Eugene McCague – non-executive Director</w:t>
      </w:r>
    </w:p>
    <w:p>
      <w:pPr>
        <w:spacing w:after="0" w:line="176" w:lineRule="exact"/>
        <w:rPr>
          <w:rFonts w:ascii="Times New Roman" w:cs="Times New Roman" w:eastAsia="Times New Roman" w:hAnsi="Times New Roman"/>
          <w:sz w:val="16"/>
          <w:szCs w:val="16"/>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Linda Grais – non-executive Director</w:t>
      </w:r>
    </w:p>
    <w:p>
      <w:pPr>
        <w:spacing w:after="0" w:line="176" w:lineRule="exact"/>
        <w:rPr>
          <w:rFonts w:ascii="Times New Roman" w:cs="Times New Roman" w:eastAsia="Times New Roman" w:hAnsi="Times New Roman"/>
          <w:sz w:val="16"/>
          <w:szCs w:val="16"/>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Anne Whitaker – non-executive Director</w:t>
      </w:r>
    </w:p>
    <w:p>
      <w:pPr>
        <w:spacing w:after="0" w:line="166" w:lineRule="exact"/>
        <w:rPr>
          <w:rFonts w:ascii="Times New Roman" w:cs="Times New Roman" w:eastAsia="Times New Roman" w:hAnsi="Times New Roman"/>
          <w:sz w:val="16"/>
          <w:szCs w:val="16"/>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Kevin Egan – non-executive Director</w:t>
      </w:r>
    </w:p>
    <w:p>
      <w:pPr>
        <w:spacing w:after="0" w:line="176" w:lineRule="exact"/>
        <w:rPr>
          <w:rFonts w:ascii="Times New Roman" w:cs="Times New Roman" w:eastAsia="Times New Roman" w:hAnsi="Times New Roman"/>
          <w:sz w:val="16"/>
          <w:szCs w:val="16"/>
          <w:color w:val="auto"/>
        </w:rPr>
      </w:pPr>
    </w:p>
    <w:p>
      <w:pPr>
        <w:ind w:left="1820" w:hanging="250"/>
        <w:spacing w:after="0"/>
        <w:tabs>
          <w:tab w:leader="none" w:pos="18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Jeff Elliott – non-executive Director</w:t>
      </w:r>
    </w:p>
    <w:p>
      <w:pPr>
        <w:spacing w:after="0" w:line="177" w:lineRule="exact"/>
        <w:rPr>
          <w:sz w:val="20"/>
          <w:szCs w:val="20"/>
          <w:color w:val="auto"/>
        </w:rPr>
      </w:pPr>
    </w:p>
    <w:p>
      <w:pPr>
        <w:ind w:left="1320" w:right="1439"/>
        <w:spacing w:after="0" w:line="284" w:lineRule="auto"/>
        <w:rPr>
          <w:sz w:val="20"/>
          <w:szCs w:val="20"/>
          <w:color w:val="auto"/>
        </w:rPr>
      </w:pPr>
      <w:r>
        <w:rPr>
          <w:rFonts w:ascii="Times New Roman" w:cs="Times New Roman" w:eastAsia="Times New Roman" w:hAnsi="Times New Roman"/>
          <w:sz w:val="14"/>
          <w:szCs w:val="14"/>
          <w:color w:val="auto"/>
        </w:rPr>
        <w:t>Mr. Ciaran Murray, Mr. Rónán Murphy, Dr. John Climax, Ms. Julie O’Neill, Mr. Eugene McCague, Dr. Linda Grais, Ms. Anne Whitaker, Mr. Kevin Egan and Mr. Jeff Elliott are each “independent” non-executive Directors (as that term is defined under the published listing requirements of Nasdaq). Mr. Barry Balfe, ICON’s Chief Executive Officer, is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color w:val="auto"/>
        </w:rPr>
        <w:t>2</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20" w:right="1399"/>
        <w:spacing w:after="0" w:line="247" w:lineRule="auto"/>
        <w:rPr>
          <w:sz w:val="20"/>
          <w:szCs w:val="20"/>
          <w:color w:val="auto"/>
        </w:rPr>
      </w:pPr>
      <w:r>
        <w:rPr>
          <w:rFonts w:ascii="Times New Roman" w:cs="Times New Roman" w:eastAsia="Times New Roman" w:hAnsi="Times New Roman"/>
          <w:sz w:val="16"/>
          <w:szCs w:val="16"/>
          <w:color w:val="auto"/>
        </w:rPr>
        <w:t>This will be the first AGM at which Mr. Kevin Egan and Mr. Jeff Elliott stand for election, having joined the Board on 1 June 2026. Mr. Kevin Egan and Mr. Jeff Elliott have also been appointed to the Audit Committee.</w:t>
      </w:r>
    </w:p>
    <w:p>
      <w:pPr>
        <w:spacing w:after="0" w:line="143" w:lineRule="exact"/>
        <w:rPr>
          <w:sz w:val="20"/>
          <w:szCs w:val="20"/>
          <w:color w:val="auto"/>
        </w:rPr>
      </w:pPr>
    </w:p>
    <w:p>
      <w:pPr>
        <w:ind w:left="1320" w:right="1359"/>
        <w:spacing w:after="0" w:line="274" w:lineRule="auto"/>
        <w:rPr>
          <w:sz w:val="20"/>
          <w:szCs w:val="20"/>
          <w:color w:val="auto"/>
        </w:rPr>
      </w:pPr>
      <w:r>
        <w:rPr>
          <w:rFonts w:ascii="Times New Roman" w:cs="Times New Roman" w:eastAsia="Times New Roman" w:hAnsi="Times New Roman"/>
          <w:sz w:val="14"/>
          <w:szCs w:val="14"/>
          <w:color w:val="auto"/>
        </w:rPr>
        <w:t xml:space="preserve">Each of the Directors standing for election and re-election has demonstrated the necessary commitment to the role of Director and provides valuable skills, knowledge and experience and makes important contributions to the Board. Further information on the experience, qualifications and industry knowledge of the current Directors is available from the Form 20-F and on our website at </w:t>
      </w:r>
      <w:r>
        <w:rPr>
          <w:rFonts w:ascii="Times New Roman" w:cs="Times New Roman" w:eastAsia="Times New Roman" w:hAnsi="Times New Roman"/>
          <w:sz w:val="14"/>
          <w:szCs w:val="14"/>
          <w:u w:val="single" w:color="auto"/>
          <w:color w:val="auto"/>
        </w:rPr>
        <w:t>https://investor.iconplc.com/corporate-governance/board-of-directors</w:t>
      </w:r>
      <w:r>
        <w:rPr>
          <w:rFonts w:ascii="Times New Roman" w:cs="Times New Roman" w:eastAsia="Times New Roman" w:hAnsi="Times New Roman"/>
          <w:sz w:val="14"/>
          <w:szCs w:val="14"/>
          <w:color w:val="auto"/>
        </w:rPr>
        <w:t xml:space="preserve"> and the details of current</w:t>
      </w:r>
    </w:p>
    <w:p>
      <w:pPr>
        <w:spacing w:after="0" w:line="1" w:lineRule="exact"/>
        <w:rPr>
          <w:sz w:val="20"/>
          <w:szCs w:val="20"/>
          <w:color w:val="auto"/>
        </w:rPr>
      </w:pPr>
    </w:p>
    <w:p>
      <w:pPr>
        <w:ind w:left="1320" w:right="1319"/>
        <w:spacing w:after="0" w:line="238" w:lineRule="auto"/>
        <w:rPr>
          <w:sz w:val="20"/>
          <w:szCs w:val="20"/>
          <w:color w:val="auto"/>
        </w:rPr>
      </w:pPr>
      <w:r>
        <w:rPr>
          <w:rFonts w:ascii="Times New Roman" w:cs="Times New Roman" w:eastAsia="Times New Roman" w:hAnsi="Times New Roman"/>
          <w:sz w:val="16"/>
          <w:szCs w:val="16"/>
          <w:color w:val="auto"/>
        </w:rPr>
        <w:t xml:space="preserve">committee composition are set out on our website at </w:t>
      </w:r>
      <w:r>
        <w:rPr>
          <w:rFonts w:ascii="Times New Roman" w:cs="Times New Roman" w:eastAsia="Times New Roman" w:hAnsi="Times New Roman"/>
          <w:sz w:val="16"/>
          <w:szCs w:val="16"/>
          <w:u w:val="single" w:color="auto"/>
          <w:color w:val="auto"/>
        </w:rPr>
        <w:t>https://investor.iconplc.com/corporate-governance/committee-composition</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u w:val="single" w:color="auto"/>
          <w:color w:val="auto"/>
        </w:rPr>
        <w:t>ICON’s 2025 Accounts (ordinary resolution 2)</w:t>
      </w:r>
    </w:p>
    <w:p>
      <w:pPr>
        <w:spacing w:after="0" w:line="21" w:lineRule="exact"/>
        <w:rPr>
          <w:sz w:val="20"/>
          <w:szCs w:val="20"/>
          <w:color w:val="auto"/>
        </w:rPr>
      </w:pPr>
    </w:p>
    <w:p>
      <w:pPr>
        <w:ind w:left="1320" w:right="1579"/>
        <w:spacing w:after="0" w:line="239" w:lineRule="auto"/>
        <w:rPr>
          <w:sz w:val="20"/>
          <w:szCs w:val="20"/>
          <w:color w:val="auto"/>
        </w:rPr>
      </w:pPr>
      <w:r>
        <w:rPr>
          <w:rFonts w:ascii="Times New Roman" w:cs="Times New Roman" w:eastAsia="Times New Roman" w:hAnsi="Times New Roman"/>
          <w:sz w:val="16"/>
          <w:szCs w:val="16"/>
          <w:color w:val="auto"/>
        </w:rPr>
        <w:t>This resolution is to review the Company's affairs and consider ICON’s 2025 accounts which have been audited by Ernst &amp; Young, ICON’s independent auditors for the financial year ended 31 December 2025, and the report of the Directors and the auditors thereon.</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u w:val="single" w:color="auto"/>
          <w:color w:val="auto"/>
        </w:rPr>
        <w:t>Remuneration of Auditors (ordinary resolution 3)</w:t>
      </w:r>
    </w:p>
    <w:p>
      <w:pPr>
        <w:spacing w:after="0" w:line="21" w:lineRule="exact"/>
        <w:rPr>
          <w:sz w:val="20"/>
          <w:szCs w:val="20"/>
          <w:color w:val="auto"/>
        </w:rPr>
      </w:pPr>
    </w:p>
    <w:p>
      <w:pPr>
        <w:ind w:left="1320" w:right="1419"/>
        <w:spacing w:after="0" w:line="235" w:lineRule="auto"/>
        <w:rPr>
          <w:sz w:val="20"/>
          <w:szCs w:val="20"/>
          <w:color w:val="auto"/>
        </w:rPr>
      </w:pPr>
      <w:r>
        <w:rPr>
          <w:rFonts w:ascii="Times New Roman" w:cs="Times New Roman" w:eastAsia="Times New Roman" w:hAnsi="Times New Roman"/>
          <w:sz w:val="16"/>
          <w:szCs w:val="16"/>
          <w:color w:val="auto"/>
        </w:rPr>
        <w:t>This resolution authorises the Directors, acting through the Audit Committee, to fix the remuneration of the auditors.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issue shares up to 20% of share capital (ordinary resolution 4)</w:t>
      </w:r>
    </w:p>
    <w:p>
      <w:pPr>
        <w:spacing w:after="0" w:line="21" w:lineRule="exact"/>
        <w:rPr>
          <w:sz w:val="20"/>
          <w:szCs w:val="20"/>
          <w:color w:val="auto"/>
        </w:rPr>
      </w:pPr>
    </w:p>
    <w:p>
      <w:pPr>
        <w:ind w:left="1320" w:right="1399"/>
        <w:spacing w:after="0" w:line="239" w:lineRule="auto"/>
        <w:rPr>
          <w:sz w:val="20"/>
          <w:szCs w:val="20"/>
          <w:color w:val="auto"/>
        </w:rPr>
      </w:pPr>
      <w:r>
        <w:rPr>
          <w:rFonts w:ascii="Times New Roman" w:cs="Times New Roman" w:eastAsia="Times New Roman" w:hAnsi="Times New Roman"/>
          <w:sz w:val="16"/>
          <w:szCs w:val="16"/>
          <w:color w:val="auto"/>
        </w:rPr>
        <w:t>This resolution authorises the Directors to issue shares until the earlier of the next Annual General Meeting of the Company or 30 January 2028 up to an aggregate of 20% of the share capital of the Company without further shareholder approval.</w:t>
      </w:r>
    </w:p>
    <w:p>
      <w:pPr>
        <w:spacing w:after="0" w:line="160" w:lineRule="exact"/>
        <w:rPr>
          <w:sz w:val="20"/>
          <w:szCs w:val="20"/>
          <w:color w:val="auto"/>
        </w:rPr>
      </w:pPr>
    </w:p>
    <w:p>
      <w:pPr>
        <w:ind w:left="1320" w:right="1379"/>
        <w:spacing w:after="0"/>
        <w:rPr>
          <w:sz w:val="20"/>
          <w:szCs w:val="20"/>
          <w:color w:val="auto"/>
        </w:rPr>
      </w:pPr>
      <w:r>
        <w:rPr>
          <w:rFonts w:ascii="Times New Roman" w:cs="Times New Roman" w:eastAsia="Times New Roman" w:hAnsi="Times New Roman"/>
          <w:sz w:val="16"/>
          <w:szCs w:val="16"/>
          <w:color w:val="auto"/>
        </w:rPr>
        <w:t>This resolution is required under Irish law as the Company is an Irish incorporated company. The 20% cap on this resolution aligns with the Nasdaq rules which provide that up to 20% of share capital can be issued without shareholder approval.</w:t>
      </w:r>
    </w:p>
    <w:p>
      <w:pPr>
        <w:spacing w:after="0" w:line="146" w:lineRule="exact"/>
        <w:rPr>
          <w:sz w:val="20"/>
          <w:szCs w:val="20"/>
          <w:color w:val="auto"/>
        </w:rPr>
      </w:pPr>
    </w:p>
    <w:p>
      <w:pPr>
        <w:jc w:val="both"/>
        <w:ind w:left="1320" w:right="1439"/>
        <w:spacing w:after="0" w:line="245" w:lineRule="auto"/>
        <w:rPr>
          <w:sz w:val="20"/>
          <w:szCs w:val="20"/>
          <w:color w:val="auto"/>
        </w:rPr>
      </w:pPr>
      <w:r>
        <w:rPr>
          <w:rFonts w:ascii="Times New Roman" w:cs="Times New Roman" w:eastAsia="Times New Roman" w:hAnsi="Times New Roman"/>
          <w:sz w:val="16"/>
          <w:szCs w:val="16"/>
          <w:b w:val="1"/>
          <w:bCs w:val="1"/>
          <w:u w:val="single" w:color="auto"/>
          <w:color w:val="auto"/>
        </w:rPr>
        <w:t>Authority to issue shares up to 10% of share capital without offering to existing shareholders, with an additional 10% for funding capital investment or acquisitions (special resolution 5 and special resolution 6)</w:t>
      </w:r>
    </w:p>
    <w:p>
      <w:pPr>
        <w:spacing w:after="0" w:line="2" w:lineRule="exact"/>
        <w:rPr>
          <w:sz w:val="20"/>
          <w:szCs w:val="20"/>
          <w:color w:val="auto"/>
        </w:rPr>
      </w:pPr>
    </w:p>
    <w:p>
      <w:pPr>
        <w:ind w:left="1320" w:right="1339"/>
        <w:spacing w:after="0" w:line="273" w:lineRule="auto"/>
        <w:rPr>
          <w:sz w:val="20"/>
          <w:szCs w:val="20"/>
          <w:color w:val="auto"/>
        </w:rPr>
      </w:pPr>
      <w:r>
        <w:rPr>
          <w:rFonts w:ascii="Times New Roman" w:cs="Times New Roman" w:eastAsia="Times New Roman" w:hAnsi="Times New Roman"/>
          <w:sz w:val="14"/>
          <w:szCs w:val="14"/>
          <w:color w:val="auto"/>
        </w:rPr>
        <w:t>Resolution 5 authorises the Directors to issue shares for cash, subject to resolution 4, until the earlier of the next Annual General Meeting of the Company or 30 January 2028 up to an aggregate of 10% of the share capital of the Company without having to offer the shares to existing shareholders on a pro rata basis. Resolution 6 authorises the Directors to issue an additional 10% of the share capital for cash, again subject to resolution 4, on a non-pre-emptive basis provided that the proceeds of any such share issuance are to be used only for the purposes of financing (or refinancing, if the authority is to be used within six months after the original transaction) an acquisition or other capital investment.</w:t>
      </w:r>
    </w:p>
    <w:p>
      <w:pPr>
        <w:spacing w:after="0" w:line="139" w:lineRule="exact"/>
        <w:rPr>
          <w:sz w:val="20"/>
          <w:szCs w:val="20"/>
          <w:color w:val="auto"/>
        </w:rPr>
      </w:pPr>
    </w:p>
    <w:p>
      <w:pPr>
        <w:ind w:left="1320" w:right="1479"/>
        <w:spacing w:after="0" w:line="284" w:lineRule="auto"/>
        <w:rPr>
          <w:sz w:val="20"/>
          <w:szCs w:val="20"/>
          <w:color w:val="auto"/>
        </w:rPr>
      </w:pPr>
      <w:r>
        <w:rPr>
          <w:rFonts w:ascii="Times New Roman" w:cs="Times New Roman" w:eastAsia="Times New Roman" w:hAnsi="Times New Roman"/>
          <w:sz w:val="14"/>
          <w:szCs w:val="14"/>
          <w:color w:val="auto"/>
        </w:rPr>
        <w:t xml:space="preserve">A resolution authorising the issuance of shares for cash without such offer round is a requirement of Irish law and there is no such requirement under the applicable U.S. Securities and Exchange Commission (the “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rules or Nasdaq rules. As above, this year the authorities under these resolutions, if approved, will expire on the earlier of the next Annual General Meeting of the</w:t>
      </w:r>
    </w:p>
    <w:p>
      <w:pPr>
        <w:sectPr>
          <w:pgSz w:w="11900" w:h="16913" w:orient="portrait"/>
          <w:cols w:equalWidth="0" w:num="1">
            <w:col w:w="9019"/>
          </w:cols>
          <w:pgMar w:left="1440" w:top="153" w:right="1440" w:bottom="0" w:gutter="0" w:footer="0" w:header="0"/>
        </w:sectPr>
      </w:pPr>
    </w:p>
    <w:bookmarkStart w:id="5" w:name="page6"/>
    <w:bookmarkEnd w:id="5"/>
    <w:p>
      <w:pPr>
        <w:ind w:left="1320"/>
        <w:spacing w:after="0"/>
        <w:rPr>
          <w:sz w:val="20"/>
          <w:szCs w:val="20"/>
          <w:color w:val="auto"/>
        </w:rPr>
      </w:pPr>
      <w:r>
        <w:rPr>
          <w:rFonts w:ascii="Times New Roman" w:cs="Times New Roman" w:eastAsia="Times New Roman" w:hAnsi="Times New Roman"/>
          <w:sz w:val="16"/>
          <w:szCs w:val="16"/>
          <w:color w:val="auto"/>
        </w:rPr>
        <w:t>Company or 30 January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-84455</wp:posOffset>
            </wp:positionV>
            <wp:extent cx="716153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r>
    </w:p>
    <w:p>
      <w:pPr>
        <w:spacing w:after="0" w:line="156" w:lineRule="exact"/>
        <w:rPr>
          <w:sz w:val="20"/>
          <w:szCs w:val="20"/>
          <w:color w:val="auto"/>
        </w:rPr>
      </w:pPr>
    </w:p>
    <w:p>
      <w:pPr>
        <w:ind w:left="1320" w:right="1359"/>
        <w:spacing w:after="0" w:line="238" w:lineRule="auto"/>
        <w:rPr>
          <w:sz w:val="20"/>
          <w:szCs w:val="20"/>
          <w:color w:val="auto"/>
        </w:rPr>
      </w:pPr>
      <w:r>
        <w:rPr>
          <w:rFonts w:ascii="Times New Roman" w:cs="Times New Roman" w:eastAsia="Times New Roman" w:hAnsi="Times New Roman"/>
          <w:sz w:val="16"/>
          <w:szCs w:val="16"/>
          <w:color w:val="auto"/>
        </w:rPr>
        <w:t>The caps on resolutions 4, 5 and 6 provide our shareholders with anti-dilution protection equivalent to protections provided to the shareholders of many other Nasdaq-listed companies. Every year since the Company was listed (apart from 2014, as resolutions with 5-year authority were passed in 2013), the Directors have put resolutions to authorise the issuance of shares and to disapply offer round to the shareholders and each such resolution has been passed.</w:t>
      </w:r>
    </w:p>
    <w:p>
      <w:pPr>
        <w:spacing w:after="0" w:line="200" w:lineRule="exact"/>
        <w:rPr>
          <w:sz w:val="20"/>
          <w:szCs w:val="20"/>
          <w:color w:val="auto"/>
        </w:rPr>
      </w:pPr>
    </w:p>
    <w:p>
      <w:pPr>
        <w:spacing w:after="0" w:line="360"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color w:val="auto"/>
        </w:rPr>
        <w:t>3</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buy back shares up to 10% of share capital (ordinary resolution 7)</w:t>
      </w:r>
    </w:p>
    <w:p>
      <w:pPr>
        <w:spacing w:after="0" w:line="21" w:lineRule="exact"/>
        <w:rPr>
          <w:sz w:val="20"/>
          <w:szCs w:val="20"/>
          <w:color w:val="auto"/>
        </w:rPr>
      </w:pPr>
    </w:p>
    <w:p>
      <w:pPr>
        <w:ind w:left="1320" w:right="1379"/>
        <w:spacing w:after="0" w:line="235" w:lineRule="auto"/>
        <w:rPr>
          <w:sz w:val="20"/>
          <w:szCs w:val="20"/>
          <w:color w:val="auto"/>
        </w:rPr>
      </w:pPr>
      <w:r>
        <w:rPr>
          <w:rFonts w:ascii="Times New Roman" w:cs="Times New Roman" w:eastAsia="Times New Roman" w:hAnsi="Times New Roman"/>
          <w:sz w:val="16"/>
          <w:szCs w:val="16"/>
          <w:color w:val="auto"/>
        </w:rPr>
        <w:t>This resolution authorises the Company and its subsidiaries to purchase in the market (buy-back) up to 10% of the outstanding share capital of the Company. It is important both for the Company and shareholders that both the Company and its subsidiaries have flexibility to implement a buy-back (without having to seek further shareholder approval) if market conditions favour a buy-back. It should also be noted that while the applicable SEC rules and Nasdaq rules do not require shareholder approval prior to a share buy-back, this resolution is required as the Company is an Irish incorporated company and Irish law requires shareholders to pass such a resolution to give Directors the authority to buy back Company shares. The authority under this resolution expires on the earlier of the next Annual General Meeting and 30 January 2028.</w:t>
      </w:r>
    </w:p>
    <w:p>
      <w:pPr>
        <w:spacing w:after="0" w:line="1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reissue shares held as treasury shares (special resolution 8)</w:t>
      </w:r>
    </w:p>
    <w:p>
      <w:pPr>
        <w:spacing w:after="0" w:line="16" w:lineRule="exact"/>
        <w:rPr>
          <w:sz w:val="20"/>
          <w:szCs w:val="20"/>
          <w:color w:val="auto"/>
        </w:rPr>
      </w:pPr>
    </w:p>
    <w:p>
      <w:pPr>
        <w:ind w:left="1320" w:right="1339"/>
        <w:spacing w:after="0" w:line="274" w:lineRule="auto"/>
        <w:rPr>
          <w:sz w:val="20"/>
          <w:szCs w:val="20"/>
          <w:color w:val="auto"/>
        </w:rPr>
      </w:pPr>
      <w:r>
        <w:rPr>
          <w:rFonts w:ascii="Times New Roman" w:cs="Times New Roman" w:eastAsia="Times New Roman" w:hAnsi="Times New Roman"/>
          <w:sz w:val="14"/>
          <w:szCs w:val="14"/>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any share buy-back activities including in connection with our executive compensation programme, our employee restricted share unit programme and our other compensation programmes. As a result of using this authority in this way, ICON would avoid the need to issue new shares (and the resulting shareholder dilution) when the vesting of equity awards triggers the requirement to issue shares.</w:t>
      </w:r>
    </w:p>
    <w:p>
      <w:pPr>
        <w:spacing w:after="0" w:line="128" w:lineRule="exact"/>
        <w:rPr>
          <w:sz w:val="20"/>
          <w:szCs w:val="20"/>
          <w:color w:val="auto"/>
        </w:rPr>
      </w:pPr>
    </w:p>
    <w:p>
      <w:pPr>
        <w:ind w:left="1320" w:right="1559"/>
        <w:spacing w:after="0" w:line="284" w:lineRule="auto"/>
        <w:rPr>
          <w:sz w:val="20"/>
          <w:szCs w:val="20"/>
          <w:color w:val="auto"/>
        </w:rPr>
      </w:pPr>
      <w:r>
        <w:rPr>
          <w:rFonts w:ascii="Times New Roman" w:cs="Times New Roman" w:eastAsia="Times New Roman" w:hAnsi="Times New Roman"/>
          <w:sz w:val="14"/>
          <w:szCs w:val="14"/>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ind w:left="1320"/>
        <w:spacing w:after="0"/>
        <w:rPr>
          <w:sz w:val="20"/>
          <w:szCs w:val="20"/>
          <w:color w:val="auto"/>
        </w:rPr>
      </w:pPr>
      <w:r>
        <w:rPr>
          <w:rFonts w:ascii="Times New Roman" w:cs="Times New Roman" w:eastAsia="Times New Roman" w:hAnsi="Times New Roman"/>
          <w:sz w:val="16"/>
          <w:szCs w:val="16"/>
          <w:b w:val="1"/>
          <w:bCs w:val="1"/>
          <w:u w:val="single" w:color="auto"/>
          <w:color w:val="auto"/>
        </w:rPr>
        <w:t>Executive compensation</w:t>
      </w:r>
    </w:p>
    <w:p>
      <w:pPr>
        <w:spacing w:after="0" w:line="21" w:lineRule="exact"/>
        <w:rPr>
          <w:sz w:val="20"/>
          <w:szCs w:val="20"/>
          <w:color w:val="auto"/>
        </w:rPr>
      </w:pPr>
    </w:p>
    <w:p>
      <w:pPr>
        <w:ind w:left="1320" w:right="1339"/>
        <w:spacing w:after="0" w:line="283" w:lineRule="auto"/>
        <w:rPr>
          <w:sz w:val="20"/>
          <w:szCs w:val="20"/>
          <w:color w:val="auto"/>
        </w:rPr>
      </w:pPr>
      <w:r>
        <w:rPr>
          <w:rFonts w:ascii="Times New Roman" w:cs="Times New Roman" w:eastAsia="Times New Roman" w:hAnsi="Times New Roman"/>
          <w:sz w:val="14"/>
          <w:szCs w:val="14"/>
          <w:color w:val="auto"/>
        </w:rPr>
        <w:t xml:space="preserve">There is no resolution dealing with executive compensation as ICON, being a foreign private issuer, is not obliged to provide a “say on pay” shareholder resolution on executive compensation. Details of ICON’s executive officers' compensation for 2025 are available in the IFRS Annual Report and Form 20-F for 2025 which are available at </w:t>
      </w:r>
      <w:r>
        <w:rPr>
          <w:rFonts w:ascii="Times New Roman" w:cs="Times New Roman" w:eastAsia="Times New Roman" w:hAnsi="Times New Roman"/>
          <w:sz w:val="14"/>
          <w:szCs w:val="14"/>
          <w:u w:val="single" w:color="auto"/>
          <w:color w:val="auto"/>
        </w:rPr>
        <w:t>https://investor.iconplc.com/financials-filings/annual-reports</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u w:val="single" w:color="auto"/>
          <w:color w:val="auto"/>
        </w:rPr>
        <w:t>Approval of Resolutions</w:t>
      </w:r>
    </w:p>
    <w:p>
      <w:pPr>
        <w:spacing w:after="0" w:line="21" w:lineRule="exact"/>
        <w:rPr>
          <w:sz w:val="20"/>
          <w:szCs w:val="20"/>
          <w:color w:val="auto"/>
        </w:rPr>
      </w:pPr>
    </w:p>
    <w:p>
      <w:pPr>
        <w:jc w:val="both"/>
        <w:ind w:left="1320" w:right="1699"/>
        <w:spacing w:after="0" w:line="239" w:lineRule="auto"/>
        <w:rPr>
          <w:sz w:val="20"/>
          <w:szCs w:val="20"/>
          <w:color w:val="auto"/>
        </w:rPr>
      </w:pPr>
      <w:r>
        <w:rPr>
          <w:rFonts w:ascii="Times New Roman" w:cs="Times New Roman" w:eastAsia="Times New Roman" w:hAnsi="Times New Roman"/>
          <w:sz w:val="16"/>
          <w:szCs w:val="16"/>
          <w:color w:val="auto"/>
        </w:rPr>
        <w:t>Resolutions 1.1 to 1.10, 2, 3, 4 and 7 are ordinary resolutions which require approval of a simple majority of the votes cast in person or by proxy and resolutions 5, 6 and 8 are special resolutions which require approval of 75% of the votes cast in person or by proxy.</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u w:val="single" w:color="auto"/>
          <w:color w:val="auto"/>
        </w:rPr>
        <w:t>Recommendation of Directors</w:t>
      </w:r>
    </w:p>
    <w:p>
      <w:pPr>
        <w:spacing w:after="0" w:line="21" w:lineRule="exact"/>
        <w:rPr>
          <w:sz w:val="20"/>
          <w:szCs w:val="20"/>
          <w:color w:val="auto"/>
        </w:rPr>
      </w:pPr>
    </w:p>
    <w:p>
      <w:pPr>
        <w:ind w:left="1320" w:right="1339"/>
        <w:spacing w:after="0" w:line="235" w:lineRule="auto"/>
        <w:rPr>
          <w:sz w:val="20"/>
          <w:szCs w:val="20"/>
          <w:color w:val="auto"/>
        </w:rPr>
      </w:pPr>
      <w:r>
        <w:rPr>
          <w:rFonts w:ascii="Times New Roman" w:cs="Times New Roman" w:eastAsia="Times New Roman" w:hAnsi="Times New Roman"/>
          <w:sz w:val="16"/>
          <w:szCs w:val="16"/>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18 June 2026, the Directors held 326,412 ordinary shares representing approximately 0.42% of the issued ordinary share capital of the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Yours sincerely,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Ciaran Murray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9019"/>
          </w:cols>
          <w:pgMar w:left="1440" w:top="90" w:right="1440" w:bottom="1440" w:gutter="0" w:footer="0" w:header="0"/>
        </w:sectPr>
      </w:pP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ectPr>
          <w:pgSz w:w="11900" w:h="16838" w:orient="portrait"/>
          <w:cols w:equalWidth="0" w:num="1">
            <w:col w:w="9019"/>
          </w:cols>
          <w:pgMar w:left="1440" w:top="90" w:right="1440" w:bottom="1440" w:gutter="0" w:footer="0" w:header="0"/>
          <w:type w:val="continuous"/>
        </w:sectPr>
      </w:pPr>
    </w:p>
    <w:bookmarkStart w:id="6" w:name="page7"/>
    <w:bookmarkEnd w:id="6"/>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South County Business Park,</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Leopardstown,</w:t>
      </w:r>
    </w:p>
    <w:p>
      <w:pPr>
        <w:jc w:val="center"/>
        <w:spacing w:after="0"/>
        <w:rPr>
          <w:sz w:val="20"/>
          <w:szCs w:val="20"/>
          <w:color w:val="auto"/>
        </w:rPr>
      </w:pPr>
      <w:r>
        <w:rPr>
          <w:rFonts w:ascii="Times New Roman" w:cs="Times New Roman" w:eastAsia="Times New Roman" w:hAnsi="Times New Roman"/>
          <w:sz w:val="16"/>
          <w:szCs w:val="16"/>
          <w:b w:val="1"/>
          <w:bCs w:val="1"/>
          <w:color w:val="auto"/>
        </w:rPr>
        <w:t>Dublin 18, Ireland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+353-1-291-2000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 OF SHAREHOLDERS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 BE HELD ON 31 JULY 2026</w:t>
      </w: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To the Shareholders of ICON plc:</w:t>
      </w:r>
    </w:p>
    <w:p>
      <w:pPr>
        <w:spacing w:after="0" w:line="164" w:lineRule="exact"/>
        <w:rPr>
          <w:sz w:val="20"/>
          <w:szCs w:val="20"/>
          <w:color w:val="auto"/>
        </w:rPr>
      </w:pPr>
    </w:p>
    <w:p>
      <w:pPr>
        <w:ind w:left="1320" w:right="1519"/>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NOTICE </w:t>
      </w:r>
      <w:r>
        <w:rPr>
          <w:rFonts w:ascii="Times New Roman" w:cs="Times New Roman" w:eastAsia="Times New Roman" w:hAnsi="Times New Roman"/>
          <w:sz w:val="16"/>
          <w:szCs w:val="16"/>
          <w:color w:val="auto"/>
        </w:rPr>
        <w:t>is hereby given that the Annual General Meeting of the Company will be held at ICON’s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global headquarters in South County Business Park, Leopardstown, Dublin 18, Ireland on 31 July 2026 at 11.00am (Dublin time)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ORDINARY BUSINESS</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resolutions:</w:t>
      </w:r>
    </w:p>
    <w:p>
      <w:pPr>
        <w:spacing w:after="0" w:line="177" w:lineRule="exact"/>
        <w:rPr>
          <w:sz w:val="20"/>
          <w:szCs w:val="20"/>
          <w:color w:val="auto"/>
        </w:rPr>
      </w:pPr>
    </w:p>
    <w:p>
      <w:pPr>
        <w:ind w:left="1820" w:right="1379" w:hanging="504"/>
        <w:spacing w:after="0" w:line="259" w:lineRule="auto"/>
        <w:tabs>
          <w:tab w:leader="none" w:pos="180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or re-elect as applicable, by separate resolutions, the following individuals who retire as Directors and, being eligible, offer themselves for election or re-election:</w:t>
      </w:r>
    </w:p>
    <w:p>
      <w:pPr>
        <w:spacing w:after="0" w:line="143" w:lineRule="exact"/>
        <w:rPr>
          <w:rFonts w:ascii="Times New Roman" w:cs="Times New Roman" w:eastAsia="Times New Roman" w:hAnsi="Times New Roman"/>
          <w:sz w:val="16"/>
          <w:szCs w:val="16"/>
          <w:color w:val="auto"/>
        </w:rPr>
      </w:pP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4"/>
          <w:szCs w:val="14"/>
          <w:color w:val="auto"/>
        </w:rPr>
        <w:t>Mr. Ciaran Murray</w:t>
      </w:r>
    </w:p>
    <w:p>
      <w:pPr>
        <w:spacing w:after="0" w:line="3" w:lineRule="exact"/>
        <w:rPr>
          <w:rFonts w:ascii="Times New Roman" w:cs="Times New Roman" w:eastAsia="Times New Roman" w:hAnsi="Times New Roman"/>
          <w:sz w:val="16"/>
          <w:szCs w:val="16"/>
          <w:color w:val="auto"/>
        </w:rPr>
      </w:pP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14"/>
          <w:szCs w:val="14"/>
          <w:color w:val="auto"/>
        </w:rPr>
        <w:t>Mr. Barry Balfe</w:t>
      </w: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w:t>
      </w:r>
      <w:r>
        <w:rPr>
          <w:rFonts w:ascii="Times New Roman" w:cs="Times New Roman" w:eastAsia="Times New Roman" w:hAnsi="Times New Roman"/>
          <w:sz w:val="14"/>
          <w:szCs w:val="14"/>
          <w:color w:val="auto"/>
        </w:rPr>
        <w:t>Mr. Rónán Murphy</w:t>
      </w: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14"/>
          <w:szCs w:val="14"/>
          <w:color w:val="auto"/>
        </w:rPr>
        <w:t>Dr. John Climax</w:t>
      </w: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w:t>
      </w:r>
      <w:r>
        <w:rPr>
          <w:rFonts w:ascii="Times New Roman" w:cs="Times New Roman" w:eastAsia="Times New Roman" w:hAnsi="Times New Roman"/>
          <w:sz w:val="14"/>
          <w:szCs w:val="14"/>
          <w:color w:val="auto"/>
        </w:rPr>
        <w:t>Ms. Julie O’Neill</w:t>
      </w: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14"/>
          <w:szCs w:val="14"/>
          <w:color w:val="auto"/>
        </w:rPr>
        <w:t>Mr. Eugene McCague</w:t>
      </w: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14"/>
          <w:szCs w:val="14"/>
          <w:color w:val="auto"/>
        </w:rPr>
        <w:t>Dr. Linda Grais</w:t>
      </w: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4"/>
          <w:szCs w:val="14"/>
          <w:color w:val="auto"/>
        </w:rPr>
        <w:t>Ms. Anne Whitaker</w:t>
      </w: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14"/>
          <w:szCs w:val="14"/>
          <w:color w:val="auto"/>
        </w:rPr>
        <w:t>Mr. Kevin Egan</w:t>
      </w: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1.10   Mr. Jeff Elliott</w:t>
      </w:r>
    </w:p>
    <w:p>
      <w:pPr>
        <w:spacing w:after="0" w:line="158" w:lineRule="exact"/>
        <w:rPr>
          <w:rFonts w:ascii="Times New Roman" w:cs="Times New Roman" w:eastAsia="Times New Roman" w:hAnsi="Times New Roman"/>
          <w:sz w:val="16"/>
          <w:szCs w:val="16"/>
          <w:color w:val="auto"/>
        </w:rPr>
      </w:pPr>
    </w:p>
    <w:p>
      <w:pPr>
        <w:ind w:left="1820" w:right="1499" w:hanging="504"/>
        <w:spacing w:after="0" w:line="259" w:lineRule="auto"/>
        <w:tabs>
          <w:tab w:leader="none" w:pos="1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review the Company's affairs and consider the accounts for the year ended 31 December 2025 and the reports of the Directors and auditors thereon.</w:t>
      </w:r>
    </w:p>
    <w:p>
      <w:pPr>
        <w:spacing w:after="0" w:line="143" w:lineRule="exact"/>
        <w:rPr>
          <w:rFonts w:ascii="Times New Roman" w:cs="Times New Roman" w:eastAsia="Times New Roman" w:hAnsi="Times New Roman"/>
          <w:sz w:val="16"/>
          <w:szCs w:val="16"/>
          <w:color w:val="auto"/>
        </w:rPr>
      </w:pPr>
    </w:p>
    <w:p>
      <w:pPr>
        <w:ind w:left="1820" w:right="1359" w:hanging="504"/>
        <w:spacing w:after="0" w:line="259" w:lineRule="auto"/>
        <w:tabs>
          <w:tab w:leader="none" w:pos="1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authorise the Directors, acting through the Audit Committee, to fix the remuneration of the auditors.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color w:val="auto"/>
        </w:rPr>
        <w:t>5</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SPECIAL BUSINESS</w:t>
      </w:r>
    </w:p>
    <w:p>
      <w:pPr>
        <w:spacing w:after="0" w:line="18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w:t>
      </w:r>
    </w:p>
    <w:p>
      <w:pPr>
        <w:spacing w:after="0" w:line="177" w:lineRule="exact"/>
        <w:rPr>
          <w:sz w:val="20"/>
          <w:szCs w:val="20"/>
          <w:color w:val="auto"/>
        </w:rPr>
      </w:pPr>
    </w:p>
    <w:p>
      <w:pPr>
        <w:ind w:left="1820" w:right="1359" w:hanging="504"/>
        <w:spacing w:after="0" w:line="235" w:lineRule="auto"/>
        <w:tabs>
          <w:tab w:leader="none" w:pos="18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Directors be and are hereby generally and unconditionally authorised, pursuant to Section 1021 of the Companies Act 2014, to exercise all the powers of the Company to allot relevant securities (within the meaning of Section 1021 of the Companies Act 2014) up to an aggregate nominal amount of €925,744.54 representing approximately 20% of the aggregate nominal value of the issued ordinary share capital of the Company as at 18 June 2026 and the authority conferred by this resolution shall expire on the earlier of the date of the next Annual General Meeting of the Company or 30 January 2028,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To consider and, if thought fit, pass the following special resolutions:</w:t>
      </w:r>
    </w:p>
    <w:p>
      <w:pPr>
        <w:spacing w:after="0" w:line="177" w:lineRule="exact"/>
        <w:rPr>
          <w:sz w:val="20"/>
          <w:szCs w:val="20"/>
          <w:color w:val="auto"/>
        </w:rPr>
      </w:pPr>
    </w:p>
    <w:p>
      <w:pPr>
        <w:ind w:left="1820" w:right="1319" w:hanging="504"/>
        <w:spacing w:after="0" w:line="275" w:lineRule="auto"/>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subject to the passing of Resolution 4, the Directors be and are hereby empowered pursuant to Section 1022 and Section 1023(3) of the Companies Act 2014, to allot equity securities (as defined in Section 1023 of the Companies Act 2014) for cash as if the provisions of sub-section (1) of the said Section 1022 did not apply to any such allotment up to an aggregate nominal amount of €462,872.27 representing approximately 10% of the aggregate nominal value of the issued ordinary share capital of the Company as at 18 June 2026 and the authority conferred by this resolution shall expire on the earlier of the date of the next Annual General Meeting of the Company or 30 January 2028, unless previously renewed, varied or</w:t>
      </w:r>
    </w:p>
    <w:p>
      <w:pPr>
        <w:sectPr>
          <w:pgSz w:w="11900" w:h="16842" w:orient="portrait"/>
          <w:cols w:equalWidth="0" w:num="1">
            <w:col w:w="9019"/>
          </w:cols>
          <w:pgMar w:left="1440" w:top="1063" w:right="1440" w:bottom="0" w:gutter="0" w:footer="0" w:header="0"/>
        </w:sectPr>
      </w:pPr>
    </w:p>
    <w:bookmarkStart w:id="7" w:name="page8"/>
    <w:bookmarkEnd w:id="7"/>
    <w:p>
      <w:pPr>
        <w:ind w:left="1820" w:right="1359"/>
        <w:spacing w:after="0" w:line="234" w:lineRule="auto"/>
        <w:rPr>
          <w:sz w:val="20"/>
          <w:szCs w:val="20"/>
          <w:color w:val="auto"/>
        </w:rPr>
      </w:pPr>
      <w:r>
        <w:rPr>
          <w:rFonts w:ascii="Times New Roman" w:cs="Times New Roman" w:eastAsia="Times New Roman" w:hAnsi="Times New Roman"/>
          <w:sz w:val="14"/>
          <w:szCs w:val="14"/>
          <w:color w:val="auto"/>
        </w:rPr>
        <w:t>revoked; provided that the Company may make an offer or agreement before the expiry of the authority conferred by this resolution, which would or might require any such securities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-167005</wp:posOffset>
            </wp:positionV>
            <wp:extent cx="716153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r>
    </w:p>
    <w:p>
      <w:pPr>
        <w:ind w:left="1820" w:right="1539"/>
        <w:spacing w:after="0" w:line="232" w:lineRule="auto"/>
        <w:rPr>
          <w:sz w:val="20"/>
          <w:szCs w:val="20"/>
          <w:color w:val="auto"/>
        </w:rPr>
      </w:pPr>
      <w:r>
        <w:rPr>
          <w:rFonts w:ascii="Times New Roman" w:cs="Times New Roman" w:eastAsia="Times New Roman" w:hAnsi="Times New Roman"/>
          <w:sz w:val="16"/>
          <w:szCs w:val="16"/>
          <w:color w:val="auto"/>
        </w:rPr>
        <w:t>allotted after the authority conferred by this resolution has expired and, in that case, the Directors may allot relevant securities in pursuance of any such offer or agreement as if the authority conferred hereby had not expired.”</w:t>
      </w:r>
    </w:p>
    <w:p>
      <w:pPr>
        <w:spacing w:after="0" w:line="159" w:lineRule="exact"/>
        <w:rPr>
          <w:sz w:val="20"/>
          <w:szCs w:val="20"/>
          <w:color w:val="auto"/>
        </w:rPr>
      </w:pPr>
    </w:p>
    <w:p>
      <w:pPr>
        <w:ind w:left="1820" w:right="1339" w:hanging="504"/>
        <w:spacing w:after="0" w:line="243" w:lineRule="auto"/>
        <w:tabs>
          <w:tab w:leader="none" w:pos="18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subject to the passing of Resolution 4, the Directors be and they are hereby authorised in addition to any authority granted under Resolution 5, to allot equity securities (as defined in Section 1023 of the Companies Act 2014) for cash as if the provisions of sub-section (1) of the said Section 1022 did not apply to any such allotment provided that:</w:t>
      </w:r>
    </w:p>
    <w:p>
      <w:pPr>
        <w:spacing w:after="0" w:line="146" w:lineRule="exact"/>
        <w:rPr>
          <w:rFonts w:ascii="Times New Roman" w:cs="Times New Roman" w:eastAsia="Times New Roman" w:hAnsi="Times New Roman"/>
          <w:sz w:val="16"/>
          <w:szCs w:val="16"/>
          <w:color w:val="auto"/>
        </w:rPr>
      </w:pPr>
    </w:p>
    <w:p>
      <w:pPr>
        <w:ind w:left="2340" w:right="1519" w:hanging="515"/>
        <w:spacing w:after="0" w:line="247" w:lineRule="auto"/>
        <w:tabs>
          <w:tab w:leader="none" w:pos="23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any such allotment are to be used for the purposes of financing (or refinancing, if the authority is to be used within six months after the original transaction) an acquisition or other capital investment; and</w:t>
      </w:r>
    </w:p>
    <w:p>
      <w:pPr>
        <w:spacing w:after="0" w:line="153" w:lineRule="exact"/>
        <w:rPr>
          <w:rFonts w:ascii="Times New Roman" w:cs="Times New Roman" w:eastAsia="Times New Roman" w:hAnsi="Times New Roman"/>
          <w:sz w:val="16"/>
          <w:szCs w:val="16"/>
          <w:color w:val="auto"/>
        </w:rPr>
      </w:pPr>
    </w:p>
    <w:p>
      <w:pPr>
        <w:ind w:left="2340" w:right="1359" w:hanging="515"/>
        <w:spacing w:after="0" w:line="238" w:lineRule="auto"/>
        <w:tabs>
          <w:tab w:leader="none" w:pos="23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nominal value of all equity securities allotted pursuant to this authority together with the nominal value of all treasury shares (as defined in Section 106 of the Companies Act 2014) reissued pursuant to Resolution 8 does not exceed €462,872.27 representing approximately 10% of the nominal value of the issued share capital as at 18 June 2026.</w:t>
      </w:r>
    </w:p>
    <w:p>
      <w:pPr>
        <w:spacing w:after="0" w:line="159" w:lineRule="exact"/>
        <w:rPr>
          <w:sz w:val="20"/>
          <w:szCs w:val="20"/>
          <w:color w:val="auto"/>
        </w:rPr>
      </w:pPr>
    </w:p>
    <w:p>
      <w:pPr>
        <w:ind w:left="1820" w:right="1379" w:firstLine="11"/>
        <w:spacing w:after="0" w:line="280" w:lineRule="auto"/>
        <w:rPr>
          <w:sz w:val="20"/>
          <w:szCs w:val="20"/>
          <w:color w:val="auto"/>
        </w:rPr>
      </w:pPr>
      <w:r>
        <w:rPr>
          <w:rFonts w:ascii="Times New Roman" w:cs="Times New Roman" w:eastAsia="Times New Roman" w:hAnsi="Times New Roman"/>
          <w:sz w:val="14"/>
          <w:szCs w:val="14"/>
          <w:color w:val="auto"/>
        </w:rPr>
        <w:t>The authority conferred by this resolution shall expire on the earlier of the date of the next Annual General Meeting of the Company or 30 January 2028,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w:t>
      </w:r>
    </w:p>
    <w:p>
      <w:pPr>
        <w:spacing w:after="0" w:line="162"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color w:val="auto"/>
        </w:rPr>
        <w:t>6</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20" w:right="1479"/>
        <w:spacing w:after="0" w:line="259" w:lineRule="auto"/>
        <w:rPr>
          <w:sz w:val="20"/>
          <w:szCs w:val="20"/>
          <w:color w:val="auto"/>
        </w:rPr>
      </w:pPr>
      <w:r>
        <w:rPr>
          <w:rFonts w:ascii="Times New Roman" w:cs="Times New Roman" w:eastAsia="Times New Roman" w:hAnsi="Times New Roman"/>
          <w:sz w:val="16"/>
          <w:szCs w:val="16"/>
          <w:color w:val="auto"/>
        </w:rPr>
        <w:t>case, the Directors may allot relevant securities in pursuance of any such offer or agreement as if the authority conferred hereby had not expired.”</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w:t>
      </w:r>
    </w:p>
    <w:p>
      <w:pPr>
        <w:spacing w:after="0" w:line="166" w:lineRule="exact"/>
        <w:rPr>
          <w:sz w:val="20"/>
          <w:szCs w:val="20"/>
          <w:color w:val="auto"/>
        </w:rPr>
      </w:pPr>
    </w:p>
    <w:p>
      <w:pPr>
        <w:ind w:left="1820" w:right="1499" w:hanging="504"/>
        <w:spacing w:after="0" w:line="239" w:lineRule="auto"/>
        <w:tabs>
          <w:tab w:leader="none" w:pos="18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 Directors or, as the case may be, the Directors of such subsidiary, may from time to time determine in accordance with and subject to the provisions of the Companies Act 2014 and the following restrictions and provisions:</w:t>
      </w:r>
    </w:p>
    <w:p>
      <w:pPr>
        <w:spacing w:after="0" w:line="149" w:lineRule="exact"/>
        <w:rPr>
          <w:rFonts w:ascii="Times New Roman" w:cs="Times New Roman" w:eastAsia="Times New Roman" w:hAnsi="Times New Roman"/>
          <w:sz w:val="16"/>
          <w:szCs w:val="16"/>
          <w:color w:val="auto"/>
        </w:rPr>
      </w:pPr>
    </w:p>
    <w:p>
      <w:pPr>
        <w:ind w:left="2340" w:right="1419" w:hanging="515"/>
        <w:spacing w:after="0" w:line="247" w:lineRule="auto"/>
        <w:tabs>
          <w:tab w:leader="none" w:pos="23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aggregate number of shares authorised to be acquired pursuant to this resolution shall not exceed 10% of the aggregate number of shares issued by the Company at close of business on the date of passing of this resolution;</w:t>
      </w:r>
    </w:p>
    <w:p>
      <w:pPr>
        <w:spacing w:after="0" w:line="153" w:lineRule="exact"/>
        <w:rPr>
          <w:rFonts w:ascii="Times New Roman" w:cs="Times New Roman" w:eastAsia="Times New Roman" w:hAnsi="Times New Roman"/>
          <w:sz w:val="16"/>
          <w:szCs w:val="16"/>
          <w:color w:val="auto"/>
        </w:rPr>
      </w:pPr>
    </w:p>
    <w:p>
      <w:pPr>
        <w:ind w:left="2340" w:right="1559" w:hanging="515"/>
        <w:spacing w:after="0" w:line="259" w:lineRule="auto"/>
        <w:tabs>
          <w:tab w:leader="none" w:pos="23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price (exclusive of expenses) which may be paid for any such share shall be an amount equal to the nominal value thereof; and</w:t>
      </w:r>
    </w:p>
    <w:p>
      <w:pPr>
        <w:spacing w:after="0" w:line="133" w:lineRule="exact"/>
        <w:rPr>
          <w:rFonts w:ascii="Times New Roman" w:cs="Times New Roman" w:eastAsia="Times New Roman" w:hAnsi="Times New Roman"/>
          <w:sz w:val="16"/>
          <w:szCs w:val="16"/>
          <w:color w:val="auto"/>
        </w:rPr>
      </w:pPr>
    </w:p>
    <w:p>
      <w:pPr>
        <w:ind w:left="2340" w:right="1339" w:hanging="515"/>
        <w:spacing w:after="0" w:line="243" w:lineRule="auto"/>
        <w:tabs>
          <w:tab w:leader="none" w:pos="23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price (exclusive of expenses) to be paid for any ordinary share shall be an amount equal to 115% of the Nasdaq Official Closing Price (the “</w:t>
      </w:r>
      <w:r>
        <w:rPr>
          <w:rFonts w:ascii="Times New Roman" w:cs="Times New Roman" w:eastAsia="Times New Roman" w:hAnsi="Times New Roman"/>
          <w:sz w:val="16"/>
          <w:szCs w:val="16"/>
          <w:b w:val="1"/>
          <w:bCs w:val="1"/>
          <w:color w:val="auto"/>
        </w:rPr>
        <w:t>NOCP</w:t>
      </w:r>
      <w:r>
        <w:rPr>
          <w:rFonts w:ascii="Times New Roman" w:cs="Times New Roman" w:eastAsia="Times New Roman" w:hAnsi="Times New Roman"/>
          <w:sz w:val="16"/>
          <w:szCs w:val="16"/>
          <w:color w:val="auto"/>
        </w:rPr>
        <w:t>”) (as reported by Nasdaq) of the Company’s ordinary shares on the trading day preceding the day on which the relevant shares are purchased by the Company.</w:t>
      </w:r>
    </w:p>
    <w:p>
      <w:pPr>
        <w:spacing w:after="0" w:line="157" w:lineRule="exact"/>
        <w:rPr>
          <w:sz w:val="20"/>
          <w:szCs w:val="20"/>
          <w:color w:val="auto"/>
        </w:rPr>
      </w:pPr>
    </w:p>
    <w:p>
      <w:pPr>
        <w:ind w:left="1820" w:right="1419"/>
        <w:spacing w:after="0" w:line="237" w:lineRule="auto"/>
        <w:rPr>
          <w:sz w:val="20"/>
          <w:szCs w:val="20"/>
          <w:color w:val="auto"/>
        </w:rPr>
      </w:pPr>
      <w:r>
        <w:rPr>
          <w:rFonts w:ascii="Times New Roman" w:cs="Times New Roman" w:eastAsia="Times New Roman" w:hAnsi="Times New Roman"/>
          <w:sz w:val="16"/>
          <w:szCs w:val="16"/>
          <w:color w:val="auto"/>
        </w:rPr>
        <w:t>The authority hereby conferred shall expire on the earlier of the date of the next Annual General Meeting of the Company or 30 January 2028 or (if earlier) unless previously varied, revoked or renewed in accordance with the provisions of Section 1074 of the Companies Act 2014.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spacing w:after="0" w:line="1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To consider and, if thought fit, pass the following special resolution:</w:t>
      </w:r>
    </w:p>
    <w:p>
      <w:pPr>
        <w:spacing w:after="0" w:line="166" w:lineRule="exact"/>
        <w:rPr>
          <w:sz w:val="20"/>
          <w:szCs w:val="20"/>
          <w:color w:val="auto"/>
        </w:rPr>
      </w:pPr>
    </w:p>
    <w:p>
      <w:pPr>
        <w:ind w:left="1820" w:right="1739" w:hanging="504"/>
        <w:spacing w:after="0" w:line="259" w:lineRule="auto"/>
        <w:tabs>
          <w:tab w:leader="none" w:pos="18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reissue price range at which any treasury shares held by the Company may be reissued off-market shall be as follows:</w:t>
      </w:r>
    </w:p>
    <w:p>
      <w:pPr>
        <w:spacing w:after="0" w:line="143" w:lineRule="exact"/>
        <w:rPr>
          <w:rFonts w:ascii="Times New Roman" w:cs="Times New Roman" w:eastAsia="Times New Roman" w:hAnsi="Times New Roman"/>
          <w:sz w:val="16"/>
          <w:szCs w:val="16"/>
          <w:color w:val="auto"/>
        </w:rPr>
      </w:pPr>
    </w:p>
    <w:p>
      <w:pPr>
        <w:ind w:left="2340" w:right="1419" w:hanging="515"/>
        <w:spacing w:after="0" w:line="259" w:lineRule="auto"/>
        <w:tabs>
          <w:tab w:leader="none" w:pos="23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price at which such treasury share may be reissued off-market shall be an amount equal to 120% of the “market price”;</w:t>
      </w:r>
    </w:p>
    <w:p>
      <w:pPr>
        <w:spacing w:after="0" w:line="143" w:lineRule="exact"/>
        <w:rPr>
          <w:rFonts w:ascii="Times New Roman" w:cs="Times New Roman" w:eastAsia="Times New Roman" w:hAnsi="Times New Roman"/>
          <w:sz w:val="16"/>
          <w:szCs w:val="16"/>
          <w:color w:val="auto"/>
        </w:rPr>
      </w:pPr>
    </w:p>
    <w:p>
      <w:pPr>
        <w:ind w:left="2340" w:right="1419" w:hanging="515"/>
        <w:spacing w:after="0" w:line="239" w:lineRule="auto"/>
        <w:tabs>
          <w:tab w:leader="none" w:pos="23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158" w:lineRule="exact"/>
        <w:rPr>
          <w:rFonts w:ascii="Times New Roman" w:cs="Times New Roman" w:eastAsia="Times New Roman" w:hAnsi="Times New Roman"/>
          <w:sz w:val="16"/>
          <w:szCs w:val="16"/>
          <w:color w:val="auto"/>
        </w:rPr>
      </w:pPr>
    </w:p>
    <w:p>
      <w:pPr>
        <w:ind w:left="2340" w:right="1419" w:hanging="515"/>
        <w:spacing w:after="0" w:line="247" w:lineRule="auto"/>
        <w:tabs>
          <w:tab w:leader="none" w:pos="23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this resolution, the “market price” shall mean the average closing price per ordinary share of the Company, as reported by Nasdaq, for the thirty (30) trading days immediately preceding the proposed date of reissuance.</w:t>
      </w:r>
    </w:p>
    <w:p>
      <w:pPr>
        <w:sectPr>
          <w:pgSz w:w="11900" w:h="16838" w:orient="portrait"/>
          <w:cols w:equalWidth="0" w:num="1">
            <w:col w:w="9019"/>
          </w:cols>
          <w:pgMar w:left="1440" w:top="90" w:right="1440" w:bottom="444" w:gutter="0" w:footer="0" w:header="0"/>
        </w:sectPr>
      </w:pPr>
    </w:p>
    <w:bookmarkStart w:id="8" w:name="page9"/>
    <w:bookmarkEnd w:id="8"/>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r>
    </w:p>
    <w:p>
      <w:pPr>
        <w:jc w:val="right"/>
        <w:ind w:right="1319"/>
        <w:spacing w:after="0"/>
        <w:rPr>
          <w:sz w:val="20"/>
          <w:szCs w:val="20"/>
          <w:color w:val="auto"/>
        </w:rPr>
      </w:pPr>
      <w:r>
        <w:rPr>
          <w:rFonts w:ascii="Times New Roman" w:cs="Times New Roman" w:eastAsia="Times New Roman" w:hAnsi="Times New Roman"/>
          <w:sz w:val="17"/>
          <w:szCs w:val="17"/>
          <w:color w:val="auto"/>
        </w:rPr>
        <w:t>7</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820" w:right="1499"/>
        <w:spacing w:after="0" w:line="247" w:lineRule="auto"/>
        <w:rPr>
          <w:sz w:val="20"/>
          <w:szCs w:val="20"/>
          <w:color w:val="auto"/>
        </w:rPr>
      </w:pPr>
      <w:r>
        <w:rPr>
          <w:rFonts w:ascii="Times New Roman" w:cs="Times New Roman" w:eastAsia="Times New Roman" w:hAnsi="Times New Roman"/>
          <w:sz w:val="16"/>
          <w:szCs w:val="16"/>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200" w:lineRule="exact"/>
        <w:rPr>
          <w:sz w:val="20"/>
          <w:szCs w:val="20"/>
          <w:color w:val="auto"/>
        </w:rPr>
      </w:pPr>
    </w:p>
    <w:p>
      <w:pPr>
        <w:spacing w:after="0" w:line="34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200" w:lineRule="exact"/>
        <w:rPr>
          <w:sz w:val="20"/>
          <w:szCs w:val="20"/>
          <w:color w:val="auto"/>
        </w:rPr>
      </w:pPr>
    </w:p>
    <w:p>
      <w:pPr>
        <w:spacing w:after="0" w:line="3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Diarmaid Cunningham</w:t>
      </w:r>
    </w:p>
    <w:p>
      <w:pPr>
        <w:spacing w:after="0" w:line="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Company Secretary</w:t>
      </w:r>
    </w:p>
    <w:p>
      <w:pPr>
        <w:spacing w:after="0" w:line="14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Dublin, Ireland</w:t>
      </w:r>
    </w:p>
    <w:p>
      <w:pPr>
        <w:spacing w:after="0" w:line="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Dated: 26 June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color w:val="auto"/>
        </w:rPr>
        <w:t>8</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77" w:lineRule="exact"/>
        <w:rPr>
          <w:sz w:val="20"/>
          <w:szCs w:val="20"/>
          <w:color w:val="auto"/>
        </w:rPr>
      </w:pPr>
    </w:p>
    <w:p>
      <w:pPr>
        <w:ind w:left="1820" w:hanging="504"/>
        <w:spacing w:after="0"/>
        <w:tabs>
          <w:tab w:leader="none" w:pos="182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Information and Documentation</w:t>
      </w:r>
    </w:p>
    <w:p>
      <w:pPr>
        <w:spacing w:after="0" w:line="20" w:lineRule="exact"/>
        <w:rPr>
          <w:rFonts w:ascii="Times New Roman" w:cs="Times New Roman" w:eastAsia="Times New Roman" w:hAnsi="Times New Roman"/>
          <w:sz w:val="16"/>
          <w:szCs w:val="16"/>
          <w:b w:val="1"/>
          <w:bCs w:val="1"/>
          <w:color w:val="auto"/>
        </w:rPr>
      </w:pPr>
    </w:p>
    <w:p>
      <w:pPr>
        <w:ind w:left="1820" w:right="1479" w:firstLine="8"/>
        <w:spacing w:after="0" w:line="23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Information regarding the Annual General Meeting is available on the Company’s website </w:t>
      </w:r>
      <w:r>
        <w:rPr>
          <w:rFonts w:ascii="Times New Roman" w:cs="Times New Roman" w:eastAsia="Times New Roman" w:hAnsi="Times New Roman"/>
          <w:sz w:val="16"/>
          <w:szCs w:val="16"/>
          <w:u w:val="single" w:color="auto"/>
          <w:color w:val="auto"/>
        </w:rPr>
        <w:t>www.iconplc.com</w:t>
      </w:r>
      <w:r>
        <w:rPr>
          <w:rFonts w:ascii="Times New Roman" w:cs="Times New Roman" w:eastAsia="Times New Roman" w:hAnsi="Times New Roman"/>
          <w:sz w:val="16"/>
          <w:szCs w:val="16"/>
          <w:color w:val="auto"/>
        </w:rPr>
        <w:t xml:space="preserve"> and from </w:t>
      </w:r>
      <w:r>
        <w:rPr>
          <w:rFonts w:ascii="Times New Roman" w:cs="Times New Roman" w:eastAsia="Times New Roman" w:hAnsi="Times New Roman"/>
          <w:sz w:val="16"/>
          <w:szCs w:val="16"/>
          <w:u w:val="single" w:color="auto"/>
          <w:color w:val="auto"/>
        </w:rPr>
        <w:t>www.proxyvote.com</w:t>
      </w:r>
      <w:r>
        <w:rPr>
          <w:rFonts w:ascii="Times New Roman" w:cs="Times New Roman" w:eastAsia="Times New Roman" w:hAnsi="Times New Roman"/>
          <w:sz w:val="16"/>
          <w:szCs w:val="16"/>
          <w:color w:val="auto"/>
        </w:rPr>
        <w:t xml:space="preserve">. If you require a paper copy of the Form 20-F or IFRS Annual Report, please contact Investor Relations at 1-888-381-7923 or </w:t>
      </w:r>
      <w:r>
        <w:rPr>
          <w:rFonts w:ascii="Times New Roman" w:cs="Times New Roman" w:eastAsia="Times New Roman" w:hAnsi="Times New Roman"/>
          <w:sz w:val="16"/>
          <w:szCs w:val="16"/>
          <w:u w:val="single" w:color="auto"/>
          <w:color w:val="auto"/>
        </w:rPr>
        <w:t>IR@iconplc.com</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b w:val="1"/>
          <w:bCs w:val="1"/>
          <w:color w:val="auto"/>
        </w:rPr>
      </w:pPr>
    </w:p>
    <w:p>
      <w:pPr>
        <w:ind w:left="1820" w:hanging="504"/>
        <w:spacing w:after="0"/>
        <w:tabs>
          <w:tab w:leader="none" w:pos="182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is eligible to vote and how?</w:t>
      </w:r>
    </w:p>
    <w:p>
      <w:pPr>
        <w:spacing w:after="0" w:line="20" w:lineRule="exact"/>
        <w:rPr>
          <w:rFonts w:ascii="Times New Roman" w:cs="Times New Roman" w:eastAsia="Times New Roman" w:hAnsi="Times New Roman"/>
          <w:sz w:val="16"/>
          <w:szCs w:val="16"/>
          <w:b w:val="1"/>
          <w:bCs w:val="1"/>
          <w:color w:val="auto"/>
        </w:rPr>
      </w:pPr>
    </w:p>
    <w:p>
      <w:pPr>
        <w:ind w:left="18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record date for the Annual General Meeting is 18 June 2026.</w:t>
      </w:r>
    </w:p>
    <w:p>
      <w:pPr>
        <w:spacing w:after="0" w:line="165" w:lineRule="exact"/>
        <w:rPr>
          <w:rFonts w:ascii="Times New Roman" w:cs="Times New Roman" w:eastAsia="Times New Roman" w:hAnsi="Times New Roman"/>
          <w:sz w:val="16"/>
          <w:szCs w:val="16"/>
          <w:b w:val="1"/>
          <w:bCs w:val="1"/>
          <w:color w:val="auto"/>
        </w:rPr>
      </w:pPr>
    </w:p>
    <w:p>
      <w:pPr>
        <w:ind w:left="18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your shares are registered in your name, you are a shareholder of record. Shareholders of</w:t>
      </w:r>
    </w:p>
    <w:p>
      <w:pPr>
        <w:sectPr>
          <w:pgSz w:w="11900" w:h="16887" w:orient="portrait"/>
          <w:cols w:equalWidth="0" w:num="1">
            <w:col w:w="9019"/>
          </w:cols>
          <w:pgMar w:left="1440" w:top="342" w:right="1440" w:bottom="0" w:gutter="0" w:footer="0" w:header="0"/>
        </w:sectPr>
      </w:pPr>
    </w:p>
    <w:bookmarkStart w:id="9" w:name="page10"/>
    <w:bookmarkEnd w:id="9"/>
    <w:p>
      <w:pPr>
        <w:spacing w:after="0" w:line="32" w:lineRule="exact"/>
        <w:rPr>
          <w:sz w:val="20"/>
          <w:szCs w:val="20"/>
          <w:color w:val="auto"/>
        </w:rPr>
      </w:pPr>
    </w:p>
    <w:p>
      <w:pPr>
        <w:ind w:left="1820" w:right="1419"/>
        <w:spacing w:after="0" w:line="283" w:lineRule="auto"/>
        <w:rPr>
          <w:sz w:val="20"/>
          <w:szCs w:val="20"/>
          <w:color w:val="auto"/>
        </w:rPr>
      </w:pPr>
      <w:r>
        <w:rPr>
          <w:rFonts w:ascii="Times New Roman" w:cs="Times New Roman" w:eastAsia="Times New Roman" w:hAnsi="Times New Roman"/>
          <w:sz w:val="14"/>
          <w:szCs w:val="14"/>
          <w:color w:val="auto"/>
        </w:rPr>
        <w:t>record who are entered in the Register of Members of the Company on 18 June 2026 shall be entitled to attend, speak, ask questions, vote, demand a poll, and/or join in the demand for a poll at the Annual General Meeting, or, if relevant, any adjournment thereof. Changes in the Register of Members of the Company after that time will be disregarded in determining the right of any person to attend and/or vote at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-577850</wp:posOffset>
            </wp:positionV>
            <wp:extent cx="716153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r>
    </w:p>
    <w:p>
      <w:pPr>
        <w:spacing w:after="0" w:line="111" w:lineRule="exact"/>
        <w:rPr>
          <w:sz w:val="20"/>
          <w:szCs w:val="20"/>
          <w:color w:val="auto"/>
        </w:rPr>
      </w:pPr>
    </w:p>
    <w:p>
      <w:pPr>
        <w:ind w:left="1820" w:right="1499"/>
        <w:spacing w:after="0" w:line="239" w:lineRule="auto"/>
        <w:rPr>
          <w:sz w:val="20"/>
          <w:szCs w:val="20"/>
          <w:color w:val="auto"/>
        </w:rPr>
      </w:pPr>
      <w:r>
        <w:rPr>
          <w:rFonts w:ascii="Times New Roman" w:cs="Times New Roman" w:eastAsia="Times New Roman" w:hAnsi="Times New Roman"/>
          <w:sz w:val="16"/>
          <w:szCs w:val="16"/>
          <w:color w:val="auto"/>
        </w:rPr>
        <w:t xml:space="preserve">For those shareholders whose shares are not held in their name, but rather in an account at a brokerage firm, bank, dealer or other similar organisation, who in turn hold through The Depository Trust Company (“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then their entitlement to vote is determined as at 18 June 2026.</w:t>
      </w:r>
    </w:p>
    <w:p>
      <w:pPr>
        <w:spacing w:after="0" w:line="158" w:lineRule="exact"/>
        <w:rPr>
          <w:sz w:val="20"/>
          <w:szCs w:val="20"/>
          <w:color w:val="auto"/>
        </w:rPr>
      </w:pPr>
    </w:p>
    <w:p>
      <w:pPr>
        <w:ind w:left="1820" w:right="1599"/>
        <w:spacing w:after="0" w:line="259" w:lineRule="auto"/>
        <w:rPr>
          <w:sz w:val="20"/>
          <w:szCs w:val="20"/>
          <w:color w:val="auto"/>
        </w:rPr>
      </w:pPr>
      <w:r>
        <w:rPr>
          <w:rFonts w:ascii="Times New Roman" w:cs="Times New Roman" w:eastAsia="Times New Roman" w:hAnsi="Times New Roman"/>
          <w:sz w:val="16"/>
          <w:szCs w:val="16"/>
          <w:color w:val="auto"/>
        </w:rPr>
        <w:t>Depending on whether your shares are registered in your name or whether your shares are held in a “street name” the arrangements are as follows:</w:t>
      </w:r>
    </w:p>
    <w:p>
      <w:pPr>
        <w:spacing w:after="0" w:line="1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i w:val="1"/>
          <w:iCs w:val="1"/>
          <w:color w:val="auto"/>
        </w:rPr>
        <w:t>Shareholder of Record: Shares Registered in Your Name</w:t>
      </w:r>
    </w:p>
    <w:p>
      <w:pPr>
        <w:spacing w:after="0" w:line="73" w:lineRule="exact"/>
        <w:rPr>
          <w:sz w:val="20"/>
          <w:szCs w:val="20"/>
          <w:color w:val="auto"/>
        </w:rPr>
      </w:pPr>
    </w:p>
    <w:p>
      <w:pPr>
        <w:ind w:left="1820" w:right="1379"/>
        <w:spacing w:after="0" w:line="235" w:lineRule="auto"/>
        <w:rPr>
          <w:sz w:val="20"/>
          <w:szCs w:val="20"/>
          <w:color w:val="auto"/>
        </w:rPr>
      </w:pPr>
      <w:r>
        <w:rPr>
          <w:rFonts w:ascii="Times New Roman" w:cs="Times New Roman" w:eastAsia="Times New Roman" w:hAnsi="Times New Roman"/>
          <w:sz w:val="16"/>
          <w:szCs w:val="16"/>
          <w:color w:val="auto"/>
        </w:rPr>
        <w:t xml:space="preserve">As a shareholder of record, you may vote in person at the Annual General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of the Company in respect of the joint holding. The appointment of a proxy will not preclude a shareholder of record from attending, speaking, asking questions and voting at the Annual General Meeting should the shareholder subsequently wish to do so. A proxy need not be a member of the Company. If you wish to appoint more than one proxy or a person not listed on the Form of Proxy, please contact Investor Relations at 1-888-381-7923 or </w:t>
      </w:r>
      <w:r>
        <w:rPr>
          <w:rFonts w:ascii="Times New Roman" w:cs="Times New Roman" w:eastAsia="Times New Roman" w:hAnsi="Times New Roman"/>
          <w:sz w:val="16"/>
          <w:szCs w:val="16"/>
          <w:u w:val="single" w:color="auto"/>
          <w:color w:val="auto"/>
        </w:rPr>
        <w:t>IR@iconplc.com</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1820" w:right="1439"/>
        <w:spacing w:after="0" w:line="236" w:lineRule="auto"/>
        <w:rPr>
          <w:sz w:val="20"/>
          <w:szCs w:val="20"/>
          <w:color w:val="auto"/>
        </w:rPr>
      </w:pPr>
      <w:r>
        <w:rPr>
          <w:rFonts w:ascii="Times New Roman" w:cs="Times New Roman" w:eastAsia="Times New Roman" w:hAnsi="Times New Roman"/>
          <w:sz w:val="16"/>
          <w:szCs w:val="16"/>
          <w:color w:val="auto"/>
        </w:rPr>
        <w:t>A Form of Proxy is enclosed with this notice of Annual General Meeting for shareholders of record. To be effective, the Form of Proxy duly completed and executed, together with any authority under which it is executed, or a copy thereof certified, must be deposited at the registered office of the Company, so as to be received by 11.59pm ET on 30 July 2026 or if the Annual General Meeting is adjourned, on the day that falls before the day appointed for the adjourned meeting or (in the case of a poll taken otherwise than at or on the same day as the Annual General Meeting or adjourned meeting) the day before the taking of the poll at which it is to be used. Any alteration to the Form of Proxy must be initialled by the person who signs it.</w:t>
      </w:r>
    </w:p>
    <w:p>
      <w:pPr>
        <w:spacing w:after="0" w:line="165" w:lineRule="exact"/>
        <w:rPr>
          <w:sz w:val="20"/>
          <w:szCs w:val="20"/>
          <w:color w:val="auto"/>
        </w:rPr>
      </w:pPr>
    </w:p>
    <w:p>
      <w:pPr>
        <w:ind w:left="1820" w:right="1399"/>
        <w:spacing w:after="0" w:line="278" w:lineRule="auto"/>
        <w:rPr>
          <w:sz w:val="20"/>
          <w:szCs w:val="20"/>
          <w:color w:val="auto"/>
        </w:rPr>
      </w:pPr>
      <w:r>
        <w:rPr>
          <w:rFonts w:ascii="Times New Roman" w:cs="Times New Roman" w:eastAsia="Times New Roman" w:hAnsi="Times New Roman"/>
          <w:sz w:val="14"/>
          <w:szCs w:val="14"/>
          <w:color w:val="auto"/>
        </w:rPr>
        <w:t>Alternatively, provided it is received by 11.59pm ET on 29 July 2026 or if the Annual General Meeting is adjourned, by 11.59pm ET on the day that falls 48 hours before the time appointed for the adjourned meeting or (in the case of a poll taken otherwise than at or on the same day as the Annual General Meeting or adjourned meeting) by 11.59pm ET on the day that falls 48 hours before the taking of the poll at which it is to be used, the appointment of a proxy may be submitted by telephone or electronically, subject to the applicable terms and</w:t>
      </w:r>
    </w:p>
    <w:p>
      <w:pPr>
        <w:spacing w:after="0" w:line="99"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color w:val="auto"/>
        </w:rPr>
        <w:t>9</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conditions, using the phone number on the Form of Proxy and following the instructions</w:t>
      </w:r>
    </w:p>
    <w:p>
      <w:pPr>
        <w:spacing w:after="0" w:line="14" w:lineRule="exact"/>
        <w:rPr>
          <w:sz w:val="20"/>
          <w:szCs w:val="20"/>
          <w:color w:val="auto"/>
        </w:rPr>
      </w:pPr>
    </w:p>
    <w:p>
      <w:pPr>
        <w:jc w:val="both"/>
        <w:ind w:left="1820" w:right="1319"/>
        <w:spacing w:after="0" w:line="237" w:lineRule="auto"/>
        <w:rPr>
          <w:sz w:val="20"/>
          <w:szCs w:val="20"/>
          <w:color w:val="auto"/>
        </w:rPr>
      </w:pPr>
      <w:r>
        <w:rPr>
          <w:rFonts w:ascii="Times New Roman" w:cs="Times New Roman" w:eastAsia="Times New Roman" w:hAnsi="Times New Roman"/>
          <w:sz w:val="16"/>
          <w:szCs w:val="16"/>
          <w:color w:val="auto"/>
        </w:rPr>
        <w:t xml:space="preserve">provided or via the Internet by accessing Broadridge’s website </w:t>
      </w:r>
      <w:r>
        <w:rPr>
          <w:rFonts w:ascii="Times New Roman" w:cs="Times New Roman" w:eastAsia="Times New Roman" w:hAnsi="Times New Roman"/>
          <w:sz w:val="16"/>
          <w:szCs w:val="16"/>
          <w:u w:val="single" w:color="auto"/>
          <w:color w:val="auto"/>
        </w:rPr>
        <w:t>www.proxyvote.com</w:t>
      </w:r>
      <w:r>
        <w:rPr>
          <w:rFonts w:ascii="Times New Roman" w:cs="Times New Roman" w:eastAsia="Times New Roman" w:hAnsi="Times New Roman"/>
          <w:sz w:val="16"/>
          <w:szCs w:val="16"/>
          <w:color w:val="auto"/>
        </w:rPr>
        <w:t xml:space="preserve"> and following the instructions on the website. The information you need to appoint your proxy by telephone or electronically is included at the top of your Form of Proxy.</w:t>
      </w:r>
    </w:p>
    <w:p>
      <w:pPr>
        <w:spacing w:after="0" w:line="148" w:lineRule="exact"/>
        <w:rPr>
          <w:sz w:val="20"/>
          <w:szCs w:val="20"/>
          <w:color w:val="auto"/>
        </w:rPr>
      </w:pPr>
    </w:p>
    <w:p>
      <w:pPr>
        <w:ind w:left="1820" w:right="1419"/>
        <w:spacing w:after="0" w:line="247" w:lineRule="auto"/>
        <w:rPr>
          <w:sz w:val="20"/>
          <w:szCs w:val="20"/>
          <w:color w:val="auto"/>
        </w:rPr>
      </w:pPr>
      <w:r>
        <w:rPr>
          <w:rFonts w:ascii="Times New Roman" w:cs="Times New Roman" w:eastAsia="Times New Roman" w:hAnsi="Times New Roman"/>
          <w:sz w:val="16"/>
          <w:szCs w:val="16"/>
          <w:color w:val="auto"/>
        </w:rPr>
        <w:t>You need only vote in one way (so that, if you vote by Internet or by telephone, you need not return the Form of Proxy). In the case of a corporation, the Form of Proxy must be either executed under seal or signed on its behalf by a duly authorised officer or attorney.</w:t>
      </w:r>
    </w:p>
    <w:p>
      <w:pPr>
        <w:spacing w:after="0" w:line="15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spacing w:after="0" w:line="73" w:lineRule="exact"/>
        <w:rPr>
          <w:sz w:val="20"/>
          <w:szCs w:val="20"/>
          <w:color w:val="auto"/>
        </w:rPr>
      </w:pPr>
    </w:p>
    <w:p>
      <w:pPr>
        <w:ind w:left="1820" w:right="1339"/>
        <w:spacing w:after="0" w:line="235" w:lineRule="auto"/>
        <w:rPr>
          <w:sz w:val="20"/>
          <w:szCs w:val="20"/>
          <w:color w:val="auto"/>
        </w:rPr>
      </w:pPr>
      <w:r>
        <w:rPr>
          <w:rFonts w:ascii="Times New Roman" w:cs="Times New Roman" w:eastAsia="Times New Roman" w:hAnsi="Times New Roman"/>
          <w:sz w:val="16"/>
          <w:szCs w:val="16"/>
          <w:color w:val="auto"/>
        </w:rPr>
        <w:t xml:space="preserve">If, as at 18 June 2026, your shares were not held in your name, but rather in an account at a brokerage firm, bank, dealer or other similar organisation, who in turn hold through DTC, then you are the beneficial owner of shares held in “street name” and these proxy materials are being forwarded to you by that organisation, together with instructions as to voting. </w:t>
      </w:r>
      <w:r>
        <w:rPr>
          <w:rFonts w:ascii="Times New Roman" w:cs="Times New Roman" w:eastAsia="Times New Roman" w:hAnsi="Times New Roman"/>
          <w:sz w:val="16"/>
          <w:szCs w:val="16"/>
          <w:b w:val="1"/>
          <w:bCs w:val="1"/>
          <w:color w:val="auto"/>
        </w:rPr>
        <w:t>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will need to carefully follow the instructions from your broker, bank or other agent or contact your broker, bank or other agent if you have any queries.</w:t>
      </w:r>
    </w:p>
    <w:p>
      <w:pPr>
        <w:spacing w:after="0" w:line="54" w:lineRule="exact"/>
        <w:rPr>
          <w:sz w:val="20"/>
          <w:szCs w:val="20"/>
          <w:color w:val="auto"/>
        </w:rPr>
      </w:pPr>
    </w:p>
    <w:p>
      <w:pPr>
        <w:ind w:left="1820" w:right="1439"/>
        <w:spacing w:after="0" w:line="280" w:lineRule="auto"/>
        <w:rPr>
          <w:sz w:val="20"/>
          <w:szCs w:val="20"/>
          <w:color w:val="auto"/>
        </w:rPr>
      </w:pPr>
      <w:r>
        <w:rPr>
          <w:rFonts w:ascii="Times New Roman" w:cs="Times New Roman" w:eastAsia="Times New Roman" w:hAnsi="Times New Roman"/>
          <w:sz w:val="14"/>
          <w:szCs w:val="14"/>
          <w:color w:val="auto"/>
        </w:rPr>
        <w:t>As a beneficial owner, you have the right to direct your broker or other agent on how to vote the shares in your account as per the instructions enclosed by your broker. You are also invited to attend the Annual General Meeting. However, since you are not the shareholder of record, you may not vote your shares in person at the Annual General Meeting unless you contact your broker and obtain a valid proxy card from your broker or other agent.</w:t>
      </w:r>
    </w:p>
    <w:p>
      <w:pPr>
        <w:spacing w:after="0" w:line="16" w:lineRule="exact"/>
        <w:rPr>
          <w:sz w:val="20"/>
          <w:szCs w:val="20"/>
          <w:color w:val="auto"/>
        </w:rPr>
      </w:pPr>
    </w:p>
    <w:p>
      <w:pPr>
        <w:ind w:left="1820" w:right="1339"/>
        <w:spacing w:after="0" w:line="241" w:lineRule="auto"/>
        <w:rPr>
          <w:sz w:val="20"/>
          <w:szCs w:val="20"/>
          <w:color w:val="auto"/>
        </w:rPr>
      </w:pPr>
      <w:r>
        <w:rPr>
          <w:rFonts w:ascii="Times New Roman" w:cs="Times New Roman" w:eastAsia="Times New Roman" w:hAnsi="Times New Roman"/>
          <w:sz w:val="16"/>
          <w:szCs w:val="16"/>
          <w:color w:val="auto"/>
        </w:rPr>
        <w:t>Therefore, as a beneficial owner of shares registered in the name of your broker, bank or other agent, who in turn hold the shares through DTC, you should have received a voting instruction card and voting instructions with these proxy materials from that organisation rather than from us. Simply follow the instructions on the voting instruction card provided by your broker, bank or other agent to ensure that your vote is counted.</w:t>
      </w:r>
    </w:p>
    <w:p>
      <w:pPr>
        <w:spacing w:after="0" w:line="146" w:lineRule="exact"/>
        <w:rPr>
          <w:sz w:val="20"/>
          <w:szCs w:val="20"/>
          <w:color w:val="auto"/>
        </w:rPr>
      </w:pPr>
    </w:p>
    <w:p>
      <w:pPr>
        <w:ind w:left="1820" w:hanging="504"/>
        <w:spacing w:after="0"/>
        <w:tabs>
          <w:tab w:leader="none" w:pos="182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votes do you have?</w:t>
      </w:r>
    </w:p>
    <w:p>
      <w:pPr>
        <w:spacing w:after="0" w:line="16" w:lineRule="exact"/>
        <w:rPr>
          <w:rFonts w:ascii="Times New Roman" w:cs="Times New Roman" w:eastAsia="Times New Roman" w:hAnsi="Times New Roman"/>
          <w:sz w:val="16"/>
          <w:szCs w:val="16"/>
          <w:b w:val="1"/>
          <w:bCs w:val="1"/>
          <w:color w:val="auto"/>
        </w:rPr>
      </w:pPr>
    </w:p>
    <w:p>
      <w:pPr>
        <w:ind w:left="1820" w:right="1339"/>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The total number of issued ordinary shares on the record date, 18 June 2026, was 77,145,378.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 In accordance with the Company’s Constitution, no business shall be transacted at any AGM unless a quorum of</w:t>
      </w:r>
    </w:p>
    <w:p>
      <w:pPr>
        <w:sectPr>
          <w:pgSz w:w="11900" w:h="16870" w:orient="portrait"/>
          <w:cols w:equalWidth="0" w:num="1">
            <w:col w:w="9019"/>
          </w:cols>
          <w:pgMar w:left="1440" w:top="101" w:right="1440" w:bottom="0" w:gutter="0" w:footer="0" w:header="0"/>
        </w:sectPr>
      </w:pPr>
    </w:p>
    <w:bookmarkStart w:id="10" w:name="page11"/>
    <w:bookmarkEnd w:id="10"/>
    <w:p>
      <w:pPr>
        <w:ind w:left="1820" w:right="1339"/>
        <w:spacing w:after="0" w:line="258" w:lineRule="auto"/>
        <w:rPr>
          <w:sz w:val="20"/>
          <w:szCs w:val="20"/>
          <w:color w:val="auto"/>
        </w:rPr>
      </w:pPr>
      <w:r>
        <w:rPr>
          <w:rFonts w:ascii="Times New Roman" w:cs="Times New Roman" w:eastAsia="Times New Roman" w:hAnsi="Times New Roman"/>
          <w:sz w:val="14"/>
          <w:szCs w:val="14"/>
          <w:color w:val="auto"/>
        </w:rPr>
        <w:t>shareholders of record is present at the time when the meeting proceeds to business. Except as provided in relation to an adjourned meeting, three shareholders of record, present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-187325</wp:posOffset>
            </wp:positionV>
            <wp:extent cx="7161530" cy="10328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0328275"/>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6"/>
          <w:szCs w:val="16"/>
          <w:color w:val="auto"/>
        </w:rPr>
        <w:t>or by proxy, entitled to vote upon business to be transacted, shall be a quorum.</w:t>
      </w:r>
    </w:p>
    <w:p>
      <w:pPr>
        <w:spacing w:after="0" w:line="146" w:lineRule="exact"/>
        <w:rPr>
          <w:sz w:val="20"/>
          <w:szCs w:val="20"/>
          <w:color w:val="auto"/>
        </w:rPr>
      </w:pPr>
    </w:p>
    <w:p>
      <w:pPr>
        <w:ind w:left="1820" w:hanging="504"/>
        <w:spacing w:after="0"/>
        <w:tabs>
          <w:tab w:leader="none" w:pos="182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Broker Voting</w:t>
      </w:r>
    </w:p>
    <w:p>
      <w:pPr>
        <w:spacing w:after="0" w:line="20" w:lineRule="exact"/>
        <w:rPr>
          <w:rFonts w:ascii="Times New Roman" w:cs="Times New Roman" w:eastAsia="Times New Roman" w:hAnsi="Times New Roman"/>
          <w:sz w:val="16"/>
          <w:szCs w:val="16"/>
          <w:b w:val="1"/>
          <w:bCs w:val="1"/>
          <w:color w:val="auto"/>
        </w:rPr>
      </w:pPr>
    </w:p>
    <w:p>
      <w:pPr>
        <w:jc w:val="both"/>
        <w:ind w:left="1820" w:right="1499"/>
        <w:spacing w:after="0" w:line="23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If your shares are held by a broker on your behalf (that is, in “street name”), and you do not instruct the broker as to how to vote these shares, the broker may not exercise discretion to vote for or against any proposals considered to be non-routine under applicable rules. This would be a “broker non-vote” and these shares will not be counted as having been voted on such proposals. </w:t>
      </w:r>
      <w:r>
        <w:rPr>
          <w:rFonts w:ascii="Times New Roman" w:cs="Times New Roman" w:eastAsia="Times New Roman" w:hAnsi="Times New Roman"/>
          <w:sz w:val="16"/>
          <w:szCs w:val="16"/>
          <w:b w:val="1"/>
          <w:bCs w:val="1"/>
          <w:color w:val="auto"/>
        </w:rPr>
        <w:t>Please instruct your bank or broker so your vote can be counted on all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proposals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color w:val="auto"/>
        </w:rPr>
        <w:t>10</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20" w:right="3559" w:hanging="504"/>
        <w:spacing w:after="0" w:line="286" w:lineRule="auto"/>
        <w:tabs>
          <w:tab w:leader="none" w:pos="1828"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Can I change my vote after submitting my proxy? </w:t>
      </w:r>
      <w:r>
        <w:rPr>
          <w:rFonts w:ascii="Times New Roman" w:cs="Times New Roman" w:eastAsia="Times New Roman" w:hAnsi="Times New Roman"/>
          <w:sz w:val="14"/>
          <w:szCs w:val="14"/>
          <w:b w:val="1"/>
          <w:bCs w:val="1"/>
          <w:i w:val="1"/>
          <w:iCs w:val="1"/>
          <w:color w:val="auto"/>
        </w:rPr>
        <w:t>Shareholder of Record: Shares Registered in Your Name</w:t>
      </w:r>
    </w:p>
    <w:p>
      <w:pPr>
        <w:spacing w:after="0" w:line="1" w:lineRule="exact"/>
        <w:rPr>
          <w:rFonts w:ascii="Times New Roman" w:cs="Times New Roman" w:eastAsia="Times New Roman" w:hAnsi="Times New Roman"/>
          <w:sz w:val="14"/>
          <w:szCs w:val="14"/>
          <w:b w:val="1"/>
          <w:bCs w:val="1"/>
          <w:color w:val="auto"/>
        </w:rPr>
      </w:pPr>
    </w:p>
    <w:p>
      <w:pPr>
        <w:jc w:val="both"/>
        <w:ind w:left="1820" w:right="1319"/>
        <w:spacing w:after="0" w:line="23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Yes. You can revoke your proxy at any time before the commencement of the Annual General Meeting. If you are the record holder of your shares, you may revoke your proxy in any one of three ways:</w:t>
      </w:r>
    </w:p>
    <w:p>
      <w:pPr>
        <w:spacing w:after="0" w:line="52" w:lineRule="exact"/>
        <w:rPr>
          <w:rFonts w:ascii="Times New Roman" w:cs="Times New Roman" w:eastAsia="Times New Roman" w:hAnsi="Times New Roman"/>
          <w:sz w:val="14"/>
          <w:szCs w:val="14"/>
          <w:b w:val="1"/>
          <w:bCs w:val="1"/>
          <w:color w:val="auto"/>
        </w:rPr>
      </w:pPr>
    </w:p>
    <w:p>
      <w:pPr>
        <w:ind w:left="2280" w:right="1439" w:hanging="201"/>
        <w:spacing w:after="0" w:line="256" w:lineRule="auto"/>
        <w:tabs>
          <w:tab w:leader="none" w:pos="22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You may submit another properly completed proxy with a later date. Your revised proxy must be received before the commencement of the Annual General Meeting at 11.00am Dublin time on 31 July 2026 or if the Annual General Meeting is adjourned, before the commencement of the adjourned meeting;</w:t>
      </w:r>
    </w:p>
    <w:p>
      <w:pPr>
        <w:spacing w:after="0" w:line="282" w:lineRule="exact"/>
        <w:rPr>
          <w:rFonts w:ascii="Times New Roman" w:cs="Times New Roman" w:eastAsia="Times New Roman" w:hAnsi="Times New Roman"/>
          <w:sz w:val="17"/>
          <w:szCs w:val="17"/>
          <w:color w:val="auto"/>
        </w:rPr>
      </w:pPr>
    </w:p>
    <w:p>
      <w:pPr>
        <w:ind w:left="2280" w:right="1359" w:hanging="201"/>
        <w:spacing w:after="0" w:line="266" w:lineRule="auto"/>
        <w:tabs>
          <w:tab w:leader="none" w:pos="22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w:t>
      </w:r>
      <w:r>
        <w:rPr>
          <w:rFonts w:ascii="Times New Roman" w:cs="Times New Roman" w:eastAsia="Times New Roman" w:hAnsi="Times New Roman"/>
          <w:sz w:val="15"/>
          <w:szCs w:val="15"/>
          <w:color w:val="auto"/>
        </w:rPr>
        <w:t>may send a written notice that you are revoking your proxy to Erina Fox, Deputy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Company Secretary, ICON plc at the registered office of the Company (being South County Business Park, Leopardstown, Dublin 18, Ireland) or by email to IR@iconplc.com. Your notice must be received before the commencement of the Annual General Meeting at 11.00am Dublin time on 31 July 2026 or if the Annual General Meeting is adjourned, before the commencement of the adjourned meeting; or</w:t>
      </w:r>
    </w:p>
    <w:p>
      <w:pPr>
        <w:spacing w:after="0" w:line="278" w:lineRule="exact"/>
        <w:rPr>
          <w:rFonts w:ascii="Times New Roman" w:cs="Times New Roman" w:eastAsia="Times New Roman" w:hAnsi="Times New Roman"/>
          <w:sz w:val="17"/>
          <w:szCs w:val="17"/>
          <w:color w:val="auto"/>
        </w:rPr>
      </w:pPr>
    </w:p>
    <w:p>
      <w:pPr>
        <w:ind w:left="2280" w:hanging="201"/>
        <w:spacing w:after="0"/>
        <w:tabs>
          <w:tab w:leader="none" w:pos="22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You may attend the Annual General Meeting and vote in person.</w:t>
      </w:r>
    </w:p>
    <w:p>
      <w:pPr>
        <w:spacing w:after="0" w:line="16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spacing w:after="0" w:line="21" w:lineRule="exact"/>
        <w:rPr>
          <w:sz w:val="20"/>
          <w:szCs w:val="20"/>
          <w:color w:val="auto"/>
        </w:rPr>
      </w:pPr>
    </w:p>
    <w:p>
      <w:pPr>
        <w:ind w:left="1820" w:right="1359"/>
        <w:spacing w:after="0" w:line="313" w:lineRule="auto"/>
        <w:rPr>
          <w:sz w:val="20"/>
          <w:szCs w:val="20"/>
          <w:color w:val="auto"/>
        </w:rPr>
      </w:pPr>
      <w:r>
        <w:rPr>
          <w:rFonts w:ascii="Times New Roman" w:cs="Times New Roman" w:eastAsia="Times New Roman" w:hAnsi="Times New Roman"/>
          <w:sz w:val="14"/>
          <w:szCs w:val="14"/>
          <w:color w:val="auto"/>
        </w:rPr>
        <w:t>If your shares are held by your broker, bank or other agent, you should follow the instructions provided by them. Please contact your broker, bank or other agent if you have any queries.</w:t>
      </w:r>
    </w:p>
    <w:p>
      <w:pPr>
        <w:spacing w:after="0" w:line="97" w:lineRule="exact"/>
        <w:rPr>
          <w:sz w:val="20"/>
          <w:szCs w:val="20"/>
          <w:color w:val="auto"/>
        </w:rPr>
      </w:pPr>
    </w:p>
    <w:p>
      <w:pPr>
        <w:ind w:left="1820" w:hanging="504"/>
        <w:spacing w:after="0"/>
        <w:tabs>
          <w:tab w:leader="none" w:pos="182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does it mean if I receive more than one set of materials?</w:t>
      </w:r>
    </w:p>
    <w:p>
      <w:pPr>
        <w:spacing w:after="0" w:line="20" w:lineRule="exact"/>
        <w:rPr>
          <w:rFonts w:ascii="Times New Roman" w:cs="Times New Roman" w:eastAsia="Times New Roman" w:hAnsi="Times New Roman"/>
          <w:sz w:val="16"/>
          <w:szCs w:val="16"/>
          <w:b w:val="1"/>
          <w:bCs w:val="1"/>
          <w:color w:val="auto"/>
        </w:rPr>
      </w:pPr>
    </w:p>
    <w:p>
      <w:pPr>
        <w:ind w:left="1820" w:right="1379"/>
        <w:spacing w:after="0" w:line="23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90" w:right="1440" w:bottom="560" w:gutter="0" w:footer="0" w:header="0"/>
        </w:sectPr>
      </w:pPr>
    </w:p>
    <w:p>
      <w:pPr>
        <w:spacing w:after="0" w:line="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ICON plc – Notice of Annual General Meeting 2026</w:t>
      </w:r>
    </w:p>
    <w:p>
      <w:pPr>
        <w:sectPr>
          <w:pgSz w:w="11900" w:h="16838" w:orient="portrait"/>
          <w:cols w:equalWidth="0" w:num="1">
            <w:col w:w="9019"/>
          </w:cols>
          <w:pgMar w:left="1440" w:top="90" w:right="1440" w:bottom="560" w:gutter="0" w:footer="0" w:header="0"/>
          <w:type w:val="continuous"/>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22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822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ICON plc and Subsidiaries</w:t>
      </w:r>
    </w:p>
    <w:p>
      <w:pPr>
        <w:spacing w:after="0" w:line="200" w:lineRule="exact"/>
        <w:rPr>
          <w:sz w:val="20"/>
          <w:szCs w:val="20"/>
          <w:color w:val="auto"/>
        </w:rPr>
      </w:pPr>
    </w:p>
    <w:p>
      <w:pPr>
        <w:spacing w:after="0" w:line="20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Consolidated Financial Statements</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Year ended 31 December 2025</w:t>
      </w: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Registered number: 145835</w:t>
      </w:r>
    </w:p>
    <w:p>
      <w:pPr>
        <w:sectPr>
          <w:pgSz w:w="11900" w:h="16838" w:orient="portrait"/>
          <w:cols w:equalWidth="0" w:num="1">
            <w:col w:w="10140"/>
          </w:cols>
          <w:pgMar w:left="1440" w:top="1440"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Directors’ Report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340" w:type="dxa"/>
            <w:vAlign w:val="bottom"/>
          </w:tcPr>
          <w:p>
            <w:pPr>
              <w:spacing w:after="0"/>
              <w:rPr>
                <w:sz w:val="20"/>
                <w:szCs w:val="20"/>
                <w:color w:val="auto"/>
              </w:rPr>
            </w:pPr>
            <w:r>
              <w:rPr>
                <w:rFonts w:ascii="Arial" w:cs="Arial" w:eastAsia="Arial" w:hAnsi="Arial"/>
                <w:sz w:val="13"/>
                <w:szCs w:val="13"/>
                <w:i w:val="1"/>
                <w:iCs w:val="1"/>
                <w:color w:val="auto"/>
              </w:rPr>
              <w:t>Contents</w:t>
            </w:r>
          </w:p>
        </w:tc>
        <w:tc>
          <w:tcPr>
            <w:tcW w:w="2900" w:type="dxa"/>
            <w:vAlign w:val="bottom"/>
          </w:tcPr>
          <w:p>
            <w:pPr>
              <w:jc w:val="right"/>
              <w:spacing w:after="0"/>
              <w:rPr>
                <w:sz w:val="20"/>
                <w:szCs w:val="20"/>
                <w:color w:val="auto"/>
              </w:rPr>
            </w:pPr>
            <w:r>
              <w:rPr>
                <w:rFonts w:ascii="Arial" w:cs="Arial" w:eastAsia="Arial" w:hAnsi="Arial"/>
                <w:sz w:val="13"/>
                <w:szCs w:val="13"/>
                <w:i w:val="1"/>
                <w:iCs w:val="1"/>
                <w:color w:val="auto"/>
              </w:rPr>
              <w:t>Page</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and Other Information</w:t>
            </w:r>
          </w:p>
        </w:tc>
        <w:tc>
          <w:tcPr>
            <w:tcW w:w="29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Report</w:t>
            </w:r>
          </w:p>
        </w:tc>
        <w:tc>
          <w:tcPr>
            <w:tcW w:w="29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Statement of Directors’ Responsibilities in respect of the Directors’ report and the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Independent Auditor’s Report to the Members of ICON plc</w:t>
            </w:r>
          </w:p>
        </w:tc>
        <w:tc>
          <w:tcPr>
            <w:tcW w:w="29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Profit and Loss</w:t>
            </w:r>
          </w:p>
        </w:tc>
        <w:tc>
          <w:tcPr>
            <w:tcW w:w="29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Comprehensive Income</w:t>
            </w:r>
          </w:p>
        </w:tc>
        <w:tc>
          <w:tcPr>
            <w:tcW w:w="290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Financial Position</w:t>
            </w:r>
          </w:p>
        </w:tc>
        <w:tc>
          <w:tcPr>
            <w:tcW w:w="29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Changes in Equity</w:t>
            </w:r>
          </w:p>
        </w:tc>
        <w:tc>
          <w:tcPr>
            <w:tcW w:w="29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Cash Flows</w:t>
            </w:r>
          </w:p>
        </w:tc>
        <w:tc>
          <w:tcPr>
            <w:tcW w:w="29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Financial Position</w:t>
            </w:r>
          </w:p>
        </w:tc>
        <w:tc>
          <w:tcPr>
            <w:tcW w:w="2900" w:type="dxa"/>
            <w:vAlign w:val="bottom"/>
          </w:tcPr>
          <w:p>
            <w:pPr>
              <w:jc w:val="right"/>
              <w:spacing w:after="0"/>
              <w:rPr>
                <w:sz w:val="20"/>
                <w:szCs w:val="20"/>
                <w:color w:val="auto"/>
              </w:rPr>
            </w:pPr>
            <w:r>
              <w:rPr>
                <w:rFonts w:ascii="Arial" w:cs="Arial" w:eastAsia="Arial" w:hAnsi="Arial"/>
                <w:sz w:val="13"/>
                <w:szCs w:val="13"/>
                <w:color w:val="auto"/>
              </w:rPr>
              <w:t>138</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Changes in Equity</w:t>
            </w:r>
          </w:p>
        </w:tc>
        <w:tc>
          <w:tcPr>
            <w:tcW w:w="290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Company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Reconciliation from IFRS to US Accounting Policies (Unaudited)</w:t>
            </w:r>
          </w:p>
        </w:tc>
        <w:tc>
          <w:tcPr>
            <w:tcW w:w="2900" w:type="dxa"/>
            <w:vAlign w:val="bottom"/>
          </w:tcPr>
          <w:p>
            <w:pPr>
              <w:jc w:val="right"/>
              <w:spacing w:after="0"/>
              <w:rPr>
                <w:sz w:val="20"/>
                <w:szCs w:val="20"/>
                <w:color w:val="auto"/>
              </w:rPr>
            </w:pPr>
            <w:r>
              <w:rPr>
                <w:rFonts w:ascii="Arial" w:cs="Arial" w:eastAsia="Arial" w:hAnsi="Arial"/>
                <w:sz w:val="13"/>
                <w:szCs w:val="13"/>
                <w:color w:val="auto"/>
              </w:rPr>
              <w:t>151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Appendix A: Risk Factors</w:t>
            </w:r>
          </w:p>
        </w:tc>
        <w:tc>
          <w:tcPr>
            <w:tcW w:w="2900" w:type="dxa"/>
            <w:vAlign w:val="bottom"/>
          </w:tcPr>
          <w:p>
            <w:pPr>
              <w:jc w:val="right"/>
              <w:spacing w:after="0"/>
              <w:rPr>
                <w:sz w:val="20"/>
                <w:szCs w:val="20"/>
                <w:color w:val="auto"/>
              </w:rPr>
            </w:pPr>
            <w:r>
              <w:rPr>
                <w:rFonts w:ascii="Arial" w:cs="Arial" w:eastAsia="Arial" w:hAnsi="Arial"/>
                <w:sz w:val="13"/>
                <w:szCs w:val="13"/>
                <w:color w:val="auto"/>
              </w:rPr>
              <w:t>156</w:t>
            </w:r>
          </w:p>
        </w:tc>
      </w:tr>
      <w:tr>
        <w:trPr>
          <w:trHeight w:val="584"/>
        </w:trPr>
        <w:tc>
          <w:tcPr>
            <w:tcW w:w="8340" w:type="dxa"/>
            <w:vAlign w:val="bottom"/>
          </w:tcPr>
          <w:p>
            <w:pPr>
              <w:ind w:left="5580"/>
              <w:spacing w:after="0"/>
              <w:rPr>
                <w:sz w:val="20"/>
                <w:szCs w:val="20"/>
                <w:color w:val="auto"/>
              </w:rPr>
            </w:pPr>
            <w:r>
              <w:rPr>
                <w:rFonts w:ascii="Arial" w:cs="Arial" w:eastAsia="Arial" w:hAnsi="Arial"/>
                <w:sz w:val="13"/>
                <w:szCs w:val="13"/>
                <w:color w:val="auto"/>
              </w:rPr>
              <w:t>1</w:t>
            </w:r>
          </w:p>
        </w:tc>
        <w:tc>
          <w:tcPr>
            <w:tcW w:w="2900" w:type="dxa"/>
            <w:vAlign w:val="bottom"/>
          </w:tcPr>
          <w:p>
            <w:pPr>
              <w:spacing w:after="0"/>
              <w:rPr>
                <w:sz w:val="24"/>
                <w:szCs w:val="24"/>
                <w:color w:val="auto"/>
              </w:rPr>
            </w:pPr>
          </w:p>
        </w:tc>
      </w:tr>
    </w:tbl>
    <w:p>
      <w:pPr>
        <w:sectPr>
          <w:pgSz w:w="11900" w:h="16838" w:orient="portrait"/>
          <w:cols w:equalWidth="0" w:num="1">
            <w:col w:w="11260"/>
          </w:cols>
          <w:pgMar w:left="300" w:top="88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Directors and Other Information</w:t>
      </w:r>
    </w:p>
    <w:p>
      <w:pPr>
        <w:sectPr>
          <w:pgSz w:w="11900" w:h="16838" w:orient="portrait"/>
          <w:cols w:equalWidth="0" w:num="1">
            <w:col w:w="10159"/>
          </w:cols>
          <w:pgMar w:left="300" w:top="8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Ciaran Murray (Irish – Chair)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Barry Balfe (Irish – Chief Executive Officer)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Rónán Murphy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John Climax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Dr. Linda Grais (American – Non-Executive)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Eugene McCague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Julie O'Neill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Anne Whitaker (American – Non-Executive)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Kevin Egan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Jeff Elliott (American – Non-Executive)</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Diarmaid Cunningham</w:t>
      </w:r>
    </w:p>
    <w:p>
      <w:pPr>
        <w:spacing w:after="0" w:line="106"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County Business Park</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Leopardstown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18</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Ireland</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Ernst &amp; Young</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Harcourt Centre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Harcourt Street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2</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Ireland</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Solicitors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 &amp; L Goodbody</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25 North Wall Quay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Dublin 1</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Ireland</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5540"/>
        <w:spacing w:after="0"/>
        <w:rPr>
          <w:sz w:val="20"/>
          <w:szCs w:val="20"/>
          <w:color w:val="auto"/>
        </w:rPr>
      </w:pPr>
      <w:r>
        <w:rPr>
          <w:rFonts w:ascii="Arial" w:cs="Arial" w:eastAsia="Arial" w:hAnsi="Arial"/>
          <w:sz w:val="13"/>
          <w:szCs w:val="13"/>
          <w:color w:val="auto"/>
        </w:rPr>
        <w:t>White &amp; Case LLP</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1221 Avenue of the Americas</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10020-1095</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889" w:right="1440"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Registrars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Computershare Investor Services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3100 Lake Drive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Citywest Business Park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24</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Ireland</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Citibank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Canada Square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Canary Wharf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London E14 5LB</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95" w:lineRule="exact"/>
        <w:rPr>
          <w:sz w:val="20"/>
          <w:szCs w:val="20"/>
          <w:color w:val="auto"/>
        </w:rPr>
      </w:pPr>
    </w:p>
    <w:p>
      <w:pPr>
        <w:sectPr>
          <w:pgSz w:w="11900" w:h="16838" w:orient="portrait"/>
          <w:cols w:equalWidth="0" w:num="2">
            <w:col w:w="4820" w:space="720"/>
            <w:col w:w="4619"/>
          </w:cols>
          <w:pgMar w:left="300" w:top="889"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JP Morgan Chase Bank N.A.</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383 Madison Avenue</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10179</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159"/>
          </w:cols>
          <w:pgMar w:left="300" w:top="889"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Directors present their report and audited consolidated and company financial statements of ICON plc (“the Company”, “ICON”, “we”, “our” or “us”), a public limited company incorporated in the Republic of Ireland, and its subsidiary undertakings (“the Subsidiaries”), with the Company and the Subsidiaries being together (“the Group”) for the year ended 31 December 2025.</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Company’s ordinary shares are traded on the NASDAQ Global Select Market (“NASDAQ”). The Company is considered a foreign private issuer in the U.S. and accordingly it is not subject to the same ongoing regulatory requirements as a U.S. registered company with a primary listing on NASDAQ.</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These Consolidated and Company financial statements (together “the financial statements”) for the year ended 31 December 2025 are prepared in accordance with International Financial Reporting Standards as adopted by the European Union (“IFRS”) and meet the reporting requirements pursuant to Irish Company Law. In addition to the Consolidated financial statements contained in this annual report, we also prepare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t>
      </w:r>
      <w:r>
        <w:rPr>
          <w:rFonts w:ascii="Arial" w:cs="Arial" w:eastAsia="Arial" w:hAnsi="Arial"/>
          <w:sz w:val="13"/>
          <w:szCs w:val="13"/>
          <w:u w:val="single" w:color="auto"/>
          <w:color w:val="0000FF"/>
        </w:rPr>
        <w:t>www.iconplc.com</w:t>
      </w:r>
      <w:r>
        <w:rPr>
          <w:rFonts w:ascii="Arial" w:cs="Arial" w:eastAsia="Arial" w:hAnsi="Arial"/>
          <w:sz w:val="13"/>
          <w:szCs w:val="13"/>
          <w:color w:val="000000"/>
          <w:highlight w:val="white"/>
        </w:rPr>
        <w:t>. IFRS differs in certain respects from U.S. GAAP, details of which are set out on pages 151 to 155 of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Investigation</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October 2025, the Audit Committee initiated an investigation into certain accounting practices and controls, following concerns reported to the Audit Committee through Group management. The Audit Committee promptly engaged outside legal counsel, who were supported by forensic and technical accounting firms, to conduct the investigation (the “Investigation”) and notified the Group’s independent auditors. The Group has also self-reported the matter to the SEC and other relevant agencies. The Investigation primarily focused on revenue recognition practices, and, in connection with the Investigation, the Group has determined that improper adjustments were made to the clinical trial services revenue of the Group in 2023 and 2024. The Group also identified errors in determining the estimated cost to complete, the assessment of realizable value, and certain manual adjustments in respect of clinical trial services revenue contracts during 2023 and 2024.</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[Continued on next page]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889"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The impact of the errors on the Consolidated Statement of Operations is shown below. For additional information refer to Note 1 </w:t>
      </w:r>
      <w:r>
        <w:rPr>
          <w:rFonts w:ascii="Arial" w:cs="Arial" w:eastAsia="Arial" w:hAnsi="Arial"/>
          <w:sz w:val="13"/>
          <w:szCs w:val="13"/>
          <w:i w:val="1"/>
          <w:iCs w:val="1"/>
          <w:color w:val="auto"/>
        </w:rPr>
        <w:t>Basis of preparation and statement of accounting policies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Restatement due to prior year adjustments </w:t>
      </w:r>
      <w:r>
        <w:rPr>
          <w:rFonts w:ascii="Arial" w:cs="Arial" w:eastAsia="Arial" w:hAnsi="Arial"/>
          <w:sz w:val="13"/>
          <w:szCs w:val="13"/>
          <w:color w:val="auto"/>
        </w:rPr>
        <w:t>in Notes to the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b w:val="1"/>
                <w:bCs w:val="1"/>
                <w:color w:val="auto"/>
              </w:rPr>
              <w:t>31 December</w:t>
            </w:r>
          </w:p>
        </w:tc>
      </w:tr>
      <w:tr>
        <w:trPr>
          <w:trHeight w:val="170"/>
        </w:trPr>
        <w:tc>
          <w:tcPr>
            <w:tcW w:w="94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2024</w:t>
            </w:r>
          </w:p>
        </w:tc>
      </w:tr>
      <w:tr>
        <w:trPr>
          <w:trHeight w:val="118"/>
        </w:trPr>
        <w:tc>
          <w:tcPr>
            <w:tcW w:w="9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(in thousands, except per</w:t>
            </w:r>
          </w:p>
        </w:tc>
      </w:tr>
      <w:tr>
        <w:trPr>
          <w:trHeight w:val="170"/>
        </w:trPr>
        <w:tc>
          <w:tcPr>
            <w:tcW w:w="9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share data)</w:t>
            </w:r>
          </w:p>
        </w:tc>
      </w:tr>
      <w:tr>
        <w:trPr>
          <w:trHeight w:val="170"/>
        </w:trPr>
        <w:tc>
          <w:tcPr>
            <w:tcW w:w="944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Revenue</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69"/>
        </w:trPr>
        <w:tc>
          <w:tcPr>
            <w:tcW w:w="9440" w:type="dxa"/>
            <w:vAlign w:val="bottom"/>
          </w:tcPr>
          <w:p>
            <w:pPr>
              <w:ind w:left="100"/>
              <w:spacing w:after="0"/>
              <w:rPr>
                <w:sz w:val="20"/>
                <w:szCs w:val="20"/>
                <w:color w:val="auto"/>
              </w:rPr>
            </w:pPr>
            <w:r>
              <w:rPr>
                <w:rFonts w:ascii="Arial" w:cs="Arial" w:eastAsia="Arial" w:hAnsi="Arial"/>
                <w:sz w:val="13"/>
                <w:szCs w:val="13"/>
                <w:color w:val="auto"/>
              </w:rPr>
              <w:t>As Reported</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96"/>
              <w:spacing w:after="0"/>
              <w:rPr>
                <w:sz w:val="20"/>
                <w:szCs w:val="20"/>
                <w:color w:val="auto"/>
              </w:rPr>
            </w:pPr>
            <w:r>
              <w:rPr>
                <w:rFonts w:ascii="Arial" w:cs="Arial" w:eastAsia="Arial" w:hAnsi="Arial"/>
                <w:sz w:val="13"/>
                <w:szCs w:val="13"/>
                <w:color w:val="auto"/>
              </w:rPr>
              <w:t>8,281,676</w:t>
            </w:r>
          </w:p>
        </w:tc>
      </w:tr>
      <w:tr>
        <w:trPr>
          <w:trHeight w:val="171"/>
        </w:trPr>
        <w:tc>
          <w:tcPr>
            <w:tcW w:w="9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As Restated</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8,188,990</w:t>
            </w:r>
          </w:p>
        </w:tc>
      </w:tr>
      <w:tr>
        <w:trPr>
          <w:trHeight w:val="159"/>
        </w:trPr>
        <w:tc>
          <w:tcPr>
            <w:tcW w:w="9440" w:type="dxa"/>
            <w:vAlign w:val="bottom"/>
          </w:tcPr>
          <w:p>
            <w:pPr>
              <w:ind w:left="100"/>
              <w:spacing w:after="0"/>
              <w:rPr>
                <w:sz w:val="20"/>
                <w:szCs w:val="20"/>
                <w:color w:val="auto"/>
              </w:rPr>
            </w:pPr>
            <w:r>
              <w:rPr>
                <w:rFonts w:ascii="Arial" w:cs="Arial" w:eastAsia="Arial" w:hAnsi="Arial"/>
                <w:sz w:val="13"/>
                <w:szCs w:val="13"/>
                <w:color w:val="auto"/>
              </w:rPr>
              <w:t>Impact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56"/>
              <w:spacing w:after="0"/>
              <w:rPr>
                <w:sz w:val="20"/>
                <w:szCs w:val="20"/>
                <w:color w:val="auto"/>
              </w:rPr>
            </w:pPr>
            <w:r>
              <w:rPr>
                <w:rFonts w:ascii="Arial" w:cs="Arial" w:eastAsia="Arial" w:hAnsi="Arial"/>
                <w:sz w:val="13"/>
                <w:szCs w:val="13"/>
                <w:color w:val="auto"/>
              </w:rPr>
              <w:t>(92,686)</w:t>
            </w:r>
          </w:p>
        </w:tc>
      </w:tr>
      <w:tr>
        <w:trPr>
          <w:trHeight w:val="171"/>
        </w:trPr>
        <w:tc>
          <w:tcPr>
            <w:tcW w:w="9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Impact %</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202"/>
        </w:trPr>
        <w:tc>
          <w:tcPr>
            <w:tcW w:w="9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70"/>
        </w:trPr>
        <w:tc>
          <w:tcPr>
            <w:tcW w:w="944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Profit for the financial year</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69"/>
        </w:trPr>
        <w:tc>
          <w:tcPr>
            <w:tcW w:w="9440" w:type="dxa"/>
            <w:vAlign w:val="bottom"/>
          </w:tcPr>
          <w:p>
            <w:pPr>
              <w:ind w:left="100"/>
              <w:spacing w:after="0"/>
              <w:rPr>
                <w:sz w:val="20"/>
                <w:szCs w:val="20"/>
                <w:color w:val="auto"/>
              </w:rPr>
            </w:pPr>
            <w:r>
              <w:rPr>
                <w:rFonts w:ascii="Arial" w:cs="Arial" w:eastAsia="Arial" w:hAnsi="Arial"/>
                <w:sz w:val="13"/>
                <w:szCs w:val="13"/>
                <w:color w:val="auto"/>
              </w:rPr>
              <w:t>As Reported</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96"/>
              <w:spacing w:after="0"/>
              <w:rPr>
                <w:sz w:val="20"/>
                <w:szCs w:val="20"/>
                <w:color w:val="auto"/>
              </w:rPr>
            </w:pPr>
            <w:r>
              <w:rPr>
                <w:rFonts w:ascii="Arial" w:cs="Arial" w:eastAsia="Arial" w:hAnsi="Arial"/>
                <w:sz w:val="13"/>
                <w:szCs w:val="13"/>
                <w:color w:val="auto"/>
              </w:rPr>
              <w:t>779,425</w:t>
            </w:r>
          </w:p>
        </w:tc>
      </w:tr>
      <w:tr>
        <w:trPr>
          <w:trHeight w:val="171"/>
        </w:trPr>
        <w:tc>
          <w:tcPr>
            <w:tcW w:w="9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As Restated</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727,077</w:t>
            </w:r>
          </w:p>
        </w:tc>
      </w:tr>
      <w:tr>
        <w:trPr>
          <w:trHeight w:val="159"/>
        </w:trPr>
        <w:tc>
          <w:tcPr>
            <w:tcW w:w="9440" w:type="dxa"/>
            <w:vAlign w:val="bottom"/>
          </w:tcPr>
          <w:p>
            <w:pPr>
              <w:ind w:left="100"/>
              <w:spacing w:after="0"/>
              <w:rPr>
                <w:sz w:val="20"/>
                <w:szCs w:val="20"/>
                <w:color w:val="auto"/>
              </w:rPr>
            </w:pPr>
            <w:r>
              <w:rPr>
                <w:rFonts w:ascii="Arial" w:cs="Arial" w:eastAsia="Arial" w:hAnsi="Arial"/>
                <w:sz w:val="13"/>
                <w:szCs w:val="13"/>
                <w:color w:val="auto"/>
              </w:rPr>
              <w:t>Impact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56"/>
              <w:spacing w:after="0"/>
              <w:rPr>
                <w:sz w:val="20"/>
                <w:szCs w:val="20"/>
                <w:color w:val="auto"/>
              </w:rPr>
            </w:pPr>
            <w:r>
              <w:rPr>
                <w:rFonts w:ascii="Arial" w:cs="Arial" w:eastAsia="Arial" w:hAnsi="Arial"/>
                <w:sz w:val="13"/>
                <w:szCs w:val="13"/>
                <w:color w:val="auto"/>
              </w:rPr>
              <w:t>(52,348)</w:t>
            </w:r>
          </w:p>
        </w:tc>
      </w:tr>
      <w:tr>
        <w:trPr>
          <w:trHeight w:val="171"/>
        </w:trPr>
        <w:tc>
          <w:tcPr>
            <w:tcW w:w="9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Impact %</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202"/>
        </w:trPr>
        <w:tc>
          <w:tcPr>
            <w:tcW w:w="9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70"/>
        </w:trPr>
        <w:tc>
          <w:tcPr>
            <w:tcW w:w="944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Earnings per share - Basic</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69"/>
        </w:trPr>
        <w:tc>
          <w:tcPr>
            <w:tcW w:w="9440" w:type="dxa"/>
            <w:vAlign w:val="bottom"/>
          </w:tcPr>
          <w:p>
            <w:pPr>
              <w:ind w:left="100"/>
              <w:spacing w:after="0"/>
              <w:rPr>
                <w:sz w:val="20"/>
                <w:szCs w:val="20"/>
                <w:color w:val="auto"/>
              </w:rPr>
            </w:pPr>
            <w:r>
              <w:rPr>
                <w:rFonts w:ascii="Arial" w:cs="Arial" w:eastAsia="Arial" w:hAnsi="Arial"/>
                <w:sz w:val="13"/>
                <w:szCs w:val="13"/>
                <w:color w:val="auto"/>
              </w:rPr>
              <w:t>As Reported</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96"/>
              <w:spacing w:after="0"/>
              <w:rPr>
                <w:sz w:val="20"/>
                <w:szCs w:val="20"/>
                <w:color w:val="auto"/>
              </w:rPr>
            </w:pPr>
            <w:r>
              <w:rPr>
                <w:rFonts w:ascii="Arial" w:cs="Arial" w:eastAsia="Arial" w:hAnsi="Arial"/>
                <w:sz w:val="13"/>
                <w:szCs w:val="13"/>
                <w:color w:val="auto"/>
              </w:rPr>
              <w:t>9.45</w:t>
            </w:r>
          </w:p>
        </w:tc>
      </w:tr>
      <w:tr>
        <w:trPr>
          <w:trHeight w:val="171"/>
        </w:trPr>
        <w:tc>
          <w:tcPr>
            <w:tcW w:w="9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As Restated</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8.81</w:t>
            </w:r>
          </w:p>
        </w:tc>
      </w:tr>
      <w:tr>
        <w:trPr>
          <w:trHeight w:val="159"/>
        </w:trPr>
        <w:tc>
          <w:tcPr>
            <w:tcW w:w="9440" w:type="dxa"/>
            <w:vAlign w:val="bottom"/>
          </w:tcPr>
          <w:p>
            <w:pPr>
              <w:ind w:left="100"/>
              <w:spacing w:after="0"/>
              <w:rPr>
                <w:sz w:val="20"/>
                <w:szCs w:val="20"/>
                <w:color w:val="auto"/>
              </w:rPr>
            </w:pPr>
            <w:r>
              <w:rPr>
                <w:rFonts w:ascii="Arial" w:cs="Arial" w:eastAsia="Arial" w:hAnsi="Arial"/>
                <w:sz w:val="13"/>
                <w:szCs w:val="13"/>
                <w:color w:val="auto"/>
              </w:rPr>
              <w:t>Impact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56"/>
              <w:spacing w:after="0"/>
              <w:rPr>
                <w:sz w:val="20"/>
                <w:szCs w:val="20"/>
                <w:color w:val="auto"/>
              </w:rPr>
            </w:pPr>
            <w:r>
              <w:rPr>
                <w:rFonts w:ascii="Arial" w:cs="Arial" w:eastAsia="Arial" w:hAnsi="Arial"/>
                <w:sz w:val="13"/>
                <w:szCs w:val="13"/>
                <w:color w:val="auto"/>
              </w:rPr>
              <w:t>(0.64)</w:t>
            </w:r>
          </w:p>
        </w:tc>
      </w:tr>
      <w:tr>
        <w:trPr>
          <w:trHeight w:val="203"/>
        </w:trPr>
        <w:tc>
          <w:tcPr>
            <w:tcW w:w="9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70"/>
        </w:trPr>
        <w:tc>
          <w:tcPr>
            <w:tcW w:w="94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Earnings per share - Diluted</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0"/>
        </w:trPr>
        <w:tc>
          <w:tcPr>
            <w:tcW w:w="9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As Reported</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9.38</w:t>
            </w:r>
          </w:p>
        </w:tc>
      </w:tr>
      <w:tr>
        <w:trPr>
          <w:trHeight w:val="169"/>
        </w:trPr>
        <w:tc>
          <w:tcPr>
            <w:tcW w:w="94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As Restated</w:t>
            </w: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8.75</w:t>
            </w:r>
          </w:p>
        </w:tc>
      </w:tr>
      <w:tr>
        <w:trPr>
          <w:trHeight w:val="162"/>
        </w:trPr>
        <w:tc>
          <w:tcPr>
            <w:tcW w:w="9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Impact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(0.63)</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errors on the Consolidated Statement of Financial Position as at 31 December 2024 represent 1.4% of Total Assets; and of Total Equity &amp;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restatement errors does not affect cash flows or net debt.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business review and future developments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is a contract research organisation (“CRO”), founded in Dublin, Ireland in 1990. For over thirty years we have grown significantly to become a global provider of outsourced development and commercialisation services to pharmaceutical, biotechnology, medical device and government and public health organisations. Our mission is to improve the lives of patients by accelerating the development of our customers’ drugs and devices through innovative solutions.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a public limited company in Ireland and operate under the Irish Companies Act. Our principal executive office is located at: South County Business Park, Leopardstown, Dublin 18, Republic of Ireland. The contact telephone number of this office is +353 1 2912000. Our website is www.iconplc.com.</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offer a full range of clinical, consulting and commercial services that range from clinical development strategy, planning and trial design, to full study execution, and post-market commercialisation. ICON provides its services across a range of clinical outsourcing operating models including strategic partnerships, preferred provider, full-service delivery to functional service provision and stand-alone services.</w:t>
      </w:r>
    </w:p>
    <w:p>
      <w:pPr>
        <w:spacing w:after="0" w:line="33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889"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598805</wp:posOffset>
            </wp:positionV>
            <wp:extent cx="4608195" cy="1946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0819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specialise in the strategic development, management and analysis of programmes that support all stages of the clinical development process, from compound selection to Phase I-IV clinical studies. We earn revenue by providing a number of different services to our customers. These services are integral components of the clinical development process and include clinical trial management, consulting, contract staffing, data solutions and laboratory services.</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vision is to be the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 In order to achieve this vision, we continue to invest in technology and data analytics capabilities.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maintains a sustained focus on research and development. We continue to enhance our portfolio of data solutions and decentralised clinical trial technology through the development of industry-leading technologies and processes to support our clients. ICON is leading the industry transformation through four key levers: transforming clinical trials, site and patient centricity, applied innovation, and seamless, integrated service delivery.</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31 December 2025, we employed approximately 40,100 employees in 97 locations in 55 countries. During the year ended 31 December 2025, we derived 30.6%, 57.9% and 11.5% of our revenue in the United States, Europe and Rest of World, respectively.</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have achieved strong growth since our foundation in 1990. We focus our innovation on those factors that are critical to our clients - reducing time to market, reducing cost and increasing quality. Our global team has extensive experience in a broad range of therapeutic areas. ICON has been recognised as one of the world's leading Contract Research Organisations (“CROs”) through a number of high-profile industry awards (see www.iconplc.com/awards).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3"/>
          <w:szCs w:val="13"/>
          <w:color w:val="auto"/>
        </w:rPr>
        <w:t>As our market has evolved, biopharmaceutical companies are tackling productivity challenges,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 We believe innovation in the biopharma sector has been fuelled by recent advances in technology, improving scientific profiles of drug targets, and increasing the pipeline of quality assets that can be investigated for further development. This provides biopharma companies an opportunity to strengthen their development pipeline with promising drug candidates, particularly those that are facing challenging patent expiries to their current marketed products.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889"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believe regulatory and reimbursement pressures will continue to necessitate expansion of late stage (post marketing) research, as increasing requirements to demonstrate the economic value of new treatments are expected. As a result, we believe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outsourced development partners.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We expect that continued outsourcing will be a core strategy of clients in the near and mid-term as they seek to optimise their development operations and adopt models that allow for increased efficiencies. Larger clients were the first to form strategic partnerships with global CROs in an effort to reduce the number of outsource partners with whom they engage and to reduce inefficiencies in their current clinical development models. More recently, we have seen the increasing adoption of this reduced partner model with mid-tier pharmaceutical and biotechnology firms as they also recognise the value of strategic engagement with their development partners.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Delivery of our mission and strategy is focused on our four strategic pillars, being (i) Patient Access &amp; Engagement (ii) Career Development &amp; Employer of Choice (iii) Enduring Customer Partnerships and (iv) Applied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4608195" cy="2243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8195"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Patient Access &amp; Engagement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ICON has a focused patient, site and data strategy, which is helping us to improve site identification, study placement and patient recruitment and retention.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Accellacare is ICON's global clinical research network offering customers a wide range of stand-alone and integrated solutions at site or in patients' homes as part of decentralised trials. Our patient centric approach accelerates study start-up and increases patient recruitment and retention for the pharmaceutical, biotechnology and medical device industries.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and retention. Accellacare In-Home Services has experience in more than 500 clinical trials, tailoring our services to fit each study's specific requirements across more than 55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w:t>
      </w:r>
    </w:p>
    <w:p>
      <w:pPr>
        <w:spacing w:after="0" w:line="34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889"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part of the integrated patient, site and data strategy, helping us to improve patient recruitment and retention. Through Accellacare, we are committed to delivering on the promise of patient centricity in clinical research whilst also providing investigators with innovative treatments for their patients with a quality-focused clinical research infrastructure supported by experienced professionals globally.</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3"/>
          <w:szCs w:val="13"/>
          <w:color w:val="auto"/>
        </w:rPr>
        <w:t>Accellacare Site Resourcing supports sites to address resource constraints and/or barriers to participation due to a lack of resources. This includes supporting sites with patient recruitment, for example conducting database searches, liaising with referral departments and following up with patients referred from digital patient recruitment campaigns. Accellacare Site Resourcing can also support sites with resources throughout the clinical trial conduct, for example administration support, Electronic Case Report Form (“eCRF”) data entry and query resolution and database lock preparation. The Accellacare Site Resourcing team provides a range of resources from Clinical Research Coordinators, Clinical Research Nurses, Clinical Trial Educators and other specialised resources for example, dieticians required for obesity studies. Accellacare Site Resourcing can deploy resources to site in approximately 20 countries. Through Accellacare Site Resourcing we are committed to delivering highly qualified staff to investigator sites and enable site success in clinical trial participation, delivery and performance.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Accellacare Site Network encompasses 21 owned/embedded sites across the US, UK and Spain as well as a number of collaboration agreements with other sites. Accellacare offers a quality focused clinical research infrastructure delivering value and benefits to sponsors. Accellacare supports customers with faster start-up and the time from site selection to site initiation visit when compared to other sites. Furthermore, Accellacare achieves on average more patients per site when compared to other sites.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2025, Accellacare Site Network further expanded its site partnerships and focused on enhancing capabilities within its US and UK locations with a continued focus on central nervous system (“CNS”) capabilities and oncology. This included onboarding 27 new investigators across therapeutic areas and a specific increase in oncologists at our Chicago location, providing access to 12 investigators focused on oncology.</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Elite Sites, ICON's dedicated programme for top-tier site networks, was designed to offer an infrastructure for those networks who have set themselves apart. These networks have been selected for their high-performance quality, consistency with faster start-up, and ability to meet or exceed recruitment commitments. With the use of ICON’s Elite Site programme, the aim is for clients to increase reliability with delivery, reduce site or country footprint, shorten overall study timelines and ultimately get drugs to market faster. ICON Elite Sites have been selected to align with a few key therapeutic areas – oncology, neurosciences, and gastrointestinal/ non-alcoholic steatohepatitis (NASH) in which these networks have shown the ability to be true differentiators for our clients and study teams. The ICON Elite Sites programme has a global reach, including 5 networks presently, and will continue to expand to best support our clients.</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Finding and engaging suitable patients to conduct clinical trials is one of the biggest issues facing the drug development industry today. The performance of investigative sites that do take part in research is uneven, hard to predict and many trials do not meet the initial recruitment goals. The current market challenge in patient enrolment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ICON's site networks enhance our ability to enrol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visualisation and tools necessary for optimum site identification based on ICON and industry data of capability, experience and performance. Scoring on enrolment performance, speed of start-up and quality supports better site selection.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Career development and employer of choice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is an award-winning workplace that enables our employees to make a difference to patients’ lives by being part of a world-class clinical research organisation that helps deliver new medicines &amp; medical devices that are benefiting patients worldwide.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global team of 40,100 employees is united in purpose, working together in an inclusive environment to help solve some of the world’s most complex healthcare challenges. We value integrity, inclusion, collaboration and agility, which together form our ‘Own it’ culture that fosters innovative ideas and a vibrant workplace.</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success depends on the knowledge, skills and calibre of our people. That’s why we are committed to developing a continuous learning culture – one where we challenge employees with engaging work and where every experience adds to their professional development.</w:t>
      </w:r>
    </w:p>
    <w:p>
      <w:pPr>
        <w:spacing w:after="0" w:line="200" w:lineRule="exact"/>
        <w:rPr>
          <w:sz w:val="20"/>
          <w:szCs w:val="20"/>
          <w:color w:val="auto"/>
        </w:rPr>
      </w:pP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889"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Through our industry leading learning management system, internally developed professional development programmes and partnerships with leading academic institutions, employees are encouraged to broaden their scientific, technical and business knowledge.</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With a strong emphasis on personal and professional development, ICON equips employees with the skills, knowledge and expertise to navigate and succeed in a dynamic work environment. Employees have access to tools that will help them develop the skills to support their career aspirations. At ICON, we provide growth opportunities for every stage of an employee’s career, empowering them to progress and reach new heights.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From training and development programmes to mentorship and coaching, we're committed to helping our employees reach their full potential.</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Total Reward philosophy is designed to attract, retain, and motivate top talent by offering a holistic and competitive package that reflects our commitment to fairness, equity, and employee wellbeing.</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regularly benchmark our rewards to ensure our compensation and benefits remain competitive in the market. Our goal is to recognise and differentiate based on performance while maintaining a strong value proposition for our employees.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committed to pay practices that are transparent, consistent, and free from bias. Our commitment to achieving and maintaining fair pay is central to making ICON a truly inclusive workplace. Our approach ensures that employees are rewarded fairly for their skills, experience, and performance.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prioritise the well-being of our employees. Across the world, our programmes include comprehensive health benefits, wellness initiatives, and resources that support work-life balance and resilience.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Through this philosophy, we aim to create an environment where employees feel valued, supported, and empowered to thrive both professionally and personally.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Enduring customer partnerships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focus on expanding and deepening our partnerships with existing customers, while also developing new customer relationships.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programme management capabilities.</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To meet the evolving needs of both our existing and new clients we continue to enhance our capabilities through both organic service development and targeted acquisitions. In addition, we continue to enhance our scientific and therapeutic expertise to support our customers in specific areas including oncology, orphan and rare diseases, CNS, dermatology, infectious disease and women's health.</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has extensive experience in vaccine clinical development for commercial businesses, governments and NGOs. This experience enabled us to play a significant role in the search for vaccines and treatments for COVID-19.</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post-sale surveillance. In early 2020, ICON acquired MedPass which has further enhanced our value offering in this area.</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We also invested significantly in our site and patient network (Accellacare), and consider our expertise and offering in this area as one of our strategic pillars.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Applied innovation</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At ICON plc, innovation is focused on the factors that are critical to our clients and patients. We develop and integrate technologies that significantly enhance the efficiency and productivity of drug and device development programmes, providing transparency across all areas of a study and improving the predictability of outcomes. Our approach combines best-in-class third-party platforms with a suite of differentiated proprietary solutions. Together, these enable smarter trial design and execution, faster and more reliable patient recruitment, and more patient-centric data collection and analysis, including the capture of digital health data directly from patients’ devices.</w:t>
      </w:r>
    </w:p>
    <w:p>
      <w:pPr>
        <w:spacing w:after="0" w:line="200" w:lineRule="exact"/>
        <w:rPr>
          <w:sz w:val="20"/>
          <w:szCs w:val="20"/>
          <w:color w:val="auto"/>
        </w:rPr>
      </w:pPr>
    </w:p>
    <w:p>
      <w:pPr>
        <w:spacing w:after="0" w:line="34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889"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Operational excellence, quality and delivery</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focused on operational excellence across our support functions, and we operate a global business support infrastructure across functions including finance, information technology, facilities, human resources, legal and quality assurance. This enables us to enhance the service levels across these support areas whilst driving down the costs of the service provision.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of the Company</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principal activity of the Company is to act as a holding Company. The Company also operates branch offices in Poland (Warsaw), Latvia (Riga), and a representative office in Lithuania (Vilnius), all of which provide contract research services to the pharmaceutical industry.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 activity</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Since ICON was founded, the Group has expanded through organic growth, together with a number of strategic acquisitions to enhance its expertise and capabilities in certain areas of the clinical development process and to broaden the service portfolio and add scale to existing services.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Recent investments, which continue to strengthen our service offerings to meet the needs of our customers include:</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19 August 2024, the Group acquired the KCR S.A Group (“KCR”), a CRO offering full service and functional services provision (“FSP”) clinical trial services. On 9 January 2024, the Group acquired HumanFirst, Inc. (“HumanFirst”), a life sciences technology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889"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477520</wp:posOffset>
            </wp:positionV>
            <wp:extent cx="5989320" cy="3368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932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*Revenue figures for 2023 and 2024 have been adjusted for the Restatement.</w:t>
      </w:r>
    </w:p>
    <w:p>
      <w:pPr>
        <w:spacing w:after="0" w:line="372" w:lineRule="exact"/>
        <w:rPr>
          <w:sz w:val="20"/>
          <w:szCs w:val="20"/>
          <w:color w:val="auto"/>
        </w:rPr>
      </w:pPr>
    </w:p>
    <w:p>
      <w:pPr>
        <w:jc w:val="right"/>
        <w:ind w:right="419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159"/>
          </w:cols>
          <w:pgMar w:left="300" w:top="889"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and dividends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results for the financial year and state of affairs of the Group are set out in the Consolidated Statement of Profit and Loss, the Consolidated Statement of Comprehensive Income, the Consolidated Statement of Financial Position, the Consolidated Statement of Changes in Equity and the Consolidated Statement of Cash Flows on pages 40 to 45 respectively. The Directors do not propose the payment of a dividend for the year ended 31 December 2025.</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following table sets forth for the periods indicated certain financial data as a percentage of revenue and the percentage change in these items compared to the prior comparable period, being the key performance indicators used by management. The trends illustrated in the following table may not be indicative of future results.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99"/>
              </w:rPr>
              <w:t>31 December</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Percentage</w:t>
            </w:r>
          </w:p>
        </w:tc>
      </w:tr>
      <w:tr>
        <w:trPr>
          <w:trHeight w:val="127"/>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900" w:type="dxa"/>
            <w:vAlign w:val="bottom"/>
            <w:shd w:val="clear" w:color="auto" w:fill="CCEEFF"/>
          </w:tcPr>
          <w:p>
            <w:pPr>
              <w:spacing w:after="0"/>
              <w:rPr>
                <w:sz w:val="11"/>
                <w:szCs w:val="11"/>
                <w:color w:val="auto"/>
              </w:rPr>
            </w:pPr>
          </w:p>
        </w:tc>
        <w:tc>
          <w:tcPr>
            <w:tcW w:w="3680" w:type="dxa"/>
            <w:vAlign w:val="bottom"/>
            <w:shd w:val="clear" w:color="auto" w:fill="CCEEFF"/>
          </w:tcPr>
          <w:p>
            <w:pPr>
              <w:jc w:val="right"/>
              <w:ind w:right="796"/>
              <w:spacing w:after="0" w:line="128" w:lineRule="exact"/>
              <w:rPr>
                <w:sz w:val="20"/>
                <w:szCs w:val="20"/>
                <w:color w:val="auto"/>
              </w:rPr>
            </w:pPr>
            <w:r>
              <w:rPr>
                <w:rFonts w:ascii="Arial" w:cs="Arial" w:eastAsia="Arial" w:hAnsi="Arial"/>
                <w:sz w:val="13"/>
                <w:szCs w:val="13"/>
                <w:b w:val="1"/>
                <w:bCs w:val="1"/>
                <w:color w:val="auto"/>
              </w:rPr>
              <w:t>2025</w:t>
            </w:r>
          </w:p>
        </w:tc>
        <w:tc>
          <w:tcPr>
            <w:tcW w:w="112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color w:val="auto"/>
              </w:rPr>
              <w:t>2024</w:t>
            </w:r>
          </w:p>
        </w:tc>
        <w:tc>
          <w:tcPr>
            <w:tcW w:w="13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increase/decrease</w:t>
            </w:r>
          </w:p>
        </w:tc>
      </w:tr>
      <w:tr>
        <w:trPr>
          <w:trHeight w:val="168"/>
        </w:trPr>
        <w:tc>
          <w:tcPr>
            <w:tcW w:w="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900" w:type="dxa"/>
            <w:vAlign w:val="bottom"/>
            <w:tcBorders>
              <w:bottom w:val="single" w:sz="8" w:color="auto"/>
            </w:tcBorders>
            <w:shd w:val="clear" w:color="auto" w:fill="CCEEFF"/>
          </w:tcPr>
          <w:p>
            <w:pPr>
              <w:spacing w:after="0"/>
              <w:rPr>
                <w:sz w:val="14"/>
                <w:szCs w:val="14"/>
                <w:color w:val="auto"/>
              </w:rPr>
            </w:pPr>
          </w:p>
        </w:tc>
        <w:tc>
          <w:tcPr>
            <w:tcW w:w="36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98"/>
              </w:rPr>
              <w:t>(As Restated)</w:t>
            </w:r>
          </w:p>
        </w:tc>
        <w:tc>
          <w:tcPr>
            <w:tcW w:w="1380" w:type="dxa"/>
            <w:vAlign w:val="bottom"/>
            <w:tcBorders>
              <w:bottom w:val="single" w:sz="8" w:color="auto"/>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80" w:type="dxa"/>
            <w:vAlign w:val="bottom"/>
          </w:tcPr>
          <w:p>
            <w:pPr>
              <w:jc w:val="right"/>
              <w:spacing w:after="0"/>
              <w:rPr>
                <w:sz w:val="20"/>
                <w:szCs w:val="20"/>
                <w:color w:val="auto"/>
              </w:rPr>
            </w:pPr>
            <w:r>
              <w:rPr>
                <w:rFonts w:ascii="Arial" w:cs="Arial" w:eastAsia="Arial" w:hAnsi="Arial"/>
                <w:sz w:val="13"/>
                <w:szCs w:val="13"/>
                <w:b w:val="1"/>
                <w:bCs w:val="1"/>
                <w:color w:val="auto"/>
              </w:rPr>
              <w:t>As a percentage of revenue</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Revenue</w:t>
            </w: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100.0 %</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100.0 %</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0.8 %</w:t>
            </w:r>
          </w:p>
        </w:tc>
      </w:tr>
      <w:tr>
        <w:trPr>
          <w:trHeight w:val="144"/>
        </w:trPr>
        <w:tc>
          <w:tcPr>
            <w:tcW w:w="2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38" w:lineRule="exact"/>
              <w:rPr>
                <w:sz w:val="20"/>
                <w:szCs w:val="20"/>
                <w:color w:val="auto"/>
              </w:rPr>
            </w:pPr>
            <w:r>
              <w:rPr>
                <w:rFonts w:ascii="Arial" w:cs="Arial" w:eastAsia="Arial" w:hAnsi="Arial"/>
                <w:sz w:val="13"/>
                <w:szCs w:val="13"/>
                <w:color w:val="auto"/>
                <w:w w:val="96"/>
              </w:rPr>
              <w:t>Costs and expenses</w:t>
            </w:r>
          </w:p>
        </w:tc>
        <w:tc>
          <w:tcPr>
            <w:tcW w:w="3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Direct costs excluding exceptional items</w:t>
            </w: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73.6 %</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71.0 %</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4.4 %</w:t>
            </w:r>
          </w:p>
        </w:tc>
      </w:tr>
      <w:tr>
        <w:trPr>
          <w:trHeight w:val="170"/>
        </w:trPr>
        <w:tc>
          <w:tcPr>
            <w:tcW w:w="2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Other operating expenses excluding exceptional items</w:t>
            </w:r>
          </w:p>
        </w:tc>
        <w:tc>
          <w:tcPr>
            <w:tcW w:w="368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14.1 %</w:t>
            </w: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14.8 %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r>
      <w:tr>
        <w:trPr>
          <w:trHeight w:val="160"/>
        </w:trPr>
        <w:tc>
          <w:tcPr>
            <w:tcW w:w="20" w:type="dxa"/>
            <w:vAlign w:val="bottom"/>
            <w:shd w:val="clear" w:color="auto" w:fill="CCEEFF"/>
          </w:tcPr>
          <w:p>
            <w:pPr>
              <w:spacing w:after="0"/>
              <w:rPr>
                <w:sz w:val="13"/>
                <w:szCs w:val="13"/>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Operating profit excluding exceptional items</w:t>
            </w: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12.3 %</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14.2 %</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144"/>
        </w:trPr>
        <w:tc>
          <w:tcPr>
            <w:tcW w:w="20" w:type="dxa"/>
            <w:vAlign w:val="bottom"/>
          </w:tcPr>
          <w:p>
            <w:pPr>
              <w:spacing w:after="0"/>
              <w:rPr>
                <w:sz w:val="12"/>
                <w:szCs w:val="12"/>
                <w:color w:val="auto"/>
              </w:rPr>
            </w:pPr>
          </w:p>
        </w:tc>
        <w:tc>
          <w:tcPr>
            <w:tcW w:w="104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color w:val="auto"/>
                <w:w w:val="96"/>
              </w:rPr>
              <w:t>Exceptional items:</w:t>
            </w:r>
          </w:p>
        </w:tc>
        <w:tc>
          <w:tcPr>
            <w:tcW w:w="4020" w:type="dxa"/>
            <w:vAlign w:val="bottom"/>
            <w:gridSpan w:val="2"/>
          </w:tcPr>
          <w:p>
            <w:pPr>
              <w:spacing w:after="0"/>
              <w:rPr>
                <w:sz w:val="12"/>
                <w:szCs w:val="12"/>
                <w:color w:val="auto"/>
              </w:rPr>
            </w:pPr>
          </w:p>
        </w:tc>
        <w:tc>
          <w:tcPr>
            <w:tcW w:w="3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Transaction and integration related expenses</w:t>
            </w: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0.3 %</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0.4 %</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70"/>
        </w:trPr>
        <w:tc>
          <w:tcPr>
            <w:tcW w:w="20" w:type="dxa"/>
            <w:vAlign w:val="bottom"/>
          </w:tcPr>
          <w:p>
            <w:pPr>
              <w:spacing w:after="0"/>
              <w:rPr>
                <w:sz w:val="14"/>
                <w:szCs w:val="14"/>
                <w:color w:val="auto"/>
              </w:rPr>
            </w:pPr>
          </w:p>
        </w:tc>
        <w:tc>
          <w:tcPr>
            <w:tcW w:w="5060" w:type="dxa"/>
            <w:vAlign w:val="bottom"/>
            <w:gridSpan w:val="3"/>
          </w:tcPr>
          <w:p>
            <w:pPr>
              <w:spacing w:after="0"/>
              <w:rPr>
                <w:sz w:val="20"/>
                <w:szCs w:val="20"/>
                <w:color w:val="auto"/>
              </w:rPr>
            </w:pPr>
            <w:r>
              <w:rPr>
                <w:rFonts w:ascii="Arial" w:cs="Arial" w:eastAsia="Arial" w:hAnsi="Arial"/>
                <w:sz w:val="13"/>
                <w:szCs w:val="13"/>
                <w:color w:val="auto"/>
              </w:rPr>
              <w:t>Restructuring expenses</w:t>
            </w:r>
          </w:p>
        </w:tc>
        <w:tc>
          <w:tcPr>
            <w:tcW w:w="3680" w:type="dxa"/>
            <w:vAlign w:val="bottom"/>
          </w:tcPr>
          <w:p>
            <w:pPr>
              <w:jc w:val="right"/>
              <w:ind w:right="796"/>
              <w:spacing w:after="0"/>
              <w:rPr>
                <w:sz w:val="20"/>
                <w:szCs w:val="20"/>
                <w:color w:val="auto"/>
              </w:rPr>
            </w:pPr>
            <w:r>
              <w:rPr>
                <w:rFonts w:ascii="Arial" w:cs="Arial" w:eastAsia="Arial" w:hAnsi="Arial"/>
                <w:sz w:val="13"/>
                <w:szCs w:val="13"/>
                <w:b w:val="1"/>
                <w:bCs w:val="1"/>
                <w:color w:val="auto"/>
              </w:rPr>
              <w:t>1.0 %</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1.1 %</w:t>
            </w:r>
          </w:p>
        </w:tc>
        <w:tc>
          <w:tcPr>
            <w:tcW w:w="1380" w:type="dxa"/>
            <w:vAlign w:val="bottom"/>
          </w:tcPr>
          <w:p>
            <w:pPr>
              <w:jc w:val="right"/>
              <w:spacing w:after="0"/>
              <w:rPr>
                <w:sz w:val="20"/>
                <w:szCs w:val="20"/>
                <w:color w:val="auto"/>
              </w:rPr>
            </w:pPr>
            <w:r>
              <w:rPr>
                <w:rFonts w:ascii="Arial" w:cs="Arial" w:eastAsia="Arial" w:hAnsi="Arial"/>
                <w:sz w:val="13"/>
                <w:szCs w:val="13"/>
                <w:color w:val="auto"/>
              </w:rPr>
              <w:t>(14.2)%</w:t>
            </w:r>
          </w:p>
        </w:tc>
      </w:tr>
      <w:tr>
        <w:trPr>
          <w:trHeight w:val="170"/>
        </w:trPr>
        <w:tc>
          <w:tcPr>
            <w:tcW w:w="20" w:type="dxa"/>
            <w:vAlign w:val="bottom"/>
            <w:shd w:val="clear" w:color="auto" w:fill="CCEEFF"/>
          </w:tcPr>
          <w:p>
            <w:pPr>
              <w:spacing w:after="0"/>
              <w:rPr>
                <w:sz w:val="14"/>
                <w:szCs w:val="1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Goodwill impairment</w:t>
            </w:r>
          </w:p>
        </w:tc>
        <w:tc>
          <w:tcPr>
            <w:tcW w:w="3680" w:type="dxa"/>
            <w:vAlign w:val="bottom"/>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4.5 %</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 %</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70"/>
        </w:trPr>
        <w:tc>
          <w:tcPr>
            <w:tcW w:w="20" w:type="dxa"/>
            <w:vAlign w:val="bottom"/>
          </w:tcPr>
          <w:p>
            <w:pPr>
              <w:spacing w:after="0"/>
              <w:rPr>
                <w:sz w:val="14"/>
                <w:szCs w:val="14"/>
                <w:color w:val="auto"/>
              </w:rPr>
            </w:pPr>
          </w:p>
        </w:tc>
        <w:tc>
          <w:tcPr>
            <w:tcW w:w="5060" w:type="dxa"/>
            <w:vAlign w:val="bottom"/>
            <w:gridSpan w:val="3"/>
          </w:tcPr>
          <w:p>
            <w:pPr>
              <w:spacing w:after="0"/>
              <w:rPr>
                <w:sz w:val="20"/>
                <w:szCs w:val="20"/>
                <w:color w:val="auto"/>
              </w:rPr>
            </w:pPr>
            <w:r>
              <w:rPr>
                <w:rFonts w:ascii="Arial" w:cs="Arial" w:eastAsia="Arial" w:hAnsi="Arial"/>
                <w:sz w:val="13"/>
                <w:szCs w:val="13"/>
                <w:color w:val="auto"/>
              </w:rPr>
              <w:t>Impairment of non-financial assets</w:t>
            </w:r>
          </w:p>
        </w:tc>
        <w:tc>
          <w:tcPr>
            <w:tcW w:w="3680" w:type="dxa"/>
            <w:vAlign w:val="bottom"/>
          </w:tcPr>
          <w:p>
            <w:pPr>
              <w:jc w:val="right"/>
              <w:ind w:right="796"/>
              <w:spacing w:after="0"/>
              <w:rPr>
                <w:sz w:val="20"/>
                <w:szCs w:val="20"/>
                <w:color w:val="auto"/>
              </w:rPr>
            </w:pPr>
            <w:r>
              <w:rPr>
                <w:rFonts w:ascii="Arial" w:cs="Arial" w:eastAsia="Arial" w:hAnsi="Arial"/>
                <w:sz w:val="13"/>
                <w:szCs w:val="13"/>
                <w:b w:val="1"/>
                <w:bCs w:val="1"/>
                <w:color w:val="auto"/>
              </w:rPr>
              <w:t>1.2 %</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 %</w:t>
            </w:r>
          </w:p>
        </w:tc>
        <w:tc>
          <w:tcPr>
            <w:tcW w:w="138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70"/>
        </w:trPr>
        <w:tc>
          <w:tcPr>
            <w:tcW w:w="20" w:type="dxa"/>
            <w:vAlign w:val="bottom"/>
            <w:tcBorders>
              <w:bottom w:val="single" w:sz="8" w:color="auto"/>
            </w:tcBorders>
            <w:shd w:val="clear" w:color="auto" w:fill="CCEEFF"/>
          </w:tcPr>
          <w:p>
            <w:pPr>
              <w:spacing w:after="0"/>
              <w:rPr>
                <w:sz w:val="14"/>
                <w:szCs w:val="14"/>
                <w:color w:val="auto"/>
              </w:rPr>
            </w:pPr>
          </w:p>
        </w:tc>
        <w:tc>
          <w:tcPr>
            <w:tcW w:w="50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Provision for onerous contract</w:t>
            </w:r>
          </w:p>
        </w:tc>
        <w:tc>
          <w:tcPr>
            <w:tcW w:w="36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0.1 %</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0"/>
        </w:trPr>
        <w:tc>
          <w:tcPr>
            <w:tcW w:w="2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Operating profit including exceptional items</w:t>
            </w:r>
          </w:p>
        </w:tc>
        <w:tc>
          <w:tcPr>
            <w:tcW w:w="368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5.2 %</w:t>
            </w: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12.7 %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*NM - not meaningful</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Twelve months ended 31 December 2025 compared to twelve months ended 31 December 2024 </w:t>
      </w:r>
      <w:r>
        <w:rPr>
          <w:rFonts w:ascii="Arial" w:cs="Arial" w:eastAsia="Arial" w:hAnsi="Arial"/>
          <w:sz w:val="13"/>
          <w:szCs w:val="13"/>
          <w:i w:val="1"/>
          <w:iCs w:val="1"/>
          <w:color w:val="auto"/>
        </w:rPr>
        <w:t>(As Restated)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shd w:val="clear" w:color="auto" w:fill="CCEEFF"/>
          </w:tcPr>
          <w:p>
            <w:pPr>
              <w:spacing w:after="0"/>
              <w:rPr>
                <w:sz w:val="12"/>
                <w:szCs w:val="12"/>
                <w:color w:val="auto"/>
              </w:rPr>
            </w:pPr>
          </w:p>
        </w:tc>
        <w:tc>
          <w:tcPr>
            <w:tcW w:w="38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66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31 December</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Change</w:t>
            </w:r>
          </w:p>
        </w:tc>
        <w:tc>
          <w:tcPr>
            <w:tcW w:w="800" w:type="dxa"/>
            <w:vAlign w:val="bottom"/>
            <w:shd w:val="clear" w:color="auto" w:fill="CCEEFF"/>
          </w:tcPr>
          <w:p>
            <w:pPr>
              <w:spacing w:after="0"/>
              <w:rPr>
                <w:sz w:val="12"/>
                <w:szCs w:val="12"/>
                <w:color w:val="auto"/>
              </w:rPr>
            </w:pPr>
          </w:p>
        </w:tc>
      </w:tr>
      <w:tr>
        <w:trPr>
          <w:trHeight w:val="127"/>
        </w:trPr>
        <w:tc>
          <w:tcPr>
            <w:tcW w:w="3220" w:type="dxa"/>
            <w:vAlign w:val="bottom"/>
            <w:shd w:val="clear" w:color="auto" w:fill="CCEEFF"/>
          </w:tcPr>
          <w:p>
            <w:pPr>
              <w:spacing w:after="0"/>
              <w:rPr>
                <w:sz w:val="11"/>
                <w:szCs w:val="11"/>
                <w:color w:val="auto"/>
              </w:rPr>
            </w:pPr>
          </w:p>
        </w:tc>
        <w:tc>
          <w:tcPr>
            <w:tcW w:w="38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660" w:type="dxa"/>
            <w:vAlign w:val="bottom"/>
            <w:shd w:val="clear" w:color="auto" w:fill="CCEEFF"/>
          </w:tcPr>
          <w:p>
            <w:pPr>
              <w:jc w:val="right"/>
              <w:ind w:right="456"/>
              <w:spacing w:after="0" w:line="128" w:lineRule="exact"/>
              <w:rPr>
                <w:sz w:val="20"/>
                <w:szCs w:val="20"/>
                <w:color w:val="auto"/>
              </w:rPr>
            </w:pPr>
            <w:r>
              <w:rPr>
                <w:rFonts w:ascii="Arial" w:cs="Arial" w:eastAsia="Arial" w:hAnsi="Arial"/>
                <w:sz w:val="13"/>
                <w:szCs w:val="13"/>
                <w:color w:val="auto"/>
              </w:rPr>
              <w:t>2024</w:t>
            </w:r>
          </w:p>
        </w:tc>
        <w:tc>
          <w:tcPr>
            <w:tcW w:w="17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8"/>
        </w:trPr>
        <w:tc>
          <w:tcPr>
            <w:tcW w:w="3220" w:type="dxa"/>
            <w:vAlign w:val="bottom"/>
            <w:tcBorders>
              <w:bottom w:val="single" w:sz="8" w:color="auto"/>
            </w:tcBorders>
            <w:shd w:val="clear" w:color="auto" w:fill="CCEEFF"/>
          </w:tcPr>
          <w:p>
            <w:pPr>
              <w:spacing w:after="0"/>
              <w:rPr>
                <w:sz w:val="14"/>
                <w:szCs w:val="14"/>
                <w:color w:val="auto"/>
              </w:rPr>
            </w:pPr>
          </w:p>
        </w:tc>
        <w:tc>
          <w:tcPr>
            <w:tcW w:w="38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(As Restated)</w:t>
            </w:r>
          </w:p>
        </w:tc>
        <w:tc>
          <w:tcPr>
            <w:tcW w:w="17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38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660" w:type="dxa"/>
            <w:vAlign w:val="bottom"/>
          </w:tcPr>
          <w:p>
            <w:pPr>
              <w:jc w:val="right"/>
              <w:ind w:right="456"/>
              <w:spacing w:after="0"/>
              <w:rPr>
                <w:sz w:val="20"/>
                <w:szCs w:val="20"/>
                <w:color w:val="auto"/>
              </w:rPr>
            </w:pPr>
            <w:r>
              <w:rPr>
                <w:rFonts w:ascii="Arial" w:cs="Arial" w:eastAsia="Arial" w:hAnsi="Arial"/>
                <w:sz w:val="13"/>
                <w:szCs w:val="13"/>
                <w:color w:val="auto"/>
              </w:rPr>
              <w:t>$’000</w:t>
            </w:r>
          </w:p>
        </w:tc>
        <w:tc>
          <w:tcPr>
            <w:tcW w:w="1740" w:type="dxa"/>
            <w:vAlign w:val="bottom"/>
          </w:tcPr>
          <w:p>
            <w:pPr>
              <w:jc w:val="right"/>
              <w:ind w:right="736"/>
              <w:spacing w:after="0"/>
              <w:rPr>
                <w:sz w:val="20"/>
                <w:szCs w:val="20"/>
                <w:color w:val="auto"/>
              </w:rPr>
            </w:pPr>
            <w:r>
              <w:rPr>
                <w:rFonts w:ascii="Arial" w:cs="Arial" w:eastAsia="Arial" w:hAnsi="Arial"/>
                <w:sz w:val="13"/>
                <w:szCs w:val="13"/>
                <w:color w:val="auto"/>
              </w:rPr>
              <w:t>$’000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0"/>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8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8,251,340</w:t>
            </w:r>
          </w:p>
        </w:tc>
        <w:tc>
          <w:tcPr>
            <w:tcW w:w="16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8,188,990</w:t>
            </w:r>
          </w:p>
        </w:tc>
        <w:tc>
          <w:tcPr>
            <w:tcW w:w="174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rPr>
              <w:t>62,350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w:t>
            </w: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 for the year ended 31 December 2025 increased by $62.4 million, or 0.8%, to $8,251.3 million, compared to $8,189.0 million for the year ended 31 December 2024. Revenue increased by 0.1% in constant currency terms.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For the year ended 31 December 2025, the Group derived approximately 30.6%, 57.9% and 11.5% of our revenue in the United States, Europe and Rest of World, respectively. Revenues from our top five customers amounted to $2,046.2 million in the year ended 31 December 2025 compared to $2,063.6 million in the year ended 31 December 2024 or 24.8% and 25.2% respectively. New customer accounts are continually added across the full portfolio of large pharma customers, mid-tier pharma customers and biotech customers.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Revenue in Ireland increased by $479.8 million for the year ended 31 December 2025, to $3,183.6 million, compared to $2,703.8 million for the year ended 31 December 2024. Revenue in Ireland during the year ended 31 December 2025 increased by 17.7% compared to an overall increase in Group revenue of 0.8%. Revenue in Ireland is principally a function of our global contracting model (see Note 2 </w:t>
      </w:r>
      <w:r>
        <w:rPr>
          <w:rFonts w:ascii="Arial" w:cs="Arial" w:eastAsia="Arial" w:hAnsi="Arial"/>
          <w:sz w:val="13"/>
          <w:szCs w:val="13"/>
          <w:i w:val="1"/>
          <w:iCs w:val="1"/>
          <w:color w:val="auto"/>
        </w:rPr>
        <w:t>Segmental information</w:t>
      </w:r>
      <w:r>
        <w:rPr>
          <w:rFonts w:ascii="Arial" w:cs="Arial" w:eastAsia="Arial" w:hAnsi="Arial"/>
          <w:sz w:val="13"/>
          <w:szCs w:val="13"/>
          <w:color w:val="auto"/>
        </w:rPr>
        <w:t xml:space="preserve"> in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889"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Revenue in the Rest of Europe increased by $31.4 million or 2.0% for the year ended 31 December 2025, to $1,590.9 million in the year ended 31 December 2025, compared to $1,559.5 million for the year ended 31 December 2024. Revenue in the U.S. decreased by $458.2 million or 15.4% for the year ended 31 December 2025, to $2,524.9 million in the year ended 31 December 2025, compared to $2,983.1 million for the year ended 31 December 2024. Revenue in our Rest of World (‘Other’) region increased by $9.3 million or 1.0% for the year ended 31 December 2025, to $951.9 million compared to $942.6 million for the year ended 31 December 2024.</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shd w:val="clear" w:color="auto" w:fill="CCEEFF"/>
          </w:tcPr>
          <w:p>
            <w:pPr>
              <w:spacing w:after="0"/>
              <w:rPr>
                <w:sz w:val="13"/>
                <w:szCs w:val="13"/>
                <w:color w:val="auto"/>
              </w:rPr>
            </w:pPr>
          </w:p>
        </w:tc>
        <w:tc>
          <w:tcPr>
            <w:tcW w:w="43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31 December</w:t>
            </w:r>
          </w:p>
        </w:tc>
        <w:tc>
          <w:tcPr>
            <w:tcW w:w="190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31 December</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Change</w:t>
            </w:r>
          </w:p>
        </w:tc>
      </w:tr>
      <w:tr>
        <w:trPr>
          <w:trHeight w:val="127"/>
        </w:trPr>
        <w:tc>
          <w:tcPr>
            <w:tcW w:w="3800" w:type="dxa"/>
            <w:vAlign w:val="bottom"/>
            <w:shd w:val="clear" w:color="auto" w:fill="CCEEFF"/>
          </w:tcPr>
          <w:p>
            <w:pPr>
              <w:spacing w:after="0"/>
              <w:rPr>
                <w:sz w:val="11"/>
                <w:szCs w:val="11"/>
                <w:color w:val="auto"/>
              </w:rPr>
            </w:pPr>
          </w:p>
        </w:tc>
        <w:tc>
          <w:tcPr>
            <w:tcW w:w="4360" w:type="dxa"/>
            <w:vAlign w:val="bottom"/>
            <w:shd w:val="clear" w:color="auto" w:fill="CCEEFF"/>
          </w:tcPr>
          <w:p>
            <w:pPr>
              <w:jc w:val="right"/>
              <w:ind w:right="456"/>
              <w:spacing w:after="0" w:line="128" w:lineRule="exact"/>
              <w:rPr>
                <w:sz w:val="20"/>
                <w:szCs w:val="20"/>
                <w:color w:val="auto"/>
              </w:rPr>
            </w:pPr>
            <w:r>
              <w:rPr>
                <w:rFonts w:ascii="Arial" w:cs="Arial" w:eastAsia="Arial" w:hAnsi="Arial"/>
                <w:sz w:val="13"/>
                <w:szCs w:val="13"/>
                <w:b w:val="1"/>
                <w:bCs w:val="1"/>
                <w:color w:val="auto"/>
              </w:rPr>
              <w:t>2025</w:t>
            </w:r>
          </w:p>
        </w:tc>
        <w:tc>
          <w:tcPr>
            <w:tcW w:w="1900" w:type="dxa"/>
            <w:vAlign w:val="bottom"/>
            <w:shd w:val="clear" w:color="auto" w:fill="CCEEFF"/>
          </w:tcPr>
          <w:p>
            <w:pPr>
              <w:jc w:val="right"/>
              <w:ind w:right="536"/>
              <w:spacing w:after="0" w:line="128" w:lineRule="exact"/>
              <w:rPr>
                <w:sz w:val="20"/>
                <w:szCs w:val="20"/>
                <w:color w:val="auto"/>
              </w:rPr>
            </w:pPr>
            <w:r>
              <w:rPr>
                <w:rFonts w:ascii="Arial" w:cs="Arial" w:eastAsia="Arial" w:hAnsi="Arial"/>
                <w:sz w:val="13"/>
                <w:szCs w:val="13"/>
                <w:color w:val="auto"/>
              </w:rPr>
              <w:t>2024</w:t>
            </w:r>
          </w:p>
        </w:tc>
        <w:tc>
          <w:tcPr>
            <w:tcW w:w="1220" w:type="dxa"/>
            <w:vAlign w:val="bottom"/>
            <w:shd w:val="clear" w:color="auto" w:fill="CCEEFF"/>
          </w:tcPr>
          <w:p>
            <w:pPr>
              <w:spacing w:after="0"/>
              <w:rPr>
                <w:sz w:val="11"/>
                <w:szCs w:val="11"/>
                <w:color w:val="auto"/>
              </w:rPr>
            </w:pPr>
          </w:p>
        </w:tc>
      </w:tr>
      <w:tr>
        <w:trPr>
          <w:trHeight w:val="168"/>
        </w:trPr>
        <w:tc>
          <w:tcPr>
            <w:tcW w:w="380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(As Restated)</w:t>
            </w:r>
          </w:p>
        </w:tc>
        <w:tc>
          <w:tcPr>
            <w:tcW w:w="1220" w:type="dxa"/>
            <w:vAlign w:val="bottom"/>
            <w:tcBorders>
              <w:bottom w:val="single" w:sz="8" w:color="auto"/>
            </w:tcBorders>
            <w:shd w:val="clear" w:color="auto" w:fill="CCEEFF"/>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436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900" w:type="dxa"/>
            <w:vAlign w:val="bottom"/>
          </w:tcPr>
          <w:p>
            <w:pPr>
              <w:jc w:val="right"/>
              <w:ind w:right="536"/>
              <w:spacing w:after="0"/>
              <w:rPr>
                <w:sz w:val="20"/>
                <w:szCs w:val="20"/>
                <w:color w:val="auto"/>
              </w:rPr>
            </w:pPr>
            <w:r>
              <w:rPr>
                <w:rFonts w:ascii="Arial" w:cs="Arial" w:eastAsia="Arial" w:hAnsi="Arial"/>
                <w:sz w:val="13"/>
                <w:szCs w:val="13"/>
                <w:color w:val="auto"/>
              </w:rPr>
              <w:t>$’000</w:t>
            </w:r>
          </w:p>
        </w:tc>
        <w:tc>
          <w:tcPr>
            <w:tcW w:w="12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4360" w:type="dxa"/>
            <w:vAlign w:val="bottom"/>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6,076,286</w:t>
            </w:r>
          </w:p>
        </w:tc>
        <w:tc>
          <w:tcPr>
            <w:tcW w:w="190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5,817,764</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258,522</w:t>
            </w:r>
          </w:p>
        </w:tc>
      </w:tr>
      <w:tr>
        <w:trPr>
          <w:trHeight w:val="17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 of revenue</w:t>
            </w:r>
          </w:p>
        </w:tc>
        <w:tc>
          <w:tcPr>
            <w:tcW w:w="43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73.6%</w:t>
            </w:r>
          </w:p>
        </w:tc>
        <w:tc>
          <w:tcPr>
            <w:tcW w:w="19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71.0%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r>
    </w:tbl>
    <w:p>
      <w:pPr>
        <w:spacing w:after="0" w:line="24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Direct costs for the year ended 31 December 2025 increased by $258.5 million or 4.4%, to $6,076.3 million from $5,817.8 million for the year ended 31 December 2024. Direct costs consist primarily of investigator and other reimbursable costs, compensation, associated fringe benefits and share based compensation expense for project-related employees and other direct project driven costs. The increase in direct costs for the year ended 31 December 2025 as compared to 31 December 2024, arose due to an increase in third party investigator / other reimbursable costs and laboratories partially offset by decreases in personnel related costs, and travel costs. As a percentage of revenue, direct costs have increased to 73.6% for the year ended 31 December 2025 compared to 71.0% for the year ended 31 December 2024.</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31 December</w:t>
            </w:r>
          </w:p>
        </w:tc>
        <w:tc>
          <w:tcPr>
            <w:tcW w:w="18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31 December</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Change</w:t>
            </w:r>
          </w:p>
        </w:tc>
      </w:tr>
      <w:tr>
        <w:trPr>
          <w:trHeight w:val="170"/>
        </w:trPr>
        <w:tc>
          <w:tcPr>
            <w:tcW w:w="5160" w:type="dxa"/>
            <w:vAlign w:val="bottom"/>
            <w:tcBorders>
              <w:bottom w:val="single" w:sz="8" w:color="auto"/>
            </w:tcBorders>
            <w:shd w:val="clear" w:color="auto" w:fill="CCEEFF"/>
          </w:tcPr>
          <w:p>
            <w:pPr>
              <w:spacing w:after="0"/>
              <w:rPr>
                <w:sz w:val="14"/>
                <w:szCs w:val="14"/>
                <w:color w:val="auto"/>
              </w:rPr>
            </w:pPr>
          </w:p>
        </w:tc>
        <w:tc>
          <w:tcPr>
            <w:tcW w:w="29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2025</w:t>
            </w:r>
          </w:p>
        </w:tc>
        <w:tc>
          <w:tcPr>
            <w:tcW w:w="18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2024</w:t>
            </w:r>
          </w:p>
        </w:tc>
        <w:tc>
          <w:tcPr>
            <w:tcW w:w="1260" w:type="dxa"/>
            <w:vAlign w:val="bottom"/>
            <w:tcBorders>
              <w:bottom w:val="single" w:sz="8" w:color="auto"/>
            </w:tcBorders>
            <w:shd w:val="clear" w:color="auto" w:fill="CCEEFF"/>
          </w:tcPr>
          <w:p>
            <w:pPr>
              <w:spacing w:after="0"/>
              <w:rPr>
                <w:sz w:val="14"/>
                <w:szCs w:val="14"/>
                <w:color w:val="auto"/>
              </w:rPr>
            </w:pPr>
          </w:p>
        </w:tc>
      </w:tr>
      <w:tr>
        <w:trPr>
          <w:trHeight w:val="160"/>
        </w:trPr>
        <w:tc>
          <w:tcPr>
            <w:tcW w:w="5160" w:type="dxa"/>
            <w:vAlign w:val="bottom"/>
          </w:tcPr>
          <w:p>
            <w:pPr>
              <w:ind w:left="20"/>
              <w:spacing w:after="0"/>
              <w:rPr>
                <w:sz w:val="20"/>
                <w:szCs w:val="20"/>
                <w:color w:val="auto"/>
              </w:rPr>
            </w:pPr>
            <w:r>
              <w:rPr>
                <w:rFonts w:ascii="Arial" w:cs="Arial" w:eastAsia="Arial" w:hAnsi="Arial"/>
                <w:sz w:val="13"/>
                <w:szCs w:val="13"/>
                <w:color w:val="auto"/>
              </w:rPr>
              <w:t>Other operating expenses excluding exceptional items ($'000)</w:t>
            </w:r>
          </w:p>
        </w:tc>
        <w:tc>
          <w:tcPr>
            <w:tcW w:w="2980" w:type="dxa"/>
            <w:vAlign w:val="bottom"/>
          </w:tcPr>
          <w:p>
            <w:pPr>
              <w:jc w:val="right"/>
              <w:ind w:right="616"/>
              <w:spacing w:after="0"/>
              <w:rPr>
                <w:sz w:val="20"/>
                <w:szCs w:val="20"/>
                <w:color w:val="auto"/>
              </w:rPr>
            </w:pPr>
            <w:r>
              <w:rPr>
                <w:rFonts w:ascii="Arial" w:cs="Arial" w:eastAsia="Arial" w:hAnsi="Arial"/>
                <w:sz w:val="13"/>
                <w:szCs w:val="13"/>
                <w:b w:val="1"/>
                <w:bCs w:val="1"/>
                <w:color w:val="auto"/>
              </w:rPr>
              <w:t>1,163,024</w:t>
            </w:r>
          </w:p>
        </w:tc>
        <w:tc>
          <w:tcPr>
            <w:tcW w:w="1880" w:type="dxa"/>
            <w:vAlign w:val="bottom"/>
          </w:tcPr>
          <w:p>
            <w:pPr>
              <w:jc w:val="right"/>
              <w:ind w:right="676"/>
              <w:spacing w:after="0"/>
              <w:rPr>
                <w:sz w:val="20"/>
                <w:szCs w:val="20"/>
                <w:color w:val="auto"/>
              </w:rPr>
            </w:pPr>
            <w:r>
              <w:rPr>
                <w:rFonts w:ascii="Arial" w:cs="Arial" w:eastAsia="Arial" w:hAnsi="Arial"/>
                <w:sz w:val="13"/>
                <w:szCs w:val="13"/>
                <w:color w:val="auto"/>
              </w:rPr>
              <w:t>1,212,972</w:t>
            </w: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(49,948)</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298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14.1%</w:t>
            </w:r>
          </w:p>
        </w:tc>
        <w:tc>
          <w:tcPr>
            <w:tcW w:w="18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14.8%</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70"/>
        </w:trPr>
        <w:tc>
          <w:tcPr>
            <w:tcW w:w="5160" w:type="dxa"/>
            <w:vAlign w:val="bottom"/>
          </w:tcPr>
          <w:p>
            <w:pPr>
              <w:ind w:left="20"/>
              <w:spacing w:after="0"/>
              <w:rPr>
                <w:sz w:val="20"/>
                <w:szCs w:val="20"/>
                <w:color w:val="auto"/>
              </w:rPr>
            </w:pPr>
            <w:r>
              <w:rPr>
                <w:rFonts w:ascii="Arial" w:cs="Arial" w:eastAsia="Arial" w:hAnsi="Arial"/>
                <w:sz w:val="13"/>
                <w:szCs w:val="13"/>
                <w:color w:val="auto"/>
              </w:rPr>
              <w:t>Other operating expenses including exceptional items ($'000)</w:t>
            </w:r>
          </w:p>
        </w:tc>
        <w:tc>
          <w:tcPr>
            <w:tcW w:w="2980" w:type="dxa"/>
            <w:vAlign w:val="bottom"/>
          </w:tcPr>
          <w:p>
            <w:pPr>
              <w:jc w:val="right"/>
              <w:ind w:right="616"/>
              <w:spacing w:after="0"/>
              <w:rPr>
                <w:sz w:val="20"/>
                <w:szCs w:val="20"/>
                <w:color w:val="auto"/>
              </w:rPr>
            </w:pPr>
            <w:r>
              <w:rPr>
                <w:rFonts w:ascii="Arial" w:cs="Arial" w:eastAsia="Arial" w:hAnsi="Arial"/>
                <w:sz w:val="13"/>
                <w:szCs w:val="13"/>
                <w:b w:val="1"/>
                <w:bCs w:val="1"/>
                <w:color w:val="auto"/>
              </w:rPr>
              <w:t>1,747,976</w:t>
            </w:r>
          </w:p>
        </w:tc>
        <w:tc>
          <w:tcPr>
            <w:tcW w:w="1880" w:type="dxa"/>
            <w:vAlign w:val="bottom"/>
          </w:tcPr>
          <w:p>
            <w:pPr>
              <w:jc w:val="right"/>
              <w:ind w:right="676"/>
              <w:spacing w:after="0"/>
              <w:rPr>
                <w:sz w:val="20"/>
                <w:szCs w:val="20"/>
                <w:color w:val="auto"/>
              </w:rPr>
            </w:pPr>
            <w:r>
              <w:rPr>
                <w:rFonts w:ascii="Arial" w:cs="Arial" w:eastAsia="Arial" w:hAnsi="Arial"/>
                <w:sz w:val="13"/>
                <w:szCs w:val="13"/>
                <w:color w:val="auto"/>
              </w:rPr>
              <w:t>1,334,669</w:t>
            </w:r>
          </w:p>
        </w:tc>
        <w:tc>
          <w:tcPr>
            <w:tcW w:w="1260" w:type="dxa"/>
            <w:vAlign w:val="bottom"/>
          </w:tcPr>
          <w:p>
            <w:pPr>
              <w:jc w:val="right"/>
              <w:ind w:right="136"/>
              <w:spacing w:after="0"/>
              <w:rPr>
                <w:sz w:val="20"/>
                <w:szCs w:val="20"/>
                <w:color w:val="auto"/>
              </w:rPr>
            </w:pPr>
            <w:r>
              <w:rPr>
                <w:rFonts w:ascii="Arial" w:cs="Arial" w:eastAsia="Arial" w:hAnsi="Arial"/>
                <w:sz w:val="13"/>
                <w:szCs w:val="13"/>
                <w:color w:val="auto"/>
              </w:rPr>
              <w:t>413,307</w:t>
            </w:r>
          </w:p>
        </w:tc>
      </w:tr>
      <w:tr>
        <w:trPr>
          <w:trHeight w:val="17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29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21.2%</w:t>
            </w:r>
          </w:p>
        </w:tc>
        <w:tc>
          <w:tcPr>
            <w:tcW w:w="18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16.3%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r>
    </w:tbl>
    <w:p>
      <w:pPr>
        <w:spacing w:after="0" w:line="24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Other operating expenses (excluding exceptional items) for the year ended 31 December 2025 decreased by $49.9 million, or 4.1%, to $1,163.0 million compared to $1,213.0 million for the year ended 31 December 2024. Other operating expenses comprise primarily of compensation, related fringe benefits and routine share based compensation expense for non-project-related employees, recruitment expenditures, professional service costs, advertising costs, costs related to facilities and information systems, depreciation and amortisation. Further, costs incurred relating to the Investigation, including out of scope audit fees resulting from the impact of the Investigation, and in defence of the Putative Class Action (as referred to in Note 27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in Notes to the Consolidated Financial Statements) are classified within this category.</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As a percentage of revenue, other operating expenses (excluding exceptional items) decreased to 14.1% of revenue for the year ended 31 December 2025, compared to 14.8% of revenue for the year ended 31 December 2024. The decrease in costs for the year ended 31 December 2025 primarily reflects decreases in amortisation of $110.6 million, decreases in professional fees, general and marketing costs of $22.3 million, offset by adverse foreign exchange movements ($39.3 million during the year ended 31 December 2025) and increases in facilities and depreciation cost of $19.1 million.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889"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 transaction and integration-related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shd w:val="clear" w:color="auto" w:fill="CCEEFF"/>
          </w:tcPr>
          <w:p>
            <w:pPr>
              <w:spacing w:after="0"/>
              <w:rPr>
                <w:sz w:val="13"/>
                <w:szCs w:val="13"/>
                <w:color w:val="auto"/>
              </w:rPr>
            </w:pPr>
          </w:p>
        </w:tc>
        <w:tc>
          <w:tcPr>
            <w:tcW w:w="36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31 December</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31 December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Change</w:t>
            </w:r>
          </w:p>
        </w:tc>
      </w:tr>
      <w:tr>
        <w:trPr>
          <w:trHeight w:val="170"/>
        </w:trPr>
        <w:tc>
          <w:tcPr>
            <w:tcW w:w="4660" w:type="dxa"/>
            <w:vAlign w:val="bottom"/>
            <w:tcBorders>
              <w:bottom w:val="single" w:sz="8" w:color="auto"/>
            </w:tcBorders>
            <w:shd w:val="clear" w:color="auto" w:fill="CCEEFF"/>
          </w:tcPr>
          <w:p>
            <w:pPr>
              <w:spacing w:after="0"/>
              <w:rPr>
                <w:sz w:val="14"/>
                <w:szCs w:val="14"/>
                <w:color w:val="auto"/>
              </w:rPr>
            </w:pPr>
          </w:p>
        </w:tc>
        <w:tc>
          <w:tcPr>
            <w:tcW w:w="36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2025</w:t>
            </w:r>
          </w:p>
        </w:tc>
        <w:tc>
          <w:tcPr>
            <w:tcW w:w="18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2024</w:t>
            </w:r>
          </w:p>
        </w:tc>
        <w:tc>
          <w:tcPr>
            <w:tcW w:w="1160" w:type="dxa"/>
            <w:vAlign w:val="bottom"/>
            <w:tcBorders>
              <w:bottom w:val="single" w:sz="8" w:color="auto"/>
            </w:tcBorders>
            <w:shd w:val="clear" w:color="auto" w:fill="CCEEFF"/>
          </w:tcPr>
          <w:p>
            <w:pPr>
              <w:spacing w:after="0"/>
              <w:rPr>
                <w:sz w:val="14"/>
                <w:szCs w:val="14"/>
                <w:color w:val="auto"/>
              </w:rPr>
            </w:pPr>
          </w:p>
        </w:tc>
      </w:tr>
      <w:tr>
        <w:trPr>
          <w:trHeight w:val="160"/>
        </w:trPr>
        <w:tc>
          <w:tcPr>
            <w:tcW w:w="4660" w:type="dxa"/>
            <w:vAlign w:val="bottom"/>
          </w:tcPr>
          <w:p>
            <w:pPr>
              <w:ind w:left="20"/>
              <w:spacing w:after="0"/>
              <w:rPr>
                <w:sz w:val="20"/>
                <w:szCs w:val="20"/>
                <w:color w:val="auto"/>
              </w:rPr>
            </w:pPr>
            <w:r>
              <w:rPr>
                <w:rFonts w:ascii="Arial" w:cs="Arial" w:eastAsia="Arial" w:hAnsi="Arial"/>
                <w:sz w:val="13"/>
                <w:szCs w:val="13"/>
                <w:color w:val="auto"/>
              </w:rPr>
              <w:t>Transaction and integration related ($'000)</w:t>
            </w:r>
          </w:p>
        </w:tc>
        <w:tc>
          <w:tcPr>
            <w:tcW w:w="3600" w:type="dxa"/>
            <w:vAlign w:val="bottom"/>
          </w:tcPr>
          <w:p>
            <w:pPr>
              <w:jc w:val="right"/>
              <w:ind w:right="636"/>
              <w:spacing w:after="0"/>
              <w:rPr>
                <w:sz w:val="20"/>
                <w:szCs w:val="20"/>
                <w:color w:val="auto"/>
              </w:rPr>
            </w:pPr>
            <w:r>
              <w:rPr>
                <w:rFonts w:ascii="Arial" w:cs="Arial" w:eastAsia="Arial" w:hAnsi="Arial"/>
                <w:sz w:val="13"/>
                <w:szCs w:val="13"/>
                <w:b w:val="1"/>
                <w:bCs w:val="1"/>
                <w:color w:val="auto"/>
              </w:rPr>
              <w:t>25,269</w:t>
            </w:r>
          </w:p>
        </w:tc>
        <w:tc>
          <w:tcPr>
            <w:tcW w:w="1840" w:type="dxa"/>
            <w:vAlign w:val="bottom"/>
          </w:tcPr>
          <w:p>
            <w:pPr>
              <w:jc w:val="right"/>
              <w:ind w:right="636"/>
              <w:spacing w:after="0"/>
              <w:rPr>
                <w:sz w:val="20"/>
                <w:szCs w:val="20"/>
                <w:color w:val="auto"/>
              </w:rPr>
            </w:pPr>
            <w:r>
              <w:rPr>
                <w:rFonts w:ascii="Arial" w:cs="Arial" w:eastAsia="Arial" w:hAnsi="Arial"/>
                <w:sz w:val="13"/>
                <w:szCs w:val="13"/>
                <w:color w:val="auto"/>
              </w:rPr>
              <w:t>29,574</w:t>
            </w:r>
          </w:p>
        </w:tc>
        <w:tc>
          <w:tcPr>
            <w:tcW w:w="1160" w:type="dxa"/>
            <w:vAlign w:val="bottom"/>
          </w:tcPr>
          <w:p>
            <w:pPr>
              <w:jc w:val="right"/>
              <w:ind w:right="56"/>
              <w:spacing w:after="0"/>
              <w:rPr>
                <w:sz w:val="20"/>
                <w:szCs w:val="20"/>
                <w:color w:val="auto"/>
              </w:rPr>
            </w:pPr>
            <w:r>
              <w:rPr>
                <w:rFonts w:ascii="Arial" w:cs="Arial" w:eastAsia="Arial" w:hAnsi="Arial"/>
                <w:sz w:val="13"/>
                <w:szCs w:val="13"/>
                <w:color w:val="auto"/>
              </w:rPr>
              <w:t>(4,305)</w:t>
            </w: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6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0.3 %</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0.4 %</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70"/>
        </w:trPr>
        <w:tc>
          <w:tcPr>
            <w:tcW w:w="4660" w:type="dxa"/>
            <w:vAlign w:val="bottom"/>
          </w:tcPr>
          <w:p>
            <w:pPr>
              <w:ind w:left="20"/>
              <w:spacing w:after="0"/>
              <w:rPr>
                <w:sz w:val="20"/>
                <w:szCs w:val="20"/>
                <w:color w:val="auto"/>
              </w:rPr>
            </w:pPr>
            <w:r>
              <w:rPr>
                <w:rFonts w:ascii="Arial" w:cs="Arial" w:eastAsia="Arial" w:hAnsi="Arial"/>
                <w:sz w:val="13"/>
                <w:szCs w:val="13"/>
                <w:color w:val="auto"/>
              </w:rPr>
              <w:t>Restructuring ($'000)</w:t>
            </w:r>
          </w:p>
        </w:tc>
        <w:tc>
          <w:tcPr>
            <w:tcW w:w="3600" w:type="dxa"/>
            <w:vAlign w:val="bottom"/>
          </w:tcPr>
          <w:p>
            <w:pPr>
              <w:jc w:val="right"/>
              <w:ind w:right="636"/>
              <w:spacing w:after="0"/>
              <w:rPr>
                <w:sz w:val="20"/>
                <w:szCs w:val="20"/>
                <w:color w:val="auto"/>
              </w:rPr>
            </w:pPr>
            <w:r>
              <w:rPr>
                <w:rFonts w:ascii="Arial" w:cs="Arial" w:eastAsia="Arial" w:hAnsi="Arial"/>
                <w:sz w:val="13"/>
                <w:szCs w:val="13"/>
                <w:b w:val="1"/>
                <w:bCs w:val="1"/>
                <w:color w:val="auto"/>
              </w:rPr>
              <w:t>79,069</w:t>
            </w:r>
          </w:p>
        </w:tc>
        <w:tc>
          <w:tcPr>
            <w:tcW w:w="1840" w:type="dxa"/>
            <w:vAlign w:val="bottom"/>
          </w:tcPr>
          <w:p>
            <w:pPr>
              <w:jc w:val="right"/>
              <w:ind w:right="636"/>
              <w:spacing w:after="0"/>
              <w:rPr>
                <w:sz w:val="20"/>
                <w:szCs w:val="20"/>
                <w:color w:val="auto"/>
              </w:rPr>
            </w:pPr>
            <w:r>
              <w:rPr>
                <w:rFonts w:ascii="Arial" w:cs="Arial" w:eastAsia="Arial" w:hAnsi="Arial"/>
                <w:sz w:val="13"/>
                <w:szCs w:val="13"/>
                <w:color w:val="auto"/>
              </w:rPr>
              <w:t>92,123</w:t>
            </w:r>
          </w:p>
        </w:tc>
        <w:tc>
          <w:tcPr>
            <w:tcW w:w="1160" w:type="dxa"/>
            <w:vAlign w:val="bottom"/>
          </w:tcPr>
          <w:p>
            <w:pPr>
              <w:jc w:val="right"/>
              <w:ind w:right="56"/>
              <w:spacing w:after="0"/>
              <w:rPr>
                <w:sz w:val="20"/>
                <w:szCs w:val="20"/>
                <w:color w:val="auto"/>
              </w:rPr>
            </w:pPr>
            <w:r>
              <w:rPr>
                <w:rFonts w:ascii="Arial" w:cs="Arial" w:eastAsia="Arial" w:hAnsi="Arial"/>
                <w:sz w:val="13"/>
                <w:szCs w:val="13"/>
                <w:color w:val="auto"/>
              </w:rPr>
              <w:t>(13,054)</w:t>
            </w:r>
          </w:p>
        </w:tc>
      </w:tr>
      <w:tr>
        <w:trPr>
          <w:trHeight w:val="17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6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1.0%</w:t>
            </w:r>
          </w:p>
        </w:tc>
        <w:tc>
          <w:tcPr>
            <w:tcW w:w="18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w:t>
            </w:r>
          </w:p>
        </w:tc>
      </w:tr>
    </w:tbl>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year ended 31 December 2025, the Group incurred $104.3 million for restructuring, transaction and integration-related expenses. The charge includes transaction and integration costs of $25.3 million associated with ongoing integration activities related to our recent acquisitions. Such costs include professional fees, legal costs and related integration costs.</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Group has also undertaken a restructuring programme aimed at realigning its workforce as well as reviewing its global office footprint and optimising its locations to best fit the requirements of the Group. This programme has resulted in a charge of $79.1 million in the year ended 31 December 2025. In the year ended 31 December 2024, a restructuring charge of $92.1 million was recognised. The restructuring plan reflects a workforce reduction of $74.6 million (31 December 2024: $74.5 million) and an office consolidation programme to optimise the Group's office footprint of $4.5 million (31 December 2024: $17.6 million).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Impairments &amp; Provision for onerous contracts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shd w:val="clear" w:color="auto" w:fill="CCEEFF"/>
          </w:tcPr>
          <w:p>
            <w:pPr>
              <w:spacing w:after="0"/>
              <w:rPr>
                <w:sz w:val="13"/>
                <w:szCs w:val="13"/>
                <w:color w:val="auto"/>
              </w:rPr>
            </w:pPr>
          </w:p>
        </w:tc>
        <w:tc>
          <w:tcPr>
            <w:tcW w:w="36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31 December</w:t>
            </w:r>
          </w:p>
        </w:tc>
        <w:tc>
          <w:tcPr>
            <w:tcW w:w="18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31 December</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Change</w:t>
            </w:r>
          </w:p>
        </w:tc>
      </w:tr>
      <w:tr>
        <w:trPr>
          <w:trHeight w:val="170"/>
        </w:trPr>
        <w:tc>
          <w:tcPr>
            <w:tcW w:w="4740" w:type="dxa"/>
            <w:vAlign w:val="bottom"/>
            <w:tcBorders>
              <w:bottom w:val="single" w:sz="8" w:color="auto"/>
            </w:tcBorders>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2025</w:t>
            </w:r>
          </w:p>
        </w:tc>
        <w:tc>
          <w:tcPr>
            <w:tcW w:w="182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2024</w:t>
            </w:r>
          </w:p>
        </w:tc>
        <w:tc>
          <w:tcPr>
            <w:tcW w:w="1060" w:type="dxa"/>
            <w:vAlign w:val="bottom"/>
            <w:tcBorders>
              <w:bottom w:val="single" w:sz="8" w:color="auto"/>
            </w:tcBorders>
            <w:shd w:val="clear" w:color="auto" w:fill="CCEEFF"/>
          </w:tcPr>
          <w:p>
            <w:pPr>
              <w:spacing w:after="0"/>
              <w:rPr>
                <w:sz w:val="14"/>
                <w:szCs w:val="14"/>
                <w:color w:val="auto"/>
              </w:rPr>
            </w:pPr>
          </w:p>
        </w:tc>
      </w:tr>
      <w:tr>
        <w:trPr>
          <w:trHeight w:val="160"/>
        </w:trPr>
        <w:tc>
          <w:tcPr>
            <w:tcW w:w="4740" w:type="dxa"/>
            <w:vAlign w:val="bottom"/>
          </w:tcPr>
          <w:p>
            <w:pPr>
              <w:ind w:left="20"/>
              <w:spacing w:after="0"/>
              <w:rPr>
                <w:sz w:val="20"/>
                <w:szCs w:val="20"/>
                <w:color w:val="auto"/>
              </w:rPr>
            </w:pPr>
            <w:r>
              <w:rPr>
                <w:rFonts w:ascii="Arial" w:cs="Arial" w:eastAsia="Arial" w:hAnsi="Arial"/>
                <w:sz w:val="13"/>
                <w:szCs w:val="13"/>
                <w:color w:val="auto"/>
              </w:rPr>
              <w:t>Goodwill impairment ($'000)</w:t>
            </w:r>
          </w:p>
        </w:tc>
        <w:tc>
          <w:tcPr>
            <w:tcW w:w="3640" w:type="dxa"/>
            <w:vAlign w:val="bottom"/>
          </w:tcPr>
          <w:p>
            <w:pPr>
              <w:jc w:val="right"/>
              <w:ind w:right="576"/>
              <w:spacing w:after="0"/>
              <w:rPr>
                <w:sz w:val="20"/>
                <w:szCs w:val="20"/>
                <w:color w:val="auto"/>
              </w:rPr>
            </w:pPr>
            <w:r>
              <w:rPr>
                <w:rFonts w:ascii="Arial" w:cs="Arial" w:eastAsia="Arial" w:hAnsi="Arial"/>
                <w:sz w:val="13"/>
                <w:szCs w:val="13"/>
                <w:b w:val="1"/>
                <w:bCs w:val="1"/>
                <w:color w:val="auto"/>
              </w:rPr>
              <w:t>367,587</w:t>
            </w:r>
          </w:p>
        </w:tc>
        <w:tc>
          <w:tcPr>
            <w:tcW w:w="1820" w:type="dxa"/>
            <w:vAlign w:val="bottom"/>
          </w:tcPr>
          <w:p>
            <w:pPr>
              <w:ind w:left="108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367,587</w:t>
            </w:r>
          </w:p>
        </w:tc>
      </w:tr>
      <w:tr>
        <w:trPr>
          <w:trHeight w:val="17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6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4.5 %</w:t>
            </w:r>
          </w:p>
        </w:tc>
        <w:tc>
          <w:tcPr>
            <w:tcW w:w="182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70"/>
        </w:trPr>
        <w:tc>
          <w:tcPr>
            <w:tcW w:w="4740" w:type="dxa"/>
            <w:vAlign w:val="bottom"/>
          </w:tcPr>
          <w:p>
            <w:pPr>
              <w:ind w:left="20"/>
              <w:spacing w:after="0"/>
              <w:rPr>
                <w:sz w:val="20"/>
                <w:szCs w:val="20"/>
                <w:color w:val="auto"/>
              </w:rPr>
            </w:pPr>
            <w:r>
              <w:rPr>
                <w:rFonts w:ascii="Arial" w:cs="Arial" w:eastAsia="Arial" w:hAnsi="Arial"/>
                <w:sz w:val="13"/>
                <w:szCs w:val="13"/>
                <w:color w:val="auto"/>
              </w:rPr>
              <w:t>Impairment of non-financial assets ($'000)</w:t>
            </w:r>
          </w:p>
        </w:tc>
        <w:tc>
          <w:tcPr>
            <w:tcW w:w="3640" w:type="dxa"/>
            <w:vAlign w:val="bottom"/>
          </w:tcPr>
          <w:p>
            <w:pPr>
              <w:jc w:val="right"/>
              <w:ind w:right="576"/>
              <w:spacing w:after="0"/>
              <w:rPr>
                <w:sz w:val="20"/>
                <w:szCs w:val="20"/>
                <w:color w:val="auto"/>
              </w:rPr>
            </w:pPr>
            <w:r>
              <w:rPr>
                <w:rFonts w:ascii="Arial" w:cs="Arial" w:eastAsia="Arial" w:hAnsi="Arial"/>
                <w:sz w:val="13"/>
                <w:szCs w:val="13"/>
                <w:b w:val="1"/>
                <w:bCs w:val="1"/>
                <w:color w:val="auto"/>
              </w:rPr>
              <w:t>101,027</w:t>
            </w:r>
          </w:p>
        </w:tc>
        <w:tc>
          <w:tcPr>
            <w:tcW w:w="1820" w:type="dxa"/>
            <w:vAlign w:val="bottom"/>
          </w:tcPr>
          <w:p>
            <w:pPr>
              <w:ind w:left="108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101,027</w:t>
            </w:r>
          </w:p>
        </w:tc>
      </w:tr>
      <w:tr>
        <w:trPr>
          <w:trHeight w:val="17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6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1.2 %</w:t>
            </w:r>
          </w:p>
        </w:tc>
        <w:tc>
          <w:tcPr>
            <w:tcW w:w="182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244"/>
        </w:trPr>
        <w:tc>
          <w:tcPr>
            <w:tcW w:w="4740" w:type="dxa"/>
            <w:vAlign w:val="bottom"/>
          </w:tcPr>
          <w:p>
            <w:pPr>
              <w:ind w:left="20"/>
              <w:spacing w:after="0"/>
              <w:rPr>
                <w:sz w:val="20"/>
                <w:szCs w:val="20"/>
                <w:color w:val="auto"/>
              </w:rPr>
            </w:pPr>
            <w:r>
              <w:rPr>
                <w:rFonts w:ascii="Arial" w:cs="Arial" w:eastAsia="Arial" w:hAnsi="Arial"/>
                <w:sz w:val="13"/>
                <w:szCs w:val="13"/>
                <w:color w:val="auto"/>
              </w:rPr>
              <w:t>Provision for onerous contract ($'000)</w:t>
            </w:r>
          </w:p>
        </w:tc>
        <w:tc>
          <w:tcPr>
            <w:tcW w:w="3640" w:type="dxa"/>
            <w:vAlign w:val="bottom"/>
          </w:tcPr>
          <w:p>
            <w:pPr>
              <w:jc w:val="right"/>
              <w:ind w:right="576"/>
              <w:spacing w:after="0"/>
              <w:rPr>
                <w:sz w:val="20"/>
                <w:szCs w:val="20"/>
                <w:color w:val="auto"/>
              </w:rPr>
            </w:pPr>
            <w:r>
              <w:rPr>
                <w:rFonts w:ascii="Arial" w:cs="Arial" w:eastAsia="Arial" w:hAnsi="Arial"/>
                <w:sz w:val="13"/>
                <w:szCs w:val="13"/>
                <w:b w:val="1"/>
                <w:bCs w:val="1"/>
                <w:color w:val="auto"/>
              </w:rPr>
              <w:t>12,000</w:t>
            </w:r>
          </w:p>
        </w:tc>
        <w:tc>
          <w:tcPr>
            <w:tcW w:w="1820" w:type="dxa"/>
            <w:vAlign w:val="bottom"/>
          </w:tcPr>
          <w:p>
            <w:pPr>
              <w:ind w:left="108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12,000</w:t>
            </w:r>
          </w:p>
        </w:tc>
      </w:tr>
      <w:tr>
        <w:trPr>
          <w:trHeight w:val="170"/>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0.1 %</w:t>
            </w:r>
          </w:p>
        </w:tc>
        <w:tc>
          <w:tcPr>
            <w:tcW w:w="18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r>
    </w:tbl>
    <w:p>
      <w:pPr>
        <w:spacing w:after="0" w:line="244"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During the year ended 31 December 2025, an impairment indicator was identified specific to the Group's Data Solutions reporting unit that indicated the carrying amount of the Data Solutions reporting unit may not be recoverable. This indicator related to the Group’s revised expectations on the future performance of the reporting unit considering specific external market participant factors.</w:t>
      </w:r>
    </w:p>
    <w:p>
      <w:pPr>
        <w:spacing w:after="0" w:line="13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a result, the Group recorded a goodwill impairment charge of $367.6 million (31 December 2024: $nil) in the Consolidated Statements of Profit and Loss related to the Data Solutions reporting unit. This represented the entire balance of goodwill attributed to the Data Solutions reporting unit. This charge represents 4.5% of revenue for the year ending 31 December 2025. Impairment of non-financial assets of $101.0 million (31 December 2024: $nil) was recorded related to property, plant and equipment and intangible assets in the Data Solutions reporting unit. This charge represents 1.2% of revenue for the year ending 31 December 2025. Further the Group recorded a provision of $12.0 million (31 December 2024: $nil) for onerous contracts in respect of the Data Solutions reporting unit. This charge represents 0.1% of revenue for the year ending 31 December 2025.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889"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profit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shd w:val="clear" w:color="auto" w:fill="CCEEFF"/>
          </w:tcPr>
          <w:p>
            <w:pPr>
              <w:spacing w:after="0"/>
              <w:rPr>
                <w:sz w:val="13"/>
                <w:szCs w:val="13"/>
                <w:color w:val="auto"/>
              </w:rPr>
            </w:pPr>
          </w:p>
        </w:tc>
        <w:tc>
          <w:tcPr>
            <w:tcW w:w="32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31 December</w:t>
            </w: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31 December</w:t>
            </w:r>
          </w:p>
        </w:tc>
        <w:tc>
          <w:tcPr>
            <w:tcW w:w="1280" w:type="dxa"/>
            <w:vAlign w:val="bottom"/>
            <w:shd w:val="clear" w:color="auto" w:fill="CCEEFF"/>
          </w:tcPr>
          <w:p>
            <w:pPr>
              <w:ind w:left="820"/>
              <w:spacing w:after="0"/>
              <w:rPr>
                <w:sz w:val="20"/>
                <w:szCs w:val="20"/>
                <w:color w:val="auto"/>
              </w:rPr>
            </w:pPr>
            <w:r>
              <w:rPr>
                <w:rFonts w:ascii="Arial" w:cs="Arial" w:eastAsia="Arial" w:hAnsi="Arial"/>
                <w:sz w:val="13"/>
                <w:szCs w:val="13"/>
                <w:color w:val="auto"/>
                <w:w w:val="96"/>
              </w:rPr>
              <w:t>Change</w:t>
            </w:r>
          </w:p>
        </w:tc>
      </w:tr>
      <w:tr>
        <w:trPr>
          <w:trHeight w:val="127"/>
        </w:trPr>
        <w:tc>
          <w:tcPr>
            <w:tcW w:w="4860" w:type="dxa"/>
            <w:vAlign w:val="bottom"/>
            <w:shd w:val="clear" w:color="auto" w:fill="CCEEFF"/>
          </w:tcPr>
          <w:p>
            <w:pPr>
              <w:spacing w:after="0"/>
              <w:rPr>
                <w:sz w:val="11"/>
                <w:szCs w:val="11"/>
                <w:color w:val="auto"/>
              </w:rPr>
            </w:pPr>
          </w:p>
        </w:tc>
        <w:tc>
          <w:tcPr>
            <w:tcW w:w="3260" w:type="dxa"/>
            <w:vAlign w:val="bottom"/>
            <w:shd w:val="clear" w:color="auto" w:fill="CCEEFF"/>
          </w:tcPr>
          <w:p>
            <w:pPr>
              <w:jc w:val="right"/>
              <w:ind w:right="456"/>
              <w:spacing w:after="0" w:line="128" w:lineRule="exact"/>
              <w:rPr>
                <w:sz w:val="20"/>
                <w:szCs w:val="20"/>
                <w:color w:val="auto"/>
              </w:rPr>
            </w:pPr>
            <w:r>
              <w:rPr>
                <w:rFonts w:ascii="Arial" w:cs="Arial" w:eastAsia="Arial" w:hAnsi="Arial"/>
                <w:sz w:val="13"/>
                <w:szCs w:val="13"/>
                <w:b w:val="1"/>
                <w:bCs w:val="1"/>
                <w:color w:val="auto"/>
              </w:rPr>
              <w:t>2025</w:t>
            </w:r>
          </w:p>
        </w:tc>
        <w:tc>
          <w:tcPr>
            <w:tcW w:w="1880" w:type="dxa"/>
            <w:vAlign w:val="bottom"/>
            <w:shd w:val="clear" w:color="auto" w:fill="CCEEFF"/>
          </w:tcPr>
          <w:p>
            <w:pPr>
              <w:jc w:val="right"/>
              <w:ind w:right="516"/>
              <w:spacing w:after="0" w:line="128" w:lineRule="exact"/>
              <w:rPr>
                <w:sz w:val="20"/>
                <w:szCs w:val="20"/>
                <w:color w:val="auto"/>
              </w:rPr>
            </w:pPr>
            <w:r>
              <w:rPr>
                <w:rFonts w:ascii="Arial" w:cs="Arial" w:eastAsia="Arial" w:hAnsi="Arial"/>
                <w:sz w:val="13"/>
                <w:szCs w:val="13"/>
                <w:color w:val="auto"/>
              </w:rPr>
              <w:t>2024</w:t>
            </w:r>
          </w:p>
        </w:tc>
        <w:tc>
          <w:tcPr>
            <w:tcW w:w="1280" w:type="dxa"/>
            <w:vAlign w:val="bottom"/>
            <w:shd w:val="clear" w:color="auto" w:fill="CCEEFF"/>
          </w:tcPr>
          <w:p>
            <w:pPr>
              <w:spacing w:after="0"/>
              <w:rPr>
                <w:sz w:val="11"/>
                <w:szCs w:val="11"/>
                <w:color w:val="auto"/>
              </w:rPr>
            </w:pPr>
          </w:p>
        </w:tc>
      </w:tr>
      <w:tr>
        <w:trPr>
          <w:trHeight w:val="168"/>
        </w:trPr>
        <w:tc>
          <w:tcPr>
            <w:tcW w:w="486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(As Restated)</w:t>
            </w:r>
          </w:p>
        </w:tc>
        <w:tc>
          <w:tcPr>
            <w:tcW w:w="1280" w:type="dxa"/>
            <w:vAlign w:val="bottom"/>
            <w:tcBorders>
              <w:bottom w:val="single" w:sz="8" w:color="auto"/>
            </w:tcBorders>
            <w:shd w:val="clear" w:color="auto" w:fill="CCEEFF"/>
          </w:tcPr>
          <w:p>
            <w:pPr>
              <w:spacing w:after="0"/>
              <w:rPr>
                <w:sz w:val="14"/>
                <w:szCs w:val="14"/>
                <w:color w:val="auto"/>
              </w:rPr>
            </w:pPr>
          </w:p>
        </w:tc>
      </w:tr>
      <w:tr>
        <w:trPr>
          <w:trHeight w:val="162"/>
        </w:trPr>
        <w:tc>
          <w:tcPr>
            <w:tcW w:w="4860" w:type="dxa"/>
            <w:vAlign w:val="bottom"/>
          </w:tcPr>
          <w:p>
            <w:pPr>
              <w:ind w:left="20"/>
              <w:spacing w:after="0"/>
              <w:rPr>
                <w:sz w:val="20"/>
                <w:szCs w:val="20"/>
                <w:color w:val="auto"/>
              </w:rPr>
            </w:pPr>
            <w:r>
              <w:rPr>
                <w:rFonts w:ascii="Arial" w:cs="Arial" w:eastAsia="Arial" w:hAnsi="Arial"/>
                <w:sz w:val="13"/>
                <w:szCs w:val="13"/>
                <w:color w:val="auto"/>
              </w:rPr>
              <w:t>Operating profit excluding exceptional items ($'000)</w:t>
            </w:r>
          </w:p>
        </w:tc>
        <w:tc>
          <w:tcPr>
            <w:tcW w:w="3260" w:type="dxa"/>
            <w:vAlign w:val="bottom"/>
          </w:tcPr>
          <w:p>
            <w:pPr>
              <w:jc w:val="right"/>
              <w:ind w:right="596"/>
              <w:spacing w:after="0"/>
              <w:rPr>
                <w:sz w:val="20"/>
                <w:szCs w:val="20"/>
                <w:color w:val="auto"/>
              </w:rPr>
            </w:pPr>
            <w:r>
              <w:rPr>
                <w:rFonts w:ascii="Arial" w:cs="Arial" w:eastAsia="Arial" w:hAnsi="Arial"/>
                <w:sz w:val="13"/>
                <w:szCs w:val="13"/>
                <w:b w:val="1"/>
                <w:bCs w:val="1"/>
                <w:color w:val="auto"/>
              </w:rPr>
              <w:t>1,012,030</w:t>
            </w:r>
          </w:p>
        </w:tc>
        <w:tc>
          <w:tcPr>
            <w:tcW w:w="1880" w:type="dxa"/>
            <w:vAlign w:val="bottom"/>
          </w:tcPr>
          <w:p>
            <w:pPr>
              <w:jc w:val="right"/>
              <w:ind w:right="656"/>
              <w:spacing w:after="0"/>
              <w:rPr>
                <w:sz w:val="20"/>
                <w:szCs w:val="20"/>
                <w:color w:val="auto"/>
              </w:rPr>
            </w:pPr>
            <w:r>
              <w:rPr>
                <w:rFonts w:ascii="Arial" w:cs="Arial" w:eastAsia="Arial" w:hAnsi="Arial"/>
                <w:sz w:val="13"/>
                <w:szCs w:val="13"/>
                <w:color w:val="auto"/>
              </w:rPr>
              <w:t>1,158,254</w:t>
            </w: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(146,224)</w:t>
            </w: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2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12.3%</w:t>
            </w: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14.2%</w:t>
            </w:r>
          </w:p>
        </w:tc>
        <w:tc>
          <w:tcPr>
            <w:tcW w:w="1280" w:type="dxa"/>
            <w:vAlign w:val="bottom"/>
            <w:shd w:val="clear" w:color="auto" w:fill="CCEEFF"/>
          </w:tcPr>
          <w:p>
            <w:pPr>
              <w:ind w:left="820"/>
              <w:spacing w:after="0"/>
              <w:rPr>
                <w:sz w:val="20"/>
                <w:szCs w:val="20"/>
                <w:color w:val="auto"/>
              </w:rPr>
            </w:pPr>
            <w:r>
              <w:rPr>
                <w:rFonts w:ascii="Arial" w:cs="Arial" w:eastAsia="Arial" w:hAnsi="Arial"/>
                <w:sz w:val="13"/>
                <w:szCs w:val="13"/>
                <w:color w:val="auto"/>
                <w:w w:val="96"/>
              </w:rPr>
              <w:t>(12.6%)</w:t>
            </w:r>
          </w:p>
        </w:tc>
      </w:tr>
      <w:tr>
        <w:trPr>
          <w:trHeight w:val="170"/>
        </w:trPr>
        <w:tc>
          <w:tcPr>
            <w:tcW w:w="4860" w:type="dxa"/>
            <w:vAlign w:val="bottom"/>
          </w:tcPr>
          <w:p>
            <w:pPr>
              <w:ind w:left="20"/>
              <w:spacing w:after="0"/>
              <w:rPr>
                <w:sz w:val="20"/>
                <w:szCs w:val="20"/>
                <w:color w:val="auto"/>
              </w:rPr>
            </w:pPr>
            <w:r>
              <w:rPr>
                <w:rFonts w:ascii="Arial" w:cs="Arial" w:eastAsia="Arial" w:hAnsi="Arial"/>
                <w:sz w:val="13"/>
                <w:szCs w:val="13"/>
                <w:color w:val="auto"/>
              </w:rPr>
              <w:t>Operating profit including exceptional items ($'000)</w:t>
            </w:r>
          </w:p>
        </w:tc>
        <w:tc>
          <w:tcPr>
            <w:tcW w:w="3260" w:type="dxa"/>
            <w:vAlign w:val="bottom"/>
          </w:tcPr>
          <w:p>
            <w:pPr>
              <w:jc w:val="right"/>
              <w:ind w:right="596"/>
              <w:spacing w:after="0"/>
              <w:rPr>
                <w:sz w:val="20"/>
                <w:szCs w:val="20"/>
                <w:color w:val="auto"/>
              </w:rPr>
            </w:pPr>
            <w:r>
              <w:rPr>
                <w:rFonts w:ascii="Arial" w:cs="Arial" w:eastAsia="Arial" w:hAnsi="Arial"/>
                <w:sz w:val="13"/>
                <w:szCs w:val="13"/>
                <w:b w:val="1"/>
                <w:bCs w:val="1"/>
                <w:color w:val="auto"/>
              </w:rPr>
              <w:t>427,078</w:t>
            </w:r>
          </w:p>
        </w:tc>
        <w:tc>
          <w:tcPr>
            <w:tcW w:w="1880" w:type="dxa"/>
            <w:vAlign w:val="bottom"/>
          </w:tcPr>
          <w:p>
            <w:pPr>
              <w:jc w:val="right"/>
              <w:ind w:right="656"/>
              <w:spacing w:after="0"/>
              <w:rPr>
                <w:sz w:val="20"/>
                <w:szCs w:val="20"/>
                <w:color w:val="auto"/>
              </w:rPr>
            </w:pPr>
            <w:r>
              <w:rPr>
                <w:rFonts w:ascii="Arial" w:cs="Arial" w:eastAsia="Arial" w:hAnsi="Arial"/>
                <w:sz w:val="13"/>
                <w:szCs w:val="13"/>
                <w:color w:val="auto"/>
              </w:rPr>
              <w:t>1,036,557</w:t>
            </w: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(609,479)</w:t>
            </w:r>
          </w:p>
        </w:tc>
      </w:tr>
      <w:tr>
        <w:trPr>
          <w:trHeight w:val="17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32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5.2%</w:t>
            </w: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12.7%</w:t>
            </w:r>
          </w:p>
        </w:tc>
        <w:tc>
          <w:tcPr>
            <w:tcW w:w="12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w w:val="96"/>
              </w:rPr>
              <w:t>(58.8%)</w:t>
            </w:r>
          </w:p>
        </w:tc>
      </w:tr>
    </w:tbl>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Operating profit (excluding exceptional items) for the year ended 31 December 2025 decreased by $146.2 million, or 12.6%, to $1,012.0 million, compared to $1,158.3 million for the year ended 31 December 2024. As a percentage of revenue, operating profit (excluding exceptional items) for the year ended 31 December 2025 decreased to 12.3% compared to 14.2% for the year ended 31 December 2024.</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Operating profit (including exceptional items) for the year ended 31 December 2025 decreased by $609.5 million, or 58.8%, to $427.1 million, compared to $1,036.6 million for the year ended 31 December 2024. As a percentage of revenue, operating profit (including exceptional items) for the year ended 31 December 2025 decreased to 5.2% compared to 12.7% for the year ended 31 December 2024.</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Finance income and costs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120" w:type="dxa"/>
            <w:vAlign w:val="bottom"/>
            <w:shd w:val="clear" w:color="auto" w:fill="CCEEFF"/>
          </w:tcPr>
          <w:p>
            <w:pPr>
              <w:spacing w:after="0"/>
              <w:rPr>
                <w:sz w:val="13"/>
                <w:szCs w:val="13"/>
                <w:color w:val="auto"/>
              </w:rPr>
            </w:pPr>
          </w:p>
        </w:tc>
        <w:tc>
          <w:tcPr>
            <w:tcW w:w="28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6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31 December</w:t>
            </w:r>
          </w:p>
        </w:tc>
        <w:tc>
          <w:tcPr>
            <w:tcW w:w="17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Change</w:t>
            </w:r>
          </w:p>
        </w:tc>
        <w:tc>
          <w:tcPr>
            <w:tcW w:w="900" w:type="dxa"/>
            <w:vAlign w:val="bottom"/>
            <w:shd w:val="clear" w:color="auto" w:fill="CCEEFF"/>
          </w:tcPr>
          <w:p>
            <w:pPr>
              <w:spacing w:after="0"/>
              <w:rPr>
                <w:sz w:val="13"/>
                <w:szCs w:val="13"/>
                <w:color w:val="auto"/>
              </w:rPr>
            </w:pPr>
          </w:p>
        </w:tc>
      </w:tr>
      <w:tr>
        <w:trPr>
          <w:trHeight w:val="170"/>
        </w:trPr>
        <w:tc>
          <w:tcPr>
            <w:tcW w:w="4120" w:type="dxa"/>
            <w:vAlign w:val="bottom"/>
            <w:tcBorders>
              <w:bottom w:val="single" w:sz="8" w:color="auto"/>
            </w:tcBorders>
            <w:shd w:val="clear" w:color="auto" w:fill="CCEEFF"/>
          </w:tcPr>
          <w:p>
            <w:pPr>
              <w:spacing w:after="0"/>
              <w:rPr>
                <w:sz w:val="14"/>
                <w:szCs w:val="14"/>
                <w:color w:val="auto"/>
              </w:rPr>
            </w:pPr>
          </w:p>
        </w:tc>
        <w:tc>
          <w:tcPr>
            <w:tcW w:w="28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2025</w:t>
            </w:r>
          </w:p>
        </w:tc>
        <w:tc>
          <w:tcPr>
            <w:tcW w:w="1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2024</w:t>
            </w:r>
          </w:p>
        </w:tc>
        <w:tc>
          <w:tcPr>
            <w:tcW w:w="17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r>
      <w:tr>
        <w:trPr>
          <w:trHeight w:val="160"/>
        </w:trPr>
        <w:tc>
          <w:tcPr>
            <w:tcW w:w="4120" w:type="dxa"/>
            <w:vAlign w:val="bottom"/>
          </w:tcPr>
          <w:p>
            <w:pPr>
              <w:spacing w:after="0"/>
              <w:rPr>
                <w:sz w:val="13"/>
                <w:szCs w:val="13"/>
                <w:color w:val="auto"/>
              </w:rPr>
            </w:pPr>
          </w:p>
        </w:tc>
        <w:tc>
          <w:tcPr>
            <w:tcW w:w="28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456"/>
              <w:spacing w:after="0"/>
              <w:rPr>
                <w:sz w:val="20"/>
                <w:szCs w:val="20"/>
                <w:color w:val="auto"/>
              </w:rPr>
            </w:pPr>
            <w:r>
              <w:rPr>
                <w:rFonts w:ascii="Arial" w:cs="Arial" w:eastAsia="Arial" w:hAnsi="Arial"/>
                <w:sz w:val="13"/>
                <w:szCs w:val="13"/>
                <w:color w:val="auto"/>
              </w:rPr>
              <w:t>$’000</w:t>
            </w:r>
          </w:p>
        </w:tc>
        <w:tc>
          <w:tcPr>
            <w:tcW w:w="1700" w:type="dxa"/>
            <w:vAlign w:val="bottom"/>
          </w:tcPr>
          <w:p>
            <w:pPr>
              <w:jc w:val="right"/>
              <w:ind w:right="676"/>
              <w:spacing w:after="0"/>
              <w:rPr>
                <w:sz w:val="20"/>
                <w:szCs w:val="20"/>
                <w:color w:val="auto"/>
              </w:rPr>
            </w:pPr>
            <w:r>
              <w:rPr>
                <w:rFonts w:ascii="Arial" w:cs="Arial" w:eastAsia="Arial" w:hAnsi="Arial"/>
                <w:sz w:val="13"/>
                <w:szCs w:val="13"/>
                <w:color w:val="auto"/>
              </w:rPr>
              <w:t>$’000</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0"/>
        </w:trPr>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Finance income</w:t>
            </w:r>
          </w:p>
        </w:tc>
        <w:tc>
          <w:tcPr>
            <w:tcW w:w="28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7,109</w:t>
            </w:r>
          </w:p>
        </w:tc>
        <w:tc>
          <w:tcPr>
            <w:tcW w:w="1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8,609</w:t>
            </w:r>
          </w:p>
        </w:tc>
        <w:tc>
          <w:tcPr>
            <w:tcW w:w="170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(1,500)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70"/>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Finance costs excluding exceptional items</w:t>
            </w:r>
          </w:p>
        </w:tc>
        <w:tc>
          <w:tcPr>
            <w:tcW w:w="28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(203,674)</w:t>
            </w:r>
          </w:p>
        </w:tc>
        <w:tc>
          <w:tcPr>
            <w:tcW w:w="16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(242,616)</w:t>
            </w:r>
          </w:p>
        </w:tc>
        <w:tc>
          <w:tcPr>
            <w:tcW w:w="17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38,942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r>
    </w:tbl>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Finance costs decreased to $203.7 million for the year ended 31 December 2025 from $242.6 million for the year ended 31 December 2024. The decrease in the period reflects significant repayments of the Group's loan facilities in 2024, the repricing of the senior secured term loan facility and senior secured revolving credit facility in March 2024, and the impact of reduced interest rates on the New Notes issued in May 2024</w:t>
      </w:r>
      <w:r>
        <w:rPr>
          <w:rFonts w:ascii="Arial" w:cs="Arial" w:eastAsia="Arial" w:hAnsi="Arial"/>
          <w:sz w:val="13"/>
          <w:szCs w:val="13"/>
          <w:i w:val="1"/>
          <w:iCs w:val="1"/>
          <w:color w:val="auto"/>
        </w:rPr>
        <w:t>.</w:t>
      </w:r>
      <w:r>
        <w:rPr>
          <w:rFonts w:ascii="Arial" w:cs="Arial" w:eastAsia="Arial" w:hAnsi="Arial"/>
          <w:sz w:val="13"/>
          <w:szCs w:val="13"/>
          <w:color w:val="auto"/>
        </w:rPr>
        <w:t xml:space="preserve"> Finance income for the year decreased to $7.1 million for the year ended 31 December 2025 from $8.6 million for the year ended 31 December 2024.</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480" w:type="dxa"/>
            <w:vAlign w:val="bottom"/>
            <w:shd w:val="clear" w:color="auto" w:fill="CCEEFF"/>
          </w:tcPr>
          <w:p>
            <w:pPr>
              <w:spacing w:after="0"/>
              <w:rPr>
                <w:sz w:val="12"/>
                <w:szCs w:val="12"/>
                <w:color w:val="auto"/>
              </w:rPr>
            </w:pPr>
          </w:p>
        </w:tc>
        <w:tc>
          <w:tcPr>
            <w:tcW w:w="25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6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31 December</w:t>
            </w:r>
          </w:p>
        </w:tc>
        <w:tc>
          <w:tcPr>
            <w:tcW w:w="17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Change</w:t>
            </w:r>
          </w:p>
        </w:tc>
        <w:tc>
          <w:tcPr>
            <w:tcW w:w="880" w:type="dxa"/>
            <w:vAlign w:val="bottom"/>
            <w:shd w:val="clear" w:color="auto" w:fill="CCEEFF"/>
          </w:tcPr>
          <w:p>
            <w:pPr>
              <w:spacing w:after="0"/>
              <w:rPr>
                <w:sz w:val="12"/>
                <w:szCs w:val="12"/>
                <w:color w:val="auto"/>
              </w:rPr>
            </w:pPr>
          </w:p>
        </w:tc>
      </w:tr>
      <w:tr>
        <w:trPr>
          <w:trHeight w:val="127"/>
        </w:trPr>
        <w:tc>
          <w:tcPr>
            <w:tcW w:w="4480" w:type="dxa"/>
            <w:vAlign w:val="bottom"/>
            <w:shd w:val="clear" w:color="auto" w:fill="CCEEFF"/>
          </w:tcPr>
          <w:p>
            <w:pPr>
              <w:spacing w:after="0"/>
              <w:rPr>
                <w:sz w:val="11"/>
                <w:szCs w:val="11"/>
                <w:color w:val="auto"/>
              </w:rPr>
            </w:pPr>
          </w:p>
        </w:tc>
        <w:tc>
          <w:tcPr>
            <w:tcW w:w="2500" w:type="dxa"/>
            <w:vAlign w:val="bottom"/>
            <w:shd w:val="clear" w:color="auto" w:fill="CCEEFF"/>
          </w:tcPr>
          <w:p>
            <w:pPr>
              <w:jc w:val="right"/>
              <w:ind w:right="316"/>
              <w:spacing w:after="0" w:line="128" w:lineRule="exact"/>
              <w:rPr>
                <w:sz w:val="20"/>
                <w:szCs w:val="20"/>
                <w:color w:val="auto"/>
              </w:rPr>
            </w:pPr>
            <w:r>
              <w:rPr>
                <w:rFonts w:ascii="Arial" w:cs="Arial" w:eastAsia="Arial" w:hAnsi="Arial"/>
                <w:sz w:val="13"/>
                <w:szCs w:val="13"/>
                <w:b w:val="1"/>
                <w:bCs w:val="1"/>
                <w:color w:val="auto"/>
              </w:rPr>
              <w:t>2025</w:t>
            </w:r>
          </w:p>
        </w:tc>
        <w:tc>
          <w:tcPr>
            <w:tcW w:w="1660" w:type="dxa"/>
            <w:vAlign w:val="bottom"/>
            <w:shd w:val="clear" w:color="auto" w:fill="CCEEFF"/>
          </w:tcPr>
          <w:p>
            <w:pPr>
              <w:jc w:val="right"/>
              <w:ind w:right="416"/>
              <w:spacing w:after="0" w:line="128" w:lineRule="exact"/>
              <w:rPr>
                <w:sz w:val="20"/>
                <w:szCs w:val="20"/>
                <w:color w:val="auto"/>
              </w:rPr>
            </w:pPr>
            <w:r>
              <w:rPr>
                <w:rFonts w:ascii="Arial" w:cs="Arial" w:eastAsia="Arial" w:hAnsi="Arial"/>
                <w:sz w:val="13"/>
                <w:szCs w:val="13"/>
                <w:color w:val="auto"/>
              </w:rPr>
              <w:t>2024</w:t>
            </w:r>
          </w:p>
        </w:tc>
        <w:tc>
          <w:tcPr>
            <w:tcW w:w="1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68"/>
        </w:trPr>
        <w:tc>
          <w:tcPr>
            <w:tcW w:w="4480" w:type="dxa"/>
            <w:vAlign w:val="bottom"/>
            <w:tcBorders>
              <w:bottom w:val="single" w:sz="8" w:color="auto"/>
            </w:tcBorders>
            <w:shd w:val="clear" w:color="auto" w:fill="CCEEFF"/>
          </w:tcPr>
          <w:p>
            <w:pPr>
              <w:spacing w:after="0"/>
              <w:rPr>
                <w:sz w:val="14"/>
                <w:szCs w:val="14"/>
                <w:color w:val="auto"/>
              </w:rPr>
            </w:pPr>
          </w:p>
        </w:tc>
        <w:tc>
          <w:tcPr>
            <w:tcW w:w="25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(As Restated)</w:t>
            </w:r>
          </w:p>
        </w:tc>
        <w:tc>
          <w:tcPr>
            <w:tcW w:w="17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r>
      <w:tr>
        <w:trPr>
          <w:trHeight w:val="162"/>
        </w:trPr>
        <w:tc>
          <w:tcPr>
            <w:tcW w:w="4480" w:type="dxa"/>
            <w:vAlign w:val="bottom"/>
          </w:tcPr>
          <w:p>
            <w:pPr>
              <w:ind w:left="20"/>
              <w:spacing w:after="0"/>
              <w:rPr>
                <w:sz w:val="20"/>
                <w:szCs w:val="20"/>
                <w:color w:val="auto"/>
              </w:rPr>
            </w:pPr>
            <w:r>
              <w:rPr>
                <w:rFonts w:ascii="Arial" w:cs="Arial" w:eastAsia="Arial" w:hAnsi="Arial"/>
                <w:sz w:val="13"/>
                <w:szCs w:val="13"/>
                <w:color w:val="auto"/>
              </w:rPr>
              <w:t>Income tax expense excluding exceptional items ($'000)</w:t>
            </w:r>
          </w:p>
        </w:tc>
        <w:tc>
          <w:tcPr>
            <w:tcW w:w="2500" w:type="dxa"/>
            <w:vAlign w:val="bottom"/>
          </w:tcPr>
          <w:p>
            <w:pPr>
              <w:jc w:val="right"/>
              <w:ind w:right="476"/>
              <w:spacing w:after="0"/>
              <w:rPr>
                <w:sz w:val="20"/>
                <w:szCs w:val="20"/>
                <w:color w:val="auto"/>
              </w:rPr>
            </w:pPr>
            <w:r>
              <w:rPr>
                <w:rFonts w:ascii="Arial" w:cs="Arial" w:eastAsia="Arial" w:hAnsi="Arial"/>
                <w:sz w:val="13"/>
                <w:szCs w:val="13"/>
                <w:b w:val="1"/>
                <w:bCs w:val="1"/>
                <w:color w:val="auto"/>
              </w:rPr>
              <w:t>57,966</w:t>
            </w:r>
          </w:p>
        </w:tc>
        <w:tc>
          <w:tcPr>
            <w:tcW w:w="1660" w:type="dxa"/>
            <w:vAlign w:val="bottom"/>
          </w:tcPr>
          <w:p>
            <w:pPr>
              <w:jc w:val="right"/>
              <w:ind w:right="576"/>
              <w:spacing w:after="0"/>
              <w:rPr>
                <w:sz w:val="20"/>
                <w:szCs w:val="20"/>
                <w:color w:val="auto"/>
              </w:rPr>
            </w:pPr>
            <w:r>
              <w:rPr>
                <w:rFonts w:ascii="Arial" w:cs="Arial" w:eastAsia="Arial" w:hAnsi="Arial"/>
                <w:sz w:val="13"/>
                <w:szCs w:val="13"/>
                <w:color w:val="auto"/>
              </w:rPr>
              <w:t>96,749</w:t>
            </w:r>
          </w:p>
        </w:tc>
        <w:tc>
          <w:tcPr>
            <w:tcW w:w="1700" w:type="dxa"/>
            <w:vAlign w:val="bottom"/>
          </w:tcPr>
          <w:p>
            <w:pPr>
              <w:jc w:val="right"/>
              <w:ind w:right="676"/>
              <w:spacing w:after="0"/>
              <w:rPr>
                <w:sz w:val="20"/>
                <w:szCs w:val="20"/>
                <w:color w:val="auto"/>
              </w:rPr>
            </w:pPr>
            <w:r>
              <w:rPr>
                <w:rFonts w:ascii="Arial" w:cs="Arial" w:eastAsia="Arial" w:hAnsi="Arial"/>
                <w:sz w:val="13"/>
                <w:szCs w:val="13"/>
                <w:color w:val="auto"/>
              </w:rPr>
              <w:t>(38,783)</w:t>
            </w:r>
          </w:p>
        </w:tc>
        <w:tc>
          <w:tcPr>
            <w:tcW w:w="880" w:type="dxa"/>
            <w:vAlign w:val="bottom"/>
          </w:tcPr>
          <w:p>
            <w:pPr>
              <w:jc w:val="right"/>
              <w:spacing w:after="0"/>
              <w:rPr>
                <w:sz w:val="20"/>
                <w:szCs w:val="20"/>
                <w:color w:val="auto"/>
              </w:rPr>
            </w:pPr>
            <w:r>
              <w:rPr>
                <w:rFonts w:ascii="Arial" w:cs="Arial" w:eastAsia="Arial" w:hAnsi="Arial"/>
                <w:sz w:val="13"/>
                <w:szCs w:val="13"/>
                <w:color w:val="auto"/>
              </w:rPr>
              <w:t>(40.1%)</w:t>
            </w:r>
          </w:p>
        </w:tc>
      </w:tr>
      <w:tr>
        <w:trPr>
          <w:trHeight w:val="17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income tax rate (%)</w:t>
            </w:r>
          </w:p>
        </w:tc>
        <w:tc>
          <w:tcPr>
            <w:tcW w:w="25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7.1 %</w:t>
            </w:r>
          </w:p>
        </w:tc>
        <w:tc>
          <w:tcPr>
            <w:tcW w:w="16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10.5 %</w:t>
            </w:r>
          </w:p>
        </w:tc>
        <w:tc>
          <w:tcPr>
            <w:tcW w:w="17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4480" w:type="dxa"/>
            <w:vAlign w:val="bottom"/>
          </w:tcPr>
          <w:p>
            <w:pPr>
              <w:ind w:left="20"/>
              <w:spacing w:after="0"/>
              <w:rPr>
                <w:sz w:val="20"/>
                <w:szCs w:val="20"/>
                <w:color w:val="auto"/>
              </w:rPr>
            </w:pPr>
            <w:r>
              <w:rPr>
                <w:rFonts w:ascii="Arial" w:cs="Arial" w:eastAsia="Arial" w:hAnsi="Arial"/>
                <w:sz w:val="13"/>
                <w:szCs w:val="13"/>
                <w:color w:val="auto"/>
              </w:rPr>
              <w:t>Income tax expense including exceptional items ($'000)</w:t>
            </w:r>
          </w:p>
        </w:tc>
        <w:tc>
          <w:tcPr>
            <w:tcW w:w="2500" w:type="dxa"/>
            <w:vAlign w:val="bottom"/>
          </w:tcPr>
          <w:p>
            <w:pPr>
              <w:jc w:val="right"/>
              <w:ind w:right="476"/>
              <w:spacing w:after="0"/>
              <w:rPr>
                <w:sz w:val="20"/>
                <w:szCs w:val="20"/>
                <w:color w:val="auto"/>
              </w:rPr>
            </w:pPr>
            <w:r>
              <w:rPr>
                <w:rFonts w:ascii="Arial" w:cs="Arial" w:eastAsia="Arial" w:hAnsi="Arial"/>
                <w:sz w:val="13"/>
                <w:szCs w:val="13"/>
                <w:b w:val="1"/>
                <w:bCs w:val="1"/>
                <w:color w:val="auto"/>
              </w:rPr>
              <w:t>16,475</w:t>
            </w:r>
          </w:p>
        </w:tc>
        <w:tc>
          <w:tcPr>
            <w:tcW w:w="1660" w:type="dxa"/>
            <w:vAlign w:val="bottom"/>
          </w:tcPr>
          <w:p>
            <w:pPr>
              <w:jc w:val="right"/>
              <w:ind w:right="576"/>
              <w:spacing w:after="0"/>
              <w:rPr>
                <w:sz w:val="20"/>
                <w:szCs w:val="20"/>
                <w:color w:val="auto"/>
              </w:rPr>
            </w:pPr>
            <w:r>
              <w:rPr>
                <w:rFonts w:ascii="Arial" w:cs="Arial" w:eastAsia="Arial" w:hAnsi="Arial"/>
                <w:sz w:val="13"/>
                <w:szCs w:val="13"/>
                <w:color w:val="auto"/>
              </w:rPr>
              <w:t>75,473</w:t>
            </w:r>
          </w:p>
        </w:tc>
        <w:tc>
          <w:tcPr>
            <w:tcW w:w="1700" w:type="dxa"/>
            <w:vAlign w:val="bottom"/>
          </w:tcPr>
          <w:p>
            <w:pPr>
              <w:jc w:val="right"/>
              <w:ind w:right="676"/>
              <w:spacing w:after="0"/>
              <w:rPr>
                <w:sz w:val="20"/>
                <w:szCs w:val="20"/>
                <w:color w:val="auto"/>
              </w:rPr>
            </w:pPr>
            <w:r>
              <w:rPr>
                <w:rFonts w:ascii="Arial" w:cs="Arial" w:eastAsia="Arial" w:hAnsi="Arial"/>
                <w:sz w:val="13"/>
                <w:szCs w:val="13"/>
                <w:color w:val="auto"/>
              </w:rPr>
              <w:t>(58,998)</w:t>
            </w:r>
          </w:p>
        </w:tc>
        <w:tc>
          <w:tcPr>
            <w:tcW w:w="880" w:type="dxa"/>
            <w:vAlign w:val="bottom"/>
          </w:tcPr>
          <w:p>
            <w:pPr>
              <w:jc w:val="right"/>
              <w:spacing w:after="0"/>
              <w:rPr>
                <w:sz w:val="20"/>
                <w:szCs w:val="20"/>
                <w:color w:val="auto"/>
              </w:rPr>
            </w:pPr>
            <w:r>
              <w:rPr>
                <w:rFonts w:ascii="Arial" w:cs="Arial" w:eastAsia="Arial" w:hAnsi="Arial"/>
                <w:sz w:val="13"/>
                <w:szCs w:val="13"/>
                <w:color w:val="auto"/>
              </w:rPr>
              <w:t>(78.2%)</w:t>
            </w:r>
          </w:p>
        </w:tc>
      </w:tr>
      <w:tr>
        <w:trPr>
          <w:trHeight w:val="17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Effective income tax rate (%)</w:t>
            </w:r>
          </w:p>
        </w:tc>
        <w:tc>
          <w:tcPr>
            <w:tcW w:w="2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7.1%</w:t>
            </w: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9.4%</w:t>
            </w:r>
          </w:p>
        </w:tc>
        <w:tc>
          <w:tcPr>
            <w:tcW w:w="17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r>
    </w:tbl>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Income tax expense (including exceptional items) for the period decreased to $16.5 million for the year ended 31 December 2025 from $75.5 million for the year ended 31 December 2024. The Group’s effective tax rate (including exceptional items) for the year ended 31 December 2025 was 7.1% (7.1% excluding the effect of exceptional items) compared with 9.4% (10.5% excluding the effect of exceptional items) for the year ended 31 December 2024; primarily due to changes in various tax laws and the level of deferred tax benefit associated with the amortisation of intangible assets. With the exception of the foregoing, the Group's effective tax rate remains principally a function of the distribution of pre-tax profits amongst the territories in which it operates.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and uncertainties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Under Irish Company Law (Section 327 of the Companies Act), the Directors are required to give a description of the principal risks and uncertainties which it faced at 31 December 2025. Details of the principal risks and uncertainties facing the Group are set out in Appendix A: Risk Factors of this annual report and form an integral part of the Directors’ Report.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80"/>
          </w:cols>
          <w:pgMar w:left="300" w:top="889"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Future developments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Group looks forward to continuing to expand through organic growth, together with strategic acquisitions to enhance its expertise and capabilities in certain areas of the clinical development process and to continue to deliver on its mission to accelerate the development of drugs and devices that save lives and improve the quality of life.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Please see Note 29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in Notes to the Consolidated Financial Statements for details of events in the period from year-end to the approval of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 management</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 xml:space="preserve">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to ensure the minimisation of financial risk at reasonable cost. The Group’s financial instruments comprise cash and cash equivalents, current asset investments, lease obligations and negotiated debt facilities. The main purpose of these financial instruments is to fund the working capital requirements of the Group, the cost of new acquisitions and ensure continued growth. The Group also occasionally uses derivative financial instruments to reduce exposure to fluctuations in foreign exchange rates. The principal financial risk facing the Group is foreign exchange risk and interest rate risk (although interest rate risk is now limited: at 31 December 2025, 73% of the Group's outstanding debt was at a fixed interest rate (31 December 2024: 73%)). Other financial risks include credit risk and liquidity risk. Further details are set out in Note 24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in Notes to the Consolidated Financial Statements and Note 11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in Notes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On 1 July 2021, the Group completed the acquisition of PRA Health Sciences, Inc. (“PRA”) by means of a merger whereby Indigo Merger Sub, Inc., a Delaware corporation and subsidiary of ICON, merged with and into PRA, the parent of PRA Health Sciences (the “Merger”). In conjunction with the completion of the merger, ICON entered into a credit agreement (the “Credit Agreement”) providing for a senior secured term loan facility of $5,515 million and a senior secured revolving loan facility in an initial aggregate principal amount of $300 million (the “Senior Secured Credit Facilities”).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Credit Facilities, the Group issued $500 million in aggregate principal amount of 2.875% senior secured notes in a private offering (the “2026 Notes”). On 2 May 2023, the Group agreed with its lenders to increase the aggregate principal amount of the senior secured revolving loan facility from $300 million to $500 million.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Notes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On 8 May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Repricing - senior secured term loan facility</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14 March 2024, the parties to the Credit Agreement entered into a Third Amendment to the Credit Agreement (the “Third Amendment”) in connection with the repricing of the senior secured term loan facility and the senior secured revolving credit facility (The Third Amendment in relation to the senior secured revolving credit facility was further amended by the Fourth Amendment as referred to below).</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889"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Repricing and extension – senior secured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On 26 November 2025, the parties to the Credit Agreement entered into a Fourth Amendment (the “Fourth Amendment”) to reprice and extend the senior secured revolving credit facility.</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a result of the Fourth Amendment, the maturity was extended from a five-year term to a seven-year term ending 1 July 2028. Reflecting the Fourth Amendment, the interest rate margin applicable to borrowings under the revolving loan facility will be, at the option of the borrower, either (i) the applicable base rate plus an applicable margin of 0.35% or 0.00%, based on the Company’s current corporate family rating assigned by S&amp;P of BB (or lower) or BB+ (or higher), respectively, or (ii) Term SOFR plus an applicable margin of 1.35%, 1.00%, 0.75%, 0.55%, or 0.40%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utilisation fees dependent on the proportion of the facility drawn.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 repayment</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During the year ended 31 December 2025, the Group made mandatory principal repayments of $29.8 million (31 December 2024: mandatory and voluntary principal repayments of $2,304.8 million) of the senior secured term loan facility. There have been no voluntary repayments made during the year ended 31 December 2025. For the year ended 31 December 2024, voluntary repayments resulted in an accelerated charge associated with previously capitalised fees of $16.9 million.</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In addition, during the year ended 31 December 2025, the Group drew $50.0 million (31 December 2024: $318.0 million) of the senior secured revolving loan facility and repaid $50.0 million (31 December 2024: $373.0 million). At 31 December 2025, $nil was drawn under the senior secured revolving loan facility (31 December 2024: $nil). Refer to Note 21 </w:t>
      </w:r>
      <w:r>
        <w:rPr>
          <w:rFonts w:ascii="Arial" w:cs="Arial" w:eastAsia="Arial" w:hAnsi="Arial"/>
          <w:sz w:val="13"/>
          <w:szCs w:val="13"/>
          <w:i w:val="1"/>
          <w:iCs w:val="1"/>
          <w:color w:val="auto"/>
        </w:rPr>
        <w:t>Bank credit lines and loan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facilities </w:t>
      </w:r>
      <w:r>
        <w:rPr>
          <w:rFonts w:ascii="Arial" w:cs="Arial" w:eastAsia="Arial" w:hAnsi="Arial"/>
          <w:sz w:val="13"/>
          <w:szCs w:val="13"/>
          <w:color w:val="auto"/>
        </w:rPr>
        <w:t>in Notes to the Consolidated Financial Statements for further details on the Company's Senior Secured Credit Facilities.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Bridge Secured Credit Facility</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27 April 2026, ICON Global Treasury Unlimited Company (the “Bridge Facility Borrower”) entered into a bridge facility credit agreement for an aggregate principal amount of $500 million (the "Bridge Secured Credit Facility"). The proceeds of the Bridge Secured Credit Facility may be used to discharge and repay in full $500 million aggregate principal amount of 2.875% Senior Secured Notes (the “2026 Notes”) issued by a subsidiary of the Group in July 2021. The Bridge Secured Credit Facility will mature on 26 April 2027.</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borrowings under the Bridge Secured Credit Facility do not amortise and are due at final maturity. The interest rate margin applicable to borrowings under the Bridge Secured Credit Facility is USD Term SOFR plus a fixed calendared applicable margin ranging from 1.00% to 2.25%. At 25 June 2026 , the applicable margin was 1.00%.</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Bridge Facility Borrower’s obligations under the Bridge Secured Credit Facility are guaranteed by ICON and the subsidiary guarantors party thereto. The Bridge Secured Credit Facility is secured by a lien on substantially all of the assets (subject to certain exceptions) of ICON, the Bridge Facility Borrower and each of the subsidiary guarantors, and the Bridge Secured Credit Facility will have a first-priority lien on such assets which will rank pari passu with the lien securing ICON’s other first lien secured indebtedness and is subject to other permitted liens. The Company is permitted to make voluntary prepayments under the Bridge Secured Credit Facility without premium or penalty (subject to customary break funding payments).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Bridge Secured Credit Facility contains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Bridge Secured Credit Facility provides that, upon the occurrence of certain events of default, the obligations under the credit agreement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monetary judgments, material pension-plan events, change of control and other customary events of default.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Group has contractual liabilities for lease arrangements of $153.4 million which will be predominantly settled over the next five year period through cash payments.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subsequent events are set out in Note 29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in Notes to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80"/>
          </w:cols>
          <w:pgMar w:left="300" w:top="889"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and Company Secretary</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concerning the composition of the Company’s Board and its committees as of 31 December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8080" w:type="dxa"/>
            <w:vAlign w:val="bottom"/>
            <w:tcBorders>
              <w:bottom w:val="single" w:sz="8" w:color="auto"/>
            </w:tcBorders>
            <w:shd w:val="clear" w:color="auto" w:fill="CCEEFF"/>
          </w:tcPr>
          <w:p>
            <w:pPr>
              <w:ind w:left="1920"/>
              <w:spacing w:after="0"/>
              <w:rPr>
                <w:sz w:val="20"/>
                <w:szCs w:val="20"/>
                <w:color w:val="auto"/>
              </w:rPr>
            </w:pPr>
            <w:r>
              <w:rPr>
                <w:rFonts w:ascii="Arial" w:cs="Arial" w:eastAsia="Arial" w:hAnsi="Arial"/>
                <w:sz w:val="13"/>
                <w:szCs w:val="13"/>
                <w:b w:val="1"/>
                <w:bCs w:val="1"/>
                <w:color w:val="auto"/>
              </w:rPr>
              <w:t>Position</w:t>
            </w:r>
          </w:p>
        </w:tc>
      </w:tr>
      <w:tr>
        <w:trPr>
          <w:trHeight w:val="169"/>
        </w:trPr>
        <w:tc>
          <w:tcPr>
            <w:tcW w:w="3180" w:type="dxa"/>
            <w:vAlign w:val="bottom"/>
          </w:tcPr>
          <w:p>
            <w:pPr>
              <w:ind w:left="20"/>
              <w:spacing w:after="0"/>
              <w:rPr>
                <w:sz w:val="20"/>
                <w:szCs w:val="20"/>
                <w:color w:val="auto"/>
              </w:rPr>
            </w:pPr>
            <w:r>
              <w:rPr>
                <w:rFonts w:ascii="Arial" w:cs="Arial" w:eastAsia="Arial" w:hAnsi="Arial"/>
                <w:sz w:val="13"/>
                <w:szCs w:val="13"/>
                <w:color w:val="auto"/>
              </w:rPr>
              <w:t>Ciaran Murray</w:t>
            </w:r>
          </w:p>
        </w:tc>
        <w:tc>
          <w:tcPr>
            <w:tcW w:w="8080" w:type="dxa"/>
            <w:vAlign w:val="bottom"/>
          </w:tcPr>
          <w:p>
            <w:pPr>
              <w:ind w:left="1920"/>
              <w:spacing w:after="0"/>
              <w:rPr>
                <w:sz w:val="20"/>
                <w:szCs w:val="20"/>
                <w:color w:val="auto"/>
              </w:rPr>
            </w:pPr>
            <w:r>
              <w:rPr>
                <w:rFonts w:ascii="Arial" w:cs="Arial" w:eastAsia="Arial" w:hAnsi="Arial"/>
                <w:sz w:val="13"/>
                <w:szCs w:val="13"/>
                <w:color w:val="auto"/>
              </w:rPr>
              <w:t>Chair and Director</w:t>
            </w:r>
          </w:p>
        </w:tc>
      </w:tr>
      <w:tr>
        <w:trPr>
          <w:trHeight w:val="192"/>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Barry Balfe </w:t>
            </w:r>
            <w:r>
              <w:rPr>
                <w:rFonts w:ascii="Arial" w:cs="Arial" w:eastAsia="Arial" w:hAnsi="Arial"/>
                <w:sz w:val="16"/>
                <w:szCs w:val="16"/>
                <w:color w:val="auto"/>
                <w:vertAlign w:val="superscript"/>
              </w:rPr>
              <w:t>(1)(5)</w:t>
            </w:r>
          </w:p>
        </w:tc>
        <w:tc>
          <w:tcPr>
            <w:tcW w:w="8080" w:type="dxa"/>
            <w:vAlign w:val="bottom"/>
            <w:shd w:val="clear" w:color="auto" w:fill="CCEEFF"/>
          </w:tcPr>
          <w:p>
            <w:pPr>
              <w:ind w:left="1920"/>
              <w:spacing w:after="0"/>
              <w:rPr>
                <w:sz w:val="20"/>
                <w:szCs w:val="20"/>
                <w:color w:val="auto"/>
              </w:rPr>
            </w:pPr>
            <w:r>
              <w:rPr>
                <w:rFonts w:ascii="Arial" w:cs="Arial" w:eastAsia="Arial" w:hAnsi="Arial"/>
                <w:sz w:val="13"/>
                <w:szCs w:val="13"/>
                <w:color w:val="auto"/>
              </w:rPr>
              <w:t>Chief Executive Officer and Director</w:t>
            </w:r>
          </w:p>
        </w:tc>
      </w:tr>
      <w:tr>
        <w:trPr>
          <w:trHeight w:val="170"/>
        </w:trPr>
        <w:tc>
          <w:tcPr>
            <w:tcW w:w="31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Rónán Murphy </w:t>
            </w:r>
            <w:r>
              <w:rPr>
                <w:rFonts w:ascii="Arial" w:cs="Arial" w:eastAsia="Arial" w:hAnsi="Arial"/>
                <w:sz w:val="16"/>
                <w:szCs w:val="16"/>
                <w:color w:val="auto"/>
                <w:vertAlign w:val="superscript"/>
              </w:rPr>
              <w:t>(2)(3)(5)</w:t>
            </w:r>
          </w:p>
        </w:tc>
        <w:tc>
          <w:tcPr>
            <w:tcW w:w="8080" w:type="dxa"/>
            <w:vAlign w:val="bottom"/>
          </w:tcPr>
          <w:p>
            <w:pPr>
              <w:ind w:left="1920"/>
              <w:spacing w:after="0"/>
              <w:rPr>
                <w:sz w:val="20"/>
                <w:szCs w:val="20"/>
                <w:color w:val="auto"/>
              </w:rPr>
            </w:pPr>
            <w:r>
              <w:rPr>
                <w:rFonts w:ascii="Arial" w:cs="Arial" w:eastAsia="Arial" w:hAnsi="Arial"/>
                <w:sz w:val="13"/>
                <w:szCs w:val="13"/>
                <w:color w:val="auto"/>
              </w:rPr>
              <w:t>Lead Independent Director</w:t>
            </w:r>
          </w:p>
        </w:tc>
      </w:tr>
      <w:tr>
        <w:trPr>
          <w:trHeight w:val="170"/>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8080" w:type="dxa"/>
            <w:vAlign w:val="bottom"/>
            <w:shd w:val="clear" w:color="auto" w:fill="CCEEFF"/>
          </w:tcPr>
          <w:p>
            <w:pPr>
              <w:ind w:left="1920"/>
              <w:spacing w:after="0"/>
              <w:rPr>
                <w:sz w:val="20"/>
                <w:szCs w:val="20"/>
                <w:color w:val="auto"/>
              </w:rPr>
            </w:pPr>
            <w:r>
              <w:rPr>
                <w:rFonts w:ascii="Arial" w:cs="Arial" w:eastAsia="Arial" w:hAnsi="Arial"/>
                <w:sz w:val="13"/>
                <w:szCs w:val="13"/>
                <w:color w:val="auto"/>
              </w:rPr>
              <w:t>Director</w:t>
            </w:r>
          </w:p>
        </w:tc>
      </w:tr>
      <w:tr>
        <w:trPr>
          <w:trHeight w:val="190"/>
        </w:trPr>
        <w:tc>
          <w:tcPr>
            <w:tcW w:w="318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8080" w:type="dxa"/>
            <w:vAlign w:val="bottom"/>
          </w:tcPr>
          <w:p>
            <w:pPr>
              <w:ind w:left="1920"/>
              <w:spacing w:after="0"/>
              <w:rPr>
                <w:sz w:val="20"/>
                <w:szCs w:val="20"/>
                <w:color w:val="auto"/>
              </w:rPr>
            </w:pPr>
            <w:r>
              <w:rPr>
                <w:rFonts w:ascii="Arial" w:cs="Arial" w:eastAsia="Arial" w:hAnsi="Arial"/>
                <w:sz w:val="13"/>
                <w:szCs w:val="13"/>
                <w:color w:val="auto"/>
              </w:rPr>
              <w:t>Director</w:t>
            </w:r>
          </w:p>
        </w:tc>
      </w:tr>
      <w:tr>
        <w:trPr>
          <w:trHeight w:val="171"/>
        </w:trPr>
        <w:tc>
          <w:tcPr>
            <w:tcW w:w="31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Eugene McCague </w:t>
            </w:r>
            <w:r>
              <w:rPr>
                <w:rFonts w:ascii="Arial" w:cs="Arial" w:eastAsia="Arial" w:hAnsi="Arial"/>
                <w:sz w:val="16"/>
                <w:szCs w:val="16"/>
                <w:color w:val="auto"/>
                <w:vertAlign w:val="superscript"/>
              </w:rPr>
              <w:t>(3)(4)</w:t>
            </w:r>
          </w:p>
        </w:tc>
        <w:tc>
          <w:tcPr>
            <w:tcW w:w="8080" w:type="dxa"/>
            <w:vAlign w:val="bottom"/>
            <w:shd w:val="clear" w:color="auto" w:fill="CCEEFF"/>
          </w:tcPr>
          <w:p>
            <w:pPr>
              <w:ind w:left="1920"/>
              <w:spacing w:after="0"/>
              <w:rPr>
                <w:sz w:val="20"/>
                <w:szCs w:val="20"/>
                <w:color w:val="auto"/>
              </w:rPr>
            </w:pPr>
            <w:r>
              <w:rPr>
                <w:rFonts w:ascii="Arial" w:cs="Arial" w:eastAsia="Arial" w:hAnsi="Arial"/>
                <w:sz w:val="13"/>
                <w:szCs w:val="13"/>
                <w:color w:val="auto"/>
              </w:rPr>
              <w:t>Director</w:t>
            </w:r>
          </w:p>
        </w:tc>
      </w:tr>
      <w:tr>
        <w:trPr>
          <w:trHeight w:val="170"/>
        </w:trPr>
        <w:tc>
          <w:tcPr>
            <w:tcW w:w="31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Julie O'Neill </w:t>
            </w:r>
            <w:r>
              <w:rPr>
                <w:rFonts w:ascii="Arial" w:cs="Arial" w:eastAsia="Arial" w:hAnsi="Arial"/>
                <w:sz w:val="16"/>
                <w:szCs w:val="16"/>
                <w:color w:val="auto"/>
                <w:vertAlign w:val="superscript"/>
              </w:rPr>
              <w:t>(2)(3)</w:t>
            </w:r>
          </w:p>
        </w:tc>
        <w:tc>
          <w:tcPr>
            <w:tcW w:w="8080" w:type="dxa"/>
            <w:vAlign w:val="bottom"/>
          </w:tcPr>
          <w:p>
            <w:pPr>
              <w:ind w:left="1920"/>
              <w:spacing w:after="0"/>
              <w:rPr>
                <w:sz w:val="20"/>
                <w:szCs w:val="20"/>
                <w:color w:val="auto"/>
              </w:rPr>
            </w:pPr>
            <w:r>
              <w:rPr>
                <w:rFonts w:ascii="Arial" w:cs="Arial" w:eastAsia="Arial" w:hAnsi="Arial"/>
                <w:sz w:val="13"/>
                <w:szCs w:val="13"/>
                <w:color w:val="auto"/>
              </w:rPr>
              <w:t>Director</w:t>
            </w:r>
          </w:p>
        </w:tc>
      </w:tr>
      <w:tr>
        <w:trPr>
          <w:trHeight w:val="191"/>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Dr. Linda Grais </w:t>
            </w:r>
            <w:r>
              <w:rPr>
                <w:rFonts w:ascii="Arial" w:cs="Arial" w:eastAsia="Arial" w:hAnsi="Arial"/>
                <w:sz w:val="16"/>
                <w:szCs w:val="16"/>
                <w:color w:val="auto"/>
                <w:vertAlign w:val="superscript"/>
              </w:rPr>
              <w:t>(2)(4)</w:t>
            </w:r>
          </w:p>
        </w:tc>
        <w:tc>
          <w:tcPr>
            <w:tcW w:w="8080" w:type="dxa"/>
            <w:vAlign w:val="bottom"/>
            <w:shd w:val="clear" w:color="auto" w:fill="CCEEFF"/>
          </w:tcPr>
          <w:p>
            <w:pPr>
              <w:ind w:left="1920"/>
              <w:spacing w:after="0"/>
              <w:rPr>
                <w:sz w:val="20"/>
                <w:szCs w:val="20"/>
                <w:color w:val="auto"/>
              </w:rPr>
            </w:pPr>
            <w:r>
              <w:rPr>
                <w:rFonts w:ascii="Arial" w:cs="Arial" w:eastAsia="Arial" w:hAnsi="Arial"/>
                <w:sz w:val="13"/>
                <w:szCs w:val="13"/>
                <w:color w:val="auto"/>
              </w:rPr>
              <w:t>Director</w:t>
            </w:r>
          </w:p>
        </w:tc>
      </w:tr>
      <w:tr>
        <w:trPr>
          <w:trHeight w:val="170"/>
        </w:trPr>
        <w:tc>
          <w:tcPr>
            <w:tcW w:w="31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Anne Whitaker </w:t>
            </w:r>
            <w:r>
              <w:rPr>
                <w:rFonts w:ascii="Arial" w:cs="Arial" w:eastAsia="Arial" w:hAnsi="Arial"/>
                <w:sz w:val="16"/>
                <w:szCs w:val="16"/>
                <w:color w:val="auto"/>
                <w:vertAlign w:val="superscript"/>
              </w:rPr>
              <w:t>(4)</w:t>
            </w:r>
          </w:p>
        </w:tc>
        <w:tc>
          <w:tcPr>
            <w:tcW w:w="8080" w:type="dxa"/>
            <w:vAlign w:val="bottom"/>
          </w:tcPr>
          <w:p>
            <w:pPr>
              <w:ind w:left="1920"/>
              <w:spacing w:after="0"/>
              <w:rPr>
                <w:sz w:val="20"/>
                <w:szCs w:val="20"/>
                <w:color w:val="auto"/>
              </w:rPr>
            </w:pPr>
            <w:r>
              <w:rPr>
                <w:rFonts w:ascii="Arial" w:cs="Arial" w:eastAsia="Arial" w:hAnsi="Arial"/>
                <w:sz w:val="13"/>
                <w:szCs w:val="13"/>
                <w:color w:val="auto"/>
              </w:rPr>
              <w:t>Director</w:t>
            </w:r>
          </w:p>
        </w:tc>
      </w:tr>
      <w:tr>
        <w:trPr>
          <w:trHeight w:val="170"/>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8080" w:type="dxa"/>
            <w:vAlign w:val="bottom"/>
            <w:shd w:val="clear" w:color="auto" w:fill="CCEEFF"/>
          </w:tcPr>
          <w:p>
            <w:pPr>
              <w:ind w:left="1920"/>
              <w:spacing w:after="0"/>
              <w:rPr>
                <w:sz w:val="20"/>
                <w:szCs w:val="20"/>
                <w:color w:val="auto"/>
              </w:rPr>
            </w:pPr>
            <w:r>
              <w:rPr>
                <w:rFonts w:ascii="Arial" w:cs="Arial" w:eastAsia="Arial" w:hAnsi="Arial"/>
                <w:sz w:val="13"/>
                <w:szCs w:val="13"/>
                <w:color w:val="auto"/>
              </w:rPr>
              <w:t>Company Secretary</w:t>
            </w:r>
          </w:p>
        </w:tc>
      </w:tr>
    </w:tbl>
    <w:p>
      <w:pPr>
        <w:spacing w:after="0" w:line="202" w:lineRule="exact"/>
        <w:rPr>
          <w:sz w:val="20"/>
          <w:szCs w:val="20"/>
          <w:color w:val="auto"/>
        </w:rPr>
      </w:pP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Named Executive Officer of the Company.</w:t>
      </w: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Member of Compensation and Organisation Committee.</w:t>
      </w: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Member of Audit Committee.</w:t>
      </w:r>
    </w:p>
    <w:p>
      <w:pPr>
        <w:ind w:left="1020" w:hanging="506"/>
        <w:spacing w:after="0" w:line="221" w:lineRule="auto"/>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Member of Nominating, Sustainability and Governance Committee.</w:t>
      </w: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Member of Execution Committee.</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4 September 2025, the Group announced that Chief Executive Officer (“CEO”), Dr. Steve Cutler, would retire from his role as CEO effective 1 October 2025 and Mr. Barry Balfe, ICON's Chief Operating Officer (“COO”), would succeed Dr. Cutler on that date. Mr. Balfe was also appointed to the Board of Directors effective 3 September 2025. Dr. Cutler resigned from the Board effective 21 May 2026.</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Effective 1 June 2026, Mr. Kevin Egan and Mr. Jeff Elliott joined the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 and interests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required by Companies Act, section 329, of Directors’ interests in the Group’s shares are set out in Note 10 </w:t>
      </w:r>
      <w:r>
        <w:rPr>
          <w:rFonts w:ascii="Arial" w:cs="Arial" w:eastAsia="Arial" w:hAnsi="Arial"/>
          <w:sz w:val="13"/>
          <w:szCs w:val="13"/>
          <w:i w:val="1"/>
          <w:iCs w:val="1"/>
          <w:color w:val="auto"/>
        </w:rPr>
        <w:t>Payroll and related benefits</w:t>
      </w:r>
      <w:r>
        <w:rPr>
          <w:rFonts w:ascii="Arial" w:cs="Arial" w:eastAsia="Arial" w:hAnsi="Arial"/>
          <w:sz w:val="13"/>
          <w:szCs w:val="13"/>
          <w:color w:val="auto"/>
        </w:rPr>
        <w:t xml:space="preserve"> in Notes to the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the Directors’ remuneration are set out in Note 6 </w:t>
      </w:r>
      <w:r>
        <w:rPr>
          <w:rFonts w:ascii="Arial" w:cs="Arial" w:eastAsia="Arial" w:hAnsi="Arial"/>
          <w:sz w:val="13"/>
          <w:szCs w:val="13"/>
          <w:i w:val="1"/>
          <w:iCs w:val="1"/>
          <w:color w:val="auto"/>
        </w:rPr>
        <w:t>Profit before taxation</w:t>
      </w:r>
      <w:r>
        <w:rPr>
          <w:rFonts w:ascii="Arial" w:cs="Arial" w:eastAsia="Arial" w:hAnsi="Arial"/>
          <w:sz w:val="13"/>
          <w:szCs w:val="13"/>
          <w:color w:val="auto"/>
        </w:rPr>
        <w:t xml:space="preserve"> and Note 10 </w:t>
      </w:r>
      <w:r>
        <w:rPr>
          <w:rFonts w:ascii="Arial" w:cs="Arial" w:eastAsia="Arial" w:hAnsi="Arial"/>
          <w:sz w:val="13"/>
          <w:szCs w:val="13"/>
          <w:i w:val="1"/>
          <w:iCs w:val="1"/>
          <w:color w:val="auto"/>
        </w:rPr>
        <w:t>Payroll and related benefits</w:t>
      </w:r>
      <w:r>
        <w:rPr>
          <w:rFonts w:ascii="Arial" w:cs="Arial" w:eastAsia="Arial" w:hAnsi="Arial"/>
          <w:sz w:val="13"/>
          <w:szCs w:val="13"/>
          <w:color w:val="auto"/>
        </w:rPr>
        <w:t xml:space="preserve"> in Notes to the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authority to allot and purchase shares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the provisions of the Companies Act 2014 and the Company’s Constitution, the Directors are authorised to allot relevant securities, subject to approval by the shareholders of the Company in general meeting. Such authority is granted by ordinary resolution and is limited in amount and duration in accordance with applicable law. At each Annual General Meeting, shareholders renew the Directors’ authority to allot shares, to disapply statutory pre-emption rights, and to authorise the Company to purchase its own shares within specified limits.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18 February 2025, the Company's Board of Directors authorised an additional share repurchase programme under which the Company could acquire up to $750.0 million of the outstanding ordinary shares of the Company (by way of redemption). On 22 July 2025, the Company's Board of Directors authorised a further additional repurchase programme under which the Company could repurchase up to $500.0 million of the outstanding ordinary shares of the Company (by way of redemption).</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31 December 2025, 4,504,330 ordinary shares were redeemed by the Company at an average price of $166.51 per share for a total consideration of $750.0 million. As of 31 December 2025, the Company has remaining authorisation (which includes unutilised amounts from previous authorisations) to repurchase up to $750.0 million of ordinary shares under the repurchase programme.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ordinary shares that were redeemed under the repurchase programmes were cancelled in accordance with the constitution of the Company and the nominal value of these shares transferred to other undenominated capital as required by Irish Company law.</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Further detail on the share repurchase programmes is included in Note 22 </w:t>
      </w:r>
      <w:r>
        <w:rPr>
          <w:rFonts w:ascii="Arial" w:cs="Arial" w:eastAsia="Arial" w:hAnsi="Arial"/>
          <w:sz w:val="13"/>
          <w:szCs w:val="13"/>
          <w:i w:val="1"/>
          <w:iCs w:val="1"/>
          <w:color w:val="auto"/>
        </w:rPr>
        <w:t>Share capital</w:t>
      </w:r>
      <w:r>
        <w:rPr>
          <w:rFonts w:ascii="Arial" w:cs="Arial" w:eastAsia="Arial" w:hAnsi="Arial"/>
          <w:sz w:val="13"/>
          <w:szCs w:val="13"/>
          <w:color w:val="auto"/>
        </w:rPr>
        <w:t xml:space="preserve"> in Notes to the Consolidated Financial Statements</w:t>
      </w:r>
      <w:r>
        <w:rPr>
          <w:rFonts w:ascii="Arial" w:cs="Arial" w:eastAsia="Arial" w:hAnsi="Arial"/>
          <w:sz w:val="13"/>
          <w:szCs w:val="13"/>
          <w:i w:val="1"/>
          <w:iCs w:val="1"/>
          <w:color w:val="auto"/>
        </w:rPr>
        <w:t>.</w:t>
      </w:r>
    </w:p>
    <w:p>
      <w:pPr>
        <w:spacing w:after="0" w:line="37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00" w:top="889"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Rights and Obligations attaching to the Company’s shares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authorised share capital of the Company is €6,000,000 divided into 100,000,000 ordinary shares of €0.06 at 31 December 2025.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all assets available for distribution will be paid out to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of control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 certain number of the Group’s customer contracts allow the customer to terminate the contract in the event of a change in control of the Group.</w:t>
      </w:r>
    </w:p>
    <w:p>
      <w:pPr>
        <w:jc w:val="both"/>
        <w:spacing w:after="0" w:line="247" w:lineRule="auto"/>
        <w:rPr>
          <w:sz w:val="20"/>
          <w:szCs w:val="20"/>
          <w:color w:val="auto"/>
        </w:rPr>
      </w:pPr>
      <w:r>
        <w:rPr>
          <w:rFonts w:ascii="Arial" w:cs="Arial" w:eastAsia="Arial" w:hAnsi="Arial"/>
          <w:sz w:val="13"/>
          <w:szCs w:val="13"/>
          <w:color w:val="auto"/>
        </w:rPr>
        <w:t xml:space="preserve">The Senior Secured Credit Facilities, details of which are set out in Note 21 </w:t>
      </w:r>
      <w:r>
        <w:rPr>
          <w:rFonts w:ascii="Arial" w:cs="Arial" w:eastAsia="Arial" w:hAnsi="Arial"/>
          <w:sz w:val="13"/>
          <w:szCs w:val="13"/>
          <w:i w:val="1"/>
          <w:iCs w:val="1"/>
          <w:color w:val="auto"/>
        </w:rPr>
        <w:t>Bank credit lines and loan facilities</w:t>
      </w:r>
      <w:r>
        <w:rPr>
          <w:rFonts w:ascii="Arial" w:cs="Arial" w:eastAsia="Arial" w:hAnsi="Arial"/>
          <w:sz w:val="13"/>
          <w:szCs w:val="13"/>
          <w:color w:val="auto"/>
        </w:rPr>
        <w:t xml:space="preserve"> in Notes to the Consolidated Financial Statements, provides that, upon the occurrence of a change of control, the obligations thereunder may be accelerated.</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New Notes, details of which are set out in Note 21 </w:t>
      </w:r>
      <w:r>
        <w:rPr>
          <w:rFonts w:ascii="Arial" w:cs="Arial" w:eastAsia="Arial" w:hAnsi="Arial"/>
          <w:sz w:val="13"/>
          <w:szCs w:val="13"/>
          <w:i w:val="1"/>
          <w:iCs w:val="1"/>
          <w:color w:val="auto"/>
        </w:rPr>
        <w:t>Bank credit lines and loan facilities</w:t>
      </w:r>
      <w:r>
        <w:rPr>
          <w:rFonts w:ascii="Arial" w:cs="Arial" w:eastAsia="Arial" w:hAnsi="Arial"/>
          <w:sz w:val="13"/>
          <w:szCs w:val="13"/>
          <w:color w:val="auto"/>
        </w:rPr>
        <w:t xml:space="preserve"> in Notes to the Consolidated Financial Statements, provides that, unless the Issuer has previously or concurrently delivered a redemption notice with respect to all the outstanding notes within 30 days following such Change of Control Triggering Event, the Issuer will make an offer to purchase all of the notes on the terms set forth in the indenture.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listed on the NASDAQ Global Select Market. The Company complies with the corporate governance listing requirements under the NASDAQ marketplace rules.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exemptions that the Company relies on, and the practices the Company adheres to, are as follows:</w:t>
      </w:r>
    </w:p>
    <w:p>
      <w:pPr>
        <w:spacing w:after="0" w:line="190" w:lineRule="exact"/>
        <w:rPr>
          <w:sz w:val="20"/>
          <w:szCs w:val="20"/>
          <w:color w:val="auto"/>
        </w:rPr>
      </w:pPr>
    </w:p>
    <w:p>
      <w:pPr>
        <w:jc w:val="both"/>
        <w:ind w:left="520" w:hanging="260"/>
        <w:spacing w:after="0" w:line="242"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71" w:lineRule="exact"/>
        <w:rPr>
          <w:rFonts w:ascii="Arial" w:cs="Arial" w:eastAsia="Arial" w:hAnsi="Arial"/>
          <w:sz w:val="13"/>
          <w:szCs w:val="13"/>
          <w:color w:val="auto"/>
        </w:rPr>
      </w:pPr>
    </w:p>
    <w:p>
      <w:pPr>
        <w:jc w:val="both"/>
        <w:ind w:left="520" w:hanging="260"/>
        <w:spacing w:after="0" w:line="241"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80"/>
          </w:cols>
          <w:pgMar w:left="300" w:top="889"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520" w:hanging="260"/>
        <w:spacing w:after="0" w:line="242"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practices with regard to these requirements are not prohibited by Irish law.</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typically on an annual basis, with updates to such pre-approvals considered on a quarterly basis. Additional audit and non-audit services not covered by the annual or quarterly pre-approvals may be approved by the Audit Committee on a case-by-case basis. Between scheduled meetings, the Chair of the Audit Committee may pre-approve such services, which are subsequently reported to the full Audit Committee at its next meeting.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Chief Administrative Officer and General Counsel and the external auditors normally attend all meetings of the Audit Committee and have direct access to the Committee Chairperson at all times. The Audit Committee is responsible for the oversight and monitoring of the external reporting on environmental, social and governance (“ESG”) matters included in the financial statements and data quality related to such reporting in coordination with the Nominating, Sustainability and Governance Committee. The Audit Committee is currently comprised of three independent Directors: Mr. Rónán Murphy (Chairperson), Mr. Eugene McCague and Ms. Julie O'Neill.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20" w:type="dxa"/>
            <w:vAlign w:val="bottom"/>
          </w:tcPr>
          <w:p>
            <w:pPr>
              <w:spacing w:after="0"/>
              <w:rPr>
                <w:sz w:val="20"/>
                <w:szCs w:val="20"/>
                <w:color w:val="auto"/>
              </w:rPr>
            </w:pPr>
            <w:r>
              <w:rPr>
                <w:rFonts w:ascii="Arial" w:cs="Arial" w:eastAsia="Arial" w:hAnsi="Arial"/>
                <w:sz w:val="13"/>
                <w:szCs w:val="13"/>
                <w:b w:val="1"/>
                <w:bCs w:val="1"/>
                <w:color w:val="auto"/>
              </w:rPr>
              <w:t>Significant shareholdings</w:t>
            </w:r>
          </w:p>
        </w:tc>
        <w:tc>
          <w:tcPr>
            <w:tcW w:w="10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34"/>
        </w:trPr>
        <w:tc>
          <w:tcPr>
            <w:tcW w:w="8620" w:type="dxa"/>
            <w:vAlign w:val="bottom"/>
          </w:tcPr>
          <w:p>
            <w:pPr>
              <w:spacing w:after="0"/>
              <w:rPr>
                <w:sz w:val="20"/>
                <w:szCs w:val="20"/>
                <w:color w:val="auto"/>
              </w:rPr>
            </w:pPr>
            <w:r>
              <w:rPr>
                <w:rFonts w:ascii="Arial" w:cs="Arial" w:eastAsia="Arial" w:hAnsi="Arial"/>
                <w:sz w:val="13"/>
                <w:szCs w:val="13"/>
                <w:color w:val="auto"/>
              </w:rPr>
              <w:t>The Company has been notified of the following shareholdings in excess of 3% of the issued share capital of the Company as at 31 December 2025:</w:t>
            </w: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5"/>
        </w:trPr>
        <w:tc>
          <w:tcPr>
            <w:tcW w:w="8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0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Number of Shares</w:t>
            </w:r>
          </w:p>
        </w:tc>
      </w:tr>
      <w:tr>
        <w:trPr>
          <w:trHeight w:val="15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Artisan Partners Limited Partnership</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9.0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6,873,977</w:t>
            </w:r>
          </w:p>
        </w:tc>
      </w:tr>
      <w:tr>
        <w:trPr>
          <w:trHeight w:val="16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Wellington Management Group, LLP</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5.7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4,350,750</w:t>
            </w:r>
          </w:p>
        </w:tc>
      </w:tr>
      <w:tr>
        <w:trPr>
          <w:trHeight w:val="16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Orbis Investment Management Ltd.</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5.5</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4,208,000</w:t>
            </w:r>
          </w:p>
        </w:tc>
      </w:tr>
      <w:tr>
        <w:trPr>
          <w:trHeight w:val="16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Invesco Ltd.</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4.9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3,757,896</w:t>
            </w:r>
          </w:p>
        </w:tc>
      </w:tr>
      <w:tr>
        <w:trPr>
          <w:trHeight w:val="16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FMR LLC</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4.0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3,097,895</w:t>
            </w:r>
          </w:p>
        </w:tc>
      </w:tr>
      <w:tr>
        <w:trPr>
          <w:trHeight w:val="16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Principal Financial Group Inc</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3.9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3,001,535</w:t>
            </w:r>
          </w:p>
        </w:tc>
      </w:tr>
      <w:tr>
        <w:trPr>
          <w:trHeight w:val="16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Ninety One UK Limited</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3.8</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2,945,810</w:t>
            </w:r>
          </w:p>
        </w:tc>
      </w:tr>
      <w:tr>
        <w:trPr>
          <w:trHeight w:val="160"/>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Harris Associates L.P.</w:t>
            </w:r>
          </w:p>
        </w:tc>
        <w:tc>
          <w:tcPr>
            <w:tcW w:w="10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3.3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2,510,166</w:t>
            </w:r>
          </w:p>
        </w:tc>
      </w:tr>
      <w:tr>
        <w:trPr>
          <w:trHeight w:val="162"/>
        </w:trPr>
        <w:tc>
          <w:tcPr>
            <w:tcW w:w="8620" w:type="dxa"/>
            <w:vAlign w:val="bottom"/>
            <w:tcBorders>
              <w:bottom w:val="single" w:sz="8" w:color="auto"/>
            </w:tcBorders>
          </w:tcPr>
          <w:p>
            <w:pPr>
              <w:ind w:left="20"/>
              <w:spacing w:after="0" w:line="161" w:lineRule="exact"/>
              <w:rPr>
                <w:sz w:val="20"/>
                <w:szCs w:val="20"/>
                <w:color w:val="auto"/>
              </w:rPr>
            </w:pPr>
            <w:r>
              <w:rPr>
                <w:rFonts w:ascii="Arial" w:cs="Arial" w:eastAsia="Arial" w:hAnsi="Arial"/>
                <w:sz w:val="13"/>
                <w:szCs w:val="13"/>
                <w:color w:val="auto"/>
              </w:rPr>
              <w:t xml:space="preserve">All Directors, officers and other key employees as a group </w:t>
            </w:r>
            <w:r>
              <w:rPr>
                <w:rFonts w:ascii="Arial" w:cs="Arial" w:eastAsia="Arial" w:hAnsi="Arial"/>
                <w:sz w:val="16"/>
                <w:szCs w:val="16"/>
                <w:color w:val="auto"/>
                <w:vertAlign w:val="superscript"/>
              </w:rPr>
              <w:t>(1)</w:t>
            </w: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1.2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915,240</w:t>
            </w:r>
          </w:p>
        </w:tc>
      </w:tr>
    </w:tbl>
    <w:p>
      <w:pPr>
        <w:spacing w:after="0" w:line="244" w:lineRule="exact"/>
        <w:rPr>
          <w:sz w:val="20"/>
          <w:szCs w:val="20"/>
          <w:color w:val="auto"/>
        </w:rPr>
      </w:pPr>
    </w:p>
    <w:p>
      <w:pPr>
        <w:jc w:val="both"/>
        <w:ind w:left="260" w:hanging="255"/>
        <w:spacing w:after="0" w:line="236" w:lineRule="auto"/>
        <w:tabs>
          <w:tab w:leader="none" w:pos="255"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Includes 373,437 ordinary shares issuable upon the exercise of stock options granted by the Company, 94,875 RSUs awarded by the Company to Directors, officers and other key employees and 36,358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Further detailed breakdown of the Directors' interest is included in Note 10 </w:t>
      </w:r>
      <w:r>
        <w:rPr>
          <w:rFonts w:ascii="Arial" w:cs="Arial" w:eastAsia="Arial" w:hAnsi="Arial"/>
          <w:sz w:val="13"/>
          <w:szCs w:val="13"/>
          <w:i w:val="1"/>
          <w:iCs w:val="1"/>
          <w:color w:val="auto"/>
        </w:rPr>
        <w:t>Payroll and related benefits</w:t>
      </w:r>
      <w:r>
        <w:rPr>
          <w:rFonts w:ascii="Arial" w:cs="Arial" w:eastAsia="Arial" w:hAnsi="Arial"/>
          <w:sz w:val="13"/>
          <w:szCs w:val="13"/>
          <w:color w:val="auto"/>
        </w:rPr>
        <w:t xml:space="preserve"> in Notes to the Consolidated Financial Statements</w:t>
      </w:r>
      <w:r>
        <w:rPr>
          <w:rFonts w:ascii="Arial" w:cs="Arial" w:eastAsia="Arial" w:hAnsi="Arial"/>
          <w:sz w:val="13"/>
          <w:szCs w:val="13"/>
          <w:i w:val="1"/>
          <w:iCs w:val="1"/>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Subsidiary undertakings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information required by the Companies Act in relation to subsidiary undertakings is presented in Note 30 </w:t>
      </w:r>
      <w:r>
        <w:rPr>
          <w:rFonts w:ascii="Arial" w:cs="Arial" w:eastAsia="Arial" w:hAnsi="Arial"/>
          <w:sz w:val="13"/>
          <w:szCs w:val="13"/>
          <w:i w:val="1"/>
          <w:iCs w:val="1"/>
          <w:color w:val="auto"/>
        </w:rPr>
        <w:t>Subsidiary undertakings</w:t>
      </w:r>
      <w:r>
        <w:rPr>
          <w:rFonts w:ascii="Arial" w:cs="Arial" w:eastAsia="Arial" w:hAnsi="Arial"/>
          <w:sz w:val="13"/>
          <w:szCs w:val="13"/>
          <w:color w:val="auto"/>
        </w:rPr>
        <w:t xml:space="preserve"> in Notes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Political donations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Group made no disclosable political donations in the period.</w:t>
      </w:r>
    </w:p>
    <w:p>
      <w:pPr>
        <w:spacing w:after="0" w:line="200" w:lineRule="exact"/>
        <w:rPr>
          <w:sz w:val="20"/>
          <w:szCs w:val="20"/>
          <w:color w:val="auto"/>
        </w:rPr>
      </w:pPr>
    </w:p>
    <w:p>
      <w:pPr>
        <w:spacing w:after="0" w:line="36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80"/>
          </w:cols>
          <w:pgMar w:left="300" w:top="889"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time period that the Directors have considered in evaluating the appropriateness of the going concern basis in preparing the 31 December 2025 Consolidated Financial Statements is a period of at least twelve months from the date of approval of these financial statements (the “period of assessment”).</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Group has considerable financial resources and a large number of customers across different geographic areas. Having assessed the relevant business risks (see Appendix A: Risk Factors) the Directors believe that the Group is well placed to manage these risks successfully and they have a reasonable expectation that ICON plc, and the Group as a whole, has adequate financial and other resources to continue in operational existence for the period of assessment with no material uncertainties. For this reason, the Group continues to adopt the going concern basis in preparing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records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registered office at South County Business Park, Leopardstown, Dublin 18.</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relevant audit information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Directors believe that they have taken all steps necessary to make themselves aware of any relevant audit information and have established that the Company's statutory auditor is aware of that information. In so far as they are aware, there is no relevant audit information of which the Company's statutory auditors are unaware.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of non-financial information</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European Union (Disclosure of Non-Financial and Diversity Information by certain large undertakings and groups) Regulations 2017 require disclosure of certain non-financial information by certain large undertakings and groups.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We have sought to address the requirements of the legislation in the sections following.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Model</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mission is to improve the lives of patients by accelerating the development of our customers’ drugs and devices through innovative solutions. We are passionate about providing innovative solutions for customers. ICON is a values-driven company. We focus on agility, collaboration, inclusion and integrity in our work and interactions with our colleagues, suppliers, customers and patients. We are advancing clinical research while offering customers broader and deeper experience, scale, and focus, complemented by continuity of delivery and speed to market. Our business model is described in the “Principal activities, business review and future developments” section of the Directors’ Report. Consistent with our values, we seek to not only operate in compliance with applicable laws but also to positively influence our global workforce, the communities that we operate in, the environment and society as a whole. Doing so makes us a stronger, more resilient organisation by every measure.</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core values underpin our mission and drive a culture and mind-set of ownership at ICON. “Own it at ICON”, is a statement of values that has remained at the very heart of ICON’s culture, encouraging our people to seize the opportunity and bring flexibility, innovation, and determination to every situation. We believe our culture of ownership personifies who we are as a company - it also helps us apply our expertise, collaborate to get things done, and succeed at our mission. Our values also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 our officers, directors, employees, consultants and agents globally. All employees and temporary workers are mandated to complete annual global ethics training and confirm they have read and understood the Code of Ethical Conduct.</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At ICON, we care about conducting business sustainably. We care about our people, patients, and the communities in which we live. We care about doing the right thing and we are committed to working to the highest ethical standards and demonstrating our commitment to honesty, transparency, and quality. As a testament to our commitment, we launched our “ICON Cares” programme at the start of 2023 which incorporates all our Environment, Social and Governance (“ESG”) initiatives into one programme. ICON’s Environment, Social, and Governance Committee (“ESG Committee”) brings together all these initiatives and efforts under one umbrella to ensure consistency, enhance monitoring, reveal areas for development and facilitate reporting to the Board.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80"/>
          </w:cols>
          <w:pgMar w:left="300" w:top="889"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Nominating, Sustainability, and Governance Committee of the ICON plc Board has oversight responsibilities in respect to ESG-related strategies and initiatives. The Chief Administrative Officer and General Counsel (“CAO”) chairs the ESG Committee and reports on ESG matters to the Nominating, Sustainability and Governance Committee regularly and reports to the Board at least annually whilst also providing periodic ESG updates to the executive leadership team. ICON’s ESG programme office reports to the CAO and delivers centralised reporting and tracking of ESG initiatives. The Audit Committee has oversight responsibilities in respect to ESG-related reporting in the ICON financial statements. The Chief Financial Officer (“CFO”) reports to the Audit Committee on ESG-related reporting matters.</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health and safety, corporate communications, finance, legal, investor relations, procurement, commercial, marketing, and human resources departments. The Committee meets regularly to assist and support executive management and the Board and its committees in:</w:t>
      </w:r>
    </w:p>
    <w:p>
      <w:pPr>
        <w:spacing w:after="0" w:line="172"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determining and setting the strategy relating to ESG matters;</w:t>
      </w:r>
    </w:p>
    <w:p>
      <w:pPr>
        <w:spacing w:after="0" w:line="11" w:lineRule="exact"/>
        <w:rPr>
          <w:rFonts w:ascii="Arial" w:cs="Arial" w:eastAsia="Arial" w:hAnsi="Arial"/>
          <w:sz w:val="13"/>
          <w:szCs w:val="13"/>
          <w:color w:val="auto"/>
        </w:rPr>
      </w:pPr>
    </w:p>
    <w:p>
      <w:pPr>
        <w:ind w:left="500" w:hanging="240"/>
        <w:spacing w:after="0" w:line="221" w:lineRule="auto"/>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developing, implementing and monitoring initiatives and policies based on that strategy;</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managing ESG related impacts, risks and opportunities; and</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communicating these strategies, initiatives, and their results.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are committed to building and developing our ESG strategies and reporting. We maintain an ESG page on the external ICON website and have an internal ICON Cares ESG page on our MyICON intranet portal to engage with employees and provide information and updates relating to ESG matters and our commitment to sustainability. In 2021, as a testament to our commitment to managing ICON responsibly and sustainably, we became a participant in the United Nations Global Compact (“UNGC”), a set of Ten Principles covering the areas of human rights, labour, environment, and anti-corruption. In our 2024 ESG report, released in 2025, we reported under the Global Reporting Initiative (“GRI, 2021”) standards, the International Financial Reporting Standards (“IFRS”) S2 index and the Sustainability Accounting Standards Board (“SASB”) index. The report also outlines several ways in which ICON contributes to selected 2030 United Nations Sustainable Development Goals (“SDGs”) and associated targets. The ICON Cares Report summarises our current policies, priorities, commitments, achievements, and progress in respect to ESG matters. In 2026, ICON was awarded a Platinum medal by EcoVadis, achieving a score of 87/100. This represents an improvement on the Silver medal and score of 72/100 received in 2025 in recognition of our environmental, social and governance performance and management efforts across the organisation.</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global landscape in respect to regulatory and legislative requirements relating to ESG reporting and disclosure requirements is rapidly evolving, and we are monitoring potential requirements so that we are positioned to adhere to any additional requirements in due course. This includes mandatory reporting under the Corporate Sustainability Reporting Directive (“CSRD”) from the EU and under the International Financial Reporting Standards (“IFRS”) S1 and S2 standards.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Building a sustainable future – our commitment to the United Nations Sustainable Development Goals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a global company, we maintain an ethical and sustainable presence in hundreds of locations worldwide. At its core, ICON’s mission is to improve health and lives. We are also committed to contributing to the 2030 United Nations SDGs and are proud that our work contributes to their advancement.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research, our work with customers and patients and our on-the-ground efforts to meet the needs across our communities align with the SDGs. We focus these efforts on a subset of themes where we have identified the greatest opportunity to effect change:</w:t>
      </w:r>
    </w:p>
    <w:p>
      <w:pPr>
        <w:spacing w:after="0" w:line="157"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3 – Good health and well-being</w:t>
      </w:r>
    </w:p>
    <w:p>
      <w:pPr>
        <w:spacing w:after="0" w:line="11" w:lineRule="exact"/>
        <w:rPr>
          <w:rFonts w:ascii="Arial" w:cs="Arial" w:eastAsia="Arial" w:hAnsi="Arial"/>
          <w:sz w:val="13"/>
          <w:szCs w:val="13"/>
          <w:color w:val="auto"/>
        </w:rPr>
      </w:pPr>
    </w:p>
    <w:p>
      <w:pPr>
        <w:ind w:left="500" w:hanging="240"/>
        <w:spacing w:after="0" w:line="221" w:lineRule="auto"/>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9 – Industry, innovation and infrastructure</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10 – Reduced inequalities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12 – Responsible consumption and production</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13 – Climate action</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SDG 17 – Partnerships for the goals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Further details on the ways ICON contributes to these SDGs and their targets are set out in our ICON Cares Report.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80"/>
          </w:cols>
          <w:pgMar w:left="300" w:top="889"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 Conducting business sustainably</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recognise the impact of our operations as a CRO on the environment, addressing greenhouse gas (“GHG”) emissions, energy use, waste generation and procurement-related activities. Our employees, directors, officers, contractors, temporary workers, and suppliers are expected to support our sustainability objectives. Similarly, ICON endeavours to support our customers’ sustainability objectives.</w:t>
      </w:r>
    </w:p>
    <w:p>
      <w:pPr>
        <w:spacing w:after="0" w:line="170" w:lineRule="exact"/>
        <w:rPr>
          <w:sz w:val="20"/>
          <w:szCs w:val="20"/>
          <w:color w:val="auto"/>
        </w:rPr>
      </w:pPr>
    </w:p>
    <w:p>
      <w:pPr>
        <w:jc w:val="both"/>
        <w:spacing w:after="0" w:line="148" w:lineRule="exact"/>
        <w:rPr>
          <w:sz w:val="20"/>
          <w:szCs w:val="20"/>
          <w:color w:val="auto"/>
        </w:rPr>
      </w:pPr>
      <w:r>
        <w:rPr>
          <w:rFonts w:ascii="Arial" w:cs="Arial" w:eastAsia="Arial" w:hAnsi="Arial"/>
          <w:sz w:val="13"/>
          <w:szCs w:val="13"/>
          <w:color w:val="auto"/>
        </w:rPr>
        <w:t>Our Global Environmental Management Policy and Environmental Management Plan are part of our ICON Cares programme for managing environmental sustainability initiatives. They define our approach to managing environmental impacts and set goals and targets to reduce energy use and carbon emissions throughout the business. Our Global Environmental Management Policy articulates ICON’s commitment to environmental stewardship, regulatory compliance and climate action across our operations and supply chain. It establishes ICON’s ambition to achieve net</w:t>
      </w:r>
      <w:r>
        <w:rPr>
          <w:rFonts w:ascii="MS PGothic" w:cs="MS PGothic" w:eastAsia="MS PGothic" w:hAnsi="MS PGothic"/>
          <w:sz w:val="13"/>
          <w:szCs w:val="13"/>
          <w:color w:val="auto"/>
        </w:rPr>
        <w:t>‑</w:t>
      </w:r>
      <w:r>
        <w:rPr>
          <w:rFonts w:ascii="Arial" w:cs="Arial" w:eastAsia="Arial" w:hAnsi="Arial"/>
          <w:sz w:val="13"/>
          <w:szCs w:val="13"/>
          <w:color w:val="auto"/>
        </w:rPr>
        <w:t>zero carbon emissions by 2050 and outlines focus areas including energy efficiency, waste reduction, sustainable travel, responsible Policy mandate Risk assessment Targets Measurement procurement, renewable energy adoption and Scope 1, 2 and 3 emissions tracking, aligned with leading reporting frameworks. The implementation of the policy and plan is led by our facilities team, reporting to our CAO. The CAO is responsible for reporting on the ICON Cares programme and environmental initiatives and progress to the ICON executive leadership team and Nominating, Sustainability and Governance Committee and the Board.</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established environmental targets in 2019 focused on renewable energy usage and energy consumption reduction. These targets included achieving 100% renewable electricity by 2025 and a 20% reduction in electricity consumption (kWh) by 2030. In 2025, ICON achieved 97% renewable electricity usage. The remaining 3% reflects limitations in procuring credible Energy Attribute Certificates (“EACs”) due to geopolitical disruptions and regional market constraints in certain jurisdictions, specifically Russia, Belarus, Ukraine, Georgia, and Estonia.</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October 2024, the Science Based Target initiative (“SBTi”) validated ICON’s near- and long-term science-based emissions reduction targets. The SBTi has also verified ICON’s net-zero science-based target (“SBT”) by 2050. The SBTi is a corporate climate action organisation that enables companies and financial institutions worldwide to play their part in combating the climate crisis. ICON’s SBTi validated targets: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Near-term targets:</w:t>
      </w:r>
    </w:p>
    <w:p>
      <w:pPr>
        <w:spacing w:after="0" w:line="190"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Reduce absolute scope 1 and 2 GHG emissions 61.2% by FY2028 from a FY2019 base year.</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Reduce absolute scope 3 GHG emissions 20.0% by FY2028 from a FY2022 base year.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Long-term targets:</w:t>
      </w:r>
    </w:p>
    <w:p>
      <w:pPr>
        <w:spacing w:after="0" w:line="190"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Reduce absolute scope 1 and 2 GHG emissions 90.0% by FY2050 from a FY2019 base year.</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Reduce absolute scope 3 GHG emissions 90.0% by FY2050 from a FY2022 base year.</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Net-zero target:</w:t>
      </w:r>
    </w:p>
    <w:p>
      <w:pPr>
        <w:spacing w:after="0" w:line="190"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Reach net-zero greenhouse gas emissions across the value chain by FY2050.</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have programmes in place to manage and minimise climate impacts of business activities. To continue to improve processes and reduce our environmental impact, we track, calculate, and report our Scope 1, Scope 2 and Scope 3 GHG footprint. We apply the GHG Protocol Corporate Accounting and Reporting Standard, which is the global corporate accounting and reporting standard for calculating carbon emissions. External verification of our 2025 Scope 1, 2 and 3 GHG emissions data is currently in progress. During 2024, we began our 2022 and 2023 Scope 3 emissions foot printing, incorporating this into our annual emissions reporting.</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respect to ICON’s carbon emissions for the year ended 2025, ICON’s combined Scope 1 and 2 GHG emissions have decreased since 2019, and our scope 3 GHG emissions have decreased since 2022.</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2020, following pandemic-related closures and a reduction in business travel, our Scope 3, business travel GHG emissions declined significantly. Since 2021 up to the year ended 2025, as more normal business travel operations resumed, we have seen an overall increase in our total GHG emissions driven by an increase in business travel (Scope 3).</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Moving forward, ICON expects to see further emission reductions relative to revenue and the number of employees due to a reduction in offices, strategic energy efficiency projects and a flexible work policy that allows eligible employees to work from home 40% of the time.</w:t>
      </w:r>
    </w:p>
    <w:p>
      <w:pPr>
        <w:spacing w:after="0" w:line="200" w:lineRule="exact"/>
        <w:rPr>
          <w:sz w:val="20"/>
          <w:szCs w:val="20"/>
          <w:color w:val="auto"/>
        </w:rPr>
      </w:pP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80"/>
          </w:cols>
          <w:pgMar w:left="300" w:top="889"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162" w:lineRule="exact"/>
        <w:rPr>
          <w:sz w:val="20"/>
          <w:szCs w:val="20"/>
          <w:color w:val="auto"/>
        </w:rPr>
      </w:pPr>
      <w:r>
        <w:rPr>
          <w:rFonts w:ascii="Arial" w:cs="Arial" w:eastAsia="Arial" w:hAnsi="Arial"/>
          <w:sz w:val="13"/>
          <w:szCs w:val="13"/>
          <w:color w:val="auto"/>
        </w:rPr>
        <w:t>ICON participates annually in the CDP (formerly the Carbon Disclosure Project), a globally recognised platform that enables companies to assess and manage their environmental impacts. For 2025, ICON received a B score from CDP for its Climate Change response on 2024 activity, representing an improvement from the B</w:t>
      </w:r>
      <w:r>
        <w:rPr>
          <w:rFonts w:ascii="MS PGothic" w:cs="MS PGothic" w:eastAsia="MS PGothic" w:hAnsi="MS PGothic"/>
          <w:sz w:val="13"/>
          <w:szCs w:val="13"/>
          <w:color w:val="auto"/>
        </w:rPr>
        <w:t>‑</w:t>
      </w:r>
      <w:r>
        <w:rPr>
          <w:rFonts w:ascii="Arial" w:cs="Arial" w:eastAsia="Arial" w:hAnsi="Arial"/>
          <w:sz w:val="13"/>
          <w:szCs w:val="13"/>
          <w:color w:val="auto"/>
        </w:rPr>
        <w:t xml:space="preserve"> score received in the prior year.</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are focused on reducing energy use and increasing renewable energy across our global operations as part of our environmental goals. In 2025, 97% of our electricity consumption came from renewable sources, achieved through a combination of switching direct tariffs and purchasing EAC’s. Waste reduction is embedded into our environmental policies and practices and is one of the objectives of ICON’s Environmental Management Policy.</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ICON leases most of our offices and facilities, and therefore we work closely with our landlords and leasing agents to implement measures to ensure we operate in an environmentally sustainable manner. In 2025, we continued with our real estate harmonisation efforts and aligning ourselves to new working styles &amp; business needs. This resulted in downsizing or closing 19 locations overall, helping to reduce our environmental footprint. Experts from our real estate team factor environmental considerations into decisions around new office locations or building improvements. We have also implemented a series of measures globally to reduce the local footprint of our offices while promoting comfort and efficiency. These include:</w:t>
      </w:r>
    </w:p>
    <w:p>
      <w:pPr>
        <w:spacing w:after="0" w:line="172"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Installing energy-efficient LED lighting.</w:t>
      </w:r>
    </w:p>
    <w:p>
      <w:pPr>
        <w:spacing w:after="0" w:line="11" w:lineRule="exact"/>
        <w:rPr>
          <w:rFonts w:ascii="Arial" w:cs="Arial" w:eastAsia="Arial" w:hAnsi="Arial"/>
          <w:sz w:val="13"/>
          <w:szCs w:val="13"/>
          <w:color w:val="auto"/>
        </w:rPr>
      </w:pPr>
    </w:p>
    <w:p>
      <w:pPr>
        <w:ind w:left="500" w:hanging="240"/>
        <w:spacing w:after="0" w:line="221" w:lineRule="auto"/>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Using motion detectors.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Purchasing recycled office supplies.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Reducing paper consumption by promoting paperless office processes and defaulting double-sided output.</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Building recycling areas into business centres and kitchens/canteens.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Planting green spaces to improve internal air quality.</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Selecting building materials and vendors for their low environmental impact.</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As part of our onboarding process, we require our suppliers to abide by our Global Supplier Code of Conduct which outlines our expectations around conducting business in a sustainable manner. The code requires suppliers to comply with all applicable environmental laws and regulations and to have systems in place with regards to waste management and sustainable use of resources.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environmental, social and governance matters refer to Appendix 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Social: The power of our people</w:t>
      </w:r>
    </w:p>
    <w:p>
      <w:pPr>
        <w:spacing w:after="0" w:line="190"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Oversight of social and employee-related policies and initiatives is embedded within our governance framework, with responsibility shared across the Board and its committees, including the Compensation and Organisation Committee in respect of human capital matters and the Nominating, Sustainability and Governance Committee in respect of broader ESG oversight.</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Community</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are dedicated to making a positive impact on the communities where we work and live. Our community efforts are aligned with a broader vision for social impact and we are committed to furthering the United Nations Sustainable Development Goals (“SDGs”).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Our community engagement activities are focused on two core areas:</w:t>
      </w:r>
    </w:p>
    <w:p>
      <w:pPr>
        <w:spacing w:after="0" w:line="179" w:lineRule="exact"/>
        <w:rPr>
          <w:sz w:val="20"/>
          <w:szCs w:val="20"/>
          <w:color w:val="auto"/>
        </w:rPr>
      </w:pPr>
    </w:p>
    <w:p>
      <w:pPr>
        <w:ind w:left="1020" w:hanging="506"/>
        <w:spacing w:after="0"/>
        <w:tabs>
          <w:tab w:leader="none" w:pos="10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Supporting education and building closer ties between industry and academia; and</w:t>
      </w:r>
    </w:p>
    <w:p>
      <w:pPr>
        <w:spacing w:after="0" w:line="11" w:lineRule="exact"/>
        <w:rPr>
          <w:rFonts w:ascii="Arial" w:cs="Arial" w:eastAsia="Arial" w:hAnsi="Arial"/>
          <w:sz w:val="13"/>
          <w:szCs w:val="13"/>
          <w:color w:val="auto"/>
        </w:rPr>
      </w:pPr>
    </w:p>
    <w:p>
      <w:pPr>
        <w:ind w:left="1020" w:hanging="506"/>
        <w:spacing w:after="0"/>
        <w:tabs>
          <w:tab w:leader="none" w:pos="10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Improving the welfare of people in the communities in which we live.</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Supporting education and building closer ties between industry and academia</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 core area of community support includes building ties between industry and academia to inspire the next generation of leaders in business and science. To help achieve this, ICON provides university scholarships to students in Ireland and America. An example of one of our partnerships is:</w:t>
      </w:r>
    </w:p>
    <w:p>
      <w:pPr>
        <w:spacing w:after="0" w:line="146" w:lineRule="exact"/>
        <w:rPr>
          <w:sz w:val="20"/>
          <w:szCs w:val="20"/>
          <w:color w:val="auto"/>
        </w:rPr>
      </w:pPr>
    </w:p>
    <w:p>
      <w:pPr>
        <w:jc w:val="both"/>
        <w:ind w:firstLine="514"/>
        <w:spacing w:after="0" w:line="247" w:lineRule="auto"/>
        <w:tabs>
          <w:tab w:leader="none" w:pos="101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Partnership with Junior Achievement to inspire schoolchildren</w:t>
      </w:r>
      <w:r>
        <w:rPr>
          <w:rFonts w:ascii="Arial" w:cs="Arial" w:eastAsia="Arial" w:hAnsi="Arial"/>
          <w:sz w:val="13"/>
          <w:szCs w:val="13"/>
          <w:color w:val="auto"/>
        </w:rPr>
        <w:t>. Junior Achievement encourages young people to remain in education and teaches them the skills they need to</w:t>
      </w:r>
      <w:r>
        <w:rPr>
          <w:rFonts w:ascii="Arial" w:cs="Arial" w:eastAsia="Arial" w:hAnsi="Arial"/>
          <w:sz w:val="13"/>
          <w:szCs w:val="13"/>
          <w:b w:val="1"/>
          <w:bCs w:val="1"/>
          <w:color w:val="auto"/>
        </w:rPr>
        <w:t xml:space="preserve"> </w:t>
      </w:r>
      <w:r>
        <w:rPr>
          <w:rFonts w:ascii="Arial" w:cs="Arial" w:eastAsia="Arial" w:hAnsi="Arial"/>
          <w:sz w:val="13"/>
          <w:szCs w:val="13"/>
          <w:color w:val="auto"/>
        </w:rPr>
        <w:t>succeed in a changing world. ICON volunteers take time out of their working day to deliver Junior Achievement programmes, teaching primary and secondary-level students valuable business, STEM (Science, Technology, Engineering &amp; Mathematics) and entrepreneurship skills that will serve them throughout their professional lives. Our strong partnership with Junior Achievement Ireland has been in place since 2018 and we continued our Junior Achievement partnership in India for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80"/>
          </w:cols>
          <w:pgMar w:left="300" w:top="889"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Improving the welfare of people in the communities in which we live</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Through volunteering, donations and other charitable initiatives, our employees across the world are making a positive difference to their communities. We support causes that are important to our employees and have several programmes that support the welfare of people in our local communities. Since 2012, ICON’s annual employee-nominated charity donation programme has supported over 130 charities worldwide, donating $10,000 to each organisation. These charities address a range of critical issues, such as fostering a more inclusive society, improving child welfare, and supporting patients battling chronic diseases. The chosen organisations reflect ICON’s corporate mission, aligning with our ICON Cares programme. In 2025, we also donated $20,000 to UNICEF, providing support for its year-round humanitarian relief efforts. Through ICON’s Charity Matching Programme, which bolsters our colleagues’ fundraising efforts and fosters partnership across and within teams, 22 organisations were supported during 2025. This programme aligns with the ICON Cares social pillar, as well as our company values of integrity, collaboration, agility and inclusion.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Talent and People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people are core to our ability to deliver our services and drive better patient outcomes. Through industry-leading talent management practices, a sincere attention to our employees’ needs, well-being and health and safety, we continue to power the potential of together.</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Chief Human Resources Officer (“CHRO”) is responsible for the development and implementation of the Company’s human capital strategies, policies and initiatives, including those relating to talent development, culture and employee experience. The CHRO supports management oversight of employee-related matters and reports regularly to the leadership team, the Compensation and Organisation Committee and the Board on human capital strategy, performance and related risks.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At the core of our strategy is our people</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Learning and development of our staff is a key focus for us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auto"/>
        </w:rPr>
        <w:t>Our leadership and talent programmes contribute to the enhanced retention of our employees, better project deliverables for our customers and the enhanced financial performance of the business.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aim to be an industry leader where talented people come to do important work and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To support employees at every stage of their career journeys, training and development programmes are aimed at advancing scientific, technical, and business knowledge as well as behavioural competencies. Programmes include Corporate and Functional Onboarding for all ICON employees; tailored Clinical Research Associate (“CRA”) academies; Data Management and Biostats &amp; Programming Academies; a Commercial Skills Academy; a range of project management curricula, therapeutic-focused programmes, and People Leader development programmes.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are focused on retaining the best talent by ensuring employees are aware of what career opportunities exist at ICON. We have invested in our career platforms to ensure employees understand the career opportunities that are available across the organisation, providing them with a platform in our HR system to share and capture their skills, interests and career aspirations which enables People Leaders and employees to have better conversations on careers as part of our performance management process. This allows us to get a better understanding of the skills that exist today across the organisation, within service lines and teams so we can better serve our customers.</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People Leader development programme focuses on providing our People Leaders with the relevant skills to effectively manage themselves, their team and their business, including leveraging psychometrics to raise awareness of their behavioural preferences and the preference of others. ICON also invests in Harvard Manage Mentor, an online learning platform providing People Leaders with access to learning available at any time with topics ranging from change management, retaining employees and developing employees.</w:t>
      </w:r>
    </w:p>
    <w:p>
      <w:pPr>
        <w:spacing w:after="0" w:line="200" w:lineRule="exact"/>
        <w:rPr>
          <w:sz w:val="20"/>
          <w:szCs w:val="20"/>
          <w:color w:val="auto"/>
        </w:rPr>
      </w:pPr>
    </w:p>
    <w:p>
      <w:pPr>
        <w:spacing w:after="0" w:line="32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80"/>
          </w:cols>
          <w:pgMar w:left="300" w:top="889"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provide our people with a personalised and flexible learning experience, delivered through a combination of in-person and technology-driven programmes that suit their learning styles and can flex to suit their schedules. Through our industry leading Career Hub, ICON employees are encouraged to broaden their scientific, technical, leadership, and business knowledge. By tapping into development programmes and partnerships with leading academic institutions, team members can use the hub to develop competencies that advance their careers. We also collaborate with UCD Smurfit School Executive Development to deliver customised leadership development programmes for global employees.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an organisation we are keen to hear directly from our employees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To attract and retain the best talent, we must listen and respond to employees’ needs. This extends to every aspect of our work, from recruitment and onboarding, to training, engagement, enablement, and reward. We pursue best-in-class approaches to building employee engagement and these include, among others:</w:t>
      </w:r>
    </w:p>
    <w:p>
      <w:pPr>
        <w:spacing w:after="0" w:line="167" w:lineRule="exact"/>
        <w:rPr>
          <w:sz w:val="20"/>
          <w:szCs w:val="20"/>
          <w:color w:val="auto"/>
        </w:rPr>
      </w:pPr>
    </w:p>
    <w:p>
      <w:pPr>
        <w:ind w:left="520" w:hanging="260"/>
        <w:spacing w:after="0" w:line="248"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Pulse check surveys, which are smaller-scale studies designed to measure employee sentiment on specific topics and initiatives.</w:t>
      </w:r>
    </w:p>
    <w:p>
      <w:pPr>
        <w:ind w:left="500" w:hanging="240"/>
        <w:spacing w:after="0" w:line="221" w:lineRule="auto"/>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Fostering an environment of inclusion and belonging where everyone is valued.</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Stay interviews to help managers understand why staff stay and to uncover what might put them at risk of departing.</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Skip-level meetings to develop trust and rapport between senior leaders and employees.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listening strategy supports our efforts to reduce employee turnover, which we monitor closely through analytics. Qualitative information is collected through formal exit interviews and, where we believe they’ll make an impact, we intervene via retention plans and related efforts.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well-being</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ICON’s commitment to improving health and enriching lives extends beyond the work we do with our customers. Employees worldwide have access to tools and resources designed to support all facets of their well-being, from physical to financial to psychological and beyond.</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global Employee Assistance Programme (“EAP”) ensures that all employees, and their families, have access to professional mental health, financial and relationship support on a confidential basis. Employees can also access a wide range of tools, information and support services online in local languages.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Health and safety</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At ICON, the health and safety of our employees, customers and clinical trial patients are our most important priorities. We take guidance from global and regional health authorities and governments to protect the safety and welfare of employees, as well as abide by government directives. Our global health and safety management system ensures we deliver on all local and national requirements. Our priority objectives are the safety of our staff, clinical trial patients, protecting the environment, maintaining business continuity, and ensuring all sensitive health and safety data is protected.</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are committed to providing a safe working environment for our people. We achieve this goal by working in ways that protect the safety, health, and welfare of all our employees, clinical trial patients, and visitors. Risk assessment is the basis of the safety management system, and we work to identify, mitigate, and monitor existing and emerging health or environment risks that may be associated with our business activities.</w:t>
      </w:r>
    </w:p>
    <w:p>
      <w:pPr>
        <w:spacing w:after="0"/>
        <w:rPr>
          <w:sz w:val="20"/>
          <w:szCs w:val="20"/>
          <w:color w:val="auto"/>
        </w:rPr>
      </w:pPr>
      <w:r>
        <w:rPr>
          <w:rFonts w:ascii="Arial" w:cs="Arial" w:eastAsia="Arial" w:hAnsi="Arial"/>
          <w:sz w:val="13"/>
          <w:szCs w:val="13"/>
          <w:i w:val="1"/>
          <w:iCs w:val="1"/>
          <w:color w:val="auto"/>
        </w:rPr>
        <w:t>Fair employment practices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are committed to being a workplace where all employees are included and feel a sense of belonging. As a global, values-driven organisation, we acknowledge and celebrate our differences. Respecting viewpoints and experiences is foundational to our interactions with each other and with our patients, customers and suppliers. Moreover, we strive to build teams that reflect the various geographies and communities in which we live and work and the patients we serve.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a strong focus on talent management, succession planning and talent development to ensure we work towards building strong talent pipelines with the best candidate appointed, based on a fair and unbiased selection process where merit, experience and performance form the basis for hiring and promotion decisions.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Establishing a truly inclusive workplace requires offering fair pay. As part of these efforts, we use best-in-class methodology to regularly review salary ranges. We adhere to a pay-for-performance philosophy and framework that enables us to continuously track fair-pay practices and analyse and audit global pay equity on a regular basis. We have structured our pay principles in such a way that individual differences beyond tenure, experience or performance criteria do not factor into how we provide rewards. ICON has invested in organisational design structures, tools and education to uphold these principles.</w:t>
      </w:r>
    </w:p>
    <w:p>
      <w:pPr>
        <w:spacing w:after="0" w:line="200" w:lineRule="exact"/>
        <w:rPr>
          <w:sz w:val="20"/>
          <w:szCs w:val="20"/>
          <w:color w:val="auto"/>
        </w:rPr>
      </w:pPr>
    </w:p>
    <w:p>
      <w:pPr>
        <w:spacing w:after="0" w:line="34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80"/>
          </w:cols>
          <w:pgMar w:left="300" w:top="889"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are committed to ensuring fair employment practices. For every jurisdiction in which we operate, we act in compliance with relevant laws relating to labour rights and labour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 protected status. We do not tolerate our employees being subjected to physical, sexual, racial, psychological, verbal, or any other form of harassment. We encourage our employees to report any issues of harassment or discrimination. We prohibit retaliation against any employee who rejects, protests, or complains about unlawful discrimination or harassment.</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employee matters refer to Appendix A: Risk Factors</w:t>
      </w:r>
      <w:r>
        <w:rPr>
          <w:rFonts w:ascii="Arial" w:cs="Arial" w:eastAsia="Arial" w:hAnsi="Arial"/>
          <w:sz w:val="16"/>
          <w:szCs w:val="16"/>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rights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is committed to human rights. ICON’s ESG Committee provides management-level oversight of human rights policies and practices. The Board’s NSG Committee has primary oversight of human rights matters. Since 2021, ICON has been a signatory of the UN Global Compact (“UNGC”), demonstrating our commitment to upholding the UNGC’s Ten Principles, including those related to human rights across our global operations. Our business model and our policies, including our Global Code of Ethical Conduct and Global Supplier Code of Conduct, are intended to fully comply with applicable human rights legislation in the countries where we operate. Our zero-tolerance policy on forced labour, slavery, and human trafficking is defined clearly in these policies, which are available to employees, suppliers, customers, and the public.</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opposed to forced labour, slavery, and human trafficking. We will not knowingly support or conduct business with any organisation involved in such activities. We do not employ anyone below the minimum employment age in the jurisdictions in which we operate.</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Global Supplier Code of Conduct incorporates the Pharmaceutical Supply Chain Initiative (“PSCI”) principles for responsible supply chain management, including for labour. Before doing business with ICON, suppliers must certify that they will comply with the ICON Global Supplier Code of Conduct or their own materially equivalent internal code, which includes human rights protections. We perform pre-engagement due diligence on our suppliers, including in relation to labour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environmental, social and governance matters refer to Appendix A: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Ethics and Compliance</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ICON’s commitment to ethics and integrity is embedded in our company values. We require all directors, employees, consultants, agents and third parties acting on ICON's behalf to act with integrity and integrate ethical principles into our business practices and culture. ICON’s Global Code of Ethical Conduct (“the Code”) establishes our core principles and standards for honest, fair, and ethical behaviour. This Code addresses the core values expected of all personnel in our internal interactions with each other as well as in external dealings with patients, customers, healthcare professionals, regulators, investors, vendors and other third parties.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Ethics and Compliance programme is designed to protect the interests of the company and its shareholders by preventing, detecting, investigating and responding to potential misconduct and violations.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Ethics &amp; Compliance team provides day-to-day independent oversight for the programme. The team works collaboratively with risk and compliance functions and leadership across the business to align on and optimise its reach and impact. The programme is overseen by the CAO, who reports on the programme to ICON’s executive leadership team, the Nominating, Sustainability and Governance Committee and the Board. The programme supports all functional areas globally and is dedicated to the implementation of standardised global policies, procedures, training, guidance, communications, monitoring, investigations, issue management, assessing compliance-related risk and mitigations, and reporting to ensure the overall compliance programme is effectively functioning. Where appropriate, the programme also implements regional and/or country specific policies, procedure, training and guidance.</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ICON uses Ethics Line, a system for employees and third parties to confidentially report ethics and compliance questions, as well as concerns, and to track reports through follow-up and resolution. An independent company administers this hotline, which is available all hours of every day and can accommodate reports in over 75 languages. These tools also provide visibility into our risks while highlighting opportunities to address them. ICON’s Ethics and Compliance programme will continue to grow and evolve in response to changes in our business and in the global business climate.</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personnel are required to complete ethics and compliance training during initial onboarding and complete annual refresher sessions. Training modules explain the channels available for reporting suspected unethical or illegal practices.</w:t>
      </w:r>
    </w:p>
    <w:p>
      <w:pPr>
        <w:spacing w:after="0" w:line="33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80"/>
          </w:cols>
          <w:pgMar w:left="300" w:top="889"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auto"/>
        </w:rPr>
        <w:t>The training supports our values and our ways of working and incorporates the key principles of our policies and codes and includes interactive scenarios where applicable.</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At ICON, we promote a Speak Up culture that encourages compliance, openness, and accountability without retaliation. The Speak Up Policy aims to support our culture and values and seeks to encourage the prompt reporting or surfacing of concerns or violations about values, ethics or other standards without fear of retaliation. Reported ethics concerns and other ethics and compliance-related data are reported via the CAO to the Board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ethics and compliance refer to Appendix 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Anti-bribery and Corruption</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is guided by the foundational principle that we do not tolerate bribery or any other form of corruption or fraud. Our anti-bribery and anti-corruption (“ABAC”) programme is a core element of our Ethics and Compliance programme. ICON and all ICON directors, employees, consultants, agents and all third parties acting on ICON's behalf must act in compliance with international laws and regulations relating to bribery, corruption, and illicit payments, including but not limited to the US Foreign Corrupt Practices Act and the UK Bribery Act 2010.</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maintains the ISO 37001:2016 certification for our Anti-Bribery Management System, which establishes the framework for the controls that prevent, detect and mitigate the risk of bribery. Our programme is designed to ensure our compliance with anti-corruption laws, including due diligence, training, policies, procedures, and internal controls.</w:t>
      </w:r>
    </w:p>
    <w:p>
      <w:pPr>
        <w:spacing w:after="0" w:line="146"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Bribery and corruption remain a business risk as we conduct our business across the globe and enter partnerships and collaborations. There is no certainty that all employees and third-party business partners (including our vendors, suppliers, agents, contractors, and other partners) will comply with anti-bribery laws. When working with third parties, we are committed to working with only those who embrace high standards of ethical behaviour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6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ICON's Internal Audit teams conduct ABAC programme audits. Internal Audit focuses on testing for compliance and design effectiveness of the overall ABAC programme. Internal Audit incorporates an assessment of ABAC measures in audits, as appropriate. In this approach, bribery and corruption risks are incorporated into the risk assessment and scoping process of each audit.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Anti-bribery and Corruption refer to Appendix A: Risk Factors</w:t>
      </w:r>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Privacy and Information Security</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Data privacy and information security are fundamental to our business and key to retaining customers, building investors’ trust, protecting data subjects who entrust their personal information to us, and complying with global and regional regulations. We recognise and respect that our customers, employees, participants, and all those who do business with us expect that we will protect their personal information in accordance with our legal obligations and policy commitments. ICON´s commitment to privacy and information security is demonstrated through the implementation of robust privacy and information security programmes.</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3"/>
          <w:szCs w:val="13"/>
          <w:color w:val="auto"/>
        </w:rPr>
        <w:t>ICON’s Global Data Protection programme is overseen by the CAO. This programme governs ICON’s and its employees’ obligations concerning the processing of personal data. The programme consists of a Global Data Protection Officer (“DPO”), a team of privacy lawyers and specialists and corporate policies and procedures regulating how we address our data protection obligations in the countries we operate in, including our obligations under the EU General Data Protection Regulation (“GDPR”) e.g. fulfilment of data subject rights, data protection impact assessments, our obligations to maintain records of processing activities (“ROPAs”) and management of personal data incidents and breaches in accordance with data protection laws. ICON´s Global Data Protection programme supports compliance with fundamental data protection principles including transparency, data minimisation, accountability and security. ICON has embedded privacy by design considerations in product and process development and implements a robust set of technical and organisational measures to protect personal information processed by ICON.</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ICON’s Personal Data Incident and Breach Response Policy and Process governs the management of personal data incidents and breaches within ICON. The policy requires incidents to be reported to ICON’s DPO and Privacy Team, who manage them in collaboration with relevant internal stakeholders (e.g., IT Security, Quality &amp; Compliance), to ensure we comply with our legal and contractual obligations, including our reporting obligations. ICON’s data protection policies and procedures are independently audited as part of ICON maintaining an ISO 27701 certification that it initially achieved in 2023.</w:t>
      </w:r>
    </w:p>
    <w:p>
      <w:pPr>
        <w:spacing w:after="0" w:line="200" w:lineRule="exact"/>
        <w:rPr>
          <w:sz w:val="20"/>
          <w:szCs w:val="20"/>
          <w:color w:val="auto"/>
        </w:rPr>
      </w:pPr>
    </w:p>
    <w:p>
      <w:pPr>
        <w:spacing w:after="0" w:line="34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80"/>
          </w:cols>
          <w:pgMar w:left="300" w:top="889"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 ICON has also established a robust Privacy and Security Champion (“PSC”) network. The PSC network acts as an extension of the Privacy and Information Security teams. In line with the PSC charter, champions provide a key touch point in relevant business units, bolster awareness of ICON’s respective privacy and security programmes and provide direct support in response to priorities dictated by ICON’s Privacy and Security Council (chaired by ICON’s DPO and the Vice President of Cyber &amp; Information Security).</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information security and privacy refer to Appendix A: Risk Factors</w:t>
      </w:r>
      <w:r>
        <w:rPr>
          <w:rFonts w:ascii="Arial" w:cs="Arial" w:eastAsia="Arial" w:hAnsi="Arial"/>
          <w:sz w:val="16"/>
          <w:szCs w:val="16"/>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Responsible Use of Artificial Intelligence</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is committed to the responsible and ethical use of artificial intelligence (“AI”) across our operations. Our approach to AI is guided by a framework of governance, regulatory compliance and respect for client confidentiality and intellectual property. Human judgment and oversight remain integral to the design, deployment and monitoring of AI-enabled solutions. We have structured governance mechanisms and key oversight provisions to comply with the EU AI Act and other laws and support the goals of our AI Ethical Principles.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implemented an Artificial Intelligence Governance Policy and a set of AI Ethical Principles which are supported by existing policies relating to data protection and information security, intellectual property, IT governance and supplier management, which apply to the development and use of AI tools.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AI governance is overseen by an AI Governance Committee comprising representatives from IT Digital Operations, Enterprise AI &amp; AI Centre of Excellence (“CoE”) team, Legal, Global Data Protection, Operations and IT Information Security functions and other relevant functions. It operates under the direction of, and reports to, the Chief Information Officer (“CIO”) and the CAO. The AI Screening Committee, a sub-committee of the AI Governance Committee, reviews proposals for AI deployment. AI governance processes are integrated into our overall risk management process, which is monitored by the executive leadership team and reported to the Board. The CIO and CAO provide the Board with AI governance updates as required.</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has expanded its IT trainings and digital literacy programmes to include AI education, providing training and resources to enhance AI literacy across our workforce in support of responsible AI adoption. We also maintain an internal AI Champions Network to promote best practices across the organisation.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Artificial Intelligence matters refer to Appendix 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Sustainable procurement</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maintains policies and processes to support responsible, sustainable, and ethical business practices. Our goal is to source from suppliers whose values align with our own, and who are socially and environmentally responsible and conscious. In 2024 we launched a Sustainable Procurement Policy that outlines our expectations for suppliers relating to sustainability. This policy applies to all suppliers and aims to ensure ICON maintains a responsible and sustainable supply chain.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manage our suppliers through our Global Procurement department. The onboarding of all new suppliers is completed through a robust centrally managed due diligence process. Environmental sustainability, bribery, and corruption risks are a focus of our third-party assessment and management process.</w:t>
      </w:r>
    </w:p>
    <w:p>
      <w:pPr>
        <w:spacing w:after="0" w:line="146"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ICON performs pre-engagement due diligence on our suppliers. This includes screening of sanctions lists, debarment, and adverse media. Suppliers are continuously monitored against sanctions and debarment lists and are periodically re-screened. Suppliers deemed higher risk are subject to enhanced due diligence and controls, which may include periodic training, auditing, and assessments.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As part of our onboarding process, we require our suppliers to abide by our Global Supplier Code of Conduct which incorporates the Pharmaceutical Supply Chain Initiative (“PSCI”) principles for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Responsible Supply Chain Management and sets out our standards and expectations regarding:</w:t>
      </w:r>
    </w:p>
    <w:p>
      <w:pPr>
        <w:spacing w:after="0" w:line="178"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Ethics and compliance</w:t>
      </w: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Labour and human rights</w:t>
      </w: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Health and safety</w:t>
      </w: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Environmental stewardship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80"/>
          </w:cols>
          <w:pgMar w:left="300" w:top="889"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Global Supplier Code of Conduct also outlines channels to report concerns or grievances related to our suppliers, such as our Ethics Line. We operate a strict anti-retaliation policy and expect suppliers to do the same. We hold our suppliers accountable for meeting their contractual obligations, including commitments relating to the Global Supplier Code of Conduct and regulatory compliance. Contract non-compliance can result in termination of the business relationship and exclusion from future business with our company.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further support the development of our sustainable procurement programme, ICON has continued to engage with suppliers via Watershed and EcoVadis to assess data about sustainability maturity and greenhouse gas (GHG) emissions. With this data, we can factor sustainability-related criteria into our supplier selection process and build sustainability into our procurement practices.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sustainable procurement refer to Appendix A: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compliance statement</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Directors, in accordance with Section 225(2) of the Companies Act, acknowledge that they are responsible for securing the Company’s compliance with its relevant obligations as defined within the Companies Act, (hereinafter called the relevant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Directors confirm that:</w:t>
      </w:r>
    </w:p>
    <w:p>
      <w:pPr>
        <w:spacing w:after="0" w:line="190"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compliance policy statement has been drawn up setting out the Company’s policies with regard to such compliance;</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appropriate arrangements and structures that, in their opinion, are designed to secure material compliance with the Company’s relevant obligations, have been put in place; and</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review has been conducted, during the financial year, of the arrangements and structures that have been put in place to secure the Company’s compliance with the relevant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Auditor</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2023, the Audit Committee of the Group conducted a competitive audit tender process for the position of statutory auditor. Based on the results of this process, the Audit Committee recommended that Ernst &amp; Young be appointed as statutory auditor and independent registered public accounting firm to the Group in respect of the financial year ending 31 December 2025. Ernst &amp; Young were engaged on 20 March 2025, and their appointment was confirmed by the passing of an ordinary resolution at the Company's 2025 Annual General Meeting.</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Our previous independent registered public accounting firm, KPMG, resigned as of 29 April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Section 383(2) of the Companies Act 2014, the auditor, Ernst &amp; Young will continue in office.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340" w:type="dxa"/>
            <w:vAlign w:val="bottom"/>
          </w:tcPr>
          <w:p>
            <w:pPr>
              <w:spacing w:after="0"/>
              <w:rPr>
                <w:sz w:val="20"/>
                <w:szCs w:val="20"/>
                <w:color w:val="auto"/>
              </w:rPr>
            </w:pPr>
            <w:r>
              <w:rPr>
                <w:rFonts w:ascii="Arial" w:cs="Arial" w:eastAsia="Arial" w:hAnsi="Arial"/>
                <w:sz w:val="13"/>
                <w:szCs w:val="13"/>
                <w:color w:val="auto"/>
              </w:rPr>
              <w:t>Barry Balfe</w:t>
            </w:r>
          </w:p>
        </w:tc>
        <w:tc>
          <w:tcPr>
            <w:tcW w:w="2680" w:type="dxa"/>
            <w:vAlign w:val="bottom"/>
          </w:tcPr>
          <w:p>
            <w:pPr>
              <w:ind w:left="1060"/>
              <w:spacing w:after="0"/>
              <w:rPr>
                <w:sz w:val="20"/>
                <w:szCs w:val="20"/>
                <w:color w:val="auto"/>
              </w:rPr>
            </w:pPr>
            <w:r>
              <w:rPr>
                <w:rFonts w:ascii="Arial" w:cs="Arial" w:eastAsia="Arial" w:hAnsi="Arial"/>
                <w:sz w:val="13"/>
                <w:szCs w:val="13"/>
                <w:color w:val="auto"/>
              </w:rPr>
              <w:t>Rónán Murphy</w:t>
            </w:r>
          </w:p>
        </w:tc>
        <w:tc>
          <w:tcPr>
            <w:tcW w:w="6220" w:type="dxa"/>
            <w:vAlign w:val="bottom"/>
          </w:tcPr>
          <w:p>
            <w:pPr>
              <w:jc w:val="right"/>
              <w:spacing w:after="0"/>
              <w:rPr>
                <w:sz w:val="20"/>
                <w:szCs w:val="20"/>
                <w:color w:val="auto"/>
              </w:rPr>
            </w:pPr>
            <w:r>
              <w:rPr>
                <w:rFonts w:ascii="Arial" w:cs="Arial" w:eastAsia="Arial" w:hAnsi="Arial"/>
                <w:sz w:val="13"/>
                <w:szCs w:val="13"/>
                <w:color w:val="auto"/>
              </w:rPr>
              <w:t>25 June 2026</w:t>
            </w:r>
          </w:p>
        </w:tc>
      </w:tr>
      <w:tr>
        <w:trPr>
          <w:trHeight w:val="180"/>
        </w:trPr>
        <w:tc>
          <w:tcPr>
            <w:tcW w:w="2340" w:type="dxa"/>
            <w:vAlign w:val="bottom"/>
          </w:tcPr>
          <w:p>
            <w:pPr>
              <w:spacing w:after="0"/>
              <w:rPr>
                <w:sz w:val="20"/>
                <w:szCs w:val="20"/>
                <w:color w:val="auto"/>
              </w:rPr>
            </w:pPr>
            <w:r>
              <w:rPr>
                <w:rFonts w:ascii="Arial" w:cs="Arial" w:eastAsia="Arial" w:hAnsi="Arial"/>
                <w:sz w:val="13"/>
                <w:szCs w:val="13"/>
                <w:i w:val="1"/>
                <w:iCs w:val="1"/>
                <w:color w:val="auto"/>
              </w:rPr>
              <w:t>Chief Executive Officer</w:t>
            </w:r>
          </w:p>
        </w:tc>
        <w:tc>
          <w:tcPr>
            <w:tcW w:w="2680" w:type="dxa"/>
            <w:vAlign w:val="bottom"/>
          </w:tcPr>
          <w:p>
            <w:pPr>
              <w:ind w:left="1060"/>
              <w:spacing w:after="0"/>
              <w:rPr>
                <w:sz w:val="20"/>
                <w:szCs w:val="20"/>
                <w:color w:val="auto"/>
              </w:rPr>
            </w:pPr>
            <w:r>
              <w:rPr>
                <w:rFonts w:ascii="Arial" w:cs="Arial" w:eastAsia="Arial" w:hAnsi="Arial"/>
                <w:sz w:val="13"/>
                <w:szCs w:val="13"/>
                <w:i w:val="1"/>
                <w:iCs w:val="1"/>
                <w:color w:val="auto"/>
              </w:rPr>
              <w:t>Director</w:t>
            </w:r>
          </w:p>
        </w:tc>
        <w:tc>
          <w:tcPr>
            <w:tcW w:w="6220" w:type="dxa"/>
            <w:vAlign w:val="bottom"/>
          </w:tcPr>
          <w:p>
            <w:pPr>
              <w:spacing w:after="0"/>
              <w:rPr>
                <w:sz w:val="15"/>
                <w:szCs w:val="15"/>
                <w:color w:val="auto"/>
              </w:rPr>
            </w:pPr>
          </w:p>
        </w:tc>
      </w:tr>
      <w:tr>
        <w:trPr>
          <w:trHeight w:val="605"/>
        </w:trPr>
        <w:tc>
          <w:tcPr>
            <w:tcW w:w="2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20" w:type="dxa"/>
            <w:vAlign w:val="bottom"/>
          </w:tcPr>
          <w:p>
            <w:pPr>
              <w:jc w:val="right"/>
              <w:ind w:right="5236"/>
              <w:spacing w:after="0"/>
              <w:rPr>
                <w:sz w:val="20"/>
                <w:szCs w:val="20"/>
                <w:color w:val="auto"/>
              </w:rPr>
            </w:pPr>
            <w:r>
              <w:rPr>
                <w:rFonts w:ascii="Arial" w:cs="Arial" w:eastAsia="Arial" w:hAnsi="Arial"/>
                <w:sz w:val="13"/>
                <w:szCs w:val="13"/>
                <w:color w:val="auto"/>
              </w:rPr>
              <w:t>29</w:t>
            </w:r>
          </w:p>
        </w:tc>
      </w:tr>
    </w:tbl>
    <w:p>
      <w:pPr>
        <w:sectPr>
          <w:pgSz w:w="11900" w:h="16838" w:orient="portrait"/>
          <w:cols w:equalWidth="0" w:num="1">
            <w:col w:w="11280"/>
          </w:cols>
          <w:pgMar w:left="300" w:top="889"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Statement of Directors’ Responsibilities in respect of the Directors’ report and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The directors are responsible for preparing the annual report and the financial statements in accordance with applicable law and regulations.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Irish Company law requires the directors to prepare Group and Company financial statements for each financial year. Under that law, the directors are required to prepare the Group financial statements in accordance with IFRS as adopted by the European Union. The directors have elected to prepare the Company financial statements in accordance with FRS 101 Reduced Disclosure Framework and applicable law.</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In preparing the Group and Company financial statements, the directors are required to:</w:t>
      </w:r>
    </w:p>
    <w:p>
      <w:pPr>
        <w:spacing w:after="0" w:line="126"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select suitable accounting policies and then apply them consistently;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make judgements and estimates that are reasonable and prudent;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state whether applicable Accounting Standards have been followed, subject to any material departures disclosed and explained in the financial statements;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assess the Group and Company’s ability to continue as a going concern, disclosing, as applicable, matters related to going concern; and</w:t>
      </w:r>
    </w:p>
    <w:p>
      <w:pPr>
        <w:spacing w:after="0" w:line="7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use the going concern basis of accounting unless they either intend to liquidate the Group or Company or to cease operations, or have no realistic alternative but to do so.</w:t>
      </w:r>
    </w:p>
    <w:p>
      <w:pPr>
        <w:spacing w:after="0" w:line="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directors are responsible for keeping adequate accounting records which disclose with reasonable accuracy at any time the assets, liabilities, financial position of the Group and Company and the profit and loss of the Group and which enable them to ensure that the financial statements comply with the provision of the Companies Act 2014. The directors are also responsible for taking all reasonable steps to ensure such records are kept by its subsidiaries which enable them to ensure that the financial statements of the Group comply with the provisions of the Companies Act 2014. They are responsible for such internal controls as they determine are necessary to enable the preparation of financial statements that are free from material misstatement, whether due to fraud or error, and have a responsibility for safeguarding the assets of the Company and the Group, and hence for taking reasonable steps for the prevention and detection of fraud and other irregularities. The directors are also responsible for preparing a directors’ report that complies with the requirements of the Companies Act 2014.</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directors are responsible for the maintenance and integrity of the corporate and financial information included on the Group’s and Company’s website www.iconplc.com. Legislation in the Republic of Ireland concerning the preparation and dissemination of financial statements may differ from legislation in other jurisdictions.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88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Barry Balfe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6" w:lineRule="exact"/>
        <w:rPr>
          <w:sz w:val="20"/>
          <w:szCs w:val="20"/>
          <w:color w:val="auto"/>
        </w:rPr>
      </w:pPr>
    </w:p>
    <w:p>
      <w:pPr>
        <w:sectPr>
          <w:pgSz w:w="11900" w:h="16838" w:orient="portrait"/>
          <w:cols w:equalWidth="0" w:num="2">
            <w:col w:w="2700" w:space="720"/>
            <w:col w:w="7860"/>
          </w:cols>
          <w:pgMar w:left="300" w:top="889"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889" w:right="319" w:bottom="1440" w:gutter="0" w:footer="0" w:header="0"/>
          <w:type w:val="continuous"/>
        </w:sectPr>
      </w:pPr>
    </w:p>
    <w:p>
      <w:pPr>
        <w:spacing w:after="0" w:line="264" w:lineRule="exact"/>
        <w:rPr>
          <w:sz w:val="20"/>
          <w:szCs w:val="20"/>
          <w:color w:val="auto"/>
        </w:rPr>
      </w:pPr>
    </w:p>
    <w:p>
      <w:pPr>
        <w:jc w:val="center"/>
        <w:ind w:left="4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280"/>
          </w:cols>
          <w:pgMar w:left="300" w:top="889" w:right="319" w:bottom="1440" w:gutter="0" w:footer="0" w:header="0"/>
          <w:type w:val="continuous"/>
        </w:sectPr>
      </w:pPr>
    </w:p>
    <w:bookmarkStart w:id="45" w:name="page46"/>
    <w:bookmarkEnd w:id="45"/>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AUDITOR’S REPORT TO THE MEMBERS OF ICON PLC</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 on the audit of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We have audited the financial statements of ICON plc (‘the Company’) and its subsidiaries (‘the Group’) for the year ended 31 December 2025, which comprise the Consolidated Statement of Profit and Loss, Consolidated Statement of Comprehensive Income, Consolidated Statement of Financial Position, Consolidated Statement of Changes in Equity, Consolidated Statement of Cash Flows, the Company Statement of Financial Position, Company Statement of Changes in Equity and the notes to the financial statements, including the material accounting policy information set out in Note 1. The financial reporting framework that has been applied in their preparation is Irish Law and International Financial Reporting Standards (IFRS) as adopted by the European Union and, as regards the Company financial statements, Accounting Standards including FRS 101 </w:t>
      </w:r>
      <w:r>
        <w:rPr>
          <w:rFonts w:ascii="Arial" w:cs="Arial" w:eastAsia="Arial" w:hAnsi="Arial"/>
          <w:sz w:val="13"/>
          <w:szCs w:val="13"/>
          <w:i w:val="1"/>
          <w:iCs w:val="1"/>
          <w:color w:val="auto"/>
        </w:rPr>
        <w:t>Reduced Disclosure Framework</w:t>
      </w:r>
      <w:r>
        <w:rPr>
          <w:rFonts w:ascii="Arial" w:cs="Arial" w:eastAsia="Arial" w:hAnsi="Arial"/>
          <w:sz w:val="13"/>
          <w:szCs w:val="13"/>
          <w:color w:val="auto"/>
        </w:rPr>
        <w:t xml:space="preserve"> issued in the United Kingdom by the Financial Reporting Council.</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In our opinion:</w:t>
      </w:r>
    </w:p>
    <w:p>
      <w:pPr>
        <w:spacing w:after="0" w:line="179" w:lineRule="exact"/>
        <w:rPr>
          <w:sz w:val="20"/>
          <w:szCs w:val="20"/>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Group financial statements give a true and fair view of the assets, liabilities and financial position of the Group as at 31 December 2025 and of its profit for the year then ended;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Company financial statements give a true and fair view of the assets, liabilities and financial position of the Company as at 31 December 2025;</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Group financial statements have been properly prepared in accordance with IFRS as adopted by the European Union;</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the Company financial statements have been properly prepared in accordance with FRS 101 </w:t>
      </w:r>
      <w:r>
        <w:rPr>
          <w:rFonts w:ascii="Arial" w:cs="Arial" w:eastAsia="Arial" w:hAnsi="Arial"/>
          <w:sz w:val="13"/>
          <w:szCs w:val="13"/>
          <w:i w:val="1"/>
          <w:iCs w:val="1"/>
          <w:color w:val="auto"/>
        </w:rPr>
        <w:t>Reduced Disclosure Framework</w:t>
      </w:r>
      <w:r>
        <w:rPr>
          <w:rFonts w:ascii="Arial" w:cs="Arial" w:eastAsia="Arial" w:hAnsi="Arial"/>
          <w:sz w:val="13"/>
          <w:szCs w:val="13"/>
          <w:color w:val="auto"/>
        </w:rPr>
        <w:t>; and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Group and Company financial statements have been properly prepared in accordance with the requirements of the Companies Act 2014.</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conducted our audit in accordance with International Standards on Auditing (Ireland) (ISAs (Ireland)) and applicable law. Our responsibilities under those standards are further described in the Auditor's Responsibilities for the Audit of the Financial Statements section of our report. We are independent of the Group and Company in accordance with ethical requirements that are relevant to our audit of financial statements in Ireland, including the Ethical Standard as applied to listed entities issued by the Irish Auditing and Accounting Supervisory Authority (IAASA), and we have fulfilled our other ethical responsibilities in accordance with these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 audit evidence we have obtained is sufficient and appropriate to provide a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80"/>
          </w:cols>
          <w:pgMar w:left="300" w:top="1440" w:right="319" w:bottom="1440" w:gutter="0" w:footer="0" w:header="0"/>
        </w:sectPr>
      </w:pPr>
    </w:p>
    <w:bookmarkStart w:id="46" w:name="page47"/>
    <w:bookmarkEnd w:id="46"/>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INDEPENDENT AUDITOR’S REPORT TO THE MEMBERS OF ICON PLC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Report on the audit of the financial statements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Conclusions relating to going concern</w:t>
      </w:r>
    </w:p>
    <w:p>
      <w:pPr>
        <w:spacing w:after="0" w:line="11"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In auditing the financial statements, we have concluded that the directors’ use of the going concern basis of accounting in the preparation of the financial statements is appropriate. Our evaluation of the directors’ assessment of the Group and Company’s ability to continue to adopt the going concern basis of accounting included:</w:t>
      </w:r>
    </w:p>
    <w:p>
      <w:pPr>
        <w:spacing w:after="0" w:line="173" w:lineRule="exact"/>
        <w:rPr>
          <w:sz w:val="20"/>
          <w:szCs w:val="20"/>
          <w:color w:val="auto"/>
        </w:rPr>
      </w:pPr>
    </w:p>
    <w:p>
      <w:pPr>
        <w:ind w:left="520" w:hanging="260"/>
        <w:spacing w:after="0" w:line="266"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conjunction with our walkthrough of the financial reporting process, we confirmed our understanding of management’s going concern assessment process and also engaged with management to ensure all key factors were considered in their assessment.</w:t>
      </w:r>
    </w:p>
    <w:p>
      <w:pPr>
        <w:spacing w:after="0" w:line="156"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obtained management’s going concern assessment including the cash forecast for the going concern period which covers a year from the date of signing this audit opinion.</w:t>
      </w:r>
    </w:p>
    <w:p>
      <w:pPr>
        <w:spacing w:after="0" w:line="190" w:lineRule="exact"/>
        <w:rPr>
          <w:rFonts w:ascii="Arial" w:cs="Arial" w:eastAsia="Arial" w:hAnsi="Arial"/>
          <w:sz w:val="13"/>
          <w:szCs w:val="13"/>
          <w:color w:val="auto"/>
        </w:rPr>
      </w:pPr>
    </w:p>
    <w:p>
      <w:pPr>
        <w:ind w:left="520" w:hanging="260"/>
        <w:spacing w:after="0" w:line="249"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considered the appropriateness of the methods used to calculate the cash forecasts and determined through inspection and testing of the methodology and calculations that the methods utilised were appropriately designed to be able to make an assessment for the Group.</w:t>
      </w:r>
    </w:p>
    <w:p>
      <w:pPr>
        <w:spacing w:after="0" w:line="167"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reviewed the Group’s non-operating cash outflows and evaluated the Company’s ability to control these outflows as mitigating actions if required. We also reviewed the credit facilities available to the Group.</w:t>
      </w:r>
    </w:p>
    <w:p>
      <w:pPr>
        <w:spacing w:after="0" w:line="156"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have performed reverse stress testing in order to identify what factors would lead to the Group utilising all liquidity during the going concern period.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reviewed the Group’s going concern disclosures included in the annual report in order to assess that the disclosures were appropriate and in conformity with the reporting standards.</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Conclusion</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Based on the work we have performed, we have not identified any material uncertainties relating to events or conditions that, individually or collectively, may cast significant doubt on the Group or the Company’s ability to continue as a going concern for a period of at least twelve months from when the financial statements are authorised for issue.</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Our responsibilities and the responsibilities of the directors with respect to going concern are described in the relevant sections of this report. However, because not all future events or conditions can be predicted, this statement is not a guarantee as to the Group’s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80"/>
          </w:cols>
          <w:pgMar w:left="300" w:top="1440" w:right="319" w:bottom="1440" w:gutter="0" w:footer="0" w:header="0"/>
        </w:sectPr>
      </w:pPr>
    </w:p>
    <w:bookmarkStart w:id="47" w:name="page48"/>
    <w:bookmarkEnd w:id="47"/>
    <w:p>
      <w:pPr>
        <w:spacing w:after="0" w:line="365" w:lineRule="auto"/>
        <w:framePr w:w="5020" w:h="455" w:wrap="auto" w:vAnchor="page" w:hAnchor="page" w:x="260" w:y="1913"/>
        <w:rPr>
          <w:rFonts w:ascii="Arial" w:cs="Arial" w:eastAsia="Arial" w:hAnsi="Arial"/>
          <w:sz w:val="13"/>
          <w:szCs w:val="13"/>
          <w:b w:val="1"/>
          <w:bCs w:val="1"/>
          <w:i w:val="1"/>
          <w:iCs w:val="1"/>
          <w:color w:val="auto"/>
        </w:rPr>
      </w:pPr>
      <w:r>
        <w:rPr>
          <w:rFonts w:ascii="Arial" w:cs="Arial" w:eastAsia="Arial" w:hAnsi="Arial"/>
          <w:sz w:val="13"/>
          <w:szCs w:val="13"/>
          <w:b w:val="1"/>
          <w:bCs w:val="1"/>
          <w:color w:val="auto"/>
        </w:rPr>
        <w:t xml:space="preserve">INDEPENDENT AUDITOR’S REPORT TO THE MEMBERS OF ICON PLC </w:t>
      </w:r>
      <w:r>
        <w:rPr>
          <w:rFonts w:ascii="Arial" w:cs="Arial" w:eastAsia="Arial" w:hAnsi="Arial"/>
          <w:sz w:val="13"/>
          <w:szCs w:val="13"/>
          <w:i w:val="1"/>
          <w:iCs w:val="1"/>
          <w:color w:val="auto"/>
        </w:rPr>
        <w:t>(continued)</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 xml:space="preserve">Report on the audit of the financial statements </w:t>
      </w:r>
      <w:r>
        <w:rPr>
          <w:rFonts w:ascii="Arial" w:cs="Arial" w:eastAsia="Arial" w:hAnsi="Arial"/>
          <w:sz w:val="13"/>
          <w:szCs w:val="13"/>
          <w:i w:val="1"/>
          <w:iCs w:val="1"/>
          <w:color w:val="auto"/>
        </w:rPr>
        <w:t>(continued)</w:t>
      </w:r>
    </w:p>
    <w:p>
      <w:pPr>
        <w:spacing w:after="0" w:line="200" w:lineRule="auto"/>
        <w:framePr w:w="1160" w:h="115" w:wrap="auto" w:vAnchor="page" w:hAnchor="page" w:x="260" w:y="2592"/>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Key audit matters</w:t>
      </w:r>
    </w:p>
    <w:p>
      <w:pPr>
        <w:jc w:val="both"/>
        <w:spacing w:after="0" w:line="220" w:lineRule="auto"/>
        <w:framePr w:w="11360" w:h="550" w:wrap="auto" w:vAnchor="page" w:hAnchor="page" w:x="260" w:y="2932"/>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Key audit matters are those matters that, in our professional judgment, were of most significance in our audit of the financial statements of the current period and include the most significant assessed risks of material misstatement (whether or not due to fraud) that we identified, including those which had the greatest effect on: the overall audit strategy, the allocation of resources in the audit; and directing the efforts of the engagement team. These matters were addressed in the context of our audit of the financial statements as a whole, and in forming our opinion thereon, and we do not provide a separate opinion on these matters.</w:t>
      </w:r>
    </w:p>
    <w:p>
      <w:pPr>
        <w:spacing w:after="0" w:line="200" w:lineRule="exact"/>
        <w:rPr>
          <w:rFonts w:ascii="Arial" w:cs="Arial" w:eastAsia="Arial" w:hAnsi="Arial"/>
          <w:sz w:val="13"/>
          <w:szCs w:val="13"/>
          <w:b w:val="1"/>
          <w:bCs w:val="1"/>
          <w:i w:val="1"/>
          <w:iCs w:val="1"/>
          <w:color w:val="auto"/>
        </w:rPr>
      </w:pPr>
    </w:p>
    <w:p>
      <w:pPr>
        <w:spacing w:after="0" w:line="200" w:lineRule="exact"/>
        <w:rPr>
          <w:rFonts w:ascii="Arial" w:cs="Arial" w:eastAsia="Arial" w:hAnsi="Arial"/>
          <w:sz w:val="13"/>
          <w:szCs w:val="13"/>
          <w:b w:val="1"/>
          <w:bCs w:val="1"/>
          <w:i w:val="1"/>
          <w:iCs w:val="1"/>
          <w:color w:val="auto"/>
        </w:rPr>
      </w:pPr>
    </w:p>
    <w:p>
      <w:pPr>
        <w:spacing w:after="0" w:line="200" w:lineRule="exact"/>
        <w:rPr>
          <w:rFonts w:ascii="Arial" w:cs="Arial" w:eastAsia="Arial" w:hAnsi="Arial"/>
          <w:sz w:val="13"/>
          <w:szCs w:val="13"/>
          <w:b w:val="1"/>
          <w:bCs w:val="1"/>
          <w:i w:val="1"/>
          <w:iCs w:val="1"/>
          <w:color w:val="auto"/>
        </w:rPr>
      </w:pPr>
    </w:p>
    <w:p>
      <w:pPr>
        <w:spacing w:after="0" w:line="200" w:lineRule="exact"/>
        <w:rPr>
          <w:rFonts w:ascii="Arial" w:cs="Arial" w:eastAsia="Arial" w:hAnsi="Arial"/>
          <w:sz w:val="13"/>
          <w:szCs w:val="13"/>
          <w:b w:val="1"/>
          <w:bCs w:val="1"/>
          <w:i w:val="1"/>
          <w:iCs w:val="1"/>
          <w:color w:val="auto"/>
        </w:rPr>
      </w:pPr>
    </w:p>
    <w:p>
      <w:pPr>
        <w:spacing w:after="0" w:line="200" w:lineRule="exact"/>
        <w:rPr>
          <w:rFonts w:ascii="Arial" w:cs="Arial" w:eastAsia="Arial" w:hAnsi="Arial"/>
          <w:sz w:val="13"/>
          <w:szCs w:val="13"/>
          <w:b w:val="1"/>
          <w:bCs w:val="1"/>
          <w:i w:val="1"/>
          <w:iCs w:val="1"/>
          <w:color w:val="auto"/>
        </w:rPr>
      </w:pPr>
    </w:p>
    <w:p>
      <w:pPr>
        <w:spacing w:after="0" w:line="200" w:lineRule="exact"/>
        <w:rPr>
          <w:rFonts w:ascii="Arial" w:cs="Arial" w:eastAsia="Arial" w:hAnsi="Arial"/>
          <w:sz w:val="13"/>
          <w:szCs w:val="13"/>
          <w:b w:val="1"/>
          <w:bCs w:val="1"/>
          <w:i w:val="1"/>
          <w:iCs w:val="1"/>
          <w:color w:val="auto"/>
        </w:rPr>
      </w:pPr>
    </w:p>
    <w:p>
      <w:pPr>
        <w:spacing w:after="0" w:line="200" w:lineRule="exact"/>
        <w:rPr>
          <w:rFonts w:ascii="Arial" w:cs="Arial" w:eastAsia="Arial" w:hAnsi="Arial"/>
          <w:sz w:val="13"/>
          <w:szCs w:val="13"/>
          <w:b w:val="1"/>
          <w:bCs w:val="1"/>
          <w:i w:val="1"/>
          <w:iCs w:val="1"/>
          <w:color w:val="auto"/>
        </w:rPr>
      </w:pPr>
    </w:p>
    <w:p>
      <w:pPr>
        <w:spacing w:after="0" w:line="91" w:lineRule="exact"/>
        <w:rPr>
          <w:rFonts w:ascii="Arial" w:cs="Arial" w:eastAsia="Arial" w:hAnsi="Arial"/>
          <w:sz w:val="13"/>
          <w:szCs w:val="13"/>
          <w:b w:val="1"/>
          <w:bCs w:val="1"/>
          <w:i w:val="1"/>
          <w:iCs w:val="1"/>
          <w:color w:val="auto"/>
        </w:rPr>
      </w:pPr>
    </w:p>
    <w:p>
      <w:pPr>
        <w:spacing w:after="0" w:line="235" w:lineRule="exact"/>
        <w:rPr>
          <w:rFonts w:ascii="Arial" w:cs="Arial" w:eastAsia="Arial" w:hAnsi="Arial"/>
          <w:sz w:val="13"/>
          <w:szCs w:val="13"/>
          <w:b w:val="1"/>
          <w:bCs w:val="1"/>
          <w:i w:val="1"/>
          <w:iCs w:val="1"/>
          <w:color w:val="auto"/>
        </w:rPr>
      </w:pPr>
    </w:p>
    <w:tbl>
      <w:tblPr>
        <w:tblLayout w:type="fixed"/>
        <w:tblInd w:w="10" w:type="dxa"/>
        <w:tblCellMar>
          <w:top w:w="0" w:type="dxa"/>
          <w:left w:w="0" w:type="dxa"/>
          <w:bottom w:w="0" w:type="dxa"/>
          <w:right w:w="0" w:type="dxa"/>
        </w:tblCellMar>
      </w:tblPr>
      <w:tr>
        <w:trPr>
          <w:trHeight w:val="193"/>
        </w:trPr>
        <w:tc>
          <w:tcPr>
            <w:tcW w:w="38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Risk</w:t>
            </w:r>
          </w:p>
        </w:tc>
        <w:tc>
          <w:tcPr>
            <w:tcW w:w="3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Our response to the risk</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Key observations communicated to the Audit Committee</w:t>
            </w:r>
          </w:p>
        </w:tc>
        <w:tc>
          <w:tcPr>
            <w:tcW w:w="0" w:type="dxa"/>
            <w:vAlign w:val="bottom"/>
          </w:tcPr>
          <w:p>
            <w:pPr>
              <w:spacing w:after="0"/>
              <w:rPr>
                <w:sz w:val="1"/>
                <w:szCs w:val="1"/>
                <w:color w:val="auto"/>
              </w:rPr>
            </w:pPr>
          </w:p>
        </w:tc>
      </w:tr>
      <w:tr>
        <w:trPr>
          <w:trHeight w:val="148"/>
        </w:trPr>
        <w:tc>
          <w:tcPr>
            <w:tcW w:w="380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b w:val="1"/>
                <w:bCs w:val="1"/>
                <w:color w:val="auto"/>
              </w:rPr>
              <w:t>Management override of internal controls, and related prior</w:t>
            </w:r>
          </w:p>
        </w:tc>
        <w:tc>
          <w:tcPr>
            <w:tcW w:w="3760" w:type="dxa"/>
            <w:vAlign w:val="bottom"/>
            <w:tcBorders>
              <w:right w:val="single" w:sz="8" w:color="auto"/>
            </w:tcBorders>
          </w:tcPr>
          <w:p>
            <w:pPr>
              <w:spacing w:after="0" w:line="148" w:lineRule="exact"/>
              <w:rPr>
                <w:sz w:val="20"/>
                <w:szCs w:val="20"/>
                <w:color w:val="auto"/>
              </w:rPr>
            </w:pPr>
            <w:r>
              <w:rPr>
                <w:rFonts w:ascii="Arial" w:cs="Arial" w:eastAsia="Arial" w:hAnsi="Arial"/>
                <w:sz w:val="13"/>
                <w:szCs w:val="13"/>
                <w:color w:val="auto"/>
                <w:w w:val="97"/>
              </w:rPr>
              <w:t>To address the matter, the most experienced audit team members</w:t>
            </w:r>
          </w:p>
        </w:tc>
        <w:tc>
          <w:tcPr>
            <w:tcW w:w="3720" w:type="dxa"/>
            <w:vAlign w:val="bottom"/>
            <w:tcBorders>
              <w:right w:val="single" w:sz="8" w:color="auto"/>
            </w:tcBorders>
          </w:tcPr>
          <w:p>
            <w:pPr>
              <w:spacing w:after="0" w:line="148" w:lineRule="exact"/>
              <w:rPr>
                <w:sz w:val="20"/>
                <w:szCs w:val="20"/>
                <w:color w:val="auto"/>
              </w:rPr>
            </w:pPr>
            <w:r>
              <w:rPr>
                <w:rFonts w:ascii="Arial" w:cs="Arial" w:eastAsia="Arial" w:hAnsi="Arial"/>
                <w:sz w:val="13"/>
                <w:szCs w:val="13"/>
                <w:color w:val="auto"/>
              </w:rPr>
              <w:t>Our observations included an overview of the risk, an outline of</w:t>
            </w:r>
          </w:p>
        </w:tc>
        <w:tc>
          <w:tcPr>
            <w:tcW w:w="0" w:type="dxa"/>
            <w:vAlign w:val="bottom"/>
          </w:tcPr>
          <w:p>
            <w:pPr>
              <w:spacing w:after="0"/>
              <w:rPr>
                <w:sz w:val="1"/>
                <w:szCs w:val="1"/>
                <w:color w:val="auto"/>
              </w:rPr>
            </w:pPr>
          </w:p>
        </w:tc>
      </w:tr>
      <w:tr>
        <w:trPr>
          <w:trHeight w:val="138"/>
        </w:trPr>
        <w:tc>
          <w:tcPr>
            <w:tcW w:w="380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period restatements (Group financial statements)</w:t>
            </w:r>
          </w:p>
        </w:tc>
        <w:tc>
          <w:tcPr>
            <w:tcW w:w="376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rPr>
              <w:t>were involved throughout the audit to apply their judgement in</w:t>
            </w:r>
          </w:p>
        </w:tc>
        <w:tc>
          <w:tcPr>
            <w:tcW w:w="372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rPr>
              <w:t>the audit procedures performed, the judgements we focused on</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assessing changes required to the originally planned audit scope</w:t>
            </w:r>
          </w:p>
        </w:tc>
        <w:tc>
          <w:tcPr>
            <w:tcW w:w="3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and the results of our testing.</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As described in Note 1, following concerns reporting to the Audit</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and approach, including as it pertains to the nature, timing and</w:t>
            </w:r>
          </w:p>
        </w:tc>
        <w:tc>
          <w:tcPr>
            <w:tcW w:w="37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Our planned audit procedures in respect of the risk of</w:t>
            </w:r>
          </w:p>
        </w:tc>
        <w:tc>
          <w:tcPr>
            <w:tcW w:w="0" w:type="dxa"/>
            <w:vAlign w:val="bottom"/>
          </w:tcPr>
          <w:p>
            <w:pPr>
              <w:spacing w:after="0"/>
              <w:rPr>
                <w:sz w:val="1"/>
                <w:szCs w:val="1"/>
                <w:color w:val="auto"/>
              </w:rPr>
            </w:pPr>
          </w:p>
        </w:tc>
      </w:tr>
      <w:tr>
        <w:trPr>
          <w:trHeight w:val="42"/>
        </w:trPr>
        <w:tc>
          <w:tcPr>
            <w:tcW w:w="3800" w:type="dxa"/>
            <w:vAlign w:val="bottom"/>
            <w:tcBorders>
              <w:left w:val="single" w:sz="8" w:color="auto"/>
              <w:right w:val="single" w:sz="8" w:color="auto"/>
            </w:tcBorders>
            <w:vMerge w:val="continue"/>
          </w:tcPr>
          <w:p>
            <w:pPr>
              <w:spacing w:after="0"/>
              <w:rPr>
                <w:sz w:val="3"/>
                <w:szCs w:val="3"/>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extent of incremental audit procedures. These incremental</w:t>
            </w:r>
          </w:p>
        </w:tc>
        <w:tc>
          <w:tcPr>
            <w:tcW w:w="37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380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w w:val="98"/>
              </w:rPr>
              <w:t>Committee through Company management with respect to certain</w:t>
            </w:r>
          </w:p>
        </w:tc>
        <w:tc>
          <w:tcPr>
            <w:tcW w:w="3760" w:type="dxa"/>
            <w:vAlign w:val="bottom"/>
            <w:tcBorders>
              <w:right w:val="single" w:sz="8" w:color="auto"/>
            </w:tcBorders>
            <w:vMerge w:val="continue"/>
          </w:tcPr>
          <w:p>
            <w:pPr>
              <w:spacing w:after="0"/>
              <w:rPr>
                <w:sz w:val="11"/>
                <w:szCs w:val="11"/>
                <w:color w:val="auto"/>
              </w:rPr>
            </w:pPr>
          </w:p>
        </w:tc>
        <w:tc>
          <w:tcPr>
            <w:tcW w:w="3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accounting practices and controls, the Audit Committee engaged</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procedures included, among others:</w:t>
            </w:r>
          </w:p>
        </w:tc>
        <w:tc>
          <w:tcPr>
            <w:tcW w:w="3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management override of internal controls, and related prior</w:t>
            </w:r>
          </w:p>
        </w:tc>
        <w:tc>
          <w:tcPr>
            <w:tcW w:w="0" w:type="dxa"/>
            <w:vAlign w:val="bottom"/>
          </w:tcPr>
          <w:p>
            <w:pPr>
              <w:spacing w:after="0"/>
              <w:rPr>
                <w:sz w:val="1"/>
                <w:szCs w:val="1"/>
                <w:color w:val="auto"/>
              </w:rPr>
            </w:pPr>
          </w:p>
        </w:tc>
      </w:tr>
      <w:tr>
        <w:trPr>
          <w:trHeight w:val="117"/>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outside legal counsel, who were supported by forensic and</w:t>
            </w:r>
          </w:p>
        </w:tc>
        <w:tc>
          <w:tcPr>
            <w:tcW w:w="3760" w:type="dxa"/>
            <w:vAlign w:val="bottom"/>
            <w:tcBorders>
              <w:right w:val="single" w:sz="8" w:color="auto"/>
            </w:tcBorders>
          </w:tcPr>
          <w:p>
            <w:pPr>
              <w:ind w:left="140"/>
              <w:spacing w:after="0" w:line="117" w:lineRule="exact"/>
              <w:rPr>
                <w:sz w:val="20"/>
                <w:szCs w:val="20"/>
                <w:color w:val="auto"/>
              </w:rPr>
            </w:pPr>
            <w:r>
              <w:rPr>
                <w:rFonts w:ascii="Arial" w:cs="Arial" w:eastAsia="Arial" w:hAnsi="Arial"/>
                <w:sz w:val="13"/>
                <w:szCs w:val="13"/>
                <w:color w:val="auto"/>
              </w:rPr>
              <w:t>–   engaging our forensic specialists to examine the scope</w:t>
            </w:r>
          </w:p>
        </w:tc>
        <w:tc>
          <w:tcPr>
            <w:tcW w:w="3720" w:type="dxa"/>
            <w:vAlign w:val="bottom"/>
            <w:tcBorders>
              <w:right w:val="single" w:sz="8" w:color="auto"/>
            </w:tcBorders>
          </w:tcPr>
          <w:p>
            <w:pPr>
              <w:spacing w:after="0" w:line="117" w:lineRule="exact"/>
              <w:rPr>
                <w:sz w:val="20"/>
                <w:szCs w:val="20"/>
                <w:color w:val="auto"/>
              </w:rPr>
            </w:pPr>
            <w:r>
              <w:rPr>
                <w:rFonts w:ascii="Arial" w:cs="Arial" w:eastAsia="Arial" w:hAnsi="Arial"/>
                <w:sz w:val="13"/>
                <w:szCs w:val="13"/>
                <w:color w:val="auto"/>
              </w:rPr>
              <w:t>period adjustments were completed without exception.</w:t>
            </w:r>
          </w:p>
        </w:tc>
        <w:tc>
          <w:tcPr>
            <w:tcW w:w="0" w:type="dxa"/>
            <w:vAlign w:val="bottom"/>
          </w:tcPr>
          <w:p>
            <w:pPr>
              <w:spacing w:after="0"/>
              <w:rPr>
                <w:sz w:val="1"/>
                <w:szCs w:val="1"/>
                <w:color w:val="auto"/>
              </w:rPr>
            </w:pPr>
          </w:p>
        </w:tc>
      </w:tr>
      <w:tr>
        <w:trPr>
          <w:trHeight w:val="53"/>
        </w:trPr>
        <w:tc>
          <w:tcPr>
            <w:tcW w:w="3800" w:type="dxa"/>
            <w:vAlign w:val="bottom"/>
            <w:tcBorders>
              <w:left w:val="single" w:sz="8" w:color="auto"/>
              <w:right w:val="single" w:sz="8" w:color="auto"/>
            </w:tcBorders>
            <w:vMerge w:val="continue"/>
          </w:tcPr>
          <w:p>
            <w:pPr>
              <w:spacing w:after="0"/>
              <w:rPr>
                <w:sz w:val="4"/>
                <w:szCs w:val="4"/>
                <w:color w:val="auto"/>
              </w:rPr>
            </w:pPr>
          </w:p>
        </w:tc>
        <w:tc>
          <w:tcPr>
            <w:tcW w:w="37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and results of the work carried out through the</w:t>
            </w:r>
          </w:p>
        </w:tc>
        <w:tc>
          <w:tcPr>
            <w:tcW w:w="3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0" w:type="dxa"/>
            <w:vAlign w:val="bottom"/>
            <w:tcBorders>
              <w:left w:val="single" w:sz="8" w:color="auto"/>
              <w:right w:val="single" w:sz="8" w:color="auto"/>
            </w:tcBorders>
            <w:vMerge w:val="restart"/>
          </w:tcPr>
          <w:p>
            <w:pPr>
              <w:ind w:left="20"/>
              <w:spacing w:after="0" w:line="138" w:lineRule="exact"/>
              <w:rPr>
                <w:sz w:val="20"/>
                <w:szCs w:val="20"/>
                <w:color w:val="auto"/>
              </w:rPr>
            </w:pPr>
            <w:r>
              <w:rPr>
                <w:rFonts w:ascii="Arial" w:cs="Arial" w:eastAsia="Arial" w:hAnsi="Arial"/>
                <w:sz w:val="13"/>
                <w:szCs w:val="13"/>
                <w:color w:val="auto"/>
              </w:rPr>
              <w:t>technical accounting firms, to conduct an investigation (the</w:t>
            </w:r>
          </w:p>
        </w:tc>
        <w:tc>
          <w:tcPr>
            <w:tcW w:w="3760" w:type="dxa"/>
            <w:vAlign w:val="bottom"/>
            <w:tcBorders>
              <w:right w:val="single" w:sz="8" w:color="auto"/>
            </w:tcBorders>
            <w:vMerge w:val="continue"/>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3800" w:type="dxa"/>
            <w:vAlign w:val="bottom"/>
            <w:tcBorders>
              <w:left w:val="single" w:sz="8" w:color="auto"/>
              <w:right w:val="single" w:sz="8" w:color="auto"/>
            </w:tcBorders>
            <w:vMerge w:val="continue"/>
          </w:tcPr>
          <w:p>
            <w:pPr>
              <w:spacing w:after="0"/>
              <w:rPr>
                <w:sz w:val="3"/>
                <w:szCs w:val="3"/>
                <w:color w:val="auto"/>
              </w:rPr>
            </w:pPr>
          </w:p>
        </w:tc>
        <w:tc>
          <w:tcPr>
            <w:tcW w:w="37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Investigation by holding discussions with outside legal</w:t>
            </w:r>
          </w:p>
        </w:tc>
        <w:tc>
          <w:tcPr>
            <w:tcW w:w="37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“Investigation”).</w:t>
            </w:r>
          </w:p>
        </w:tc>
        <w:tc>
          <w:tcPr>
            <w:tcW w:w="3760" w:type="dxa"/>
            <w:vAlign w:val="bottom"/>
            <w:tcBorders>
              <w:right w:val="single" w:sz="8" w:color="auto"/>
            </w:tcBorders>
            <w:vMerge w:val="continue"/>
          </w:tcPr>
          <w:p>
            <w:pPr>
              <w:spacing w:after="0"/>
              <w:rPr>
                <w:sz w:val="9"/>
                <w:szCs w:val="9"/>
                <w:color w:val="auto"/>
              </w:rPr>
            </w:pPr>
          </w:p>
        </w:tc>
        <w:tc>
          <w:tcPr>
            <w:tcW w:w="3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00" w:type="dxa"/>
            <w:vAlign w:val="bottom"/>
            <w:tcBorders>
              <w:left w:val="single" w:sz="8" w:color="auto"/>
              <w:right w:val="single" w:sz="8" w:color="auto"/>
            </w:tcBorders>
            <w:vMerge w:val="continue"/>
          </w:tcPr>
          <w:p>
            <w:pPr>
              <w:spacing w:after="0"/>
              <w:rPr>
                <w:sz w:val="5"/>
                <w:szCs w:val="5"/>
                <w:color w:val="auto"/>
              </w:rPr>
            </w:pPr>
          </w:p>
        </w:tc>
        <w:tc>
          <w:tcPr>
            <w:tcW w:w="37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counsel and forensic and technical accounting firms,</w:t>
            </w:r>
          </w:p>
        </w:tc>
        <w:tc>
          <w:tcPr>
            <w:tcW w:w="37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800" w:type="dxa"/>
            <w:vAlign w:val="bottom"/>
            <w:tcBorders>
              <w:left w:val="single" w:sz="8" w:color="auto"/>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3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As detailed in Note 1, the Investigation identified a number of</w:t>
            </w:r>
          </w:p>
        </w:tc>
        <w:tc>
          <w:tcPr>
            <w:tcW w:w="376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w w:val="99"/>
              </w:rPr>
              <w:t>reviewing their supporting evidence, performing additional</w:t>
            </w:r>
          </w:p>
        </w:tc>
        <w:tc>
          <w:tcPr>
            <w:tcW w:w="3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800" w:type="dxa"/>
            <w:vAlign w:val="bottom"/>
            <w:tcBorders>
              <w:left w:val="single" w:sz="8" w:color="auto"/>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400"/>
              <w:spacing w:after="0" w:line="138" w:lineRule="exact"/>
              <w:rPr>
                <w:sz w:val="20"/>
                <w:szCs w:val="20"/>
                <w:color w:val="auto"/>
              </w:rPr>
            </w:pPr>
            <w:r>
              <w:rPr>
                <w:rFonts w:ascii="Arial" w:cs="Arial" w:eastAsia="Arial" w:hAnsi="Arial"/>
                <w:sz w:val="13"/>
                <w:szCs w:val="13"/>
                <w:color w:val="auto"/>
                <w:w w:val="99"/>
              </w:rPr>
              <w:t>procedures which included considering the sufficiency and</w:t>
            </w:r>
          </w:p>
        </w:tc>
        <w:tc>
          <w:tcPr>
            <w:tcW w:w="3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significant findings which resulted in the restatement of the 2024</w:t>
            </w:r>
          </w:p>
        </w:tc>
        <w:tc>
          <w:tcPr>
            <w:tcW w:w="3760" w:type="dxa"/>
            <w:vAlign w:val="bottom"/>
            <w:tcBorders>
              <w:right w:val="single" w:sz="8" w:color="auto"/>
            </w:tcBorders>
            <w:vMerge w:val="continue"/>
          </w:tcPr>
          <w:p>
            <w:pPr>
              <w:spacing w:after="0"/>
              <w:rPr>
                <w:sz w:val="4"/>
                <w:szCs w:val="4"/>
                <w:color w:val="auto"/>
              </w:rPr>
            </w:pPr>
          </w:p>
        </w:tc>
        <w:tc>
          <w:tcPr>
            <w:tcW w:w="3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0" w:type="dxa"/>
            <w:vAlign w:val="bottom"/>
            <w:tcBorders>
              <w:left w:val="single" w:sz="8" w:color="auto"/>
              <w:right w:val="single" w:sz="8" w:color="auto"/>
            </w:tcBorders>
            <w:vMerge w:val="continue"/>
          </w:tcPr>
          <w:p>
            <w:pPr>
              <w:spacing w:after="0"/>
              <w:rPr>
                <w:sz w:val="8"/>
                <w:szCs w:val="8"/>
                <w:color w:val="auto"/>
              </w:rPr>
            </w:pPr>
          </w:p>
        </w:tc>
        <w:tc>
          <w:tcPr>
            <w:tcW w:w="37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appropriateness of the investigation performed and the</w:t>
            </w:r>
          </w:p>
        </w:tc>
        <w:tc>
          <w:tcPr>
            <w:tcW w:w="3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financial statements.</w:t>
            </w:r>
          </w:p>
        </w:tc>
        <w:tc>
          <w:tcPr>
            <w:tcW w:w="3760" w:type="dxa"/>
            <w:vAlign w:val="bottom"/>
            <w:tcBorders>
              <w:right w:val="single" w:sz="8" w:color="auto"/>
            </w:tcBorders>
            <w:vMerge w:val="continue"/>
          </w:tcPr>
          <w:p>
            <w:pPr>
              <w:spacing w:after="0"/>
              <w:rPr>
                <w:sz w:val="4"/>
                <w:szCs w:val="4"/>
                <w:color w:val="auto"/>
              </w:rPr>
            </w:pPr>
          </w:p>
        </w:tc>
        <w:tc>
          <w:tcPr>
            <w:tcW w:w="3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800" w:type="dxa"/>
            <w:vAlign w:val="bottom"/>
            <w:tcBorders>
              <w:left w:val="single" w:sz="8" w:color="auto"/>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3"/>
                <w:szCs w:val="13"/>
                <w:color w:val="auto"/>
              </w:rPr>
              <w:t>competency and objectivity of individuals undertaking it;</w:t>
            </w:r>
          </w:p>
        </w:tc>
        <w:tc>
          <w:tcPr>
            <w:tcW w:w="3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3800" w:type="dxa"/>
            <w:vAlign w:val="bottom"/>
            <w:tcBorders>
              <w:left w:val="single" w:sz="8" w:color="auto"/>
              <w:right w:val="single" w:sz="8" w:color="auto"/>
            </w:tcBorders>
          </w:tcPr>
          <w:p>
            <w:pPr>
              <w:spacing w:after="0"/>
              <w:rPr>
                <w:sz w:val="2"/>
                <w:szCs w:val="2"/>
                <w:color w:val="auto"/>
              </w:rPr>
            </w:pPr>
          </w:p>
        </w:tc>
        <w:tc>
          <w:tcPr>
            <w:tcW w:w="3760" w:type="dxa"/>
            <w:vAlign w:val="bottom"/>
            <w:tcBorders>
              <w:right w:val="single" w:sz="8" w:color="auto"/>
            </w:tcBorders>
            <w:vMerge w:val="continue"/>
          </w:tcPr>
          <w:p>
            <w:pPr>
              <w:spacing w:after="0"/>
              <w:rPr>
                <w:sz w:val="2"/>
                <w:szCs w:val="2"/>
                <w:color w:val="auto"/>
              </w:rPr>
            </w:pPr>
          </w:p>
        </w:tc>
        <w:tc>
          <w:tcPr>
            <w:tcW w:w="37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Due to the significance of these matters, the judgement involved,</w:t>
            </w:r>
          </w:p>
        </w:tc>
        <w:tc>
          <w:tcPr>
            <w:tcW w:w="376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   changes to our audit scope, testing incremental accounts,</w:t>
            </w:r>
          </w:p>
        </w:tc>
        <w:tc>
          <w:tcPr>
            <w:tcW w:w="3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800" w:type="dxa"/>
            <w:vAlign w:val="bottom"/>
            <w:tcBorders>
              <w:left w:val="single" w:sz="8" w:color="auto"/>
              <w:right w:val="single" w:sz="8" w:color="auto"/>
            </w:tcBorders>
            <w:vMerge w:val="continue"/>
          </w:tcPr>
          <w:p>
            <w:pPr>
              <w:spacing w:after="0"/>
              <w:rPr>
                <w:sz w:val="11"/>
                <w:szCs w:val="11"/>
                <w:color w:val="auto"/>
              </w:rPr>
            </w:pPr>
          </w:p>
        </w:tc>
        <w:tc>
          <w:tcPr>
            <w:tcW w:w="3760" w:type="dxa"/>
            <w:vAlign w:val="bottom"/>
            <w:tcBorders>
              <w:right w:val="single" w:sz="8" w:color="auto"/>
            </w:tcBorders>
          </w:tcPr>
          <w:p>
            <w:pPr>
              <w:ind w:left="400"/>
              <w:spacing w:after="0" w:line="128" w:lineRule="exact"/>
              <w:rPr>
                <w:sz w:val="20"/>
                <w:szCs w:val="20"/>
                <w:color w:val="auto"/>
              </w:rPr>
            </w:pPr>
            <w:r>
              <w:rPr>
                <w:rFonts w:ascii="Arial" w:cs="Arial" w:eastAsia="Arial" w:hAnsi="Arial"/>
                <w:sz w:val="13"/>
                <w:szCs w:val="13"/>
                <w:color w:val="auto"/>
              </w:rPr>
              <w:t>lowering our testing thresholds, increasing sample sizes,</w:t>
            </w:r>
          </w:p>
        </w:tc>
        <w:tc>
          <w:tcPr>
            <w:tcW w:w="3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and the audit effort required, we identified Management override</w:t>
            </w:r>
          </w:p>
        </w:tc>
        <w:tc>
          <w:tcPr>
            <w:tcW w:w="376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rPr>
              <w:t>and</w:t>
            </w:r>
          </w:p>
        </w:tc>
        <w:tc>
          <w:tcPr>
            <w:tcW w:w="3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of internal controls, and related prior period restatements, as a</w:t>
            </w:r>
          </w:p>
        </w:tc>
        <w:tc>
          <w:tcPr>
            <w:tcW w:w="376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   involving additional experienced audit team members to</w:t>
            </w:r>
          </w:p>
        </w:tc>
        <w:tc>
          <w:tcPr>
            <w:tcW w:w="3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key audit matter.</w:t>
            </w:r>
          </w:p>
        </w:tc>
        <w:tc>
          <w:tcPr>
            <w:tcW w:w="376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rPr>
              <w:t>evaluate the audit judgements made and evidence</w:t>
            </w:r>
          </w:p>
        </w:tc>
        <w:tc>
          <w:tcPr>
            <w:tcW w:w="3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400"/>
              <w:spacing w:after="0"/>
              <w:rPr>
                <w:sz w:val="20"/>
                <w:szCs w:val="20"/>
                <w:color w:val="auto"/>
              </w:rPr>
            </w:pPr>
            <w:r>
              <w:rPr>
                <w:rFonts w:ascii="Arial" w:cs="Arial" w:eastAsia="Arial" w:hAnsi="Arial"/>
                <w:sz w:val="13"/>
                <w:szCs w:val="13"/>
                <w:color w:val="auto"/>
              </w:rPr>
              <w:t>obtained.</w:t>
            </w:r>
          </w:p>
        </w:tc>
        <w:tc>
          <w:tcPr>
            <w:tcW w:w="3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00" w:type="dxa"/>
            <w:vAlign w:val="bottom"/>
            <w:tcBorders>
              <w:left w:val="single" w:sz="8" w:color="auto"/>
              <w:right w:val="single" w:sz="8" w:color="auto"/>
            </w:tcBorders>
          </w:tcPr>
          <w:p>
            <w:pPr>
              <w:spacing w:after="0"/>
              <w:rPr>
                <w:sz w:val="11"/>
                <w:szCs w:val="11"/>
                <w:color w:val="auto"/>
              </w:rPr>
            </w:pPr>
          </w:p>
        </w:tc>
        <w:tc>
          <w:tcPr>
            <w:tcW w:w="376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rPr>
              <w:t>We performed procedures on the prior period adjustments</w:t>
            </w:r>
          </w:p>
        </w:tc>
        <w:tc>
          <w:tcPr>
            <w:tcW w:w="3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determined by Management to assess the completeness,</w:t>
            </w:r>
          </w:p>
        </w:tc>
        <w:tc>
          <w:tcPr>
            <w:tcW w:w="3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accuracy, and timing of these adjustments.</w:t>
            </w:r>
          </w:p>
        </w:tc>
        <w:tc>
          <w:tcPr>
            <w:tcW w:w="3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3"/>
          <w:szCs w:val="13"/>
          <w:b w:val="1"/>
          <w:bCs w:val="1"/>
          <w:i w:val="1"/>
          <w:iCs w:val="1"/>
          <w:color w:val="auto"/>
        </w:rPr>
      </w:pPr>
    </w:p>
    <w:p>
      <w:pPr>
        <w:spacing w:after="0" w:line="200" w:lineRule="exact"/>
        <w:rPr>
          <w:rFonts w:ascii="Arial" w:cs="Arial" w:eastAsia="Arial" w:hAnsi="Arial"/>
          <w:sz w:val="13"/>
          <w:szCs w:val="13"/>
          <w:b w:val="1"/>
          <w:bCs w:val="1"/>
          <w:i w:val="1"/>
          <w:iCs w:val="1"/>
          <w:color w:val="auto"/>
        </w:rPr>
      </w:pPr>
    </w:p>
    <w:p>
      <w:pPr>
        <w:spacing w:after="0" w:line="200" w:lineRule="exact"/>
        <w:rPr>
          <w:rFonts w:ascii="Arial" w:cs="Arial" w:eastAsia="Arial" w:hAnsi="Arial"/>
          <w:sz w:val="13"/>
          <w:szCs w:val="13"/>
          <w:b w:val="1"/>
          <w:bCs w:val="1"/>
          <w:i w:val="1"/>
          <w:iCs w:val="1"/>
          <w:color w:val="auto"/>
        </w:rPr>
      </w:pPr>
    </w:p>
    <w:p>
      <w:pPr>
        <w:spacing w:after="0" w:line="387" w:lineRule="exact"/>
        <w:rPr>
          <w:rFonts w:ascii="Arial" w:cs="Arial" w:eastAsia="Arial" w:hAnsi="Arial"/>
          <w:sz w:val="13"/>
          <w:szCs w:val="13"/>
          <w:b w:val="1"/>
          <w:bCs w:val="1"/>
          <w:i w:val="1"/>
          <w:iCs w:val="1"/>
          <w:color w:val="auto"/>
        </w:rPr>
      </w:pPr>
    </w:p>
    <w:p>
      <w:pPr>
        <w:jc w:val="center"/>
        <w:ind w:left="50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80"/>
          </w:cols>
          <w:pgMar w:left="300" w:top="1440" w:right="319" w:bottom="1440" w:gutter="0" w:footer="0" w:header="0"/>
        </w:sectPr>
      </w:pPr>
    </w:p>
    <w:bookmarkStart w:id="48" w:name="page49"/>
    <w:bookmarkEnd w:id="48"/>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INDEPENDENT AUDITOR’S REPORT TO THE MEMBERS OF ICON PLC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Report on the audit of the financial statements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Key audit matters </w:t>
      </w:r>
      <w:r>
        <w:rPr>
          <w:rFonts w:ascii="Arial" w:cs="Arial" w:eastAsia="Arial" w:hAnsi="Arial"/>
          <w:sz w:val="13"/>
          <w:szCs w:val="13"/>
          <w:i w:val="1"/>
          <w:iCs w:val="1"/>
          <w:color w:val="auto"/>
        </w:rPr>
        <w:t>(continued)</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8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Risk</w:t>
            </w:r>
          </w:p>
        </w:tc>
        <w:tc>
          <w:tcPr>
            <w:tcW w:w="3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Our response to the risk</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Key observations communicated to the Audit Committee</w:t>
            </w:r>
          </w:p>
        </w:tc>
      </w:tr>
      <w:tr>
        <w:trPr>
          <w:trHeight w:val="137"/>
        </w:trPr>
        <w:tc>
          <w:tcPr>
            <w:tcW w:w="380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Management override of internal controls, and related prior</w:t>
            </w:r>
          </w:p>
        </w:tc>
        <w:tc>
          <w:tcPr>
            <w:tcW w:w="3760" w:type="dxa"/>
            <w:vAlign w:val="bottom"/>
            <w:tcBorders>
              <w:right w:val="single" w:sz="8" w:color="auto"/>
            </w:tcBorders>
          </w:tcPr>
          <w:p>
            <w:pPr>
              <w:ind w:left="40"/>
              <w:spacing w:after="0" w:line="138" w:lineRule="exact"/>
              <w:rPr>
                <w:sz w:val="20"/>
                <w:szCs w:val="20"/>
                <w:color w:val="auto"/>
              </w:rPr>
            </w:pPr>
            <w:r>
              <w:rPr>
                <w:rFonts w:ascii="Arial" w:cs="Arial" w:eastAsia="Arial" w:hAnsi="Arial"/>
                <w:sz w:val="13"/>
                <w:szCs w:val="13"/>
                <w:color w:val="auto"/>
              </w:rPr>
              <w:t>We assessed the judgements and assumptions used by</w:t>
            </w:r>
          </w:p>
        </w:tc>
        <w:tc>
          <w:tcPr>
            <w:tcW w:w="3720" w:type="dxa"/>
            <w:vAlign w:val="bottom"/>
            <w:tcBorders>
              <w:right w:val="single" w:sz="8" w:color="auto"/>
            </w:tcBorders>
          </w:tcPr>
          <w:p>
            <w:pPr>
              <w:spacing w:after="0"/>
              <w:rPr>
                <w:sz w:val="11"/>
                <w:szCs w:val="1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period restatements (Group financial statements)</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reference to evidence obtained through the findings of the</w:t>
            </w:r>
          </w:p>
        </w:tc>
        <w:tc>
          <w:tcPr>
            <w:tcW w:w="3720" w:type="dxa"/>
            <w:vAlign w:val="bottom"/>
            <w:tcBorders>
              <w:right w:val="single" w:sz="8" w:color="auto"/>
            </w:tcBorders>
          </w:tcPr>
          <w:p>
            <w:pPr>
              <w:spacing w:after="0"/>
              <w:rPr>
                <w:sz w:val="12"/>
                <w:szCs w:val="12"/>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i w:val="1"/>
                <w:iCs w:val="1"/>
                <w:color w:val="auto"/>
              </w:rPr>
              <w:t>(continued)</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Investigation, our knowledge of the matters, our understanding of</w:t>
            </w:r>
          </w:p>
        </w:tc>
        <w:tc>
          <w:tcPr>
            <w:tcW w:w="3720" w:type="dxa"/>
            <w:vAlign w:val="bottom"/>
            <w:tcBorders>
              <w:right w:val="single" w:sz="8" w:color="auto"/>
            </w:tcBorders>
          </w:tcPr>
          <w:p>
            <w:pPr>
              <w:spacing w:after="0"/>
              <w:rPr>
                <w:sz w:val="12"/>
                <w:szCs w:val="12"/>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 business and our other audit procedures.</w:t>
            </w:r>
          </w:p>
        </w:tc>
        <w:tc>
          <w:tcPr>
            <w:tcW w:w="3720" w:type="dxa"/>
            <w:vAlign w:val="bottom"/>
            <w:tcBorders>
              <w:right w:val="single" w:sz="8" w:color="auto"/>
            </w:tcBorders>
          </w:tcPr>
          <w:p>
            <w:pPr>
              <w:spacing w:after="0"/>
              <w:rPr>
                <w:sz w:val="12"/>
                <w:szCs w:val="12"/>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We audited the disclosures of the prior period adjustments as</w:t>
            </w:r>
          </w:p>
        </w:tc>
        <w:tc>
          <w:tcPr>
            <w:tcW w:w="3720" w:type="dxa"/>
            <w:vAlign w:val="bottom"/>
            <w:tcBorders>
              <w:right w:val="single" w:sz="8" w:color="auto"/>
            </w:tcBorders>
          </w:tcPr>
          <w:p>
            <w:pPr>
              <w:spacing w:after="0"/>
              <w:rPr>
                <w:sz w:val="12"/>
                <w:szCs w:val="12"/>
                <w:color w:val="auto"/>
              </w:rPr>
            </w:pPr>
          </w:p>
        </w:tc>
      </w:tr>
      <w:tr>
        <w:trPr>
          <w:trHeight w:val="138"/>
        </w:trPr>
        <w:tc>
          <w:tcPr>
            <w:tcW w:w="3800" w:type="dxa"/>
            <w:vAlign w:val="bottom"/>
            <w:tcBorders>
              <w:left w:val="single" w:sz="8" w:color="auto"/>
              <w:right w:val="single" w:sz="8" w:color="auto"/>
            </w:tcBorders>
          </w:tcPr>
          <w:p>
            <w:pPr>
              <w:spacing w:after="0"/>
              <w:rPr>
                <w:sz w:val="11"/>
                <w:szCs w:val="11"/>
                <w:color w:val="auto"/>
              </w:rPr>
            </w:pPr>
          </w:p>
        </w:tc>
        <w:tc>
          <w:tcPr>
            <w:tcW w:w="376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rPr>
              <w:t>reflected in Note 1 to the Group financial statements for</w:t>
            </w:r>
          </w:p>
        </w:tc>
        <w:tc>
          <w:tcPr>
            <w:tcW w:w="3720" w:type="dxa"/>
            <w:vAlign w:val="bottom"/>
            <w:tcBorders>
              <w:right w:val="single" w:sz="8" w:color="auto"/>
            </w:tcBorders>
          </w:tcPr>
          <w:p>
            <w:pPr>
              <w:spacing w:after="0"/>
              <w:rPr>
                <w:sz w:val="11"/>
                <w:szCs w:val="1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 xml:space="preserve">compliance with the requirements of IAS 8 </w:t>
            </w:r>
            <w:r>
              <w:rPr>
                <w:rFonts w:ascii="Arial" w:cs="Arial" w:eastAsia="Arial" w:hAnsi="Arial"/>
                <w:sz w:val="13"/>
                <w:szCs w:val="13"/>
                <w:i w:val="1"/>
                <w:iCs w:val="1"/>
                <w:color w:val="auto"/>
              </w:rPr>
              <w:t>Accounting Policies,</w:t>
            </w:r>
          </w:p>
        </w:tc>
        <w:tc>
          <w:tcPr>
            <w:tcW w:w="3720" w:type="dxa"/>
            <w:vAlign w:val="bottom"/>
            <w:tcBorders>
              <w:right w:val="single" w:sz="8" w:color="auto"/>
            </w:tcBorders>
          </w:tcPr>
          <w:p>
            <w:pPr>
              <w:spacing w:after="0"/>
              <w:rPr>
                <w:sz w:val="12"/>
                <w:szCs w:val="12"/>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i w:val="1"/>
                <w:iCs w:val="1"/>
                <w:color w:val="auto"/>
              </w:rPr>
              <w:t>Changes in Accounting Estimates and Errors</w:t>
            </w:r>
            <w:r>
              <w:rPr>
                <w:rFonts w:ascii="Arial" w:cs="Arial" w:eastAsia="Arial" w:hAnsi="Arial"/>
                <w:sz w:val="13"/>
                <w:szCs w:val="13"/>
                <w:color w:val="auto"/>
              </w:rPr>
              <w:t>. We read all</w:t>
            </w:r>
          </w:p>
        </w:tc>
        <w:tc>
          <w:tcPr>
            <w:tcW w:w="3720" w:type="dxa"/>
            <w:vAlign w:val="bottom"/>
            <w:tcBorders>
              <w:right w:val="single" w:sz="8" w:color="auto"/>
            </w:tcBorders>
          </w:tcPr>
          <w:p>
            <w:pPr>
              <w:spacing w:after="0"/>
              <w:rPr>
                <w:sz w:val="12"/>
                <w:szCs w:val="12"/>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disclosures in the Annual Report and Accounts associated with</w:t>
            </w:r>
          </w:p>
        </w:tc>
        <w:tc>
          <w:tcPr>
            <w:tcW w:w="3720" w:type="dxa"/>
            <w:vAlign w:val="bottom"/>
            <w:tcBorders>
              <w:right w:val="single" w:sz="8" w:color="auto"/>
            </w:tcBorders>
          </w:tcPr>
          <w:p>
            <w:pPr>
              <w:spacing w:after="0"/>
              <w:rPr>
                <w:sz w:val="12"/>
                <w:szCs w:val="12"/>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these matters, including the description of the implications they</w:t>
            </w:r>
          </w:p>
        </w:tc>
        <w:tc>
          <w:tcPr>
            <w:tcW w:w="3720" w:type="dxa"/>
            <w:vAlign w:val="bottom"/>
            <w:tcBorders>
              <w:right w:val="single" w:sz="8" w:color="auto"/>
            </w:tcBorders>
          </w:tcPr>
          <w:p>
            <w:pPr>
              <w:spacing w:after="0"/>
              <w:rPr>
                <w:sz w:val="12"/>
                <w:szCs w:val="12"/>
                <w:color w:val="auto"/>
              </w:rPr>
            </w:pPr>
          </w:p>
        </w:tc>
      </w:tr>
      <w:tr>
        <w:trPr>
          <w:trHeight w:val="138"/>
        </w:trPr>
        <w:tc>
          <w:tcPr>
            <w:tcW w:w="3800" w:type="dxa"/>
            <w:vAlign w:val="bottom"/>
            <w:tcBorders>
              <w:left w:val="single" w:sz="8" w:color="auto"/>
              <w:right w:val="single" w:sz="8" w:color="auto"/>
            </w:tcBorders>
          </w:tcPr>
          <w:p>
            <w:pPr>
              <w:spacing w:after="0"/>
              <w:rPr>
                <w:sz w:val="11"/>
                <w:szCs w:val="11"/>
                <w:color w:val="auto"/>
              </w:rPr>
            </w:pPr>
          </w:p>
        </w:tc>
        <w:tc>
          <w:tcPr>
            <w:tcW w:w="376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rPr>
              <w:t>had on the Board of Directors' Report on their review of the</w:t>
            </w:r>
          </w:p>
        </w:tc>
        <w:tc>
          <w:tcPr>
            <w:tcW w:w="3720" w:type="dxa"/>
            <w:vAlign w:val="bottom"/>
            <w:tcBorders>
              <w:right w:val="single" w:sz="8" w:color="auto"/>
            </w:tcBorders>
          </w:tcPr>
          <w:p>
            <w:pPr>
              <w:spacing w:after="0"/>
              <w:rPr>
                <w:sz w:val="11"/>
                <w:szCs w:val="1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effectiveness of the Group's risk management and internal control</w:t>
            </w:r>
          </w:p>
        </w:tc>
        <w:tc>
          <w:tcPr>
            <w:tcW w:w="3720" w:type="dxa"/>
            <w:vAlign w:val="bottom"/>
            <w:tcBorders>
              <w:right w:val="single" w:sz="8" w:color="auto"/>
            </w:tcBorders>
          </w:tcPr>
          <w:p>
            <w:pPr>
              <w:spacing w:after="0"/>
              <w:rPr>
                <w:sz w:val="12"/>
                <w:szCs w:val="12"/>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systems, and considered whether the other information is</w:t>
            </w:r>
          </w:p>
        </w:tc>
        <w:tc>
          <w:tcPr>
            <w:tcW w:w="3720" w:type="dxa"/>
            <w:vAlign w:val="bottom"/>
            <w:tcBorders>
              <w:right w:val="single" w:sz="8" w:color="auto"/>
            </w:tcBorders>
          </w:tcPr>
          <w:p>
            <w:pPr>
              <w:spacing w:after="0"/>
              <w:rPr>
                <w:sz w:val="12"/>
                <w:szCs w:val="12"/>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materially inconsistent with the financial statements, our</w:t>
            </w:r>
          </w:p>
        </w:tc>
        <w:tc>
          <w:tcPr>
            <w:tcW w:w="3720" w:type="dxa"/>
            <w:vAlign w:val="bottom"/>
            <w:tcBorders>
              <w:right w:val="single" w:sz="8" w:color="auto"/>
            </w:tcBorders>
          </w:tcPr>
          <w:p>
            <w:pPr>
              <w:spacing w:after="0"/>
              <w:rPr>
                <w:sz w:val="12"/>
                <w:szCs w:val="12"/>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knowledge obtained in the audit or otherwise appears to be</w:t>
            </w:r>
          </w:p>
        </w:tc>
        <w:tc>
          <w:tcPr>
            <w:tcW w:w="3720" w:type="dxa"/>
            <w:vAlign w:val="bottom"/>
            <w:tcBorders>
              <w:right w:val="single" w:sz="8" w:color="auto"/>
            </w:tcBorders>
          </w:tcPr>
          <w:p>
            <w:pPr>
              <w:spacing w:after="0"/>
              <w:rPr>
                <w:sz w:val="12"/>
                <w:szCs w:val="12"/>
                <w:color w:val="auto"/>
              </w:rPr>
            </w:pPr>
          </w:p>
        </w:tc>
      </w:tr>
      <w:tr>
        <w:trPr>
          <w:trHeight w:val="167"/>
        </w:trPr>
        <w:tc>
          <w:tcPr>
            <w:tcW w:w="380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materially misstated.</w:t>
            </w:r>
          </w:p>
        </w:tc>
        <w:tc>
          <w:tcPr>
            <w:tcW w:w="3720" w:type="dxa"/>
            <w:vAlign w:val="bottom"/>
            <w:tcBorders>
              <w:right w:val="single" w:sz="8" w:color="auto"/>
            </w:tcBorders>
          </w:tcPr>
          <w:p>
            <w:pPr>
              <w:spacing w:after="0"/>
              <w:rPr>
                <w:sz w:val="14"/>
                <w:szCs w:val="14"/>
                <w:color w:val="auto"/>
              </w:rPr>
            </w:pPr>
          </w:p>
        </w:tc>
      </w:tr>
      <w:tr>
        <w:trPr>
          <w:trHeight w:val="406"/>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80"/>
          </w:cols>
          <w:pgMar w:left="300" w:top="1440" w:right="319" w:bottom="1440" w:gutter="0" w:footer="0" w:header="0"/>
        </w:sectPr>
      </w:pPr>
    </w:p>
    <w:bookmarkStart w:id="49" w:name="page50"/>
    <w:bookmarkEnd w:id="49"/>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INDEPENDENT AUDITOR’S REPORT TO THE MEMBERS OF ICON PLC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Report on the audit of the financial statements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Key audit matters </w:t>
      </w:r>
      <w:r>
        <w:rPr>
          <w:rFonts w:ascii="Arial" w:cs="Arial" w:eastAsia="Arial" w:hAnsi="Arial"/>
          <w:sz w:val="13"/>
          <w:szCs w:val="13"/>
          <w:i w:val="1"/>
          <w:iCs w:val="1"/>
          <w:color w:val="auto"/>
        </w:rPr>
        <w:t>(continued)</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8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Risk</w:t>
            </w:r>
          </w:p>
        </w:tc>
        <w:tc>
          <w:tcPr>
            <w:tcW w:w="3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Our response to the risk</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Key observations communicated to the Audit Committee</w:t>
            </w:r>
          </w:p>
        </w:tc>
        <w:tc>
          <w:tcPr>
            <w:tcW w:w="0" w:type="dxa"/>
            <w:vAlign w:val="bottom"/>
          </w:tcPr>
          <w:p>
            <w:pPr>
              <w:spacing w:after="0"/>
              <w:rPr>
                <w:sz w:val="1"/>
                <w:szCs w:val="1"/>
                <w:color w:val="auto"/>
              </w:rPr>
            </w:pPr>
          </w:p>
        </w:tc>
      </w:tr>
      <w:tr>
        <w:trPr>
          <w:trHeight w:val="137"/>
        </w:trPr>
        <w:tc>
          <w:tcPr>
            <w:tcW w:w="380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w w:val="99"/>
              </w:rPr>
              <w:t>Revenue recognition for clinical trial service contracts (2025:</w:t>
            </w:r>
          </w:p>
        </w:tc>
        <w:tc>
          <w:tcPr>
            <w:tcW w:w="376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rPr>
              <w:t>To test the revenue recognition for clinical trial service contracts,</w:t>
            </w:r>
          </w:p>
        </w:tc>
        <w:tc>
          <w:tcPr>
            <w:tcW w:w="372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rPr>
              <w:t>Our observations included an overview of the risk, outline of the</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US$8,251.3 million, 2024: US$8,189.0 million (restated))</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as well as determining, executing and evaluating the incremental</w:t>
            </w:r>
          </w:p>
        </w:tc>
        <w:tc>
          <w:tcPr>
            <w:tcW w:w="372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audit procedures performed, the judgements we focused on and</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audit procedures described in the key audit matter above, our</w:t>
            </w:r>
          </w:p>
        </w:tc>
        <w:tc>
          <w:tcPr>
            <w:tcW w:w="3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 results of our testing.</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As described in Notes 1 and 3 to the consolidated financial</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procedures included, among others, understanding</w:t>
            </w:r>
          </w:p>
        </w:tc>
        <w:tc>
          <w:tcPr>
            <w:tcW w:w="37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Our planned audit procedures in respect of revenue recognition</w:t>
            </w:r>
          </w:p>
        </w:tc>
        <w:tc>
          <w:tcPr>
            <w:tcW w:w="0" w:type="dxa"/>
            <w:vAlign w:val="bottom"/>
          </w:tcPr>
          <w:p>
            <w:pPr>
              <w:spacing w:after="0"/>
              <w:rPr>
                <w:sz w:val="1"/>
                <w:szCs w:val="1"/>
                <w:color w:val="auto"/>
              </w:rPr>
            </w:pPr>
          </w:p>
        </w:tc>
      </w:tr>
      <w:tr>
        <w:trPr>
          <w:trHeight w:val="42"/>
        </w:trPr>
        <w:tc>
          <w:tcPr>
            <w:tcW w:w="3800" w:type="dxa"/>
            <w:vAlign w:val="bottom"/>
            <w:tcBorders>
              <w:left w:val="single" w:sz="8" w:color="auto"/>
              <w:right w:val="single" w:sz="8" w:color="auto"/>
            </w:tcBorders>
            <w:vMerge w:val="continue"/>
          </w:tcPr>
          <w:p>
            <w:pPr>
              <w:spacing w:after="0"/>
              <w:rPr>
                <w:sz w:val="3"/>
                <w:szCs w:val="3"/>
                <w:color w:val="auto"/>
              </w:rPr>
            </w:pPr>
          </w:p>
        </w:tc>
        <w:tc>
          <w:tcPr>
            <w:tcW w:w="376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3"/>
                <w:szCs w:val="13"/>
                <w:color w:val="auto"/>
              </w:rPr>
              <w:t>management’s process for determining the total forecast project</w:t>
            </w:r>
          </w:p>
        </w:tc>
        <w:tc>
          <w:tcPr>
            <w:tcW w:w="37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statements, the Company’s revenue for the year ended 31</w:t>
            </w:r>
          </w:p>
        </w:tc>
        <w:tc>
          <w:tcPr>
            <w:tcW w:w="3760" w:type="dxa"/>
            <w:vAlign w:val="bottom"/>
            <w:tcBorders>
              <w:right w:val="single" w:sz="8" w:color="auto"/>
            </w:tcBorders>
            <w:vMerge w:val="continue"/>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800" w:type="dxa"/>
            <w:vAlign w:val="bottom"/>
            <w:tcBorders>
              <w:left w:val="single" w:sz="8" w:color="auto"/>
              <w:right w:val="single" w:sz="8" w:color="auto"/>
            </w:tcBorders>
            <w:vMerge w:val="continue"/>
          </w:tcPr>
          <w:p>
            <w:pPr>
              <w:spacing w:after="0"/>
              <w:rPr>
                <w:sz w:val="4"/>
                <w:szCs w:val="4"/>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costs and realizable contract values.</w:t>
            </w:r>
          </w:p>
        </w:tc>
        <w:tc>
          <w:tcPr>
            <w:tcW w:w="37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were completed without exception.</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December 2025, was US$8,251.3 million. A material portion of</w:t>
            </w:r>
          </w:p>
        </w:tc>
        <w:tc>
          <w:tcPr>
            <w:tcW w:w="3760" w:type="dxa"/>
            <w:vAlign w:val="bottom"/>
            <w:tcBorders>
              <w:right w:val="single" w:sz="8" w:color="auto"/>
            </w:tcBorders>
            <w:vMerge w:val="continue"/>
          </w:tcPr>
          <w:p>
            <w:pPr>
              <w:spacing w:after="0"/>
              <w:rPr>
                <w:sz w:val="12"/>
                <w:szCs w:val="12"/>
                <w:color w:val="auto"/>
              </w:rPr>
            </w:pPr>
          </w:p>
        </w:tc>
        <w:tc>
          <w:tcPr>
            <w:tcW w:w="3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0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the Company’s revenue relates to clinical trial service contracts</w:t>
            </w: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For a sample of clinical trial service contracts, through an</w:t>
            </w:r>
          </w:p>
        </w:tc>
        <w:tc>
          <w:tcPr>
            <w:tcW w:w="3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that represent a single performance obligation. The Company</w:t>
            </w:r>
          </w:p>
        </w:tc>
        <w:tc>
          <w:tcPr>
            <w:tcW w:w="3760" w:type="dxa"/>
            <w:vAlign w:val="bottom"/>
            <w:tcBorders>
              <w:right w:val="single" w:sz="8" w:color="auto"/>
            </w:tcBorders>
            <w:vMerge w:val="continue"/>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800" w:type="dxa"/>
            <w:vAlign w:val="bottom"/>
            <w:tcBorders>
              <w:left w:val="single" w:sz="8" w:color="auto"/>
              <w:right w:val="single" w:sz="8" w:color="auto"/>
            </w:tcBorders>
            <w:vMerge w:val="continue"/>
          </w:tcPr>
          <w:p>
            <w:pPr>
              <w:spacing w:after="0"/>
              <w:rPr>
                <w:sz w:val="4"/>
                <w:szCs w:val="4"/>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w w:val="99"/>
              </w:rPr>
              <w:t>inspection of contracts and agreed scope changes, we evaluated</w:t>
            </w:r>
          </w:p>
        </w:tc>
        <w:tc>
          <w:tcPr>
            <w:tcW w:w="3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recognises revenue for these contracts over time using a cost-</w:t>
            </w:r>
          </w:p>
        </w:tc>
        <w:tc>
          <w:tcPr>
            <w:tcW w:w="3760" w:type="dxa"/>
            <w:vAlign w:val="bottom"/>
            <w:tcBorders>
              <w:right w:val="single" w:sz="8" w:color="auto"/>
            </w:tcBorders>
            <w:vMerge w:val="continue"/>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800" w:type="dxa"/>
            <w:vAlign w:val="bottom"/>
            <w:tcBorders>
              <w:left w:val="single" w:sz="8" w:color="auto"/>
              <w:right w:val="single" w:sz="8" w:color="auto"/>
            </w:tcBorders>
            <w:vMerge w:val="continue"/>
          </w:tcPr>
          <w:p>
            <w:pPr>
              <w:spacing w:after="0"/>
              <w:rPr>
                <w:sz w:val="4"/>
                <w:szCs w:val="4"/>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whether management’s calculation of contract revenue</w:t>
            </w:r>
          </w:p>
        </w:tc>
        <w:tc>
          <w:tcPr>
            <w:tcW w:w="3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based input method, whereby revenue is recognised based on</w:t>
            </w:r>
          </w:p>
        </w:tc>
        <w:tc>
          <w:tcPr>
            <w:tcW w:w="3760" w:type="dxa"/>
            <w:vAlign w:val="bottom"/>
            <w:tcBorders>
              <w:right w:val="single" w:sz="8" w:color="auto"/>
            </w:tcBorders>
            <w:vMerge w:val="continue"/>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800" w:type="dxa"/>
            <w:vAlign w:val="bottom"/>
            <w:tcBorders>
              <w:left w:val="single" w:sz="8" w:color="auto"/>
              <w:right w:val="single" w:sz="8" w:color="auto"/>
            </w:tcBorders>
            <w:vMerge w:val="continue"/>
          </w:tcPr>
          <w:p>
            <w:pPr>
              <w:spacing w:after="0"/>
              <w:rPr>
                <w:sz w:val="4"/>
                <w:szCs w:val="4"/>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appropriately reflected contract terms and assessed the</w:t>
            </w:r>
          </w:p>
        </w:tc>
        <w:tc>
          <w:tcPr>
            <w:tcW w:w="3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progress towards completion of the performance obligation.</w:t>
            </w:r>
          </w:p>
        </w:tc>
        <w:tc>
          <w:tcPr>
            <w:tcW w:w="3760" w:type="dxa"/>
            <w:vAlign w:val="bottom"/>
            <w:tcBorders>
              <w:right w:val="single" w:sz="8" w:color="auto"/>
            </w:tcBorders>
            <w:vMerge w:val="continue"/>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800" w:type="dxa"/>
            <w:vAlign w:val="bottom"/>
            <w:tcBorders>
              <w:left w:val="single" w:sz="8" w:color="auto"/>
              <w:right w:val="single" w:sz="8" w:color="auto"/>
            </w:tcBorders>
            <w:vMerge w:val="continue"/>
          </w:tcPr>
          <w:p>
            <w:pPr>
              <w:spacing w:after="0"/>
              <w:rPr>
                <w:sz w:val="4"/>
                <w:szCs w:val="4"/>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reasonableness of management’s estimate of total forecast</w:t>
            </w:r>
          </w:p>
        </w:tc>
        <w:tc>
          <w:tcPr>
            <w:tcW w:w="3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380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Revenue recognition requires management to make estimates of</w:t>
            </w:r>
          </w:p>
        </w:tc>
        <w:tc>
          <w:tcPr>
            <w:tcW w:w="3760" w:type="dxa"/>
            <w:vAlign w:val="bottom"/>
            <w:tcBorders>
              <w:right w:val="single" w:sz="8" w:color="auto"/>
            </w:tcBorders>
            <w:vMerge w:val="continue"/>
          </w:tcPr>
          <w:p>
            <w:pPr>
              <w:spacing w:after="0"/>
              <w:rPr>
                <w:sz w:val="11"/>
                <w:szCs w:val="11"/>
                <w:color w:val="auto"/>
              </w:rPr>
            </w:pPr>
          </w:p>
        </w:tc>
        <w:tc>
          <w:tcPr>
            <w:tcW w:w="3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the transaction price and costs to complete for its projects on an</w:t>
            </w:r>
          </w:p>
        </w:tc>
        <w:tc>
          <w:tcPr>
            <w:tcW w:w="3760" w:type="dxa"/>
            <w:vAlign w:val="bottom"/>
            <w:tcBorders>
              <w:right w:val="single" w:sz="8" w:color="auto"/>
            </w:tcBorders>
          </w:tcPr>
          <w:p>
            <w:pPr>
              <w:spacing w:after="0" w:line="106" w:lineRule="exact"/>
              <w:rPr>
                <w:sz w:val="20"/>
                <w:szCs w:val="20"/>
                <w:color w:val="auto"/>
              </w:rPr>
            </w:pPr>
            <w:r>
              <w:rPr>
                <w:rFonts w:ascii="Arial" w:cs="Arial" w:eastAsia="Arial" w:hAnsi="Arial"/>
                <w:sz w:val="12"/>
                <w:szCs w:val="12"/>
                <w:color w:val="auto"/>
              </w:rPr>
              <w:t>project costs by evaluating the completeness and accuracy of the</w:t>
            </w:r>
          </w:p>
        </w:tc>
        <w:tc>
          <w:tcPr>
            <w:tcW w:w="3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00" w:type="dxa"/>
            <w:vAlign w:val="bottom"/>
            <w:tcBorders>
              <w:left w:val="single" w:sz="8" w:color="auto"/>
              <w:right w:val="single" w:sz="8" w:color="auto"/>
            </w:tcBorders>
            <w:vMerge w:val="continue"/>
          </w:tcPr>
          <w:p>
            <w:pPr>
              <w:spacing w:after="0"/>
              <w:rPr>
                <w:sz w:val="4"/>
                <w:szCs w:val="4"/>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underlying cost and labour inputs, analysing the appropriateness</w:t>
            </w:r>
          </w:p>
        </w:tc>
        <w:tc>
          <w:tcPr>
            <w:tcW w:w="3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ongoing basis.</w:t>
            </w:r>
          </w:p>
        </w:tc>
        <w:tc>
          <w:tcPr>
            <w:tcW w:w="3760" w:type="dxa"/>
            <w:vAlign w:val="bottom"/>
            <w:tcBorders>
              <w:right w:val="single" w:sz="8" w:color="auto"/>
            </w:tcBorders>
            <w:vMerge w:val="continue"/>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800" w:type="dxa"/>
            <w:vAlign w:val="bottom"/>
            <w:tcBorders>
              <w:left w:val="single" w:sz="8" w:color="auto"/>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of changes to total forecast project costs over time, and</w:t>
            </w:r>
          </w:p>
        </w:tc>
        <w:tc>
          <w:tcPr>
            <w:tcW w:w="3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800" w:type="dxa"/>
            <w:vAlign w:val="bottom"/>
            <w:tcBorders>
              <w:left w:val="single" w:sz="8" w:color="auto"/>
              <w:right w:val="single" w:sz="8" w:color="auto"/>
            </w:tcBorders>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w w:val="98"/>
              </w:rPr>
              <w:t>Auditing revenue recognition for clinical trial service contracts was</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comparing forecast costs to actual costs incurred to date and to</w:t>
            </w:r>
          </w:p>
        </w:tc>
        <w:tc>
          <w:tcPr>
            <w:tcW w:w="3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800" w:type="dxa"/>
            <w:vAlign w:val="bottom"/>
            <w:tcBorders>
              <w:left w:val="single" w:sz="8" w:color="auto"/>
              <w:right w:val="single" w:sz="8" w:color="auto"/>
            </w:tcBorders>
            <w:vMerge w:val="continue"/>
          </w:tcPr>
          <w:p>
            <w:pPr>
              <w:spacing w:after="0"/>
              <w:rPr>
                <w:sz w:val="11"/>
                <w:szCs w:val="11"/>
                <w:color w:val="auto"/>
              </w:rPr>
            </w:pPr>
          </w:p>
        </w:tc>
        <w:tc>
          <w:tcPr>
            <w:tcW w:w="37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contracted terms. We also tested actual direct and third-party</w:t>
            </w:r>
          </w:p>
        </w:tc>
        <w:tc>
          <w:tcPr>
            <w:tcW w:w="3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800" w:type="dxa"/>
            <w:vAlign w:val="bottom"/>
            <w:tcBorders>
              <w:left w:val="single" w:sz="8" w:color="auto"/>
              <w:right w:val="single" w:sz="8" w:color="auto"/>
            </w:tcBorders>
          </w:tcPr>
          <w:p>
            <w:pPr>
              <w:ind w:left="20"/>
              <w:spacing w:after="0" w:line="117" w:lineRule="exact"/>
              <w:rPr>
                <w:sz w:val="20"/>
                <w:szCs w:val="20"/>
                <w:color w:val="auto"/>
              </w:rPr>
            </w:pPr>
            <w:r>
              <w:rPr>
                <w:rFonts w:ascii="Arial" w:cs="Arial" w:eastAsia="Arial" w:hAnsi="Arial"/>
                <w:sz w:val="13"/>
                <w:szCs w:val="13"/>
                <w:color w:val="auto"/>
              </w:rPr>
              <w:t>especially challenging, due to the significant management</w:t>
            </w: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costs incurred, by inspecting source documentation, such as</w:t>
            </w:r>
          </w:p>
        </w:tc>
        <w:tc>
          <w:tcPr>
            <w:tcW w:w="3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800" w:type="dxa"/>
            <w:vAlign w:val="bottom"/>
            <w:tcBorders>
              <w:left w:val="single" w:sz="8" w:color="auto"/>
              <w:right w:val="single" w:sz="8" w:color="auto"/>
            </w:tcBorders>
            <w:vMerge w:val="restart"/>
          </w:tcPr>
          <w:p>
            <w:pPr>
              <w:ind w:left="20"/>
              <w:spacing w:after="0" w:line="138" w:lineRule="exact"/>
              <w:rPr>
                <w:sz w:val="20"/>
                <w:szCs w:val="20"/>
                <w:color w:val="auto"/>
              </w:rPr>
            </w:pPr>
            <w:r>
              <w:rPr>
                <w:rFonts w:ascii="Arial" w:cs="Arial" w:eastAsia="Arial" w:hAnsi="Arial"/>
                <w:sz w:val="13"/>
                <w:szCs w:val="13"/>
                <w:color w:val="auto"/>
              </w:rPr>
              <w:t>judgment required to measure progress towards complete</w:t>
            </w:r>
          </w:p>
        </w:tc>
        <w:tc>
          <w:tcPr>
            <w:tcW w:w="3760" w:type="dxa"/>
            <w:vAlign w:val="bottom"/>
            <w:tcBorders>
              <w:right w:val="single" w:sz="8" w:color="auto"/>
            </w:tcBorders>
            <w:vMerge w:val="continue"/>
          </w:tcPr>
          <w:p>
            <w:pPr>
              <w:spacing w:after="0"/>
              <w:rPr>
                <w:sz w:val="3"/>
                <w:szCs w:val="3"/>
                <w:color w:val="auto"/>
              </w:rPr>
            </w:pPr>
          </w:p>
        </w:tc>
        <w:tc>
          <w:tcPr>
            <w:tcW w:w="37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800" w:type="dxa"/>
            <w:vAlign w:val="bottom"/>
            <w:tcBorders>
              <w:left w:val="single" w:sz="8" w:color="auto"/>
              <w:right w:val="single" w:sz="8" w:color="auto"/>
            </w:tcBorders>
            <w:vMerge w:val="continue"/>
          </w:tcPr>
          <w:p>
            <w:pPr>
              <w:spacing w:after="0"/>
              <w:rPr>
                <w:sz w:val="8"/>
                <w:szCs w:val="8"/>
                <w:color w:val="auto"/>
              </w:rPr>
            </w:pP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internal payroll records and third-party invoices.</w:t>
            </w:r>
          </w:p>
        </w:tc>
        <w:tc>
          <w:tcPr>
            <w:tcW w:w="3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satisfaction of the performance obligation for clinical trial service</w:t>
            </w:r>
          </w:p>
        </w:tc>
        <w:tc>
          <w:tcPr>
            <w:tcW w:w="3760" w:type="dxa"/>
            <w:vAlign w:val="bottom"/>
            <w:tcBorders>
              <w:right w:val="single" w:sz="8" w:color="auto"/>
            </w:tcBorders>
            <w:vMerge w:val="continue"/>
          </w:tcPr>
          <w:p>
            <w:pPr>
              <w:spacing w:after="0"/>
              <w:rPr>
                <w:sz w:val="6"/>
                <w:szCs w:val="6"/>
                <w:color w:val="auto"/>
              </w:rPr>
            </w:pPr>
          </w:p>
        </w:tc>
        <w:tc>
          <w:tcPr>
            <w:tcW w:w="3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800" w:type="dxa"/>
            <w:vAlign w:val="bottom"/>
            <w:tcBorders>
              <w:left w:val="single" w:sz="8" w:color="auto"/>
              <w:right w:val="single" w:sz="8" w:color="auto"/>
            </w:tcBorders>
            <w:vMerge w:val="continue"/>
          </w:tcPr>
          <w:p>
            <w:pPr>
              <w:spacing w:after="0"/>
              <w:rPr>
                <w:sz w:val="6"/>
                <w:szCs w:val="6"/>
                <w:color w:val="auto"/>
              </w:rPr>
            </w:pPr>
          </w:p>
        </w:tc>
        <w:tc>
          <w:tcPr>
            <w:tcW w:w="3760" w:type="dxa"/>
            <w:vAlign w:val="bottom"/>
            <w:tcBorders>
              <w:right w:val="single" w:sz="8" w:color="auto"/>
            </w:tcBorders>
          </w:tcPr>
          <w:p>
            <w:pPr>
              <w:spacing w:after="0"/>
              <w:rPr>
                <w:sz w:val="6"/>
                <w:szCs w:val="6"/>
                <w:color w:val="auto"/>
              </w:rPr>
            </w:pPr>
          </w:p>
        </w:tc>
        <w:tc>
          <w:tcPr>
            <w:tcW w:w="3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9"/>
              </w:rPr>
              <w:t>contracts over time. The significant assumptions used to estimate</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For certain contracts, we interviewed operational personnel of the</w:t>
            </w:r>
          </w:p>
        </w:tc>
        <w:tc>
          <w:tcPr>
            <w:tcW w:w="3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80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revenue recognition included total forecast project costs and</w:t>
            </w: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w w:val="98"/>
              </w:rPr>
              <w:t>Company to assess progress to date and compared the realisable</w:t>
            </w:r>
          </w:p>
        </w:tc>
        <w:tc>
          <w:tcPr>
            <w:tcW w:w="3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38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realisable contract values.</w:t>
            </w:r>
          </w:p>
        </w:tc>
        <w:tc>
          <w:tcPr>
            <w:tcW w:w="3760" w:type="dxa"/>
            <w:vAlign w:val="bottom"/>
            <w:tcBorders>
              <w:right w:val="single" w:sz="8" w:color="auto"/>
            </w:tcBorders>
            <w:vMerge w:val="continue"/>
          </w:tcPr>
          <w:p>
            <w:pPr>
              <w:spacing w:after="0"/>
              <w:rPr>
                <w:sz w:val="3"/>
                <w:szCs w:val="3"/>
                <w:color w:val="auto"/>
              </w:rPr>
            </w:pPr>
          </w:p>
        </w:tc>
        <w:tc>
          <w:tcPr>
            <w:tcW w:w="37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3800" w:type="dxa"/>
            <w:vAlign w:val="bottom"/>
            <w:tcBorders>
              <w:left w:val="single" w:sz="8" w:color="auto"/>
              <w:right w:val="single" w:sz="8" w:color="auto"/>
            </w:tcBorders>
            <w:vMerge w:val="continue"/>
          </w:tcPr>
          <w:p>
            <w:pPr>
              <w:spacing w:after="0"/>
              <w:rPr>
                <w:sz w:val="11"/>
                <w:szCs w:val="11"/>
                <w:color w:val="auto"/>
              </w:rPr>
            </w:pPr>
          </w:p>
        </w:tc>
        <w:tc>
          <w:tcPr>
            <w:tcW w:w="376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w w:val="98"/>
              </w:rPr>
              <w:t>contract value to the consideration expected to be received based</w:t>
            </w:r>
          </w:p>
        </w:tc>
        <w:tc>
          <w:tcPr>
            <w:tcW w:w="3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on current rights and obligations under the related clinical trial</w:t>
            </w:r>
          </w:p>
        </w:tc>
        <w:tc>
          <w:tcPr>
            <w:tcW w:w="3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Refer to the Accounting policies (page 46) and Note 3 of the</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service contracts and any pricing modifications and scope</w:t>
            </w:r>
          </w:p>
        </w:tc>
        <w:tc>
          <w:tcPr>
            <w:tcW w:w="3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Consolidated Financial Statements (page 68).</w:t>
            </w:r>
          </w:p>
        </w:tc>
        <w:tc>
          <w:tcPr>
            <w:tcW w:w="3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changes that were agreed upon with the customers.</w:t>
            </w:r>
          </w:p>
        </w:tc>
        <w:tc>
          <w:tcPr>
            <w:tcW w:w="3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80"/>
          </w:cols>
          <w:pgMar w:left="300" w:top="1440" w:right="319" w:bottom="1440" w:gutter="0" w:footer="0" w:header="0"/>
        </w:sectPr>
      </w:pPr>
    </w:p>
    <w:bookmarkStart w:id="50" w:name="page51"/>
    <w:bookmarkEnd w:id="50"/>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INDEPENDENT AUDITOR’S REPORT TO THE MEMBERS OF ICON PLC </w:t>
      </w:r>
      <w:r>
        <w:rPr>
          <w:rFonts w:ascii="Arial" w:cs="Arial" w:eastAsia="Arial" w:hAnsi="Arial"/>
          <w:sz w:val="13"/>
          <w:szCs w:val="13"/>
          <w:i w:val="1"/>
          <w:i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Report on the audit of the financial statements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application of materiality</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We apply the concept of materiality in planning and performing the audit, in evaluating the effect of identified misstatements on the audit and in forming our audit opinion.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Materiality</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Materiality is the magnitude of an omission or misstatement that, individually or in the aggregate, could reasonably be expected to influence the economic decisions of the users of the financial statements. Materiality provides a basis for determining the nature and extent of our audit procedures.</w:t>
      </w:r>
    </w:p>
    <w:p>
      <w:pPr>
        <w:spacing w:after="0" w:line="157"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We determined materiality for the Group to be US$35.6 million, which is 5% of profit before taxation adjusted for certain non-recurring exceptional items. Profit before taxation adjusted for certain non-recurring exceptional items is a key performance indicator for the Group and is also a key metric used by the Group in the assessment of the performance of management. We therefore considered the Group’s profit before taxation adjusted for certain non-recurring exceptional items to be the most appropriate performance metric on which to base our materiality calculation as we consider it to be the most relevant performance measure to the stakeholders of the Group.</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We determined materiality for the Company to be US$74 million, which is 1% of total equity.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During the course of our audit, we reassessed initial materiality and considered that no further changes to materiality were necessary.</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materiality</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Performance materiality is the application of materiality at the individual account or balance level. It is set at an amount to reduce to an appropriately low level the probability that the aggregate of uncorrected and undetected misstatements exceeds materiality.</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the basis of our risk assessments, together with our assessment of the Group’s overall control environment, our judgement was that performance materiality was 50% of our planning materiality, namely US$17.8 million. We determined performance materiality for the Company to be US$37 million, which is 50% of planning materiality. We have set performance materiality at this percentage based on our assessment of the risk of misstatements, both corrected and uncorrected.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Reporting threshold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Reporting threshold is an amount below which identified misstatements are considered as being clearly trivial.</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agreed with the Audit Committee that we would report to them all uncorrected audit differences in excess of US$1.8 million for the Group, and US$3.7 million for the Company, which is set at 5% of planning materiality, as well as differences below that threshold that, in our view, warranted reporting on qualitative grounds.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We evaluate any uncorrected misstatements against both the quantitative measures of materiality discussed above and in light of other relevant qualitative considerations in forming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 overview of the scope of our audit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Tailoring the scope</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audit was undertaken to the materiality and performance materiality levels specified above and we applied materiality to assist us in determining what risks were significant and the procedures to be performed.</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part of establishing the overall Group audit strategy and plan, we conducted risk assessment procedures, and we have determined for the purpose of the Group Audit that the entire Group is considered to be one component. We tailored the scope of our audit to ensure that we performed sufficient audit procedures to be able to give an opinion on the financial statements as a whole. All audit work performed for the purposes of the audit was undertaken by the Group audit team.</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information</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are responsible for the other information. The other information comprises the information included in the annual report other than the financial statements and our auditor’s report thereon. Our opinion on the financial statements does not cover the other information and, except to the extent otherwise explicitly stated in our report, we do not express any form of assurance conclusion thereon.</w:t>
      </w:r>
    </w:p>
    <w:p>
      <w:pPr>
        <w:spacing w:after="0" w:line="34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80"/>
          </w:cols>
          <w:pgMar w:left="300" w:top="1440" w:right="319" w:bottom="1440" w:gutter="0" w:footer="0" w:header="0"/>
        </w:sectPr>
      </w:pPr>
    </w:p>
    <w:bookmarkStart w:id="51" w:name="page52"/>
    <w:bookmarkEnd w:id="51"/>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INDEPENDENT AUDITOR’S REPORT TO THE MEMBERS OF ICON PLC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Report on the audit of the financial statements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Other information </w:t>
      </w:r>
      <w:r>
        <w:rPr>
          <w:rFonts w:ascii="Arial" w:cs="Arial" w:eastAsia="Arial" w:hAnsi="Arial"/>
          <w:sz w:val="13"/>
          <w:szCs w:val="13"/>
          <w:i w:val="1"/>
          <w:iCs w:val="1"/>
          <w:color w:val="auto"/>
        </w:rPr>
        <w:t>(continued)</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Our responsibility is to read the other information and, in doing so, consider whether the other information is materially inconsistent with the financial statements or our knowledge obtained in the audit or otherwise appears to be materially misstated. If we identify such material inconsistencies or apparent material misstatements, we are required to determine whether there is a material misstatement in the financial statements or a material misstatement of the other information. If, based on the work we have performed, we conclude that there is a material misstatement of this other information, we are required to report that fact.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We have nothing to report in this regard.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Opinions on other matters prescribed by the Companies Act 2014</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In our opinion, based solely on the work undertaken in the course of the audit:</w:t>
      </w:r>
    </w:p>
    <w:p>
      <w:pPr>
        <w:spacing w:after="0" w:line="190" w:lineRule="exact"/>
        <w:rPr>
          <w:sz w:val="20"/>
          <w:szCs w:val="20"/>
          <w:color w:val="auto"/>
        </w:rPr>
      </w:pPr>
    </w:p>
    <w:p>
      <w:pPr>
        <w:ind w:left="520" w:hanging="260"/>
        <w:spacing w:after="0" w:line="266" w:lineRule="auto"/>
        <w:tabs>
          <w:tab w:leader="none" w:pos="511"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information given in the Directors’ Report, other than those parts dealing with the non-financial statement pursuant to the requirements of S.I. No. 360/2017 on which we are not required to report in the current year, is consistent with the financial statements; and</w:t>
      </w:r>
    </w:p>
    <w:p>
      <w:pPr>
        <w:spacing w:after="0" w:line="156" w:lineRule="exact"/>
        <w:rPr>
          <w:rFonts w:ascii="Arial" w:cs="Arial" w:eastAsia="Arial" w:hAnsi="Arial"/>
          <w:sz w:val="13"/>
          <w:szCs w:val="13"/>
          <w:color w:val="auto"/>
        </w:rPr>
      </w:pPr>
    </w:p>
    <w:p>
      <w:pPr>
        <w:ind w:left="520" w:hanging="260"/>
        <w:spacing w:after="0" w:line="309" w:lineRule="auto"/>
        <w:tabs>
          <w:tab w:leader="none" w:pos="511"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Directors’ Report, other than those parts relating to sustainability reporting where required by Part 28 of the Companies Act 2014, and those parts dealing with the non-financial statement pursuant to the requirements of S.I. No. 360/2017 on which we are not required to report in the current year, has been prepared in accordance with applicable legal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We have obtained all the information and explanations which, to the best of our knowledge and belief, are necessary for the purposes of our audit.</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our opinion the accounting records of the Company were sufficient to permit the financial statements to be readily and properly audited and the Company statement of financial position is in agreement with the accounting records.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Matters on which we are required to report by exception</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Based on the knowledge and understanding of the Group and the Company and its environment obtained in the course of the audit, we have not identified material misstatements in the directors' report.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Companies Act 2014 requires us to report to you if, in our opinion, the disclosures required by sections 305 to 312 of the Act, which relate to disclosures of directors’ remuneration and transactions, are not complied with by the Company. We have nothing to report in this regard.</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have nothing to report in respect of section 13 of the European Union (Disclosure of Non-Financial and Diversity Information by certain large undertakings and groups) Regulations 2017, which require us to report to you if, in our opinion, the Company has not provided in the non-financial statement the information required by Section 5(2) to (7) of those Regulations, in respect of 31 December 2024.</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Respective responsibilities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Responsibilities of directors for the financial statements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explained more fully in the directors’ responsibilities statement set out on page 30, the directors are responsible for the preparation of the financial statements in accordance with the applicable framework that give a true and fair view, and for such internal control as they determine is necessary to enable the preparation of financial statements that are free from material misstatement, whether due to fraud or error.</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In preparing the financial statements, the directors are responsible for assessing the Group and Company’s ability to continue as going concerns, disclosing, as applicable, matters related to going concern and using the going concern basis of accounting unless management either intends to liquidate the Group or the Company or to cease operations, or has no realistic alternative but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80"/>
          </w:cols>
          <w:pgMar w:left="300" w:top="1440" w:right="319" w:bottom="1440" w:gutter="0" w:footer="0" w:header="0"/>
        </w:sectPr>
      </w:pPr>
    </w:p>
    <w:bookmarkStart w:id="52" w:name="page53"/>
    <w:bookmarkEnd w:id="52"/>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INDEPENDENT AUDITOR’S REPORT TO THE MEMBERS OF ICON PLC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Report on the audit of the financial statements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Auditor’s responsibilities for the audit of the financial statements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(Ireland)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Explanation as to what extent the audit was considered capable of detecting irregularities, including fraud</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Irregularities, including fraud, are instances of non-compliance with laws and regulations. We design procedures in line with our responsibilities, outlined above, to detect irregularities, including fraud, that could reasonably be expected to have a material effect on the financial statements. The risk of not detecting a material misstatement due to fraud is higher than the risk of not detecting one resulting from error, as fraud may involve deliberate concealment by, for example, forgery or intentional misrepresentations, or through collusion. In addition, the further removed any non-compliance is from the events and transactions reflected in the financial statements, the less likely it is that our procedures will identify such non-compliance. The extent to which our procedures are capable of detecting irregularities, including fraud is detailed below. However, the primary responsibility for the prevention and detection of fraud rests with both those charged with governance of the Company and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Our approach was as follows:</w:t>
      </w:r>
    </w:p>
    <w:p>
      <w:pPr>
        <w:spacing w:after="0" w:line="190" w:lineRule="exact"/>
        <w:rPr>
          <w:sz w:val="20"/>
          <w:szCs w:val="20"/>
          <w:color w:val="auto"/>
        </w:rPr>
      </w:pPr>
    </w:p>
    <w:p>
      <w:pPr>
        <w:ind w:left="520" w:hanging="260"/>
        <w:spacing w:after="0" w:line="266"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obtained an understanding of the legal and regulatory frameworks that are applicable to the Company and determined that the most significant are those that relate to the form and content of external financial reporting including company law, tax legislation, employment law and regulatory compliance;</w:t>
      </w:r>
    </w:p>
    <w:p>
      <w:pPr>
        <w:spacing w:after="0" w:line="156"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understood how the Group is complying with those frameworks by making enquiries of management, internal audit, those responsible for legal and compliance procedures and the Company Secretary. We corroborated our enquiries through our review of the Group’s compliance policies, board minutes, and papers provided to the Audit Committee;</w:t>
      </w:r>
    </w:p>
    <w:p>
      <w:pPr>
        <w:spacing w:after="0" w:line="146" w:lineRule="exact"/>
        <w:rPr>
          <w:rFonts w:ascii="Arial" w:cs="Arial" w:eastAsia="Arial" w:hAnsi="Arial"/>
          <w:sz w:val="13"/>
          <w:szCs w:val="13"/>
          <w:color w:val="auto"/>
        </w:rPr>
      </w:pPr>
    </w:p>
    <w:p>
      <w:pPr>
        <w:jc w:val="both"/>
        <w:ind w:left="520" w:hanging="260"/>
        <w:spacing w:after="0" w:line="247"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assessed the susceptibility of the Company’s financial statements to material misstatement, including how fraud might occur, by meeting with management, including within various parts of the business, to understand where they considered there was susceptibility to fraud. We also considered performance targets and the potential for management to influence earnings or the perceptions of analysts. Where this risk was considered to be higher, we performed audit procedures to address each identified fraud risk. These procedures included testing manual journals and were designed to provide reasonable assurance that the financial statements were free from fraud or error; and</w:t>
      </w:r>
    </w:p>
    <w:p>
      <w:pPr>
        <w:spacing w:after="0" w:line="169" w:lineRule="exact"/>
        <w:rPr>
          <w:rFonts w:ascii="Arial" w:cs="Arial" w:eastAsia="Arial" w:hAnsi="Arial"/>
          <w:sz w:val="13"/>
          <w:szCs w:val="13"/>
          <w:color w:val="auto"/>
        </w:rPr>
      </w:pPr>
    </w:p>
    <w:p>
      <w:pPr>
        <w:ind w:left="520" w:hanging="260"/>
        <w:spacing w:after="0" w:line="290" w:lineRule="auto"/>
        <w:tabs>
          <w:tab w:leader="none" w:pos="511"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this understanding we designed our audit procedures to identify non-compliance with such laws and regulations. Our procedures included a review of board minutes to identify any non-compliance with laws and regulations, a review of reporting to the Audit Committee on compliance with regulations, and enquiries of internal and external legal counsel and management.</w:t>
      </w:r>
    </w:p>
    <w:p>
      <w:pPr>
        <w:spacing w:after="0" w:line="143" w:lineRule="exact"/>
        <w:rPr>
          <w:rFonts w:ascii="Arial" w:cs="Arial" w:eastAsia="Arial" w:hAnsi="Arial"/>
          <w:sz w:val="12"/>
          <w:szCs w:val="12"/>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additional audit procedures included:</w:t>
      </w:r>
    </w:p>
    <w:p>
      <w:pPr>
        <w:spacing w:after="0" w:line="190" w:lineRule="exact"/>
        <w:rPr>
          <w:rFonts w:ascii="Arial" w:cs="Arial" w:eastAsia="Arial" w:hAnsi="Arial"/>
          <w:sz w:val="13"/>
          <w:szCs w:val="13"/>
          <w:color w:val="auto"/>
        </w:rPr>
      </w:pPr>
    </w:p>
    <w:p>
      <w:pPr>
        <w:jc w:val="both"/>
        <w:ind w:left="1020" w:hanging="251"/>
        <w:spacing w:after="0" w:line="244" w:lineRule="auto"/>
        <w:tabs>
          <w:tab w:leader="none" w:pos="1012" w:val="left"/>
        </w:tabs>
        <w:numPr>
          <w:ilvl w:val="1"/>
          <w:numId w:val="32"/>
        </w:numPr>
        <w:rPr>
          <w:rFonts w:ascii="Arial" w:cs="Arial" w:eastAsia="Arial" w:hAnsi="Arial"/>
          <w:sz w:val="13"/>
          <w:szCs w:val="13"/>
          <w:color w:val="auto"/>
        </w:rPr>
      </w:pPr>
      <w:r>
        <w:rPr>
          <w:rFonts w:ascii="Arial" w:cs="Arial" w:eastAsia="Arial" w:hAnsi="Arial"/>
          <w:sz w:val="13"/>
          <w:szCs w:val="13"/>
          <w:color w:val="auto"/>
        </w:rPr>
        <w:t>engaging our forensic specialists to examine the scope and results of the Investigation carried out by the Audit Committee and outside legal counsel, including forensic and technical accounting firms, by holding discussions with these team members, reviewing their supporting evidence and, performing additional procedures which included considering the sufficiency, appropriateness of the investigation performed and the competency and objectivity of individuals undertaking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80"/>
          </w:cols>
          <w:pgMar w:left="300" w:top="1440" w:right="319" w:bottom="1440" w:gutter="0" w:footer="0" w:header="0"/>
        </w:sectPr>
      </w:pPr>
    </w:p>
    <w:bookmarkStart w:id="53" w:name="page54"/>
    <w:bookmarkEnd w:id="53"/>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INDEPENDENT AUDITOR’S REPORT TO THE MEMBERS OF ICON PLC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Report on the audit of the financial statements </w:t>
      </w:r>
      <w:r>
        <w:rPr>
          <w:rFonts w:ascii="Arial" w:cs="Arial" w:eastAsia="Arial" w:hAnsi="Arial"/>
          <w:sz w:val="13"/>
          <w:szCs w:val="13"/>
          <w:i w:val="1"/>
          <w:iCs w:val="1"/>
          <w:color w:val="auto"/>
        </w:rPr>
        <w:t>(continued)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Explanation as to what extent the audit was considered capable of detecting irregularities, including fraud </w:t>
      </w:r>
      <w:r>
        <w:rPr>
          <w:rFonts w:ascii="Arial" w:cs="Arial" w:eastAsia="Arial" w:hAnsi="Arial"/>
          <w:sz w:val="13"/>
          <w:szCs w:val="13"/>
          <w:i w:val="1"/>
          <w:iCs w:val="1"/>
          <w:color w:val="auto"/>
        </w:rPr>
        <w:t>(continued)</w:t>
      </w:r>
    </w:p>
    <w:p>
      <w:pPr>
        <w:spacing w:after="0" w:line="190" w:lineRule="exact"/>
        <w:rPr>
          <w:sz w:val="20"/>
          <w:szCs w:val="20"/>
          <w:color w:val="auto"/>
        </w:rPr>
      </w:pPr>
    </w:p>
    <w:p>
      <w:pPr>
        <w:jc w:val="both"/>
        <w:ind w:left="1020" w:hanging="251"/>
        <w:spacing w:after="0" w:line="244" w:lineRule="auto"/>
        <w:tabs>
          <w:tab w:leader="none" w:pos="1012" w:val="left"/>
        </w:tabs>
        <w:numPr>
          <w:ilvl w:val="0"/>
          <w:numId w:val="33"/>
        </w:numPr>
        <w:rPr>
          <w:rFonts w:ascii="Arial" w:cs="Arial" w:eastAsia="Arial" w:hAnsi="Arial"/>
          <w:sz w:val="13"/>
          <w:szCs w:val="13"/>
          <w:color w:val="auto"/>
        </w:rPr>
      </w:pPr>
      <w:r>
        <w:rPr>
          <w:rFonts w:ascii="Arial" w:cs="Arial" w:eastAsia="Arial" w:hAnsi="Arial"/>
          <w:sz w:val="13"/>
          <w:szCs w:val="13"/>
          <w:color w:val="auto"/>
        </w:rPr>
        <w:t>discussing the Investigation with the Audit Committee and the Board of Directors, to understand their views on the matters identified, and their understanding of the background to these matters and how they originated. We challenged Management, the Audit Committee and the Board of Directors as to how they had satisfied themselves that there were no similar occurrences elsewhere in the Group;</w:t>
      </w:r>
    </w:p>
    <w:p>
      <w:pPr>
        <w:spacing w:after="0" w:line="170" w:lineRule="exact"/>
        <w:rPr>
          <w:rFonts w:ascii="Arial" w:cs="Arial" w:eastAsia="Arial" w:hAnsi="Arial"/>
          <w:sz w:val="13"/>
          <w:szCs w:val="13"/>
          <w:color w:val="auto"/>
        </w:rPr>
      </w:pPr>
    </w:p>
    <w:p>
      <w:pPr>
        <w:jc w:val="both"/>
        <w:ind w:left="1020" w:hanging="251"/>
        <w:spacing w:after="0" w:line="252" w:lineRule="auto"/>
        <w:tabs>
          <w:tab w:leader="none" w:pos="1033"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performing procedures on the prior period adjustments identified by Management to assess the completeness, accuracy and timing of these adjustments. We challenged the judgements and assumptions used by reference to evidence obtained through the findings in the Investigation, our knowledge of the matters, our understanding of the business and our other audit procedures;</w:t>
      </w:r>
    </w:p>
    <w:p>
      <w:pPr>
        <w:spacing w:after="0" w:line="155" w:lineRule="exact"/>
        <w:rPr>
          <w:rFonts w:ascii="Arial" w:cs="Arial" w:eastAsia="Arial" w:hAnsi="Arial"/>
          <w:sz w:val="13"/>
          <w:szCs w:val="13"/>
          <w:color w:val="auto"/>
        </w:rPr>
      </w:pPr>
    </w:p>
    <w:p>
      <w:pPr>
        <w:jc w:val="both"/>
        <w:ind w:left="1020" w:hanging="251"/>
        <w:spacing w:after="0" w:line="247" w:lineRule="auto"/>
        <w:tabs>
          <w:tab w:leader="none" w:pos="1012"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reviewing the disclosures of the prior period restatements as reflected in Note 1 to the Group financial statements for compliance with the requirements of IAS 8 ‘</w:t>
      </w:r>
      <w:r>
        <w:rPr>
          <w:rFonts w:ascii="Arial" w:cs="Arial" w:eastAsia="Arial" w:hAnsi="Arial"/>
          <w:sz w:val="13"/>
          <w:szCs w:val="13"/>
          <w:i w:val="1"/>
          <w:iCs w:val="1"/>
          <w:color w:val="auto"/>
        </w:rPr>
        <w:t>Accounting Policies,</w:t>
      </w:r>
      <w:r>
        <w:rPr>
          <w:rFonts w:ascii="Arial" w:cs="Arial" w:eastAsia="Arial" w:hAnsi="Arial"/>
          <w:sz w:val="13"/>
          <w:szCs w:val="13"/>
          <w:color w:val="auto"/>
        </w:rPr>
        <w:t xml:space="preserve"> </w:t>
      </w:r>
      <w:r>
        <w:rPr>
          <w:rFonts w:ascii="Arial" w:cs="Arial" w:eastAsia="Arial" w:hAnsi="Arial"/>
          <w:sz w:val="13"/>
          <w:szCs w:val="13"/>
          <w:i w:val="1"/>
          <w:iCs w:val="1"/>
          <w:color w:val="auto"/>
        </w:rPr>
        <w:t>Changes in Accounting Estimates and Errors</w:t>
      </w:r>
      <w:r>
        <w:rPr>
          <w:rFonts w:ascii="Arial" w:cs="Arial" w:eastAsia="Arial" w:hAnsi="Arial"/>
          <w:sz w:val="13"/>
          <w:szCs w:val="13"/>
          <w:color w:val="auto"/>
        </w:rPr>
        <w:t>’. We read the disclosures in the Annual Report associated with these matters, including the description of the implications they had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Board of Directors’ report on their review of the effectiveness of the Group's risk management and internal control systems, and considered whether the other information is materially inconsistent with the financial statements, or our knowledge obtained in the audit or otherwise appears to be materially misstated.</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A further description of our responsibilities for the audit of the financial statements is located on the IAASA's website at: </w:t>
      </w:r>
      <w:r>
        <w:rPr>
          <w:rFonts w:ascii="Arial" w:cs="Arial" w:eastAsia="Arial" w:hAnsi="Arial"/>
          <w:sz w:val="13"/>
          <w:szCs w:val="13"/>
          <w:color w:val="0563C1"/>
        </w:rPr>
        <w:t>https://iaasa.ie/wp-content/uploads/docs/media/IAASA/Documents/audit-standards/Description_of_auditors_responsibilities_for_audit.pdf</w:t>
      </w:r>
      <w:r>
        <w:rPr>
          <w:rFonts w:ascii="Arial" w:cs="Arial" w:eastAsia="Arial" w:hAnsi="Arial"/>
          <w:sz w:val="13"/>
          <w:szCs w:val="13"/>
          <w:color w:val="000000"/>
        </w:rPr>
        <w:t>. This description forms part of our auditor's report.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purpose of our audit work and to whom we owe our responsibilities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Vincent Bergin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and on behalf of</w:t>
      </w:r>
    </w:p>
    <w:p>
      <w:pPr>
        <w:spacing w:after="0"/>
        <w:rPr>
          <w:sz w:val="20"/>
          <w:szCs w:val="20"/>
          <w:color w:val="auto"/>
        </w:rPr>
      </w:pPr>
      <w:r>
        <w:rPr>
          <w:rFonts w:ascii="Arial" w:cs="Arial" w:eastAsia="Arial" w:hAnsi="Arial"/>
          <w:sz w:val="13"/>
          <w:szCs w:val="13"/>
          <w:b w:val="1"/>
          <w:bCs w:val="1"/>
          <w:color w:val="auto"/>
        </w:rPr>
        <w:t>Ernst &amp; Young Chartered Accountants and Statutory Audit Firm</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Office: </w:t>
      </w:r>
      <w:r>
        <w:rPr>
          <w:rFonts w:ascii="Arial" w:cs="Arial" w:eastAsia="Arial" w:hAnsi="Arial"/>
          <w:sz w:val="13"/>
          <w:szCs w:val="13"/>
          <w:color w:val="auto"/>
        </w:rPr>
        <w:t>Dublin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Date: </w:t>
      </w:r>
      <w:r>
        <w:rPr>
          <w:rFonts w:ascii="Arial" w:cs="Arial" w:eastAsia="Arial" w:hAnsi="Arial"/>
          <w:sz w:val="13"/>
          <w:szCs w:val="13"/>
          <w:color w:val="auto"/>
        </w:rPr>
        <w:t>25 June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80"/>
          </w:cols>
          <w:pgMar w:left="300" w:top="1440"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Consolidated Statement of Profit and Loss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shd w:val="clear" w:color="auto" w:fill="CCEEFF"/>
          </w:tcPr>
          <w:p>
            <w:pPr>
              <w:spacing w:after="0"/>
              <w:rPr>
                <w:sz w:val="13"/>
                <w:szCs w:val="13"/>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3"/>
                <w:szCs w:val="13"/>
                <w:b w:val="1"/>
                <w:bCs w:val="1"/>
                <w:i w:val="1"/>
                <w:iCs w:val="1"/>
                <w:color w:val="auto"/>
              </w:rPr>
              <w:t>Note</w:t>
            </w:r>
          </w:p>
        </w:tc>
        <w:tc>
          <w:tcPr>
            <w:tcW w:w="1240" w:type="dxa"/>
            <w:vAlign w:val="bottom"/>
            <w:shd w:val="clear" w:color="auto" w:fill="CCEEFF"/>
          </w:tcPr>
          <w:p>
            <w:pPr>
              <w:spacing w:after="0"/>
              <w:rPr>
                <w:sz w:val="13"/>
                <w:szCs w:val="13"/>
                <w:color w:val="auto"/>
              </w:rPr>
            </w:pPr>
          </w:p>
        </w:tc>
        <w:tc>
          <w:tcPr>
            <w:tcW w:w="16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31 December 2025</w:t>
            </w:r>
          </w:p>
        </w:tc>
        <w:tc>
          <w:tcPr>
            <w:tcW w:w="1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31 December 2024</w:t>
            </w:r>
          </w:p>
        </w:tc>
        <w:tc>
          <w:tcPr>
            <w:tcW w:w="1020" w:type="dxa"/>
            <w:vAlign w:val="bottom"/>
            <w:shd w:val="clear" w:color="auto" w:fill="CCEEFF"/>
          </w:tcPr>
          <w:p>
            <w:pPr>
              <w:spacing w:after="0"/>
              <w:rPr>
                <w:sz w:val="13"/>
                <w:szCs w:val="13"/>
                <w:color w:val="auto"/>
              </w:rPr>
            </w:pPr>
          </w:p>
        </w:tc>
      </w:tr>
      <w:tr>
        <w:trPr>
          <w:trHeight w:val="168"/>
        </w:trPr>
        <w:tc>
          <w:tcPr>
            <w:tcW w:w="2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rPr>
              <w:t>(As Restated)</w:t>
            </w:r>
          </w:p>
        </w:tc>
        <w:tc>
          <w:tcPr>
            <w:tcW w:w="1020" w:type="dxa"/>
            <w:vAlign w:val="bottom"/>
            <w:tcBorders>
              <w:bottom w:val="single" w:sz="8" w:color="auto"/>
            </w:tcBorders>
            <w:shd w:val="clear" w:color="auto" w:fill="CCEEFF"/>
          </w:tcPr>
          <w:p>
            <w:pPr>
              <w:spacing w:after="0"/>
              <w:rPr>
                <w:sz w:val="14"/>
                <w:szCs w:val="14"/>
                <w:color w:val="auto"/>
              </w:rPr>
            </w:pPr>
          </w:p>
        </w:tc>
      </w:tr>
      <w:tr>
        <w:trPr>
          <w:trHeight w:val="119"/>
        </w:trPr>
        <w:tc>
          <w:tcPr>
            <w:tcW w:w="2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4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Pre-exceptional</w:t>
            </w:r>
          </w:p>
        </w:tc>
        <w:tc>
          <w:tcPr>
            <w:tcW w:w="1640" w:type="dxa"/>
            <w:vAlign w:val="bottom"/>
          </w:tcPr>
          <w:p>
            <w:pPr>
              <w:jc w:val="right"/>
              <w:ind w:right="316"/>
              <w:spacing w:after="0" w:line="119" w:lineRule="exact"/>
              <w:rPr>
                <w:sz w:val="20"/>
                <w:szCs w:val="20"/>
                <w:color w:val="auto"/>
              </w:rPr>
            </w:pPr>
            <w:r>
              <w:rPr>
                <w:rFonts w:ascii="Arial" w:cs="Arial" w:eastAsia="Arial" w:hAnsi="Arial"/>
                <w:sz w:val="13"/>
                <w:szCs w:val="13"/>
                <w:b w:val="1"/>
                <w:bCs w:val="1"/>
                <w:color w:val="auto"/>
              </w:rPr>
              <w:t>Exceptional</w:t>
            </w:r>
          </w:p>
        </w:tc>
        <w:tc>
          <w:tcPr>
            <w:tcW w:w="126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Total</w:t>
            </w:r>
          </w:p>
        </w:tc>
        <w:tc>
          <w:tcPr>
            <w:tcW w:w="1200" w:type="dxa"/>
            <w:vAlign w:val="bottom"/>
          </w:tcPr>
          <w:p>
            <w:pPr>
              <w:jc w:val="right"/>
              <w:spacing w:after="0" w:line="119" w:lineRule="exact"/>
              <w:rPr>
                <w:sz w:val="20"/>
                <w:szCs w:val="20"/>
                <w:color w:val="auto"/>
              </w:rPr>
            </w:pPr>
            <w:r>
              <w:rPr>
                <w:rFonts w:ascii="Arial" w:cs="Arial" w:eastAsia="Arial" w:hAnsi="Arial"/>
                <w:sz w:val="13"/>
                <w:szCs w:val="13"/>
                <w:color w:val="auto"/>
              </w:rPr>
              <w:t>Pre-exceptional</w:t>
            </w:r>
          </w:p>
        </w:tc>
        <w:tc>
          <w:tcPr>
            <w:tcW w:w="1660" w:type="dxa"/>
            <w:vAlign w:val="bottom"/>
          </w:tcPr>
          <w:p>
            <w:pPr>
              <w:jc w:val="right"/>
              <w:ind w:right="336"/>
              <w:spacing w:after="0" w:line="119" w:lineRule="exact"/>
              <w:rPr>
                <w:sz w:val="20"/>
                <w:szCs w:val="20"/>
                <w:color w:val="auto"/>
              </w:rPr>
            </w:pPr>
            <w:r>
              <w:rPr>
                <w:rFonts w:ascii="Arial" w:cs="Arial" w:eastAsia="Arial" w:hAnsi="Arial"/>
                <w:sz w:val="13"/>
                <w:szCs w:val="13"/>
                <w:color w:val="auto"/>
              </w:rPr>
              <w:t>Exceptional</w:t>
            </w:r>
          </w:p>
        </w:tc>
        <w:tc>
          <w:tcPr>
            <w:tcW w:w="1020" w:type="dxa"/>
            <w:vAlign w:val="bottom"/>
          </w:tcPr>
          <w:p>
            <w:pPr>
              <w:jc w:val="right"/>
              <w:spacing w:after="0" w:line="119" w:lineRule="exact"/>
              <w:rPr>
                <w:sz w:val="20"/>
                <w:szCs w:val="20"/>
                <w:color w:val="auto"/>
              </w:rPr>
            </w:pPr>
            <w:r>
              <w:rPr>
                <w:rFonts w:ascii="Arial" w:cs="Arial" w:eastAsia="Arial" w:hAnsi="Arial"/>
                <w:sz w:val="13"/>
                <w:szCs w:val="13"/>
                <w:color w:val="auto"/>
              </w:rPr>
              <w:t>Total</w:t>
            </w:r>
          </w:p>
        </w:tc>
      </w:tr>
      <w:tr>
        <w:trPr>
          <w:trHeight w:val="170"/>
        </w:trPr>
        <w:tc>
          <w:tcPr>
            <w:tcW w:w="2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(Note 9)</w:t>
            </w:r>
          </w:p>
        </w:tc>
        <w:tc>
          <w:tcPr>
            <w:tcW w:w="1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(Note 9)</w:t>
            </w:r>
          </w:p>
        </w:tc>
        <w:tc>
          <w:tcPr>
            <w:tcW w:w="1020" w:type="dxa"/>
            <w:vAlign w:val="bottom"/>
            <w:tcBorders>
              <w:bottom w:val="single" w:sz="8" w:color="auto"/>
            </w:tcBorders>
          </w:tcPr>
          <w:p>
            <w:pPr>
              <w:spacing w:after="0"/>
              <w:rPr>
                <w:sz w:val="14"/>
                <w:szCs w:val="14"/>
                <w:color w:val="auto"/>
              </w:rPr>
            </w:pPr>
          </w:p>
        </w:tc>
      </w:tr>
      <w:tr>
        <w:trPr>
          <w:trHeight w:val="160"/>
        </w:trPr>
        <w:tc>
          <w:tcPr>
            <w:tcW w:w="2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$’000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0"/>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1040" w:type="dxa"/>
            <w:vAlign w:val="bottom"/>
            <w:shd w:val="clear" w:color="auto" w:fill="CCEEFF"/>
          </w:tcPr>
          <w:p>
            <w:pPr>
              <w:ind w:left="540"/>
              <w:spacing w:after="0"/>
              <w:rPr>
                <w:sz w:val="20"/>
                <w:szCs w:val="20"/>
                <w:color w:val="auto"/>
              </w:rPr>
            </w:pPr>
            <w:r>
              <w:rPr>
                <w:rFonts w:ascii="Arial" w:cs="Arial" w:eastAsia="Arial" w:hAnsi="Arial"/>
                <w:sz w:val="13"/>
                <w:szCs w:val="13"/>
                <w:i w:val="1"/>
                <w:iCs w:val="1"/>
                <w:color w:val="auto"/>
              </w:rPr>
              <w:t>3</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8,251,340</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8,251,340</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8,188,990</w:t>
            </w:r>
          </w:p>
        </w:tc>
        <w:tc>
          <w:tcPr>
            <w:tcW w:w="16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8,188,990</w:t>
            </w:r>
          </w:p>
        </w:tc>
      </w:tr>
      <w:tr>
        <w:trPr>
          <w:trHeight w:val="202"/>
        </w:trPr>
        <w:tc>
          <w:tcPr>
            <w:tcW w:w="2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0"/>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10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(6,076,286)</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(6,076,286)</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(5,817,764)</w:t>
            </w:r>
          </w:p>
        </w:tc>
        <w:tc>
          <w:tcPr>
            <w:tcW w:w="16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(5,817,764)</w:t>
            </w:r>
          </w:p>
        </w:tc>
      </w:tr>
      <w:tr>
        <w:trPr>
          <w:trHeight w:val="170"/>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operating expenses</w:t>
            </w:r>
          </w:p>
        </w:tc>
        <w:tc>
          <w:tcPr>
            <w:tcW w:w="10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(1,163,024)</w:t>
            </w:r>
          </w:p>
        </w:tc>
        <w:tc>
          <w:tcPr>
            <w:tcW w:w="16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(584,952)</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(1,747,976)</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(1,212,972)</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(121,697)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(1,334,669)</w:t>
            </w:r>
          </w:p>
        </w:tc>
      </w:tr>
      <w:tr>
        <w:trPr>
          <w:trHeight w:val="160"/>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profit</w:t>
            </w:r>
          </w:p>
        </w:tc>
        <w:tc>
          <w:tcPr>
            <w:tcW w:w="10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1,012,030</w:t>
            </w:r>
          </w:p>
        </w:tc>
        <w:tc>
          <w:tcPr>
            <w:tcW w:w="16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(584,952)</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427,078</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1,158,254</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(121,697)</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1,036,557</w:t>
            </w:r>
          </w:p>
        </w:tc>
      </w:tr>
      <w:tr>
        <w:trPr>
          <w:trHeight w:val="212"/>
        </w:trPr>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0"/>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income</w:t>
            </w:r>
          </w:p>
        </w:tc>
        <w:tc>
          <w:tcPr>
            <w:tcW w:w="1040" w:type="dxa"/>
            <w:vAlign w:val="bottom"/>
            <w:shd w:val="clear" w:color="auto" w:fill="CCEEFF"/>
          </w:tcPr>
          <w:p>
            <w:pPr>
              <w:ind w:left="540"/>
              <w:spacing w:after="0"/>
              <w:rPr>
                <w:sz w:val="20"/>
                <w:szCs w:val="20"/>
                <w:color w:val="auto"/>
              </w:rPr>
            </w:pPr>
            <w:r>
              <w:rPr>
                <w:rFonts w:ascii="Arial" w:cs="Arial" w:eastAsia="Arial" w:hAnsi="Arial"/>
                <w:sz w:val="13"/>
                <w:szCs w:val="13"/>
                <w:i w:val="1"/>
                <w:iCs w:val="1"/>
                <w:color w:val="auto"/>
              </w:rPr>
              <w:t>4</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7,109</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7,109</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8,609</w:t>
            </w:r>
          </w:p>
        </w:tc>
        <w:tc>
          <w:tcPr>
            <w:tcW w:w="16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8,609</w:t>
            </w:r>
          </w:p>
        </w:tc>
      </w:tr>
      <w:tr>
        <w:trPr>
          <w:trHeight w:val="170"/>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Finance costs</w:t>
            </w: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3"/>
                <w:szCs w:val="13"/>
                <w:i w:val="1"/>
                <w:iCs w:val="1"/>
                <w:color w:val="auto"/>
              </w:rPr>
              <w:t>5</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(203,674)</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(203,674)</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(242,616)</w:t>
            </w:r>
          </w:p>
        </w:tc>
        <w:tc>
          <w:tcPr>
            <w:tcW w:w="1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(242,616)</w:t>
            </w:r>
          </w:p>
        </w:tc>
      </w:tr>
      <w:tr>
        <w:trPr>
          <w:trHeight w:val="192"/>
        </w:trPr>
        <w:tc>
          <w:tcPr>
            <w:tcW w:w="2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0"/>
        </w:trPr>
        <w:tc>
          <w:tcPr>
            <w:tcW w:w="2200" w:type="dxa"/>
            <w:vAlign w:val="bottom"/>
          </w:tcPr>
          <w:p>
            <w:pPr>
              <w:ind w:left="20"/>
              <w:spacing w:after="0"/>
              <w:rPr>
                <w:sz w:val="20"/>
                <w:szCs w:val="20"/>
                <w:color w:val="auto"/>
              </w:rPr>
            </w:pPr>
            <w:r>
              <w:rPr>
                <w:rFonts w:ascii="Arial" w:cs="Arial" w:eastAsia="Arial" w:hAnsi="Arial"/>
                <w:sz w:val="13"/>
                <w:szCs w:val="13"/>
                <w:b w:val="1"/>
                <w:bCs w:val="1"/>
                <w:color w:val="auto"/>
              </w:rPr>
              <w:t>Profit before taxation</w:t>
            </w:r>
          </w:p>
        </w:tc>
        <w:tc>
          <w:tcPr>
            <w:tcW w:w="1040" w:type="dxa"/>
            <w:vAlign w:val="bottom"/>
          </w:tcPr>
          <w:p>
            <w:pPr>
              <w:ind w:left="540"/>
              <w:spacing w:after="0"/>
              <w:rPr>
                <w:sz w:val="20"/>
                <w:szCs w:val="20"/>
                <w:color w:val="auto"/>
              </w:rPr>
            </w:pPr>
            <w:r>
              <w:rPr>
                <w:rFonts w:ascii="Arial" w:cs="Arial" w:eastAsia="Arial" w:hAnsi="Arial"/>
                <w:sz w:val="13"/>
                <w:szCs w:val="13"/>
                <w:i w:val="1"/>
                <w:iCs w:val="1"/>
                <w:color w:val="auto"/>
              </w:rPr>
              <w:t>6</w:t>
            </w:r>
          </w:p>
        </w:tc>
        <w:tc>
          <w:tcPr>
            <w:tcW w:w="1240" w:type="dxa"/>
            <w:vAlign w:val="bottom"/>
          </w:tcPr>
          <w:p>
            <w:pPr>
              <w:jc w:val="right"/>
              <w:ind w:right="56"/>
              <w:spacing w:after="0"/>
              <w:rPr>
                <w:sz w:val="20"/>
                <w:szCs w:val="20"/>
                <w:color w:val="auto"/>
              </w:rPr>
            </w:pPr>
            <w:r>
              <w:rPr>
                <w:rFonts w:ascii="Arial" w:cs="Arial" w:eastAsia="Arial" w:hAnsi="Arial"/>
                <w:sz w:val="13"/>
                <w:szCs w:val="13"/>
                <w:b w:val="1"/>
                <w:bCs w:val="1"/>
                <w:color w:val="auto"/>
              </w:rPr>
              <w:t>815,465</w:t>
            </w:r>
          </w:p>
        </w:tc>
        <w:tc>
          <w:tcPr>
            <w:tcW w:w="1640" w:type="dxa"/>
            <w:vAlign w:val="bottom"/>
          </w:tcPr>
          <w:p>
            <w:pPr>
              <w:jc w:val="right"/>
              <w:ind w:right="296"/>
              <w:spacing w:after="0"/>
              <w:rPr>
                <w:sz w:val="20"/>
                <w:szCs w:val="20"/>
                <w:color w:val="auto"/>
              </w:rPr>
            </w:pPr>
            <w:r>
              <w:rPr>
                <w:rFonts w:ascii="Arial" w:cs="Arial" w:eastAsia="Arial" w:hAnsi="Arial"/>
                <w:sz w:val="13"/>
                <w:szCs w:val="13"/>
                <w:b w:val="1"/>
                <w:bCs w:val="1"/>
                <w:color w:val="auto"/>
              </w:rPr>
              <w:t>(584,952)</w:t>
            </w:r>
          </w:p>
        </w:tc>
        <w:tc>
          <w:tcPr>
            <w:tcW w:w="1260" w:type="dxa"/>
            <w:vAlign w:val="bottom"/>
          </w:tcPr>
          <w:p>
            <w:pPr>
              <w:jc w:val="right"/>
              <w:ind w:right="216"/>
              <w:spacing w:after="0"/>
              <w:rPr>
                <w:sz w:val="20"/>
                <w:szCs w:val="20"/>
                <w:color w:val="auto"/>
              </w:rPr>
            </w:pPr>
            <w:r>
              <w:rPr>
                <w:rFonts w:ascii="Arial" w:cs="Arial" w:eastAsia="Arial" w:hAnsi="Arial"/>
                <w:sz w:val="13"/>
                <w:szCs w:val="13"/>
                <w:b w:val="1"/>
                <w:bCs w:val="1"/>
                <w:color w:val="auto"/>
              </w:rPr>
              <w:t>230,513</w:t>
            </w: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924,247</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(121,697)</w:t>
            </w:r>
          </w:p>
        </w:tc>
        <w:tc>
          <w:tcPr>
            <w:tcW w:w="1020" w:type="dxa"/>
            <w:vAlign w:val="bottom"/>
          </w:tcPr>
          <w:p>
            <w:pPr>
              <w:jc w:val="right"/>
              <w:spacing w:after="0"/>
              <w:rPr>
                <w:sz w:val="20"/>
                <w:szCs w:val="20"/>
                <w:color w:val="auto"/>
              </w:rPr>
            </w:pPr>
            <w:r>
              <w:rPr>
                <w:rFonts w:ascii="Arial" w:cs="Arial" w:eastAsia="Arial" w:hAnsi="Arial"/>
                <w:sz w:val="13"/>
                <w:szCs w:val="13"/>
                <w:color w:val="auto"/>
              </w:rPr>
              <w:t>802,550</w:t>
            </w:r>
          </w:p>
        </w:tc>
      </w:tr>
      <w:tr>
        <w:trPr>
          <w:trHeight w:val="170"/>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0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i w:val="1"/>
                <w:iCs w:val="1"/>
                <w:color w:val="auto"/>
              </w:rPr>
              <w:t>7</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(57,966)</w:t>
            </w:r>
          </w:p>
        </w:tc>
        <w:tc>
          <w:tcPr>
            <w:tcW w:w="16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41,491</w:t>
            </w:r>
          </w:p>
        </w:tc>
        <w:tc>
          <w:tcPr>
            <w:tcW w:w="12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(16,475)</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(96,749)</w:t>
            </w:r>
          </w:p>
        </w:tc>
        <w:tc>
          <w:tcPr>
            <w:tcW w:w="16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21,276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(75,473)</w:t>
            </w:r>
          </w:p>
        </w:tc>
      </w:tr>
      <w:tr>
        <w:trPr>
          <w:trHeight w:val="182"/>
        </w:trPr>
        <w:tc>
          <w:tcPr>
            <w:tcW w:w="2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85"/>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10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757,499</w:t>
            </w:r>
          </w:p>
        </w:tc>
        <w:tc>
          <w:tcPr>
            <w:tcW w:w="16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(543,461)</w:t>
            </w:r>
          </w:p>
        </w:tc>
        <w:tc>
          <w:tcPr>
            <w:tcW w:w="12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214,038</w:t>
            </w: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827,498</w:t>
            </w:r>
          </w:p>
        </w:tc>
        <w:tc>
          <w:tcPr>
            <w:tcW w:w="1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(100,421)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727,077</w:t>
            </w:r>
          </w:p>
        </w:tc>
      </w:tr>
      <w:tr>
        <w:trPr>
          <w:trHeight w:val="20"/>
        </w:trPr>
        <w:tc>
          <w:tcPr>
            <w:tcW w:w="2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0"/>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w:t>
            </w:r>
          </w:p>
        </w:tc>
        <w:tc>
          <w:tcPr>
            <w:tcW w:w="10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200" w:type="dxa"/>
            <w:vAlign w:val="bottom"/>
          </w:tcPr>
          <w:p>
            <w:pPr>
              <w:ind w:left="20"/>
              <w:spacing w:after="0"/>
              <w:rPr>
                <w:sz w:val="20"/>
                <w:szCs w:val="20"/>
                <w:color w:val="auto"/>
              </w:rPr>
            </w:pPr>
            <w:r>
              <w:rPr>
                <w:rFonts w:ascii="Arial" w:cs="Arial" w:eastAsia="Arial" w:hAnsi="Arial"/>
                <w:sz w:val="13"/>
                <w:szCs w:val="13"/>
                <w:color w:val="auto"/>
              </w:rPr>
              <w:t>Basic</w:t>
            </w:r>
          </w:p>
        </w:tc>
        <w:tc>
          <w:tcPr>
            <w:tcW w:w="1040" w:type="dxa"/>
            <w:vAlign w:val="bottom"/>
          </w:tcPr>
          <w:p>
            <w:pPr>
              <w:ind w:left="540"/>
              <w:spacing w:after="0"/>
              <w:rPr>
                <w:sz w:val="20"/>
                <w:szCs w:val="20"/>
                <w:color w:val="auto"/>
              </w:rPr>
            </w:pPr>
            <w:r>
              <w:rPr>
                <w:rFonts w:ascii="Arial" w:cs="Arial" w:eastAsia="Arial" w:hAnsi="Arial"/>
                <w:sz w:val="13"/>
                <w:szCs w:val="13"/>
                <w:i w:val="1"/>
                <w:iCs w:val="1"/>
                <w:color w:val="auto"/>
              </w:rPr>
              <w:t>8</w:t>
            </w: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jc w:val="right"/>
              <w:ind w:right="216"/>
              <w:spacing w:after="0"/>
              <w:rPr>
                <w:sz w:val="20"/>
                <w:szCs w:val="20"/>
                <w:color w:val="auto"/>
              </w:rPr>
            </w:pPr>
            <w:r>
              <w:rPr>
                <w:rFonts w:ascii="Arial" w:cs="Arial" w:eastAsia="Arial" w:hAnsi="Arial"/>
                <w:sz w:val="13"/>
                <w:szCs w:val="13"/>
                <w:b w:val="1"/>
                <w:bCs w:val="1"/>
                <w:color w:val="auto"/>
              </w:rPr>
              <w:t>2.73</w:t>
            </w:r>
          </w:p>
        </w:tc>
        <w:tc>
          <w:tcPr>
            <w:tcW w:w="1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8.81</w:t>
            </w:r>
          </w:p>
        </w:tc>
      </w:tr>
      <w:tr>
        <w:trPr>
          <w:trHeight w:val="170"/>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10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i w:val="1"/>
                <w:iCs w:val="1"/>
                <w:color w:val="auto"/>
              </w:rPr>
              <w:t>8</w:t>
            </w:r>
          </w:p>
        </w:tc>
        <w:tc>
          <w:tcPr>
            <w:tcW w:w="12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2.71</w:t>
            </w:r>
          </w:p>
        </w:tc>
        <w:tc>
          <w:tcPr>
            <w:tcW w:w="12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60"/>
          </w:cols>
          <w:pgMar w:left="300" w:top="698"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Barry Balfe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6" w:lineRule="exact"/>
        <w:rPr>
          <w:sz w:val="20"/>
          <w:szCs w:val="20"/>
          <w:color w:val="auto"/>
        </w:rPr>
      </w:pPr>
    </w:p>
    <w:p>
      <w:pPr>
        <w:sectPr>
          <w:pgSz w:w="11900" w:h="16838" w:orient="portrait"/>
          <w:cols w:equalWidth="0" w:num="2">
            <w:col w:w="2700" w:space="720"/>
            <w:col w:w="7840"/>
          </w:cols>
          <w:pgMar w:left="300" w:top="698" w:right="33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40"/>
          </w:cols>
          <w:pgMar w:left="300" w:top="698" w:right="339" w:bottom="1440" w:gutter="0" w:footer="0" w:header="0"/>
          <w:type w:val="continuous"/>
        </w:sectPr>
      </w:pPr>
    </w:p>
    <w:p>
      <w:pPr>
        <w:spacing w:after="0" w:line="253" w:lineRule="exact"/>
        <w:rPr>
          <w:sz w:val="20"/>
          <w:szCs w:val="20"/>
          <w:color w:val="auto"/>
        </w:rPr>
      </w:pPr>
    </w:p>
    <w:p>
      <w:pPr>
        <w:jc w:val="center"/>
        <w:ind w:left="4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260"/>
          </w:cols>
          <w:pgMar w:left="300" w:top="698"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Consolidated Statement of Comprehensive Income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shd w:val="clear" w:color="auto" w:fill="CCEEFF"/>
          </w:tcPr>
          <w:p>
            <w:pPr>
              <w:spacing w:after="0"/>
              <w:rPr>
                <w:sz w:val="13"/>
                <w:szCs w:val="13"/>
                <w:color w:val="auto"/>
              </w:rPr>
            </w:pPr>
          </w:p>
        </w:tc>
        <w:tc>
          <w:tcPr>
            <w:tcW w:w="2460" w:type="dxa"/>
            <w:vAlign w:val="bottom"/>
            <w:shd w:val="clear" w:color="auto" w:fill="CCEEFF"/>
          </w:tcPr>
          <w:p>
            <w:pPr>
              <w:jc w:val="center"/>
              <w:ind w:left="1236"/>
              <w:spacing w:after="0"/>
              <w:rPr>
                <w:sz w:val="20"/>
                <w:szCs w:val="20"/>
                <w:color w:val="auto"/>
              </w:rPr>
            </w:pPr>
            <w:r>
              <w:rPr>
                <w:rFonts w:ascii="Arial" w:cs="Arial" w:eastAsia="Arial" w:hAnsi="Arial"/>
                <w:sz w:val="13"/>
                <w:szCs w:val="13"/>
                <w:b w:val="1"/>
                <w:bCs w:val="1"/>
                <w:i w:val="1"/>
                <w:iCs w:val="1"/>
                <w:color w:val="auto"/>
                <w:w w:val="96"/>
              </w:rPr>
              <w:t>Note</w:t>
            </w:r>
          </w:p>
        </w:tc>
        <w:tc>
          <w:tcPr>
            <w:tcW w:w="16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60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608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6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6080" w:type="dxa"/>
            <w:vAlign w:val="bottom"/>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2460" w:type="dxa"/>
            <w:vAlign w:val="bottom"/>
          </w:tcPr>
          <w:p>
            <w:pPr>
              <w:spacing w:after="0"/>
              <w:rPr>
                <w:sz w:val="14"/>
                <w:szCs w:val="14"/>
                <w:color w:val="auto"/>
              </w:rPr>
            </w:pPr>
          </w:p>
        </w:tc>
        <w:tc>
          <w:tcPr>
            <w:tcW w:w="1600" w:type="dxa"/>
            <w:vAlign w:val="bottom"/>
          </w:tcPr>
          <w:p>
            <w:pPr>
              <w:jc w:val="right"/>
              <w:ind w:right="336"/>
              <w:spacing w:after="0"/>
              <w:rPr>
                <w:sz w:val="20"/>
                <w:szCs w:val="20"/>
                <w:color w:val="auto"/>
              </w:rPr>
            </w:pPr>
            <w:r>
              <w:rPr>
                <w:rFonts w:ascii="Arial" w:cs="Arial" w:eastAsia="Arial" w:hAnsi="Arial"/>
                <w:sz w:val="13"/>
                <w:szCs w:val="13"/>
                <w:b w:val="1"/>
                <w:bCs w:val="1"/>
                <w:color w:val="auto"/>
              </w:rPr>
              <w:t>214,038</w:t>
            </w:r>
          </w:p>
        </w:tc>
        <w:tc>
          <w:tcPr>
            <w:tcW w:w="1140" w:type="dxa"/>
            <w:vAlign w:val="bottom"/>
          </w:tcPr>
          <w:p>
            <w:pPr>
              <w:jc w:val="right"/>
              <w:spacing w:after="0"/>
              <w:rPr>
                <w:sz w:val="20"/>
                <w:szCs w:val="20"/>
                <w:color w:val="auto"/>
              </w:rPr>
            </w:pPr>
            <w:r>
              <w:rPr>
                <w:rFonts w:ascii="Arial" w:cs="Arial" w:eastAsia="Arial" w:hAnsi="Arial"/>
                <w:sz w:val="13"/>
                <w:szCs w:val="13"/>
                <w:color w:val="auto"/>
              </w:rPr>
              <w:t>727,077</w:t>
            </w:r>
          </w:p>
        </w:tc>
      </w:tr>
      <w:tr>
        <w:trPr>
          <w:trHeight w:val="202"/>
        </w:trPr>
        <w:tc>
          <w:tcPr>
            <w:tcW w:w="6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608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 / (loss)</w:t>
            </w:r>
          </w:p>
        </w:tc>
        <w:tc>
          <w:tcPr>
            <w:tcW w:w="2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Items that will not be reclassified to profit or loss, net of tax:</w:t>
            </w:r>
          </w:p>
        </w:tc>
        <w:tc>
          <w:tcPr>
            <w:tcW w:w="2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Re-measurement of defined benefit liability</w:t>
            </w:r>
          </w:p>
        </w:tc>
        <w:tc>
          <w:tcPr>
            <w:tcW w:w="24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4,684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(6,338)</w:t>
            </w:r>
          </w:p>
        </w:tc>
      </w:tr>
      <w:tr>
        <w:trPr>
          <w:trHeight w:val="160"/>
        </w:trPr>
        <w:tc>
          <w:tcPr>
            <w:tcW w:w="60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4,684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(6,338)</w:t>
            </w:r>
          </w:p>
        </w:tc>
      </w:tr>
      <w:tr>
        <w:trPr>
          <w:trHeight w:val="202"/>
        </w:trPr>
        <w:tc>
          <w:tcPr>
            <w:tcW w:w="60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Items that are or may be reclassified subsequently to profit or loss, net of tax:</w:t>
            </w:r>
          </w:p>
        </w:tc>
        <w:tc>
          <w:tcPr>
            <w:tcW w:w="2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080" w:type="dxa"/>
            <w:vAlign w:val="bottom"/>
          </w:tcPr>
          <w:p>
            <w:pPr>
              <w:ind w:left="100"/>
              <w:spacing w:after="0"/>
              <w:rPr>
                <w:sz w:val="20"/>
                <w:szCs w:val="20"/>
                <w:color w:val="auto"/>
              </w:rPr>
            </w:pPr>
            <w:r>
              <w:rPr>
                <w:rFonts w:ascii="Arial" w:cs="Arial" w:eastAsia="Arial" w:hAnsi="Arial"/>
                <w:sz w:val="13"/>
                <w:szCs w:val="13"/>
                <w:color w:val="auto"/>
              </w:rPr>
              <w:t>Currency translation differences</w:t>
            </w:r>
          </w:p>
        </w:tc>
        <w:tc>
          <w:tcPr>
            <w:tcW w:w="2460" w:type="dxa"/>
            <w:vAlign w:val="bottom"/>
          </w:tcPr>
          <w:p>
            <w:pPr>
              <w:jc w:val="center"/>
              <w:ind w:left="1256"/>
              <w:spacing w:after="0"/>
              <w:rPr>
                <w:sz w:val="20"/>
                <w:szCs w:val="20"/>
                <w:color w:val="auto"/>
              </w:rPr>
            </w:pPr>
            <w:r>
              <w:rPr>
                <w:rFonts w:ascii="Arial" w:cs="Arial" w:eastAsia="Arial" w:hAnsi="Arial"/>
                <w:sz w:val="13"/>
                <w:szCs w:val="13"/>
                <w:i w:val="1"/>
                <w:iCs w:val="1"/>
                <w:color w:val="auto"/>
                <w:w w:val="96"/>
              </w:rPr>
              <w:t>23</w:t>
            </w:r>
          </w:p>
        </w:tc>
        <w:tc>
          <w:tcPr>
            <w:tcW w:w="1600" w:type="dxa"/>
            <w:vAlign w:val="bottom"/>
          </w:tcPr>
          <w:p>
            <w:pPr>
              <w:jc w:val="right"/>
              <w:ind w:right="336"/>
              <w:spacing w:after="0"/>
              <w:rPr>
                <w:sz w:val="20"/>
                <w:szCs w:val="20"/>
                <w:color w:val="auto"/>
              </w:rPr>
            </w:pPr>
            <w:r>
              <w:rPr>
                <w:rFonts w:ascii="Arial" w:cs="Arial" w:eastAsia="Arial" w:hAnsi="Arial"/>
                <w:sz w:val="13"/>
                <w:szCs w:val="13"/>
                <w:b w:val="1"/>
                <w:bCs w:val="1"/>
                <w:color w:val="auto"/>
              </w:rPr>
              <w:t>159,451</w:t>
            </w:r>
          </w:p>
        </w:tc>
        <w:tc>
          <w:tcPr>
            <w:tcW w:w="1140" w:type="dxa"/>
            <w:vAlign w:val="bottom"/>
          </w:tcPr>
          <w:p>
            <w:pPr>
              <w:jc w:val="right"/>
              <w:spacing w:after="0"/>
              <w:rPr>
                <w:sz w:val="20"/>
                <w:szCs w:val="20"/>
                <w:color w:val="auto"/>
              </w:rPr>
            </w:pPr>
            <w:r>
              <w:rPr>
                <w:rFonts w:ascii="Arial" w:cs="Arial" w:eastAsia="Arial" w:hAnsi="Arial"/>
                <w:sz w:val="13"/>
                <w:szCs w:val="13"/>
                <w:color w:val="auto"/>
              </w:rPr>
              <w:t>(84,927)</w:t>
            </w:r>
          </w:p>
        </w:tc>
      </w:tr>
      <w:tr>
        <w:trPr>
          <w:trHeight w:val="170"/>
        </w:trPr>
        <w:tc>
          <w:tcPr>
            <w:tcW w:w="6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Movement on cash flow hedge</w:t>
            </w:r>
          </w:p>
        </w:tc>
        <w:tc>
          <w:tcPr>
            <w:tcW w:w="2460" w:type="dxa"/>
            <w:vAlign w:val="bottom"/>
            <w:tcBorders>
              <w:bottom w:val="single" w:sz="8" w:color="auto"/>
            </w:tcBorders>
            <w:shd w:val="clear" w:color="auto" w:fill="CCEEFF"/>
          </w:tcPr>
          <w:p>
            <w:pPr>
              <w:jc w:val="center"/>
              <w:ind w:left="1256"/>
              <w:spacing w:after="0"/>
              <w:rPr>
                <w:sz w:val="20"/>
                <w:szCs w:val="20"/>
                <w:color w:val="auto"/>
              </w:rPr>
            </w:pPr>
            <w:r>
              <w:rPr>
                <w:rFonts w:ascii="Arial" w:cs="Arial" w:eastAsia="Arial" w:hAnsi="Arial"/>
                <w:sz w:val="13"/>
                <w:szCs w:val="13"/>
                <w:i w:val="1"/>
                <w:iCs w:val="1"/>
                <w:color w:val="auto"/>
                <w:w w:val="96"/>
              </w:rPr>
              <w:t>23</w:t>
            </w:r>
          </w:p>
        </w:tc>
        <w:tc>
          <w:tcPr>
            <w:tcW w:w="16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(2,420)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4,581</w:t>
            </w:r>
          </w:p>
        </w:tc>
      </w:tr>
      <w:tr>
        <w:trPr>
          <w:trHeight w:val="160"/>
        </w:trPr>
        <w:tc>
          <w:tcPr>
            <w:tcW w:w="60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00" w:type="dxa"/>
            <w:vAlign w:val="bottom"/>
          </w:tcPr>
          <w:p>
            <w:pPr>
              <w:jc w:val="right"/>
              <w:ind w:right="336"/>
              <w:spacing w:after="0"/>
              <w:rPr>
                <w:sz w:val="20"/>
                <w:szCs w:val="20"/>
                <w:color w:val="auto"/>
              </w:rPr>
            </w:pPr>
            <w:r>
              <w:rPr>
                <w:rFonts w:ascii="Arial" w:cs="Arial" w:eastAsia="Arial" w:hAnsi="Arial"/>
                <w:sz w:val="13"/>
                <w:szCs w:val="13"/>
                <w:b w:val="1"/>
                <w:bCs w:val="1"/>
                <w:color w:val="auto"/>
              </w:rPr>
              <w:t>157,031</w:t>
            </w:r>
          </w:p>
        </w:tc>
        <w:tc>
          <w:tcPr>
            <w:tcW w:w="1140" w:type="dxa"/>
            <w:vAlign w:val="bottom"/>
          </w:tcPr>
          <w:p>
            <w:pPr>
              <w:jc w:val="right"/>
              <w:spacing w:after="0"/>
              <w:rPr>
                <w:sz w:val="20"/>
                <w:szCs w:val="20"/>
                <w:color w:val="auto"/>
              </w:rPr>
            </w:pPr>
            <w:r>
              <w:rPr>
                <w:rFonts w:ascii="Arial" w:cs="Arial" w:eastAsia="Arial" w:hAnsi="Arial"/>
                <w:sz w:val="13"/>
                <w:szCs w:val="13"/>
                <w:color w:val="auto"/>
              </w:rPr>
              <w:t>(80,346)</w:t>
            </w:r>
          </w:p>
        </w:tc>
      </w:tr>
      <w:tr>
        <w:trPr>
          <w:trHeight w:val="202"/>
        </w:trPr>
        <w:tc>
          <w:tcPr>
            <w:tcW w:w="608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6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comprehensive income / (loss) for the year, net of tax</w:t>
            </w:r>
          </w:p>
        </w:tc>
        <w:tc>
          <w:tcPr>
            <w:tcW w:w="24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161,715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(86,684)</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608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r>
      <w:tr>
        <w:trPr>
          <w:trHeight w:val="16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comprehensive income for the financial year</w:t>
            </w:r>
          </w:p>
        </w:tc>
        <w:tc>
          <w:tcPr>
            <w:tcW w:w="24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375,753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640,393</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698" w:right="3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Barry Balfe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69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280"/>
          </w:cols>
          <w:pgMar w:left="300" w:top="698" w:right="3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auto"/>
        </w:rPr>
        <w:t>Consolidated Statement of Financial Position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 at 31 December 2025</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shd w:val="clear" w:color="auto" w:fill="CCEEFF"/>
          </w:tcPr>
          <w:p>
            <w:pPr>
              <w:spacing w:after="0"/>
              <w:rPr>
                <w:sz w:val="13"/>
                <w:szCs w:val="13"/>
                <w:color w:val="auto"/>
              </w:rPr>
            </w:pPr>
          </w:p>
        </w:tc>
        <w:tc>
          <w:tcPr>
            <w:tcW w:w="2560" w:type="dxa"/>
            <w:vAlign w:val="bottom"/>
            <w:shd w:val="clear" w:color="auto" w:fill="CCEEFF"/>
          </w:tcPr>
          <w:p>
            <w:pPr>
              <w:ind w:left="1940"/>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January</w:t>
            </w:r>
          </w:p>
        </w:tc>
      </w:tr>
      <w:tr>
        <w:trPr>
          <w:trHeight w:val="127"/>
        </w:trPr>
        <w:tc>
          <w:tcPr>
            <w:tcW w:w="456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5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color w:val="auto"/>
              </w:rPr>
              <w:t>2024</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4560" w:type="dxa"/>
            <w:vAlign w:val="bottom"/>
            <w:tcBorders>
              <w:bottom w:val="single" w:sz="8" w:color="auto"/>
            </w:tcBorders>
            <w:shd w:val="clear" w:color="auto" w:fill="CCEEFF"/>
          </w:tcPr>
          <w:p>
            <w:pPr>
              <w:spacing w:after="0"/>
              <w:rPr>
                <w:sz w:val="14"/>
                <w:szCs w:val="14"/>
                <w:color w:val="auto"/>
              </w:rPr>
            </w:pPr>
          </w:p>
        </w:tc>
        <w:tc>
          <w:tcPr>
            <w:tcW w:w="2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(As Restated)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456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2560" w:type="dxa"/>
            <w:vAlign w:val="bottom"/>
          </w:tcPr>
          <w:p>
            <w:pPr>
              <w:spacing w:after="0"/>
              <w:rPr>
                <w:sz w:val="14"/>
                <w:szCs w:val="14"/>
                <w:color w:val="auto"/>
              </w:rPr>
            </w:pPr>
          </w:p>
        </w:tc>
        <w:tc>
          <w:tcPr>
            <w:tcW w:w="15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ind w:right="296"/>
              <w:spacing w:after="0"/>
              <w:rPr>
                <w:sz w:val="20"/>
                <w:szCs w:val="20"/>
                <w:color w:val="auto"/>
              </w:rPr>
            </w:pPr>
            <w:r>
              <w:rPr>
                <w:rFonts w:ascii="Arial" w:cs="Arial" w:eastAsia="Arial" w:hAnsi="Arial"/>
                <w:sz w:val="13"/>
                <w:szCs w:val="13"/>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assets</w:t>
            </w:r>
          </w:p>
        </w:tc>
        <w:tc>
          <w:tcPr>
            <w:tcW w:w="2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Property, plant and equipment</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12</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196,512</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169,124</w:t>
            </w:r>
          </w:p>
        </w:tc>
        <w:tc>
          <w:tcPr>
            <w:tcW w:w="1140" w:type="dxa"/>
            <w:vAlign w:val="bottom"/>
          </w:tcPr>
          <w:p>
            <w:pPr>
              <w:jc w:val="right"/>
              <w:spacing w:after="0"/>
              <w:rPr>
                <w:sz w:val="20"/>
                <w:szCs w:val="20"/>
                <w:color w:val="auto"/>
              </w:rPr>
            </w:pPr>
            <w:r>
              <w:rPr>
                <w:rFonts w:ascii="Arial" w:cs="Arial" w:eastAsia="Arial" w:hAnsi="Arial"/>
                <w:sz w:val="13"/>
                <w:szCs w:val="13"/>
                <w:color w:val="auto"/>
              </w:rPr>
              <w:t>166,850</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Right-of-use assets</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123,119</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143,305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137,264</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Goodwill</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13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8,781,158</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9,104,218</w:t>
            </w:r>
          </w:p>
        </w:tc>
        <w:tc>
          <w:tcPr>
            <w:tcW w:w="1140" w:type="dxa"/>
            <w:vAlign w:val="bottom"/>
          </w:tcPr>
          <w:p>
            <w:pPr>
              <w:jc w:val="right"/>
              <w:spacing w:after="0"/>
              <w:rPr>
                <w:sz w:val="20"/>
                <w:szCs w:val="20"/>
                <w:color w:val="auto"/>
              </w:rPr>
            </w:pPr>
            <w:r>
              <w:rPr>
                <w:rFonts w:ascii="Arial" w:cs="Arial" w:eastAsia="Arial" w:hAnsi="Arial"/>
                <w:sz w:val="13"/>
                <w:szCs w:val="13"/>
                <w:color w:val="auto"/>
              </w:rPr>
              <w:t>9,074,884</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Intangible assets</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13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3,446,330</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3,773,547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4,050,199</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Other non-current assets</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17</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75,707</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72,796</w:t>
            </w:r>
          </w:p>
        </w:tc>
        <w:tc>
          <w:tcPr>
            <w:tcW w:w="1140" w:type="dxa"/>
            <w:vAlign w:val="bottom"/>
          </w:tcPr>
          <w:p>
            <w:pPr>
              <w:jc w:val="right"/>
              <w:spacing w:after="0"/>
              <w:rPr>
                <w:sz w:val="20"/>
                <w:szCs w:val="20"/>
                <w:color w:val="auto"/>
              </w:rPr>
            </w:pPr>
            <w:r>
              <w:rPr>
                <w:rFonts w:ascii="Arial" w:cs="Arial" w:eastAsia="Arial" w:hAnsi="Arial"/>
                <w:sz w:val="13"/>
                <w:szCs w:val="13"/>
                <w:color w:val="auto"/>
              </w:rPr>
              <w:t>78,470</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Financial assets</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18</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82,050</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57,948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46,804</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Non-current taxes receivable</w:t>
            </w:r>
          </w:p>
        </w:tc>
        <w:tc>
          <w:tcPr>
            <w:tcW w:w="256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11,395</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Deferred tax assets</w:t>
            </w:r>
          </w:p>
        </w:tc>
        <w:tc>
          <w:tcPr>
            <w:tcW w:w="2560" w:type="dxa"/>
            <w:vAlign w:val="bottom"/>
            <w:tcBorders>
              <w:bottom w:val="single" w:sz="8" w:color="auto"/>
            </w:tcBorders>
            <w:shd w:val="clear" w:color="auto" w:fill="CCEEFF"/>
          </w:tcPr>
          <w:p>
            <w:pPr>
              <w:jc w:val="center"/>
              <w:ind w:left="1176"/>
              <w:spacing w:after="0"/>
              <w:rPr>
                <w:sz w:val="20"/>
                <w:szCs w:val="20"/>
                <w:color w:val="auto"/>
              </w:rPr>
            </w:pPr>
            <w:r>
              <w:rPr>
                <w:rFonts w:ascii="Arial" w:cs="Arial" w:eastAsia="Arial" w:hAnsi="Arial"/>
                <w:sz w:val="13"/>
                <w:szCs w:val="13"/>
                <w:i w:val="1"/>
                <w:iCs w:val="1"/>
                <w:color w:val="auto"/>
              </w:rPr>
              <w:t>7</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126,370</w:t>
            </w:r>
          </w:p>
        </w:tc>
        <w:tc>
          <w:tcPr>
            <w:tcW w:w="1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85,875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104,422</w:t>
            </w:r>
          </w:p>
        </w:tc>
      </w:tr>
      <w:tr>
        <w:trPr>
          <w:trHeight w:val="16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2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12,831,246</w:t>
            </w: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13,418,208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13,658,893</w:t>
            </w: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assets</w:t>
            </w:r>
          </w:p>
        </w:tc>
        <w:tc>
          <w:tcPr>
            <w:tcW w:w="25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Inventories</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15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8,675</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8,414</w:t>
            </w:r>
          </w:p>
        </w:tc>
        <w:tc>
          <w:tcPr>
            <w:tcW w:w="1140" w:type="dxa"/>
            <w:vAlign w:val="bottom"/>
          </w:tcPr>
          <w:p>
            <w:pPr>
              <w:jc w:val="right"/>
              <w:spacing w:after="0"/>
              <w:rPr>
                <w:sz w:val="20"/>
                <w:szCs w:val="20"/>
                <w:color w:val="auto"/>
              </w:rPr>
            </w:pPr>
            <w:r>
              <w:rPr>
                <w:rFonts w:ascii="Arial" w:cs="Arial" w:eastAsia="Arial" w:hAnsi="Arial"/>
                <w:sz w:val="13"/>
                <w:szCs w:val="13"/>
                <w:color w:val="auto"/>
              </w:rPr>
              <w:t>8,442</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Trade receivables</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16</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1,474,898</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1,392,764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1,764,404</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Unbilled revenue (contract assets)</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16</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1,096,592</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1,040,174</w:t>
            </w:r>
          </w:p>
        </w:tc>
        <w:tc>
          <w:tcPr>
            <w:tcW w:w="1140" w:type="dxa"/>
            <w:vAlign w:val="bottom"/>
          </w:tcPr>
          <w:p>
            <w:pPr>
              <w:jc w:val="right"/>
              <w:spacing w:after="0"/>
              <w:rPr>
                <w:sz w:val="20"/>
                <w:szCs w:val="20"/>
                <w:color w:val="auto"/>
              </w:rPr>
            </w:pPr>
            <w:r>
              <w:rPr>
                <w:rFonts w:ascii="Arial" w:cs="Arial" w:eastAsia="Arial" w:hAnsi="Arial"/>
                <w:sz w:val="13"/>
                <w:szCs w:val="13"/>
                <w:color w:val="auto"/>
              </w:rPr>
              <w:t>853,581</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current assets</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17</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213,387</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211,508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189,460</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Current taxes receivable</w:t>
            </w:r>
          </w:p>
        </w:tc>
        <w:tc>
          <w:tcPr>
            <w:tcW w:w="256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60,824</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83,523</w:t>
            </w:r>
          </w:p>
        </w:tc>
        <w:tc>
          <w:tcPr>
            <w:tcW w:w="1140" w:type="dxa"/>
            <w:vAlign w:val="bottom"/>
          </w:tcPr>
          <w:p>
            <w:pPr>
              <w:jc w:val="right"/>
              <w:spacing w:after="0"/>
              <w:rPr>
                <w:sz w:val="20"/>
                <w:szCs w:val="20"/>
                <w:color w:val="auto"/>
              </w:rPr>
            </w:pPr>
            <w:r>
              <w:rPr>
                <w:rFonts w:ascii="Arial" w:cs="Arial" w:eastAsia="Arial" w:hAnsi="Arial"/>
                <w:sz w:val="13"/>
                <w:szCs w:val="13"/>
                <w:color w:val="auto"/>
              </w:rPr>
              <w:t>91,254</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asset investments</w:t>
            </w:r>
          </w:p>
        </w:tc>
        <w:tc>
          <w:tcPr>
            <w:tcW w:w="2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r>
      <w:tr>
        <w:trPr>
          <w:trHeight w:val="170"/>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Cash and cash equivalents</w:t>
            </w:r>
          </w:p>
        </w:tc>
        <w:tc>
          <w:tcPr>
            <w:tcW w:w="2560" w:type="dxa"/>
            <w:vAlign w:val="bottom"/>
            <w:tcBorders>
              <w:bottom w:val="single" w:sz="8" w:color="auto"/>
            </w:tcBorders>
          </w:tcPr>
          <w:p>
            <w:pPr>
              <w:jc w:val="center"/>
              <w:ind w:left="1156"/>
              <w:spacing w:after="0"/>
              <w:rPr>
                <w:sz w:val="20"/>
                <w:szCs w:val="20"/>
                <w:color w:val="auto"/>
              </w:rPr>
            </w:pPr>
            <w:r>
              <w:rPr>
                <w:rFonts w:ascii="Arial" w:cs="Arial" w:eastAsia="Arial" w:hAnsi="Arial"/>
                <w:sz w:val="13"/>
                <w:szCs w:val="13"/>
                <w:i w:val="1"/>
                <w:iCs w:val="1"/>
                <w:color w:val="auto"/>
                <w:w w:val="96"/>
              </w:rPr>
              <w:t>19</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647,295</w:t>
            </w: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538,785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378,102</w:t>
            </w:r>
          </w:p>
        </w:tc>
      </w:tr>
      <w:tr>
        <w:trPr>
          <w:trHeight w:val="162"/>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2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3,501,671</w:t>
            </w:r>
          </w:p>
        </w:tc>
        <w:tc>
          <w:tcPr>
            <w:tcW w:w="1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3,275,168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3,287,197</w:t>
            </w:r>
          </w:p>
        </w:tc>
      </w:tr>
      <w:tr>
        <w:trPr>
          <w:trHeight w:val="171"/>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assets</w:t>
            </w:r>
          </w:p>
        </w:tc>
        <w:tc>
          <w:tcPr>
            <w:tcW w:w="2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16,332,917</w:t>
            </w: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16,693,376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16,946,090</w:t>
            </w:r>
          </w:p>
        </w:tc>
      </w:tr>
      <w:tr>
        <w:trPr>
          <w:trHeight w:val="17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2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Share capital</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22</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6,305</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6,586</w:t>
            </w:r>
          </w:p>
        </w:tc>
        <w:tc>
          <w:tcPr>
            <w:tcW w:w="1140" w:type="dxa"/>
            <w:vAlign w:val="bottom"/>
          </w:tcPr>
          <w:p>
            <w:pPr>
              <w:jc w:val="right"/>
              <w:spacing w:after="0"/>
              <w:rPr>
                <w:sz w:val="20"/>
                <w:szCs w:val="20"/>
                <w:color w:val="auto"/>
              </w:rPr>
            </w:pPr>
            <w:r>
              <w:rPr>
                <w:rFonts w:ascii="Arial" w:cs="Arial" w:eastAsia="Arial" w:hAnsi="Arial"/>
                <w:sz w:val="13"/>
                <w:szCs w:val="13"/>
                <w:color w:val="auto"/>
              </w:rPr>
              <w:t>6,699</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 premium</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color w:val="auto"/>
                <w:w w:val="96"/>
              </w:rPr>
              <w:t>23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569,507</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559,804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523,646</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Other undenominated capital</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23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1,606</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1,304</w:t>
            </w:r>
          </w:p>
        </w:tc>
        <w:tc>
          <w:tcPr>
            <w:tcW w:w="1140" w:type="dxa"/>
            <w:vAlign w:val="bottom"/>
          </w:tcPr>
          <w:p>
            <w:pPr>
              <w:jc w:val="right"/>
              <w:spacing w:after="0"/>
              <w:rPr>
                <w:sz w:val="20"/>
                <w:szCs w:val="20"/>
                <w:color w:val="auto"/>
              </w:rPr>
            </w:pPr>
            <w:r>
              <w:rPr>
                <w:rFonts w:ascii="Arial" w:cs="Arial" w:eastAsia="Arial" w:hAnsi="Arial"/>
                <w:sz w:val="13"/>
                <w:szCs w:val="13"/>
                <w:color w:val="auto"/>
              </w:rPr>
              <w:t>1,162</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payment reserve</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23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384,001</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331,838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354,183</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Other reserve</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23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11,799</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16,454</w:t>
            </w:r>
          </w:p>
        </w:tc>
        <w:tc>
          <w:tcPr>
            <w:tcW w:w="1140" w:type="dxa"/>
            <w:vAlign w:val="bottom"/>
          </w:tcPr>
          <w:p>
            <w:pPr>
              <w:jc w:val="right"/>
              <w:spacing w:after="0"/>
              <w:rPr>
                <w:sz w:val="20"/>
                <w:szCs w:val="20"/>
                <w:color w:val="auto"/>
              </w:rPr>
            </w:pPr>
            <w:r>
              <w:rPr>
                <w:rFonts w:ascii="Arial" w:cs="Arial" w:eastAsia="Arial" w:hAnsi="Arial"/>
                <w:sz w:val="13"/>
                <w:szCs w:val="13"/>
                <w:color w:val="auto"/>
              </w:rPr>
              <w:t>10,183</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Foreign currency reserve</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23</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(74,320)</w:t>
            </w:r>
          </w:p>
        </w:tc>
        <w:tc>
          <w:tcPr>
            <w:tcW w:w="15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(233,771)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(148,844)</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Merger reserve</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23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5,656,195</w:t>
            </w:r>
          </w:p>
        </w:tc>
        <w:tc>
          <w:tcPr>
            <w:tcW w:w="1140" w:type="dxa"/>
            <w:vAlign w:val="bottom"/>
          </w:tcPr>
          <w:p>
            <w:pPr>
              <w:jc w:val="right"/>
              <w:spacing w:after="0"/>
              <w:rPr>
                <w:sz w:val="20"/>
                <w:szCs w:val="20"/>
                <w:color w:val="auto"/>
              </w:rPr>
            </w:pPr>
            <w:r>
              <w:rPr>
                <w:rFonts w:ascii="Arial" w:cs="Arial" w:eastAsia="Arial" w:hAnsi="Arial"/>
                <w:sz w:val="13"/>
                <w:szCs w:val="13"/>
                <w:color w:val="auto"/>
              </w:rPr>
              <w:t>5,656,195</w:t>
            </w:r>
          </w:p>
        </w:tc>
      </w:tr>
      <w:tr>
        <w:trPr>
          <w:trHeight w:val="171"/>
        </w:trPr>
        <w:tc>
          <w:tcPr>
            <w:tcW w:w="4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2560" w:type="dxa"/>
            <w:vAlign w:val="bottom"/>
            <w:tcBorders>
              <w:bottom w:val="single" w:sz="8" w:color="auto"/>
            </w:tcBorders>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23</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2,691,827</w:t>
            </w:r>
          </w:p>
        </w:tc>
        <w:tc>
          <w:tcPr>
            <w:tcW w:w="1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3,162,570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2,890,294</w:t>
            </w:r>
          </w:p>
        </w:tc>
      </w:tr>
      <w:tr>
        <w:trPr>
          <w:trHeight w:val="171"/>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equity</w:t>
            </w:r>
          </w:p>
        </w:tc>
        <w:tc>
          <w:tcPr>
            <w:tcW w:w="2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9,246,920</w:t>
            </w: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9,500,980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9,293,518</w:t>
            </w:r>
          </w:p>
        </w:tc>
      </w:tr>
      <w:tr>
        <w:trPr>
          <w:trHeight w:val="17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456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2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bank credit lines and loan facilities</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21</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2,872,616</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3,396,398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3,665,439</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Non-current lease liabilities</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117,122</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140,085</w:t>
            </w:r>
          </w:p>
        </w:tc>
        <w:tc>
          <w:tcPr>
            <w:tcW w:w="1140" w:type="dxa"/>
            <w:vAlign w:val="bottom"/>
          </w:tcPr>
          <w:p>
            <w:pPr>
              <w:jc w:val="right"/>
              <w:spacing w:after="0"/>
              <w:rPr>
                <w:sz w:val="20"/>
                <w:szCs w:val="20"/>
                <w:color w:val="auto"/>
              </w:rPr>
            </w:pPr>
            <w:r>
              <w:rPr>
                <w:rFonts w:ascii="Arial" w:cs="Arial" w:eastAsia="Arial" w:hAnsi="Arial"/>
                <w:sz w:val="13"/>
                <w:szCs w:val="13"/>
                <w:color w:val="auto"/>
              </w:rPr>
              <w:t>126,321</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other liabilities</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20</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69,721</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80,364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43,198</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Non-current provisions</w:t>
            </w:r>
          </w:p>
        </w:tc>
        <w:tc>
          <w:tcPr>
            <w:tcW w:w="2560" w:type="dxa"/>
            <w:vAlign w:val="bottom"/>
          </w:tcPr>
          <w:p>
            <w:pPr>
              <w:jc w:val="center"/>
              <w:ind w:left="1176"/>
              <w:spacing w:after="0"/>
              <w:rPr>
                <w:sz w:val="20"/>
                <w:szCs w:val="20"/>
                <w:color w:val="auto"/>
              </w:rPr>
            </w:pPr>
            <w:r>
              <w:rPr>
                <w:rFonts w:ascii="Arial" w:cs="Arial" w:eastAsia="Arial" w:hAnsi="Arial"/>
                <w:sz w:val="13"/>
                <w:szCs w:val="13"/>
                <w:i w:val="1"/>
                <w:iCs w:val="1"/>
                <w:color w:val="auto"/>
              </w:rPr>
              <w:t>9</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2,142</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2,354</w:t>
            </w:r>
          </w:p>
        </w:tc>
        <w:tc>
          <w:tcPr>
            <w:tcW w:w="1140" w:type="dxa"/>
            <w:vAlign w:val="bottom"/>
          </w:tcPr>
          <w:p>
            <w:pPr>
              <w:jc w:val="right"/>
              <w:spacing w:after="0"/>
              <w:rPr>
                <w:sz w:val="20"/>
                <w:szCs w:val="20"/>
                <w:color w:val="auto"/>
              </w:rPr>
            </w:pPr>
            <w:r>
              <w:rPr>
                <w:rFonts w:ascii="Arial" w:cs="Arial" w:eastAsia="Arial" w:hAnsi="Arial"/>
                <w:sz w:val="13"/>
                <w:szCs w:val="13"/>
                <w:color w:val="auto"/>
              </w:rPr>
              <w:t>2,048</w:t>
            </w:r>
          </w:p>
        </w:tc>
      </w:tr>
      <w:tr>
        <w:trPr>
          <w:trHeight w:val="170"/>
        </w:trPr>
        <w:tc>
          <w:tcPr>
            <w:tcW w:w="4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Deferred tax liabilities</w:t>
            </w:r>
          </w:p>
        </w:tc>
        <w:tc>
          <w:tcPr>
            <w:tcW w:w="2560" w:type="dxa"/>
            <w:vAlign w:val="bottom"/>
            <w:tcBorders>
              <w:bottom w:val="single" w:sz="8" w:color="auto"/>
            </w:tcBorders>
            <w:shd w:val="clear" w:color="auto" w:fill="CCEEFF"/>
          </w:tcPr>
          <w:p>
            <w:pPr>
              <w:jc w:val="center"/>
              <w:ind w:left="1176"/>
              <w:spacing w:after="0"/>
              <w:rPr>
                <w:sz w:val="20"/>
                <w:szCs w:val="20"/>
                <w:color w:val="auto"/>
              </w:rPr>
            </w:pPr>
            <w:r>
              <w:rPr>
                <w:rFonts w:ascii="Arial" w:cs="Arial" w:eastAsia="Arial" w:hAnsi="Arial"/>
                <w:sz w:val="13"/>
                <w:szCs w:val="13"/>
                <w:i w:val="1"/>
                <w:iCs w:val="1"/>
                <w:color w:val="auto"/>
              </w:rPr>
              <w:t>7</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712,970</w:t>
            </w:r>
          </w:p>
        </w:tc>
        <w:tc>
          <w:tcPr>
            <w:tcW w:w="1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810,159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897,543</w:t>
            </w:r>
          </w:p>
        </w:tc>
      </w:tr>
      <w:tr>
        <w:trPr>
          <w:trHeight w:val="16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2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3,774,571</w:t>
            </w: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4,429,360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4,734,549</w:t>
            </w: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25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256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192,117</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173,025</w:t>
            </w:r>
          </w:p>
        </w:tc>
        <w:tc>
          <w:tcPr>
            <w:tcW w:w="1140" w:type="dxa"/>
            <w:vAlign w:val="bottom"/>
          </w:tcPr>
          <w:p>
            <w:pPr>
              <w:jc w:val="right"/>
              <w:spacing w:after="0"/>
              <w:rPr>
                <w:sz w:val="20"/>
                <w:szCs w:val="20"/>
                <w:color w:val="auto"/>
              </w:rPr>
            </w:pPr>
            <w:r>
              <w:rPr>
                <w:rFonts w:ascii="Arial" w:cs="Arial" w:eastAsia="Arial" w:hAnsi="Arial"/>
                <w:sz w:val="13"/>
                <w:szCs w:val="13"/>
                <w:color w:val="auto"/>
              </w:rPr>
              <w:t>131,584</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Unearned revenue (contract liabilities)</w:t>
            </w:r>
          </w:p>
        </w:tc>
        <w:tc>
          <w:tcPr>
            <w:tcW w:w="2560" w:type="dxa"/>
            <w:vAlign w:val="bottom"/>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16</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1,550,471</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1,467,671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1,566,464</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Accrued and other liabilities</w:t>
            </w:r>
          </w:p>
        </w:tc>
        <w:tc>
          <w:tcPr>
            <w:tcW w:w="2560" w:type="dxa"/>
            <w:vAlign w:val="bottom"/>
          </w:tcPr>
          <w:p>
            <w:pPr>
              <w:jc w:val="center"/>
              <w:ind w:left="1156"/>
              <w:spacing w:after="0"/>
              <w:rPr>
                <w:sz w:val="20"/>
                <w:szCs w:val="20"/>
                <w:color w:val="auto"/>
              </w:rPr>
            </w:pPr>
            <w:r>
              <w:rPr>
                <w:rFonts w:ascii="Arial" w:cs="Arial" w:eastAsia="Arial" w:hAnsi="Arial"/>
                <w:sz w:val="13"/>
                <w:szCs w:val="13"/>
                <w:i w:val="1"/>
                <w:iCs w:val="1"/>
                <w:color w:val="auto"/>
                <w:w w:val="96"/>
              </w:rPr>
              <w:t>20</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894,443</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880,656</w:t>
            </w:r>
          </w:p>
        </w:tc>
        <w:tc>
          <w:tcPr>
            <w:tcW w:w="1140" w:type="dxa"/>
            <w:vAlign w:val="bottom"/>
          </w:tcPr>
          <w:p>
            <w:pPr>
              <w:jc w:val="right"/>
              <w:spacing w:after="0"/>
              <w:rPr>
                <w:sz w:val="20"/>
                <w:szCs w:val="20"/>
                <w:color w:val="auto"/>
              </w:rPr>
            </w:pPr>
            <w:r>
              <w:rPr>
                <w:rFonts w:ascii="Arial" w:cs="Arial" w:eastAsia="Arial" w:hAnsi="Arial"/>
                <w:sz w:val="13"/>
                <w:szCs w:val="13"/>
                <w:color w:val="auto"/>
              </w:rPr>
              <w:t>903,200</w:t>
            </w:r>
          </w:p>
        </w:tc>
      </w:tr>
      <w:tr>
        <w:trPr>
          <w:trHeight w:val="170"/>
        </w:trPr>
        <w:tc>
          <w:tcPr>
            <w:tcW w:w="4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Provisions</w:t>
            </w:r>
          </w:p>
        </w:tc>
        <w:tc>
          <w:tcPr>
            <w:tcW w:w="2560" w:type="dxa"/>
            <w:vAlign w:val="bottom"/>
            <w:shd w:val="clear" w:color="auto" w:fill="CCEEFF"/>
          </w:tcPr>
          <w:p>
            <w:pPr>
              <w:jc w:val="center"/>
              <w:ind w:left="1176"/>
              <w:spacing w:after="0"/>
              <w:rPr>
                <w:sz w:val="20"/>
                <w:szCs w:val="20"/>
                <w:color w:val="auto"/>
              </w:rPr>
            </w:pPr>
            <w:r>
              <w:rPr>
                <w:rFonts w:ascii="Arial" w:cs="Arial" w:eastAsia="Arial" w:hAnsi="Arial"/>
                <w:sz w:val="13"/>
                <w:szCs w:val="13"/>
                <w:i w:val="1"/>
                <w:iCs w:val="1"/>
                <w:color w:val="auto"/>
              </w:rPr>
              <w:t>9</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22,383</w:t>
            </w:r>
          </w:p>
        </w:tc>
        <w:tc>
          <w:tcPr>
            <w:tcW w:w="1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29,120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4,951</w:t>
            </w:r>
          </w:p>
        </w:tc>
      </w:tr>
      <w:tr>
        <w:trPr>
          <w:trHeight w:val="170"/>
        </w:trPr>
        <w:tc>
          <w:tcPr>
            <w:tcW w:w="4560" w:type="dxa"/>
            <w:vAlign w:val="bottom"/>
          </w:tcPr>
          <w:p>
            <w:pPr>
              <w:ind w:left="100"/>
              <w:spacing w:after="0"/>
              <w:rPr>
                <w:sz w:val="20"/>
                <w:szCs w:val="20"/>
                <w:color w:val="auto"/>
              </w:rPr>
            </w:pPr>
            <w:r>
              <w:rPr>
                <w:rFonts w:ascii="Arial" w:cs="Arial" w:eastAsia="Arial" w:hAnsi="Arial"/>
                <w:sz w:val="13"/>
                <w:szCs w:val="13"/>
                <w:color w:val="auto"/>
              </w:rPr>
              <w:t>Current tax payable</w:t>
            </w:r>
          </w:p>
        </w:tc>
        <w:tc>
          <w:tcPr>
            <w:tcW w:w="256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122,250</w:t>
            </w:r>
          </w:p>
        </w:tc>
        <w:tc>
          <w:tcPr>
            <w:tcW w:w="1500" w:type="dxa"/>
            <w:vAlign w:val="bottom"/>
          </w:tcPr>
          <w:p>
            <w:pPr>
              <w:jc w:val="right"/>
              <w:ind w:right="356"/>
              <w:spacing w:after="0"/>
              <w:rPr>
                <w:sz w:val="20"/>
                <w:szCs w:val="20"/>
                <w:color w:val="auto"/>
              </w:rPr>
            </w:pPr>
            <w:r>
              <w:rPr>
                <w:rFonts w:ascii="Arial" w:cs="Arial" w:eastAsia="Arial" w:hAnsi="Arial"/>
                <w:sz w:val="13"/>
                <w:szCs w:val="13"/>
                <w:color w:val="auto"/>
              </w:rPr>
              <w:t>182,802</w:t>
            </w:r>
          </w:p>
        </w:tc>
        <w:tc>
          <w:tcPr>
            <w:tcW w:w="1140" w:type="dxa"/>
            <w:vAlign w:val="bottom"/>
          </w:tcPr>
          <w:p>
            <w:pPr>
              <w:jc w:val="right"/>
              <w:spacing w:after="0"/>
              <w:rPr>
                <w:sz w:val="20"/>
                <w:szCs w:val="20"/>
                <w:color w:val="auto"/>
              </w:rPr>
            </w:pPr>
            <w:r>
              <w:rPr>
                <w:rFonts w:ascii="Arial" w:cs="Arial" w:eastAsia="Arial" w:hAnsi="Arial"/>
                <w:sz w:val="13"/>
                <w:szCs w:val="13"/>
                <w:color w:val="auto"/>
              </w:rPr>
              <w:t>201,674</w:t>
            </w:r>
          </w:p>
        </w:tc>
      </w:tr>
      <w:tr>
        <w:trPr>
          <w:trHeight w:val="170"/>
        </w:trPr>
        <w:tc>
          <w:tcPr>
            <w:tcW w:w="4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Bank credit lines and loan facilities</w:t>
            </w:r>
          </w:p>
        </w:tc>
        <w:tc>
          <w:tcPr>
            <w:tcW w:w="2560" w:type="dxa"/>
            <w:vAlign w:val="bottom"/>
            <w:tcBorders>
              <w:bottom w:val="single" w:sz="8" w:color="auto"/>
            </w:tcBorders>
            <w:shd w:val="clear" w:color="auto" w:fill="CCEEFF"/>
          </w:tcPr>
          <w:p>
            <w:pPr>
              <w:jc w:val="center"/>
              <w:ind w:left="1156"/>
              <w:spacing w:after="0"/>
              <w:rPr>
                <w:sz w:val="20"/>
                <w:szCs w:val="20"/>
                <w:color w:val="auto"/>
              </w:rPr>
            </w:pPr>
            <w:r>
              <w:rPr>
                <w:rFonts w:ascii="Arial" w:cs="Arial" w:eastAsia="Arial" w:hAnsi="Arial"/>
                <w:sz w:val="13"/>
                <w:szCs w:val="13"/>
                <w:i w:val="1"/>
                <w:iCs w:val="1"/>
                <w:color w:val="auto"/>
                <w:w w:val="96"/>
              </w:rPr>
              <w:t>21</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529,762</w:t>
            </w:r>
          </w:p>
        </w:tc>
        <w:tc>
          <w:tcPr>
            <w:tcW w:w="1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29,762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110,150</w:t>
            </w:r>
          </w:p>
        </w:tc>
      </w:tr>
      <w:tr>
        <w:trPr>
          <w:trHeight w:val="162"/>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2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3,311,426</w:t>
            </w: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2,763,036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2,918,023</w:t>
            </w:r>
          </w:p>
        </w:tc>
      </w:tr>
      <w:tr>
        <w:trPr>
          <w:trHeight w:val="171"/>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2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7,085,997</w:t>
            </w:r>
          </w:p>
        </w:tc>
        <w:tc>
          <w:tcPr>
            <w:tcW w:w="1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7,192,396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7,652,572</w:t>
            </w:r>
          </w:p>
        </w:tc>
      </w:tr>
      <w:tr>
        <w:trPr>
          <w:trHeight w:val="171"/>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2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16,332,917</w:t>
            </w: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16,693,376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16,946,090</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60"/>
          </w:cols>
          <w:pgMar w:left="300" w:top="698"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Barry Balfe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40"/>
          </w:cols>
          <w:pgMar w:left="300" w:top="698" w:right="339" w:bottom="1440" w:gutter="0" w:footer="0" w:header="0"/>
          <w:type w:val="continuous"/>
        </w:sectPr>
      </w:pPr>
    </w:p>
    <w:p>
      <w:pPr>
        <w:spacing w:after="0" w:line="253" w:lineRule="exact"/>
        <w:rPr>
          <w:sz w:val="20"/>
          <w:szCs w:val="20"/>
          <w:color w:val="auto"/>
        </w:rPr>
      </w:pPr>
    </w:p>
    <w:p>
      <w:pPr>
        <w:jc w:val="center"/>
        <w:ind w:left="4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260"/>
          </w:cols>
          <w:pgMar w:left="300" w:top="698"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color w:val="auto"/>
        </w:rPr>
        <w:t>Consolidated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Number</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Merger</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Other</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Foreign</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Retained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27"/>
        </w:trPr>
        <w:tc>
          <w:tcPr>
            <w:tcW w:w="3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96"/>
              <w:spacing w:after="0" w:line="128" w:lineRule="exact"/>
              <w:rPr>
                <w:sz w:val="20"/>
                <w:szCs w:val="20"/>
                <w:color w:val="auto"/>
              </w:rPr>
            </w:pPr>
            <w:r>
              <w:rPr>
                <w:rFonts w:ascii="Arial" w:cs="Arial" w:eastAsia="Arial" w:hAnsi="Arial"/>
                <w:sz w:val="13"/>
                <w:szCs w:val="13"/>
                <w:b w:val="1"/>
                <w:bCs w:val="1"/>
                <w:color w:val="auto"/>
              </w:rPr>
              <w:t>of shares</w:t>
            </w:r>
          </w:p>
        </w:tc>
        <w:tc>
          <w:tcPr>
            <w:tcW w:w="70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Capital</w:t>
            </w:r>
          </w:p>
        </w:tc>
        <w:tc>
          <w:tcPr>
            <w:tcW w:w="74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Premium</w:t>
            </w:r>
          </w:p>
        </w:tc>
        <w:tc>
          <w:tcPr>
            <w:tcW w:w="1800" w:type="dxa"/>
            <w:vAlign w:val="bottom"/>
            <w:gridSpan w:val="2"/>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Reserve Undenominated</w:t>
            </w:r>
          </w:p>
        </w:tc>
        <w:tc>
          <w:tcPr>
            <w:tcW w:w="78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Based</w:t>
            </w:r>
          </w:p>
        </w:tc>
        <w:tc>
          <w:tcPr>
            <w:tcW w:w="72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Reserve</w:t>
            </w:r>
          </w:p>
        </w:tc>
        <w:tc>
          <w:tcPr>
            <w:tcW w:w="78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Currency</w:t>
            </w:r>
          </w:p>
        </w:tc>
        <w:tc>
          <w:tcPr>
            <w:tcW w:w="78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Earnings</w:t>
            </w:r>
          </w:p>
        </w:tc>
        <w:tc>
          <w:tcPr>
            <w:tcW w:w="700" w:type="dxa"/>
            <w:vAlign w:val="bottom"/>
            <w:shd w:val="clear" w:color="auto" w:fill="CCEEFF"/>
          </w:tcPr>
          <w:p>
            <w:pPr>
              <w:spacing w:after="0"/>
              <w:rPr>
                <w:sz w:val="11"/>
                <w:szCs w:val="11"/>
                <w:color w:val="auto"/>
              </w:rPr>
            </w:pPr>
          </w:p>
        </w:tc>
      </w:tr>
      <w:tr>
        <w:trPr>
          <w:trHeight w:val="127"/>
        </w:trPr>
        <w:tc>
          <w:tcPr>
            <w:tcW w:w="3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Capital</w:t>
            </w:r>
          </w:p>
        </w:tc>
        <w:tc>
          <w:tcPr>
            <w:tcW w:w="78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Payment</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Reserve</w:t>
            </w: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70"/>
        </w:trPr>
        <w:tc>
          <w:tcPr>
            <w:tcW w:w="3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Reserve</w:t>
            </w: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0"/>
        </w:trPr>
        <w:tc>
          <w:tcPr>
            <w:tcW w:w="3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60"/>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1 January 2025 (as restated)</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80,756,860</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6,586</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559,804</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5,656,195</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1,304</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331,838</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16,454</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(233,771)</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3,162,570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9,500,980</w:t>
            </w:r>
          </w:p>
        </w:tc>
      </w:tr>
      <w:tr>
        <w:trPr>
          <w:trHeight w:val="169"/>
        </w:trPr>
        <w:tc>
          <w:tcPr>
            <w:tcW w:w="3120" w:type="dxa"/>
            <w:vAlign w:val="bottom"/>
          </w:tcPr>
          <w:p>
            <w:pPr>
              <w:ind w:left="20"/>
              <w:spacing w:after="0"/>
              <w:rPr>
                <w:sz w:val="20"/>
                <w:szCs w:val="20"/>
                <w:color w:val="auto"/>
              </w:rPr>
            </w:pPr>
            <w:r>
              <w:rPr>
                <w:rFonts w:ascii="Arial" w:cs="Arial" w:eastAsia="Arial" w:hAnsi="Arial"/>
                <w:sz w:val="13"/>
                <w:szCs w:val="13"/>
                <w:color w:val="auto"/>
              </w:rPr>
              <w:t>Profit for the year attributable to the Group</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214,038</w:t>
            </w:r>
          </w:p>
        </w:tc>
        <w:tc>
          <w:tcPr>
            <w:tcW w:w="700" w:type="dxa"/>
            <w:vAlign w:val="bottom"/>
          </w:tcPr>
          <w:p>
            <w:pPr>
              <w:jc w:val="right"/>
              <w:spacing w:after="0"/>
              <w:rPr>
                <w:sz w:val="20"/>
                <w:szCs w:val="20"/>
                <w:color w:val="auto"/>
              </w:rPr>
            </w:pPr>
            <w:r>
              <w:rPr>
                <w:rFonts w:ascii="Arial" w:cs="Arial" w:eastAsia="Arial" w:hAnsi="Arial"/>
                <w:sz w:val="13"/>
                <w:szCs w:val="13"/>
                <w:color w:val="auto"/>
              </w:rPr>
              <w:t>214,038</w:t>
            </w:r>
          </w:p>
        </w:tc>
      </w:tr>
      <w:tr>
        <w:trPr>
          <w:trHeight w:val="171"/>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9"/>
        </w:trPr>
        <w:tc>
          <w:tcPr>
            <w:tcW w:w="312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159,451</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159,451</w:t>
            </w:r>
          </w:p>
        </w:tc>
      </w:tr>
      <w:tr>
        <w:trPr>
          <w:trHeight w:val="171"/>
        </w:trPr>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Re-measurement of defined benefit liability</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4,684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4,684</w:t>
            </w:r>
          </w:p>
        </w:tc>
      </w:tr>
      <w:tr>
        <w:trPr>
          <w:trHeight w:val="169"/>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Movement on cash flow hedge</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(2,420)</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(2,420)</w:t>
            </w:r>
          </w:p>
        </w:tc>
      </w:tr>
      <w:tr>
        <w:trPr>
          <w:trHeight w:val="160"/>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other comprehensive Income</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(2,420)</w:t>
            </w: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159,451</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4,684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161,715</w:t>
            </w:r>
          </w:p>
        </w:tc>
      </w:tr>
      <w:tr>
        <w:trPr>
          <w:trHeight w:val="16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(2,420)</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159,451</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218,722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375,753</w:t>
            </w:r>
          </w:p>
        </w:tc>
      </w:tr>
      <w:tr>
        <w:trPr>
          <w:trHeight w:val="119"/>
        </w:trPr>
        <w:tc>
          <w:tcPr>
            <w:tcW w:w="312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Transactions with owners, recorded directly in</w:t>
            </w:r>
          </w:p>
        </w:tc>
        <w:tc>
          <w:tcPr>
            <w:tcW w:w="10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70"/>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9"/>
        </w:trPr>
        <w:tc>
          <w:tcPr>
            <w:tcW w:w="3120" w:type="dxa"/>
            <w:vAlign w:val="bottom"/>
          </w:tcPr>
          <w:p>
            <w:pPr>
              <w:ind w:left="100"/>
              <w:spacing w:after="0"/>
              <w:rPr>
                <w:sz w:val="20"/>
                <w:szCs w:val="20"/>
                <w:color w:val="auto"/>
              </w:rPr>
            </w:pPr>
            <w:r>
              <w:rPr>
                <w:rFonts w:ascii="Arial" w:cs="Arial" w:eastAsia="Arial" w:hAnsi="Arial"/>
                <w:sz w:val="13"/>
                <w:szCs w:val="13"/>
                <w:color w:val="auto"/>
              </w:rPr>
              <w:t>Share-based payment</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107,746</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107,746</w:t>
            </w:r>
          </w:p>
        </w:tc>
      </w:tr>
      <w:tr>
        <w:trPr>
          <w:trHeight w:val="171"/>
        </w:trPr>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 of share options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86,434</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9,703</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9,709</w:t>
            </w:r>
          </w:p>
        </w:tc>
      </w:tr>
      <w:tr>
        <w:trPr>
          <w:trHeight w:val="127"/>
        </w:trPr>
        <w:tc>
          <w:tcPr>
            <w:tcW w:w="3120" w:type="dxa"/>
            <w:vAlign w:val="bottom"/>
          </w:tcPr>
          <w:p>
            <w:pPr>
              <w:ind w:left="100"/>
              <w:spacing w:after="0" w:line="128" w:lineRule="exact"/>
              <w:rPr>
                <w:sz w:val="20"/>
                <w:szCs w:val="20"/>
                <w:color w:val="auto"/>
              </w:rPr>
            </w:pPr>
            <w:r>
              <w:rPr>
                <w:rFonts w:ascii="Arial" w:cs="Arial" w:eastAsia="Arial" w:hAnsi="Arial"/>
                <w:sz w:val="13"/>
                <w:szCs w:val="13"/>
                <w:color w:val="auto"/>
              </w:rPr>
              <w:t>Transfer of exercised and expired share–based</w:t>
            </w:r>
          </w:p>
        </w:tc>
        <w:tc>
          <w:tcPr>
            <w:tcW w:w="1040" w:type="dxa"/>
            <w:vAlign w:val="bottom"/>
          </w:tcPr>
          <w:p>
            <w:pPr>
              <w:jc w:val="right"/>
              <w:ind w:right="156"/>
              <w:spacing w:after="0" w:line="12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line="12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line="12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56"/>
              <w:spacing w:after="0" w:line="128"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6"/>
              <w:spacing w:after="0" w:line="12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6"/>
              <w:spacing w:after="0" w:line="128" w:lineRule="exact"/>
              <w:rPr>
                <w:sz w:val="20"/>
                <w:szCs w:val="20"/>
                <w:color w:val="auto"/>
              </w:rPr>
            </w:pPr>
            <w:r>
              <w:rPr>
                <w:rFonts w:ascii="Arial" w:cs="Arial" w:eastAsia="Arial" w:hAnsi="Arial"/>
                <w:sz w:val="13"/>
                <w:szCs w:val="13"/>
                <w:color w:val="auto"/>
              </w:rPr>
              <w:t>(58,769)</w:t>
            </w:r>
          </w:p>
        </w:tc>
        <w:tc>
          <w:tcPr>
            <w:tcW w:w="720" w:type="dxa"/>
            <w:vAlign w:val="bottom"/>
          </w:tcPr>
          <w:p>
            <w:pPr>
              <w:jc w:val="right"/>
              <w:ind w:right="56"/>
              <w:spacing w:after="0" w:line="12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line="12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6"/>
              <w:spacing w:after="0" w:line="128" w:lineRule="exact"/>
              <w:rPr>
                <w:sz w:val="20"/>
                <w:szCs w:val="20"/>
                <w:color w:val="auto"/>
              </w:rPr>
            </w:pPr>
            <w:r>
              <w:rPr>
                <w:rFonts w:ascii="Arial" w:cs="Arial" w:eastAsia="Arial" w:hAnsi="Arial"/>
                <w:sz w:val="13"/>
                <w:szCs w:val="13"/>
                <w:color w:val="auto"/>
              </w:rPr>
              <w:t>58,769</w:t>
            </w:r>
          </w:p>
        </w:tc>
        <w:tc>
          <w:tcPr>
            <w:tcW w:w="70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r>
      <w:tr>
        <w:trPr>
          <w:trHeight w:val="168"/>
        </w:trPr>
        <w:tc>
          <w:tcPr>
            <w:tcW w:w="3120" w:type="dxa"/>
            <w:vAlign w:val="bottom"/>
          </w:tcPr>
          <w:p>
            <w:pPr>
              <w:ind w:left="100"/>
              <w:spacing w:after="0"/>
              <w:rPr>
                <w:sz w:val="20"/>
                <w:szCs w:val="20"/>
                <w:color w:val="auto"/>
              </w:rPr>
            </w:pPr>
            <w:r>
              <w:rPr>
                <w:rFonts w:ascii="Arial" w:cs="Arial" w:eastAsia="Arial" w:hAnsi="Arial"/>
                <w:sz w:val="13"/>
                <w:szCs w:val="13"/>
                <w:color w:val="auto"/>
              </w:rPr>
              <w:t>awards</w:t>
            </w: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29"/>
        </w:trPr>
        <w:tc>
          <w:tcPr>
            <w:tcW w:w="31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Issue of restricted share units / performance share</w:t>
            </w:r>
          </w:p>
        </w:tc>
        <w:tc>
          <w:tcPr>
            <w:tcW w:w="1040" w:type="dxa"/>
            <w:vAlign w:val="bottom"/>
            <w:shd w:val="clear" w:color="auto" w:fill="CCEEFF"/>
          </w:tcPr>
          <w:p>
            <w:pPr>
              <w:jc w:val="right"/>
              <w:ind w:right="156"/>
              <w:spacing w:after="0" w:line="129" w:lineRule="exact"/>
              <w:rPr>
                <w:sz w:val="20"/>
                <w:szCs w:val="20"/>
                <w:color w:val="auto"/>
              </w:rPr>
            </w:pPr>
            <w:r>
              <w:rPr>
                <w:rFonts w:ascii="Arial" w:cs="Arial" w:eastAsia="Arial" w:hAnsi="Arial"/>
                <w:sz w:val="13"/>
                <w:szCs w:val="13"/>
                <w:color w:val="auto"/>
              </w:rPr>
              <w:t>228,361</w:t>
            </w:r>
          </w:p>
        </w:tc>
        <w:tc>
          <w:tcPr>
            <w:tcW w:w="700" w:type="dxa"/>
            <w:vAlign w:val="bottom"/>
            <w:shd w:val="clear" w:color="auto" w:fill="CCEEFF"/>
          </w:tcPr>
          <w:p>
            <w:pPr>
              <w:jc w:val="right"/>
              <w:ind w:right="76"/>
              <w:spacing w:after="0" w:line="129" w:lineRule="exact"/>
              <w:rPr>
                <w:sz w:val="20"/>
                <w:szCs w:val="20"/>
                <w:color w:val="auto"/>
              </w:rPr>
            </w:pPr>
            <w:r>
              <w:rPr>
                <w:rFonts w:ascii="Arial" w:cs="Arial" w:eastAsia="Arial" w:hAnsi="Arial"/>
                <w:sz w:val="13"/>
                <w:szCs w:val="13"/>
                <w:color w:val="auto"/>
              </w:rPr>
              <w:t>15</w:t>
            </w:r>
          </w:p>
        </w:tc>
        <w:tc>
          <w:tcPr>
            <w:tcW w:w="740" w:type="dxa"/>
            <w:vAlign w:val="bottom"/>
            <w:shd w:val="clear" w:color="auto" w:fill="CCEEFF"/>
          </w:tcPr>
          <w:p>
            <w:pPr>
              <w:jc w:val="right"/>
              <w:ind w:right="56"/>
              <w:spacing w:after="0" w:line="129"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56"/>
              <w:spacing w:after="0" w:line="129"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6"/>
              <w:spacing w:after="0" w:line="12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96"/>
              <w:spacing w:after="0" w:line="129"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line="12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6"/>
              <w:spacing w:after="0" w:line="12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6"/>
              <w:spacing w:after="0" w:line="129"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r>
      <w:tr>
        <w:trPr>
          <w:trHeight w:val="170"/>
        </w:trPr>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units</w:t>
            </w: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9"/>
        </w:trPr>
        <w:tc>
          <w:tcPr>
            <w:tcW w:w="3120" w:type="dxa"/>
            <w:vAlign w:val="bottom"/>
          </w:tcPr>
          <w:p>
            <w:pPr>
              <w:ind w:left="100"/>
              <w:spacing w:after="0"/>
              <w:rPr>
                <w:sz w:val="20"/>
                <w:szCs w:val="20"/>
                <w:color w:val="auto"/>
              </w:rPr>
            </w:pPr>
            <w:r>
              <w:rPr>
                <w:rFonts w:ascii="Arial" w:cs="Arial" w:eastAsia="Arial" w:hAnsi="Arial"/>
                <w:sz w:val="13"/>
                <w:szCs w:val="13"/>
                <w:color w:val="auto"/>
              </w:rPr>
              <w:t>Share issue costs</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(19)</w:t>
            </w:r>
          </w:p>
        </w:tc>
        <w:tc>
          <w:tcPr>
            <w:tcW w:w="7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Repurchase of ordinary shares</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(4,504,330)</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(302)</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302</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(750,000)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r>
      <w:tr>
        <w:trPr>
          <w:trHeight w:val="169"/>
        </w:trPr>
        <w:tc>
          <w:tcPr>
            <w:tcW w:w="3120" w:type="dxa"/>
            <w:vAlign w:val="bottom"/>
          </w:tcPr>
          <w:p>
            <w:pPr>
              <w:ind w:left="100"/>
              <w:spacing w:after="0"/>
              <w:rPr>
                <w:sz w:val="20"/>
                <w:szCs w:val="20"/>
                <w:color w:val="auto"/>
              </w:rPr>
            </w:pPr>
            <w:r>
              <w:rPr>
                <w:rFonts w:ascii="Arial" w:cs="Arial" w:eastAsia="Arial" w:hAnsi="Arial"/>
                <w:sz w:val="13"/>
                <w:szCs w:val="13"/>
                <w:color w:val="auto"/>
              </w:rPr>
              <w:t>Share repurchase costs</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(450)</w:t>
            </w:r>
          </w:p>
        </w:tc>
        <w:tc>
          <w:tcPr>
            <w:tcW w:w="700" w:type="dxa"/>
            <w:vAlign w:val="bottom"/>
          </w:tcPr>
          <w:p>
            <w:pPr>
              <w:jc w:val="right"/>
              <w:spacing w:after="0"/>
              <w:rPr>
                <w:sz w:val="20"/>
                <w:szCs w:val="20"/>
                <w:color w:val="auto"/>
              </w:rPr>
            </w:pPr>
            <w:r>
              <w:rPr>
                <w:rFonts w:ascii="Arial" w:cs="Arial" w:eastAsia="Arial" w:hAnsi="Arial"/>
                <w:sz w:val="13"/>
                <w:szCs w:val="13"/>
                <w:color w:val="auto"/>
              </w:rPr>
              <w:t>(450)</w:t>
            </w:r>
          </w:p>
        </w:tc>
      </w:tr>
      <w:tr>
        <w:trPr>
          <w:trHeight w:val="171"/>
        </w:trPr>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 benefit excess on exercise of options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(961)</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r>
      <w:tr>
        <w:trPr>
          <w:trHeight w:val="169"/>
        </w:trPr>
        <w:tc>
          <w:tcPr>
            <w:tcW w:w="3120" w:type="dxa"/>
            <w:vAlign w:val="bottom"/>
          </w:tcPr>
          <w:p>
            <w:pPr>
              <w:ind w:left="100"/>
              <w:spacing w:after="0"/>
              <w:rPr>
                <w:sz w:val="20"/>
                <w:szCs w:val="20"/>
                <w:color w:val="auto"/>
              </w:rPr>
            </w:pPr>
            <w:r>
              <w:rPr>
                <w:rFonts w:ascii="Arial" w:cs="Arial" w:eastAsia="Arial" w:hAnsi="Arial"/>
                <w:sz w:val="13"/>
                <w:szCs w:val="13"/>
                <w:color w:val="auto"/>
              </w:rPr>
              <w:t>Deferred tax movement on unexercised options</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4,147</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4,147</w:t>
            </w:r>
          </w:p>
        </w:tc>
      </w:tr>
      <w:tr>
        <w:trPr>
          <w:trHeight w:val="170"/>
        </w:trPr>
        <w:tc>
          <w:tcPr>
            <w:tcW w:w="31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Non-distributable reserve</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(2,235)</w:t>
            </w: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2,235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(4,189,535)</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(281)</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9,703</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302</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52,163</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(2,235)</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(689,465)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(629,813)</w:t>
            </w:r>
          </w:p>
        </w:tc>
      </w:tr>
      <w:tr>
        <w:trPr>
          <w:trHeight w:val="163"/>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31 December 2025</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76,567,325</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6,305</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569,507</w:t>
            </w:r>
          </w:p>
        </w:tc>
        <w:tc>
          <w:tcPr>
            <w:tcW w:w="9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5,656,195</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1,606</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384,001</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11,799</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(74,320)</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2,691,827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9,246,920</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23 Capital and reserves in Notes to the Consolidated Financial Statements</w:t>
      </w: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160"/>
          </w:cols>
          <w:pgMar w:left="300" w:top="698"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 xml:space="preserve">Consolidated Statement of Changes in Equity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Number</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Merger</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Other</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Share-</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Foreign</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Retained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27"/>
        </w:trPr>
        <w:tc>
          <w:tcPr>
            <w:tcW w:w="31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96"/>
              <w:spacing w:after="0" w:line="128" w:lineRule="exact"/>
              <w:rPr>
                <w:sz w:val="20"/>
                <w:szCs w:val="20"/>
                <w:color w:val="auto"/>
              </w:rPr>
            </w:pPr>
            <w:r>
              <w:rPr>
                <w:rFonts w:ascii="Arial" w:cs="Arial" w:eastAsia="Arial" w:hAnsi="Arial"/>
                <w:sz w:val="13"/>
                <w:szCs w:val="13"/>
                <w:b w:val="1"/>
                <w:bCs w:val="1"/>
                <w:color w:val="auto"/>
              </w:rPr>
              <w:t>of shares</w:t>
            </w:r>
          </w:p>
        </w:tc>
        <w:tc>
          <w:tcPr>
            <w:tcW w:w="72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Capital</w:t>
            </w:r>
          </w:p>
        </w:tc>
        <w:tc>
          <w:tcPr>
            <w:tcW w:w="74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Premium</w:t>
            </w:r>
          </w:p>
        </w:tc>
        <w:tc>
          <w:tcPr>
            <w:tcW w:w="1800" w:type="dxa"/>
            <w:vAlign w:val="bottom"/>
            <w:gridSpan w:val="2"/>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Reserve Undenominated</w:t>
            </w:r>
          </w:p>
        </w:tc>
        <w:tc>
          <w:tcPr>
            <w:tcW w:w="780" w:type="dxa"/>
            <w:vAlign w:val="bottom"/>
            <w:shd w:val="clear" w:color="auto" w:fill="CCEEFF"/>
          </w:tcPr>
          <w:p>
            <w:pPr>
              <w:jc w:val="right"/>
              <w:ind w:right="76"/>
              <w:spacing w:after="0" w:line="128" w:lineRule="exact"/>
              <w:rPr>
                <w:sz w:val="20"/>
                <w:szCs w:val="20"/>
                <w:color w:val="auto"/>
              </w:rPr>
            </w:pPr>
            <w:r>
              <w:rPr>
                <w:rFonts w:ascii="Arial" w:cs="Arial" w:eastAsia="Arial" w:hAnsi="Arial"/>
                <w:sz w:val="13"/>
                <w:szCs w:val="13"/>
                <w:b w:val="1"/>
                <w:bCs w:val="1"/>
                <w:color w:val="auto"/>
              </w:rPr>
              <w:t>Based</w:t>
            </w:r>
          </w:p>
        </w:tc>
        <w:tc>
          <w:tcPr>
            <w:tcW w:w="72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Reserve</w:t>
            </w: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Currency</w:t>
            </w:r>
          </w:p>
        </w:tc>
        <w:tc>
          <w:tcPr>
            <w:tcW w:w="78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Earnings</w:t>
            </w:r>
          </w:p>
        </w:tc>
        <w:tc>
          <w:tcPr>
            <w:tcW w:w="700" w:type="dxa"/>
            <w:vAlign w:val="bottom"/>
            <w:shd w:val="clear" w:color="auto" w:fill="CCEEFF"/>
          </w:tcPr>
          <w:p>
            <w:pPr>
              <w:spacing w:after="0"/>
              <w:rPr>
                <w:sz w:val="11"/>
                <w:szCs w:val="11"/>
                <w:color w:val="auto"/>
              </w:rPr>
            </w:pPr>
          </w:p>
        </w:tc>
      </w:tr>
      <w:tr>
        <w:trPr>
          <w:trHeight w:val="127"/>
        </w:trPr>
        <w:tc>
          <w:tcPr>
            <w:tcW w:w="3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Capital</w:t>
            </w:r>
          </w:p>
        </w:tc>
        <w:tc>
          <w:tcPr>
            <w:tcW w:w="780" w:type="dxa"/>
            <w:vAlign w:val="bottom"/>
            <w:shd w:val="clear" w:color="auto" w:fill="CCEEFF"/>
          </w:tcPr>
          <w:p>
            <w:pPr>
              <w:jc w:val="right"/>
              <w:ind w:right="76"/>
              <w:spacing w:after="0" w:line="128" w:lineRule="exact"/>
              <w:rPr>
                <w:sz w:val="20"/>
                <w:szCs w:val="20"/>
                <w:color w:val="auto"/>
              </w:rPr>
            </w:pPr>
            <w:r>
              <w:rPr>
                <w:rFonts w:ascii="Arial" w:cs="Arial" w:eastAsia="Arial" w:hAnsi="Arial"/>
                <w:sz w:val="13"/>
                <w:szCs w:val="13"/>
                <w:b w:val="1"/>
                <w:bCs w:val="1"/>
                <w:color w:val="auto"/>
              </w:rPr>
              <w:t>Payment</w:t>
            </w:r>
          </w:p>
        </w:tc>
        <w:tc>
          <w:tcPr>
            <w:tcW w:w="7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Reserve</w:t>
            </w: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70"/>
        </w:trPr>
        <w:tc>
          <w:tcPr>
            <w:tcW w:w="3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Reserve</w:t>
            </w: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0"/>
        </w:trPr>
        <w:tc>
          <w:tcPr>
            <w:tcW w:w="3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60"/>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1 January 2024 (as reported)</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82,495,086</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6,699</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523,646</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5,656,195</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1,162</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354,183</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10,183</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(148,844)</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2,919,591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9,322,815</w:t>
            </w:r>
          </w:p>
        </w:tc>
      </w:tr>
      <w:tr>
        <w:trPr>
          <w:trHeight w:val="169"/>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Prior year Restatements (Note 1)</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(29,297)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(29,297)</w:t>
            </w:r>
          </w:p>
        </w:tc>
      </w:tr>
      <w:tr>
        <w:trPr>
          <w:trHeight w:val="162"/>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1 January 2024 (as restated)</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82,495,086</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6,699</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523,646</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5,656,195</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1,162</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354,183</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10,183</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(148,844)</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2,890,294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9,293,518</w:t>
            </w:r>
          </w:p>
        </w:tc>
      </w:tr>
      <w:tr>
        <w:trPr>
          <w:trHeight w:val="127"/>
        </w:trPr>
        <w:tc>
          <w:tcPr>
            <w:tcW w:w="3180" w:type="dxa"/>
            <w:vAlign w:val="bottom"/>
          </w:tcPr>
          <w:p>
            <w:pPr>
              <w:ind w:left="20"/>
              <w:spacing w:after="0" w:line="128" w:lineRule="exact"/>
              <w:rPr>
                <w:sz w:val="20"/>
                <w:szCs w:val="20"/>
                <w:color w:val="auto"/>
              </w:rPr>
            </w:pPr>
            <w:r>
              <w:rPr>
                <w:rFonts w:ascii="Arial" w:cs="Arial" w:eastAsia="Arial" w:hAnsi="Arial"/>
                <w:sz w:val="13"/>
                <w:szCs w:val="13"/>
                <w:color w:val="auto"/>
              </w:rPr>
              <w:t>Profit for the year attributable to the Group (as</w:t>
            </w:r>
          </w:p>
        </w:tc>
        <w:tc>
          <w:tcPr>
            <w:tcW w:w="960" w:type="dxa"/>
            <w:vAlign w:val="bottom"/>
          </w:tcPr>
          <w:p>
            <w:pPr>
              <w:jc w:val="right"/>
              <w:ind w:right="136"/>
              <w:spacing w:after="0" w:line="128"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line="12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line="128"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line="128"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6"/>
              <w:spacing w:after="0" w:line="12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line="128"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line="128"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line="12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line="128" w:lineRule="exact"/>
              <w:rPr>
                <w:sz w:val="20"/>
                <w:szCs w:val="20"/>
                <w:color w:val="auto"/>
              </w:rPr>
            </w:pPr>
            <w:r>
              <w:rPr>
                <w:rFonts w:ascii="Arial" w:cs="Arial" w:eastAsia="Arial" w:hAnsi="Arial"/>
                <w:sz w:val="13"/>
                <w:szCs w:val="13"/>
                <w:color w:val="auto"/>
              </w:rPr>
              <w:t>727,077</w:t>
            </w:r>
          </w:p>
        </w:tc>
        <w:tc>
          <w:tcPr>
            <w:tcW w:w="700" w:type="dxa"/>
            <w:vAlign w:val="bottom"/>
          </w:tcPr>
          <w:p>
            <w:pPr>
              <w:jc w:val="right"/>
              <w:spacing w:after="0" w:line="128" w:lineRule="exact"/>
              <w:rPr>
                <w:sz w:val="20"/>
                <w:szCs w:val="20"/>
                <w:color w:val="auto"/>
              </w:rPr>
            </w:pPr>
            <w:r>
              <w:rPr>
                <w:rFonts w:ascii="Arial" w:cs="Arial" w:eastAsia="Arial" w:hAnsi="Arial"/>
                <w:sz w:val="13"/>
                <w:szCs w:val="13"/>
                <w:color w:val="auto"/>
              </w:rPr>
              <w:t>727,077</w:t>
            </w:r>
          </w:p>
        </w:tc>
      </w:tr>
      <w:tr>
        <w:trPr>
          <w:trHeight w:val="168"/>
        </w:trPr>
        <w:tc>
          <w:tcPr>
            <w:tcW w:w="3180" w:type="dxa"/>
            <w:vAlign w:val="bottom"/>
          </w:tcPr>
          <w:p>
            <w:pPr>
              <w:ind w:left="20"/>
              <w:spacing w:after="0"/>
              <w:rPr>
                <w:sz w:val="20"/>
                <w:szCs w:val="20"/>
                <w:color w:val="auto"/>
              </w:rPr>
            </w:pPr>
            <w:r>
              <w:rPr>
                <w:rFonts w:ascii="Arial" w:cs="Arial" w:eastAsia="Arial" w:hAnsi="Arial"/>
                <w:sz w:val="13"/>
                <w:szCs w:val="13"/>
                <w:color w:val="auto"/>
              </w:rPr>
              <w:t>restated)</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(84,927)</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(84,927)</w:t>
            </w:r>
          </w:p>
        </w:tc>
      </w:tr>
      <w:tr>
        <w:trPr>
          <w:trHeight w:val="171"/>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Re-measurement of defined benefit liability</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(6,338)</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(6,338)</w:t>
            </w:r>
          </w:p>
        </w:tc>
      </w:tr>
      <w:tr>
        <w:trPr>
          <w:trHeight w:val="169"/>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Movement on cash flow hedge</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4,581</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4,581</w:t>
            </w:r>
          </w:p>
        </w:tc>
      </w:tr>
      <w:tr>
        <w:trPr>
          <w:trHeight w:val="16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other comprehensive income</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4,581</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(84,927)</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(6,338)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(86,684)</w:t>
            </w:r>
          </w:p>
        </w:tc>
      </w:tr>
      <w:tr>
        <w:trPr>
          <w:trHeight w:val="16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 (as restated)</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4,581</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(84,927)</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720,739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640,393</w:t>
            </w:r>
          </w:p>
        </w:tc>
      </w:tr>
      <w:tr>
        <w:trPr>
          <w:trHeight w:val="119"/>
        </w:trPr>
        <w:tc>
          <w:tcPr>
            <w:tcW w:w="31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Transactions with owners, recorded directly in</w:t>
            </w:r>
          </w:p>
        </w:tc>
        <w:tc>
          <w:tcPr>
            <w:tcW w:w="9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70"/>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Share-based payment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41,665</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41,665</w:t>
            </w:r>
          </w:p>
        </w:tc>
      </w:tr>
      <w:tr>
        <w:trPr>
          <w:trHeight w:val="171"/>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 of share options</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311,040</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36,158</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36,178</w:t>
            </w:r>
          </w:p>
        </w:tc>
      </w:tr>
      <w:tr>
        <w:trPr>
          <w:trHeight w:val="127"/>
        </w:trPr>
        <w:tc>
          <w:tcPr>
            <w:tcW w:w="3180" w:type="dxa"/>
            <w:vAlign w:val="bottom"/>
          </w:tcPr>
          <w:p>
            <w:pPr>
              <w:ind w:left="100"/>
              <w:spacing w:after="0" w:line="128" w:lineRule="exact"/>
              <w:rPr>
                <w:sz w:val="20"/>
                <w:szCs w:val="20"/>
                <w:color w:val="auto"/>
              </w:rPr>
            </w:pPr>
            <w:r>
              <w:rPr>
                <w:rFonts w:ascii="Arial" w:cs="Arial" w:eastAsia="Arial" w:hAnsi="Arial"/>
                <w:sz w:val="13"/>
                <w:szCs w:val="13"/>
                <w:color w:val="auto"/>
              </w:rPr>
              <w:t>Transfer of exercised and expired share–based</w:t>
            </w:r>
          </w:p>
        </w:tc>
        <w:tc>
          <w:tcPr>
            <w:tcW w:w="960" w:type="dxa"/>
            <w:vAlign w:val="bottom"/>
          </w:tcPr>
          <w:p>
            <w:pPr>
              <w:jc w:val="right"/>
              <w:ind w:right="136"/>
              <w:spacing w:after="0" w:line="128"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line="12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line="128"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line="128"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6"/>
              <w:spacing w:after="0" w:line="12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6"/>
              <w:spacing w:after="0" w:line="128" w:lineRule="exact"/>
              <w:rPr>
                <w:sz w:val="20"/>
                <w:szCs w:val="20"/>
                <w:color w:val="auto"/>
              </w:rPr>
            </w:pPr>
            <w:r>
              <w:rPr>
                <w:rFonts w:ascii="Arial" w:cs="Arial" w:eastAsia="Arial" w:hAnsi="Arial"/>
                <w:sz w:val="13"/>
                <w:szCs w:val="13"/>
                <w:color w:val="auto"/>
              </w:rPr>
              <w:t>(53,635)</w:t>
            </w:r>
          </w:p>
        </w:tc>
        <w:tc>
          <w:tcPr>
            <w:tcW w:w="720" w:type="dxa"/>
            <w:vAlign w:val="bottom"/>
          </w:tcPr>
          <w:p>
            <w:pPr>
              <w:jc w:val="right"/>
              <w:ind w:right="76"/>
              <w:spacing w:after="0" w:line="128"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line="12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line="128" w:lineRule="exact"/>
              <w:rPr>
                <w:sz w:val="20"/>
                <w:szCs w:val="20"/>
                <w:color w:val="auto"/>
              </w:rPr>
            </w:pPr>
            <w:r>
              <w:rPr>
                <w:rFonts w:ascii="Arial" w:cs="Arial" w:eastAsia="Arial" w:hAnsi="Arial"/>
                <w:sz w:val="13"/>
                <w:szCs w:val="13"/>
                <w:color w:val="auto"/>
              </w:rPr>
              <w:t>53,635</w:t>
            </w:r>
          </w:p>
        </w:tc>
        <w:tc>
          <w:tcPr>
            <w:tcW w:w="70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r>
      <w:tr>
        <w:trPr>
          <w:trHeight w:val="168"/>
        </w:trPr>
        <w:tc>
          <w:tcPr>
            <w:tcW w:w="3180" w:type="dxa"/>
            <w:vAlign w:val="bottom"/>
          </w:tcPr>
          <w:p>
            <w:pPr>
              <w:ind w:left="100"/>
              <w:spacing w:after="0"/>
              <w:rPr>
                <w:sz w:val="20"/>
                <w:szCs w:val="20"/>
                <w:color w:val="auto"/>
              </w:rPr>
            </w:pPr>
            <w:r>
              <w:rPr>
                <w:rFonts w:ascii="Arial" w:cs="Arial" w:eastAsia="Arial" w:hAnsi="Arial"/>
                <w:sz w:val="13"/>
                <w:szCs w:val="13"/>
                <w:color w:val="auto"/>
              </w:rPr>
              <w:t>awards</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29"/>
        </w:trPr>
        <w:tc>
          <w:tcPr>
            <w:tcW w:w="318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Issue of restricted share units / performance share</w:t>
            </w:r>
          </w:p>
        </w:tc>
        <w:tc>
          <w:tcPr>
            <w:tcW w:w="960" w:type="dxa"/>
            <w:vAlign w:val="bottom"/>
            <w:shd w:val="clear" w:color="auto" w:fill="CCEEFF"/>
          </w:tcPr>
          <w:p>
            <w:pPr>
              <w:jc w:val="right"/>
              <w:ind w:right="136"/>
              <w:spacing w:after="0" w:line="129" w:lineRule="exact"/>
              <w:rPr>
                <w:sz w:val="20"/>
                <w:szCs w:val="20"/>
                <w:color w:val="auto"/>
              </w:rPr>
            </w:pPr>
            <w:r>
              <w:rPr>
                <w:rFonts w:ascii="Arial" w:cs="Arial" w:eastAsia="Arial" w:hAnsi="Arial"/>
                <w:sz w:val="13"/>
                <w:szCs w:val="13"/>
                <w:color w:val="auto"/>
              </w:rPr>
              <w:t>130,433</w:t>
            </w:r>
          </w:p>
        </w:tc>
        <w:tc>
          <w:tcPr>
            <w:tcW w:w="720" w:type="dxa"/>
            <w:vAlign w:val="bottom"/>
            <w:shd w:val="clear" w:color="auto" w:fill="CCEEFF"/>
          </w:tcPr>
          <w:p>
            <w:pPr>
              <w:jc w:val="right"/>
              <w:ind w:right="96"/>
              <w:spacing w:after="0" w:line="129" w:lineRule="exact"/>
              <w:rPr>
                <w:sz w:val="20"/>
                <w:szCs w:val="20"/>
                <w:color w:val="auto"/>
              </w:rPr>
            </w:pPr>
            <w:r>
              <w:rPr>
                <w:rFonts w:ascii="Arial" w:cs="Arial" w:eastAsia="Arial" w:hAnsi="Arial"/>
                <w:sz w:val="13"/>
                <w:szCs w:val="13"/>
                <w:color w:val="auto"/>
              </w:rPr>
              <w:t>9</w:t>
            </w:r>
          </w:p>
        </w:tc>
        <w:tc>
          <w:tcPr>
            <w:tcW w:w="740" w:type="dxa"/>
            <w:vAlign w:val="bottom"/>
            <w:shd w:val="clear" w:color="auto" w:fill="CCEEFF"/>
          </w:tcPr>
          <w:p>
            <w:pPr>
              <w:jc w:val="right"/>
              <w:ind w:right="76"/>
              <w:spacing w:after="0" w:line="129"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56"/>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6"/>
              <w:spacing w:after="0" w:line="12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line="129"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line="12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line="12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6"/>
              <w:spacing w:after="0" w:line="129"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r>
      <w:tr>
        <w:trPr>
          <w:trHeight w:val="170"/>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units</w:t>
            </w: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Share issue costs</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(22)</w:t>
            </w:r>
          </w:p>
        </w:tc>
        <w:tc>
          <w:tcPr>
            <w:tcW w:w="70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1"/>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Repurchase of ordinary shares</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(2,179,699)</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(142)</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142</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(499,998)</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(499,998)</w:t>
            </w: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Share repurchase costs</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(388)</w:t>
            </w:r>
          </w:p>
        </w:tc>
        <w:tc>
          <w:tcPr>
            <w:tcW w:w="700" w:type="dxa"/>
            <w:vAlign w:val="bottom"/>
          </w:tcPr>
          <w:p>
            <w:pPr>
              <w:jc w:val="right"/>
              <w:spacing w:after="0"/>
              <w:rPr>
                <w:sz w:val="20"/>
                <w:szCs w:val="20"/>
                <w:color w:val="auto"/>
              </w:rPr>
            </w:pPr>
            <w:r>
              <w:rPr>
                <w:rFonts w:ascii="Arial" w:cs="Arial" w:eastAsia="Arial" w:hAnsi="Arial"/>
                <w:sz w:val="13"/>
                <w:szCs w:val="13"/>
                <w:color w:val="auto"/>
              </w:rPr>
              <w:t>(388)</w:t>
            </w:r>
          </w:p>
        </w:tc>
      </w:tr>
      <w:tr>
        <w:trPr>
          <w:trHeight w:val="171"/>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 benefit excess on exercise of options</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3,596</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3,596</w:t>
            </w: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Deferred tax movement on unexercised options</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(13,971)</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(13,971)</w:t>
            </w:r>
          </w:p>
        </w:tc>
      </w:tr>
      <w:tr>
        <w:trPr>
          <w:trHeight w:val="170"/>
        </w:trPr>
        <w:tc>
          <w:tcPr>
            <w:tcW w:w="3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Non-distributable reserve</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1,690</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(1,690)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(1,738,226)</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(113)</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36,158</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142</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(22,345)</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1,690</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(448,463)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(432,931)</w:t>
            </w:r>
          </w:p>
        </w:tc>
      </w:tr>
      <w:tr>
        <w:trPr>
          <w:trHeight w:val="163"/>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31 December 2024 (as restated)</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80,756,860</w:t>
            </w: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6,586</w:t>
            </w: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559,804</w:t>
            </w:r>
          </w:p>
        </w:tc>
        <w:tc>
          <w:tcPr>
            <w:tcW w:w="9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5,656,195</w:t>
            </w: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1,304</w:t>
            </w:r>
          </w:p>
        </w:tc>
        <w:tc>
          <w:tcPr>
            <w:tcW w:w="7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331,838</w:t>
            </w: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16,454</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(233,771)</w:t>
            </w: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3,162,570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9,500,980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23 Capital and reserves in Notes to the Consolidated Financial Statements</w:t>
      </w:r>
    </w:p>
    <w:p>
      <w:pPr>
        <w:spacing w:after="0" w:line="200" w:lineRule="exact"/>
        <w:rPr>
          <w:sz w:val="20"/>
          <w:szCs w:val="20"/>
          <w:color w:val="auto"/>
        </w:rPr>
      </w:pPr>
    </w:p>
    <w:p>
      <w:pPr>
        <w:spacing w:after="0" w:line="359"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140"/>
          </w:cols>
          <w:pgMar w:left="300" w:top="698"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Consolidated Statement of Cash Flows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shd w:val="clear" w:color="auto" w:fill="CCEEFF"/>
          </w:tcPr>
          <w:p>
            <w:pPr>
              <w:spacing w:after="0"/>
              <w:rPr>
                <w:sz w:val="13"/>
                <w:szCs w:val="13"/>
                <w:color w:val="auto"/>
              </w:rPr>
            </w:pPr>
          </w:p>
        </w:tc>
        <w:tc>
          <w:tcPr>
            <w:tcW w:w="3100" w:type="dxa"/>
            <w:vAlign w:val="bottom"/>
            <w:shd w:val="clear" w:color="auto" w:fill="CCEEFF"/>
          </w:tcPr>
          <w:p>
            <w:pPr>
              <w:jc w:val="right"/>
              <w:ind w:right="378"/>
              <w:spacing w:after="0"/>
              <w:rPr>
                <w:sz w:val="20"/>
                <w:szCs w:val="20"/>
                <w:color w:val="auto"/>
              </w:rPr>
            </w:pPr>
            <w:r>
              <w:rPr>
                <w:rFonts w:ascii="Arial" w:cs="Arial" w:eastAsia="Arial" w:hAnsi="Arial"/>
                <w:sz w:val="12"/>
                <w:szCs w:val="12"/>
                <w:b w:val="1"/>
                <w:bCs w:val="1"/>
                <w:i w:val="1"/>
                <w:iCs w:val="1"/>
                <w:color w:val="auto"/>
              </w:rPr>
              <w:t>Note</w:t>
            </w:r>
          </w:p>
        </w:tc>
        <w:tc>
          <w:tcPr>
            <w:tcW w:w="1600" w:type="dxa"/>
            <w:vAlign w:val="bottom"/>
            <w:shd w:val="clear" w:color="auto" w:fill="CCEEFF"/>
          </w:tcPr>
          <w:p>
            <w:pPr>
              <w:jc w:val="right"/>
              <w:ind w:right="298"/>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542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298"/>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420" w:type="dxa"/>
            <w:vAlign w:val="bottom"/>
            <w:tcBorders>
              <w:bottom w:val="single" w:sz="8" w:color="auto"/>
            </w:tcBorders>
            <w:shd w:val="clear" w:color="auto" w:fill="CCEEFF"/>
          </w:tcPr>
          <w:p>
            <w:pPr>
              <w:spacing w:after="0"/>
              <w:rPr>
                <w:sz w:val="14"/>
                <w:szCs w:val="14"/>
                <w:color w:val="auto"/>
              </w:rPr>
            </w:pPr>
          </w:p>
        </w:tc>
        <w:tc>
          <w:tcPr>
            <w:tcW w:w="31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0" w:type="dxa"/>
            <w:vAlign w:val="bottom"/>
          </w:tcPr>
          <w:p>
            <w:pPr>
              <w:jc w:val="right"/>
              <w:ind w:right="298"/>
              <w:spacing w:after="0"/>
              <w:rPr>
                <w:sz w:val="20"/>
                <w:szCs w:val="20"/>
                <w:color w:val="auto"/>
              </w:rPr>
            </w:pPr>
            <w:r>
              <w:rPr>
                <w:rFonts w:ascii="Arial" w:cs="Arial" w:eastAsia="Arial" w:hAnsi="Arial"/>
                <w:sz w:val="12"/>
                <w:szCs w:val="12"/>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2"/>
                <w:szCs w:val="12"/>
                <w:color w:val="auto"/>
              </w:rPr>
              <w:t>$’000</w:t>
            </w:r>
          </w:p>
        </w:tc>
      </w:tr>
      <w:tr>
        <w:trPr>
          <w:trHeight w:val="17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Profit for the financial year</w:t>
            </w:r>
          </w:p>
        </w:tc>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214,038</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727,077</w:t>
            </w:r>
          </w:p>
        </w:tc>
      </w:tr>
      <w:tr>
        <w:trPr>
          <w:trHeight w:val="170"/>
        </w:trPr>
        <w:tc>
          <w:tcPr>
            <w:tcW w:w="5420" w:type="dxa"/>
            <w:vAlign w:val="bottom"/>
          </w:tcPr>
          <w:p>
            <w:pPr>
              <w:ind w:left="20"/>
              <w:spacing w:after="0"/>
              <w:rPr>
                <w:sz w:val="20"/>
                <w:szCs w:val="20"/>
                <w:color w:val="auto"/>
              </w:rPr>
            </w:pPr>
            <w:r>
              <w:rPr>
                <w:rFonts w:ascii="Arial" w:cs="Arial" w:eastAsia="Arial" w:hAnsi="Arial"/>
                <w:sz w:val="12"/>
                <w:szCs w:val="12"/>
                <w:b w:val="1"/>
                <w:bCs w:val="1"/>
                <w:color w:val="auto"/>
              </w:rPr>
              <w:t>Adjustments to reconcile net income to net cash generated from operating activities</w:t>
            </w:r>
          </w:p>
        </w:tc>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of property, plant and equipment</w:t>
            </w:r>
          </w:p>
        </w:tc>
        <w:tc>
          <w:tcPr>
            <w:tcW w:w="3100" w:type="dxa"/>
            <w:vAlign w:val="bottom"/>
            <w:shd w:val="clear" w:color="auto" w:fill="CCEEFF"/>
          </w:tcPr>
          <w:p>
            <w:pPr>
              <w:jc w:val="center"/>
              <w:ind w:left="1898"/>
              <w:spacing w:after="0"/>
              <w:rPr>
                <w:sz w:val="20"/>
                <w:szCs w:val="20"/>
                <w:color w:val="auto"/>
              </w:rPr>
            </w:pPr>
            <w:r>
              <w:rPr>
                <w:rFonts w:ascii="Arial" w:cs="Arial" w:eastAsia="Arial" w:hAnsi="Arial"/>
                <w:sz w:val="12"/>
                <w:szCs w:val="12"/>
                <w:i w:val="1"/>
                <w:iCs w:val="1"/>
                <w:color w:val="auto"/>
              </w:rPr>
              <w:t>12</w:t>
            </w: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52,882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47,780</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Depreciation of right-of-use assets</w:t>
            </w:r>
          </w:p>
        </w:tc>
        <w:tc>
          <w:tcPr>
            <w:tcW w:w="3100" w:type="dxa"/>
            <w:vAlign w:val="bottom"/>
          </w:tcPr>
          <w:p>
            <w:pPr>
              <w:jc w:val="center"/>
              <w:ind w:left="1898"/>
              <w:spacing w:after="0"/>
              <w:rPr>
                <w:sz w:val="20"/>
                <w:szCs w:val="20"/>
                <w:color w:val="auto"/>
              </w:rPr>
            </w:pPr>
            <w:r>
              <w:rPr>
                <w:rFonts w:ascii="Arial" w:cs="Arial" w:eastAsia="Arial" w:hAnsi="Arial"/>
                <w:sz w:val="12"/>
                <w:szCs w:val="12"/>
                <w:i w:val="1"/>
                <w:iCs w:val="1"/>
                <w:color w:val="auto"/>
              </w:rPr>
              <w:t>25</w:t>
            </w:r>
          </w:p>
        </w:tc>
        <w:tc>
          <w:tcPr>
            <w:tcW w:w="1600" w:type="dxa"/>
            <w:vAlign w:val="bottom"/>
          </w:tcPr>
          <w:p>
            <w:pPr>
              <w:jc w:val="right"/>
              <w:ind w:right="338"/>
              <w:spacing w:after="0"/>
              <w:rPr>
                <w:sz w:val="20"/>
                <w:szCs w:val="20"/>
                <w:color w:val="auto"/>
              </w:rPr>
            </w:pPr>
            <w:r>
              <w:rPr>
                <w:rFonts w:ascii="Arial" w:cs="Arial" w:eastAsia="Arial" w:hAnsi="Arial"/>
                <w:sz w:val="12"/>
                <w:szCs w:val="12"/>
                <w:b w:val="1"/>
                <w:bCs w:val="1"/>
                <w:color w:val="auto"/>
              </w:rPr>
              <w:t>37,648</w:t>
            </w:r>
          </w:p>
        </w:tc>
        <w:tc>
          <w:tcPr>
            <w:tcW w:w="1140" w:type="dxa"/>
            <w:vAlign w:val="bottom"/>
          </w:tcPr>
          <w:p>
            <w:pPr>
              <w:jc w:val="right"/>
              <w:spacing w:after="0"/>
              <w:rPr>
                <w:sz w:val="20"/>
                <w:szCs w:val="20"/>
                <w:color w:val="auto"/>
              </w:rPr>
            </w:pPr>
            <w:r>
              <w:rPr>
                <w:rFonts w:ascii="Arial" w:cs="Arial" w:eastAsia="Arial" w:hAnsi="Arial"/>
                <w:sz w:val="12"/>
                <w:szCs w:val="12"/>
                <w:color w:val="auto"/>
              </w:rPr>
              <w:t>41,014</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Impairment of long lived assets</w:t>
            </w:r>
          </w:p>
        </w:tc>
        <w:tc>
          <w:tcPr>
            <w:tcW w:w="3100" w:type="dxa"/>
            <w:vAlign w:val="bottom"/>
            <w:shd w:val="clear" w:color="auto" w:fill="CCEEFF"/>
          </w:tcPr>
          <w:p>
            <w:pPr>
              <w:jc w:val="center"/>
              <w:ind w:left="1878"/>
              <w:spacing w:after="0"/>
              <w:rPr>
                <w:sz w:val="20"/>
                <w:szCs w:val="20"/>
                <w:color w:val="auto"/>
              </w:rPr>
            </w:pPr>
            <w:r>
              <w:rPr>
                <w:rFonts w:ascii="Arial" w:cs="Arial" w:eastAsia="Arial" w:hAnsi="Arial"/>
                <w:sz w:val="12"/>
                <w:szCs w:val="12"/>
                <w:i w:val="1"/>
                <w:iCs w:val="1"/>
                <w:color w:val="auto"/>
              </w:rPr>
              <w:t>9</w:t>
            </w: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3,683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15,731</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Impairment of non-financial assets</w:t>
            </w:r>
          </w:p>
        </w:tc>
        <w:tc>
          <w:tcPr>
            <w:tcW w:w="3100" w:type="dxa"/>
            <w:vAlign w:val="bottom"/>
          </w:tcPr>
          <w:p>
            <w:pPr>
              <w:jc w:val="center"/>
              <w:ind w:left="1878"/>
              <w:spacing w:after="0"/>
              <w:rPr>
                <w:sz w:val="20"/>
                <w:szCs w:val="20"/>
                <w:color w:val="auto"/>
              </w:rPr>
            </w:pPr>
            <w:r>
              <w:rPr>
                <w:rFonts w:ascii="Arial" w:cs="Arial" w:eastAsia="Arial" w:hAnsi="Arial"/>
                <w:sz w:val="12"/>
                <w:szCs w:val="12"/>
                <w:i w:val="1"/>
                <w:iCs w:val="1"/>
                <w:color w:val="auto"/>
              </w:rPr>
              <w:t>9</w:t>
            </w:r>
          </w:p>
        </w:tc>
        <w:tc>
          <w:tcPr>
            <w:tcW w:w="1600" w:type="dxa"/>
            <w:vAlign w:val="bottom"/>
          </w:tcPr>
          <w:p>
            <w:pPr>
              <w:jc w:val="right"/>
              <w:ind w:right="338"/>
              <w:spacing w:after="0"/>
              <w:rPr>
                <w:sz w:val="20"/>
                <w:szCs w:val="20"/>
                <w:color w:val="auto"/>
              </w:rPr>
            </w:pPr>
            <w:r>
              <w:rPr>
                <w:rFonts w:ascii="Arial" w:cs="Arial" w:eastAsia="Arial" w:hAnsi="Arial"/>
                <w:sz w:val="12"/>
                <w:szCs w:val="12"/>
                <w:b w:val="1"/>
                <w:bCs w:val="1"/>
                <w:color w:val="auto"/>
              </w:rPr>
              <w:t>101,027</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Goodwill Impairment</w:t>
            </w:r>
          </w:p>
        </w:tc>
        <w:tc>
          <w:tcPr>
            <w:tcW w:w="3100" w:type="dxa"/>
            <w:vAlign w:val="bottom"/>
            <w:shd w:val="clear" w:color="auto" w:fill="CCEEFF"/>
          </w:tcPr>
          <w:p>
            <w:pPr>
              <w:jc w:val="center"/>
              <w:ind w:left="1878"/>
              <w:spacing w:after="0"/>
              <w:rPr>
                <w:sz w:val="20"/>
                <w:szCs w:val="20"/>
                <w:color w:val="auto"/>
              </w:rPr>
            </w:pPr>
            <w:r>
              <w:rPr>
                <w:rFonts w:ascii="Arial" w:cs="Arial" w:eastAsia="Arial" w:hAnsi="Arial"/>
                <w:sz w:val="12"/>
                <w:szCs w:val="12"/>
                <w:i w:val="1"/>
                <w:iCs w:val="1"/>
                <w:color w:val="auto"/>
              </w:rPr>
              <w:t>9</w:t>
            </w: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367,587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Amortisation of intangible assets</w:t>
            </w:r>
          </w:p>
        </w:tc>
        <w:tc>
          <w:tcPr>
            <w:tcW w:w="3100" w:type="dxa"/>
            <w:vAlign w:val="bottom"/>
          </w:tcPr>
          <w:p>
            <w:pPr>
              <w:jc w:val="center"/>
              <w:ind w:left="1898"/>
              <w:spacing w:after="0"/>
              <w:rPr>
                <w:sz w:val="20"/>
                <w:szCs w:val="20"/>
                <w:color w:val="auto"/>
              </w:rPr>
            </w:pPr>
            <w:r>
              <w:rPr>
                <w:rFonts w:ascii="Arial" w:cs="Arial" w:eastAsia="Arial" w:hAnsi="Arial"/>
                <w:sz w:val="12"/>
                <w:szCs w:val="12"/>
                <w:i w:val="1"/>
                <w:iCs w:val="1"/>
                <w:color w:val="auto"/>
              </w:rPr>
              <w:t>13</w:t>
            </w:r>
          </w:p>
        </w:tc>
        <w:tc>
          <w:tcPr>
            <w:tcW w:w="1600" w:type="dxa"/>
            <w:vAlign w:val="bottom"/>
          </w:tcPr>
          <w:p>
            <w:pPr>
              <w:jc w:val="right"/>
              <w:ind w:right="338"/>
              <w:spacing w:after="0"/>
              <w:rPr>
                <w:sz w:val="20"/>
                <w:szCs w:val="20"/>
                <w:color w:val="auto"/>
              </w:rPr>
            </w:pPr>
            <w:r>
              <w:rPr>
                <w:rFonts w:ascii="Arial" w:cs="Arial" w:eastAsia="Arial" w:hAnsi="Arial"/>
                <w:sz w:val="12"/>
                <w:szCs w:val="12"/>
                <w:b w:val="1"/>
                <w:bCs w:val="1"/>
                <w:color w:val="auto"/>
              </w:rPr>
              <w:t>330,114</w:t>
            </w:r>
          </w:p>
        </w:tc>
        <w:tc>
          <w:tcPr>
            <w:tcW w:w="1140" w:type="dxa"/>
            <w:vAlign w:val="bottom"/>
          </w:tcPr>
          <w:p>
            <w:pPr>
              <w:jc w:val="right"/>
              <w:spacing w:after="0"/>
              <w:rPr>
                <w:sz w:val="20"/>
                <w:szCs w:val="20"/>
                <w:color w:val="auto"/>
              </w:rPr>
            </w:pPr>
            <w:r>
              <w:rPr>
                <w:rFonts w:ascii="Arial" w:cs="Arial" w:eastAsia="Arial" w:hAnsi="Arial"/>
                <w:sz w:val="12"/>
                <w:szCs w:val="12"/>
                <w:color w:val="auto"/>
              </w:rPr>
              <w:t>440,720</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Share-based payment</w:t>
            </w:r>
          </w:p>
        </w:tc>
        <w:tc>
          <w:tcPr>
            <w:tcW w:w="3100" w:type="dxa"/>
            <w:vAlign w:val="bottom"/>
            <w:shd w:val="clear" w:color="auto" w:fill="CCEEFF"/>
          </w:tcPr>
          <w:p>
            <w:pPr>
              <w:jc w:val="center"/>
              <w:ind w:left="1878"/>
              <w:spacing w:after="0"/>
              <w:rPr>
                <w:sz w:val="20"/>
                <w:szCs w:val="20"/>
                <w:color w:val="auto"/>
              </w:rPr>
            </w:pPr>
            <w:r>
              <w:rPr>
                <w:rFonts w:ascii="Arial" w:cs="Arial" w:eastAsia="Arial" w:hAnsi="Arial"/>
                <w:sz w:val="12"/>
                <w:szCs w:val="12"/>
                <w:i w:val="1"/>
                <w:iCs w:val="1"/>
                <w:color w:val="auto"/>
                <w:w w:val="89"/>
              </w:rPr>
              <w:t>11</w:t>
            </w: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107,746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46,108</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Finance income</w:t>
            </w:r>
          </w:p>
        </w:tc>
        <w:tc>
          <w:tcPr>
            <w:tcW w:w="3100" w:type="dxa"/>
            <w:vAlign w:val="bottom"/>
          </w:tcPr>
          <w:p>
            <w:pPr>
              <w:jc w:val="center"/>
              <w:ind w:left="1878"/>
              <w:spacing w:after="0"/>
              <w:rPr>
                <w:sz w:val="20"/>
                <w:szCs w:val="20"/>
                <w:color w:val="auto"/>
              </w:rPr>
            </w:pPr>
            <w:r>
              <w:rPr>
                <w:rFonts w:ascii="Arial" w:cs="Arial" w:eastAsia="Arial" w:hAnsi="Arial"/>
                <w:sz w:val="12"/>
                <w:szCs w:val="12"/>
                <w:i w:val="1"/>
                <w:iCs w:val="1"/>
                <w:color w:val="auto"/>
              </w:rPr>
              <w:t>4</w:t>
            </w:r>
          </w:p>
        </w:tc>
        <w:tc>
          <w:tcPr>
            <w:tcW w:w="1600" w:type="dxa"/>
            <w:vAlign w:val="bottom"/>
          </w:tcPr>
          <w:p>
            <w:pPr>
              <w:jc w:val="right"/>
              <w:ind w:right="318"/>
              <w:spacing w:after="0"/>
              <w:rPr>
                <w:sz w:val="20"/>
                <w:szCs w:val="20"/>
                <w:color w:val="auto"/>
              </w:rPr>
            </w:pPr>
            <w:r>
              <w:rPr>
                <w:rFonts w:ascii="Arial" w:cs="Arial" w:eastAsia="Arial" w:hAnsi="Arial"/>
                <w:sz w:val="12"/>
                <w:szCs w:val="12"/>
                <w:b w:val="1"/>
                <w:bCs w:val="1"/>
                <w:color w:val="auto"/>
              </w:rPr>
              <w:t>(7,109)</w:t>
            </w:r>
          </w:p>
        </w:tc>
        <w:tc>
          <w:tcPr>
            <w:tcW w:w="1140" w:type="dxa"/>
            <w:vAlign w:val="bottom"/>
          </w:tcPr>
          <w:p>
            <w:pPr>
              <w:jc w:val="right"/>
              <w:spacing w:after="0"/>
              <w:rPr>
                <w:sz w:val="20"/>
                <w:szCs w:val="20"/>
                <w:color w:val="auto"/>
              </w:rPr>
            </w:pPr>
            <w:r>
              <w:rPr>
                <w:rFonts w:ascii="Arial" w:cs="Arial" w:eastAsia="Arial" w:hAnsi="Arial"/>
                <w:sz w:val="12"/>
                <w:szCs w:val="12"/>
                <w:color w:val="auto"/>
              </w:rPr>
              <w:t>(8,609)</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Finance costs</w:t>
            </w:r>
          </w:p>
        </w:tc>
        <w:tc>
          <w:tcPr>
            <w:tcW w:w="3100" w:type="dxa"/>
            <w:vAlign w:val="bottom"/>
            <w:shd w:val="clear" w:color="auto" w:fill="CCEEFF"/>
          </w:tcPr>
          <w:p>
            <w:pPr>
              <w:jc w:val="center"/>
              <w:ind w:left="1878"/>
              <w:spacing w:after="0"/>
              <w:rPr>
                <w:sz w:val="20"/>
                <w:szCs w:val="20"/>
                <w:color w:val="auto"/>
              </w:rPr>
            </w:pPr>
            <w:r>
              <w:rPr>
                <w:rFonts w:ascii="Arial" w:cs="Arial" w:eastAsia="Arial" w:hAnsi="Arial"/>
                <w:sz w:val="12"/>
                <w:szCs w:val="12"/>
                <w:i w:val="1"/>
                <w:iCs w:val="1"/>
                <w:color w:val="auto"/>
              </w:rPr>
              <w:t>5</w:t>
            </w: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203,674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242,616</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Income tax expense</w:t>
            </w:r>
          </w:p>
        </w:tc>
        <w:tc>
          <w:tcPr>
            <w:tcW w:w="3100" w:type="dxa"/>
            <w:vAlign w:val="bottom"/>
          </w:tcPr>
          <w:p>
            <w:pPr>
              <w:jc w:val="center"/>
              <w:ind w:left="1878"/>
              <w:spacing w:after="0"/>
              <w:rPr>
                <w:sz w:val="20"/>
                <w:szCs w:val="20"/>
                <w:color w:val="auto"/>
              </w:rPr>
            </w:pPr>
            <w:r>
              <w:rPr>
                <w:rFonts w:ascii="Arial" w:cs="Arial" w:eastAsia="Arial" w:hAnsi="Arial"/>
                <w:sz w:val="12"/>
                <w:szCs w:val="12"/>
                <w:i w:val="1"/>
                <w:iCs w:val="1"/>
                <w:color w:val="auto"/>
              </w:rPr>
              <w:t>7</w:t>
            </w:r>
          </w:p>
        </w:tc>
        <w:tc>
          <w:tcPr>
            <w:tcW w:w="1600" w:type="dxa"/>
            <w:vAlign w:val="bottom"/>
          </w:tcPr>
          <w:p>
            <w:pPr>
              <w:jc w:val="right"/>
              <w:ind w:right="338"/>
              <w:spacing w:after="0"/>
              <w:rPr>
                <w:sz w:val="20"/>
                <w:szCs w:val="20"/>
                <w:color w:val="auto"/>
              </w:rPr>
            </w:pPr>
            <w:r>
              <w:rPr>
                <w:rFonts w:ascii="Arial" w:cs="Arial" w:eastAsia="Arial" w:hAnsi="Arial"/>
                <w:sz w:val="12"/>
                <w:szCs w:val="12"/>
                <w:b w:val="1"/>
                <w:bCs w:val="1"/>
                <w:color w:val="auto"/>
              </w:rPr>
              <w:t>16,475</w:t>
            </w:r>
          </w:p>
        </w:tc>
        <w:tc>
          <w:tcPr>
            <w:tcW w:w="1140" w:type="dxa"/>
            <w:vAlign w:val="bottom"/>
          </w:tcPr>
          <w:p>
            <w:pPr>
              <w:jc w:val="right"/>
              <w:spacing w:after="0"/>
              <w:rPr>
                <w:sz w:val="20"/>
                <w:szCs w:val="20"/>
                <w:color w:val="auto"/>
              </w:rPr>
            </w:pPr>
            <w:r>
              <w:rPr>
                <w:rFonts w:ascii="Arial" w:cs="Arial" w:eastAsia="Arial" w:hAnsi="Arial"/>
                <w:sz w:val="12"/>
                <w:szCs w:val="12"/>
                <w:color w:val="auto"/>
              </w:rPr>
              <w:t>75,473</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Unrealised foreign exchange movements</w:t>
            </w:r>
          </w:p>
        </w:tc>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26,464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6,911</w:t>
            </w:r>
          </w:p>
        </w:tc>
      </w:tr>
      <w:tr>
        <w:trPr>
          <w:trHeight w:val="170"/>
        </w:trPr>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Other non-cash items</w:t>
            </w:r>
          </w:p>
        </w:tc>
        <w:tc>
          <w:tcPr>
            <w:tcW w:w="3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23,333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31,900</w:t>
            </w:r>
          </w:p>
        </w:tc>
      </w:tr>
      <w:tr>
        <w:trPr>
          <w:trHeight w:val="16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cash inflow before changes in working capital</w:t>
            </w:r>
          </w:p>
        </w:tc>
        <w:tc>
          <w:tcPr>
            <w:tcW w:w="3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1,477,562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1,666,721</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Accounts receivable</w:t>
            </w:r>
          </w:p>
        </w:tc>
        <w:tc>
          <w:tcPr>
            <w:tcW w:w="3100" w:type="dxa"/>
            <w:vAlign w:val="bottom"/>
          </w:tcPr>
          <w:p>
            <w:pPr>
              <w:spacing w:after="0"/>
              <w:rPr>
                <w:sz w:val="14"/>
                <w:szCs w:val="14"/>
                <w:color w:val="auto"/>
              </w:rPr>
            </w:pPr>
          </w:p>
        </w:tc>
        <w:tc>
          <w:tcPr>
            <w:tcW w:w="1600" w:type="dxa"/>
            <w:vAlign w:val="bottom"/>
          </w:tcPr>
          <w:p>
            <w:pPr>
              <w:jc w:val="right"/>
              <w:ind w:right="318"/>
              <w:spacing w:after="0"/>
              <w:rPr>
                <w:sz w:val="20"/>
                <w:szCs w:val="20"/>
                <w:color w:val="auto"/>
              </w:rPr>
            </w:pPr>
            <w:r>
              <w:rPr>
                <w:rFonts w:ascii="Arial" w:cs="Arial" w:eastAsia="Arial" w:hAnsi="Arial"/>
                <w:sz w:val="12"/>
                <w:szCs w:val="12"/>
                <w:b w:val="1"/>
                <w:bCs w:val="1"/>
                <w:color w:val="auto"/>
              </w:rPr>
              <w:t>(108,213)</w:t>
            </w:r>
          </w:p>
        </w:tc>
        <w:tc>
          <w:tcPr>
            <w:tcW w:w="1140" w:type="dxa"/>
            <w:vAlign w:val="bottom"/>
          </w:tcPr>
          <w:p>
            <w:pPr>
              <w:jc w:val="right"/>
              <w:spacing w:after="0"/>
              <w:rPr>
                <w:sz w:val="20"/>
                <w:szCs w:val="20"/>
                <w:color w:val="auto"/>
              </w:rPr>
            </w:pPr>
            <w:r>
              <w:rPr>
                <w:rFonts w:ascii="Arial" w:cs="Arial" w:eastAsia="Arial" w:hAnsi="Arial"/>
                <w:sz w:val="12"/>
                <w:szCs w:val="12"/>
                <w:color w:val="auto"/>
              </w:rPr>
              <w:t>332,616</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Unbilled revenue</w:t>
            </w:r>
          </w:p>
        </w:tc>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(61,109)</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(192,176)</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Unearned revenue</w:t>
            </w:r>
          </w:p>
        </w:tc>
        <w:tc>
          <w:tcPr>
            <w:tcW w:w="3100" w:type="dxa"/>
            <w:vAlign w:val="bottom"/>
          </w:tcPr>
          <w:p>
            <w:pPr>
              <w:spacing w:after="0"/>
              <w:rPr>
                <w:sz w:val="14"/>
                <w:szCs w:val="14"/>
                <w:color w:val="auto"/>
              </w:rPr>
            </w:pPr>
          </w:p>
        </w:tc>
        <w:tc>
          <w:tcPr>
            <w:tcW w:w="1600" w:type="dxa"/>
            <w:vAlign w:val="bottom"/>
          </w:tcPr>
          <w:p>
            <w:pPr>
              <w:jc w:val="right"/>
              <w:ind w:right="338"/>
              <w:spacing w:after="0"/>
              <w:rPr>
                <w:sz w:val="20"/>
                <w:szCs w:val="20"/>
                <w:color w:val="auto"/>
              </w:rPr>
            </w:pPr>
            <w:r>
              <w:rPr>
                <w:rFonts w:ascii="Arial" w:cs="Arial" w:eastAsia="Arial" w:hAnsi="Arial"/>
                <w:sz w:val="12"/>
                <w:szCs w:val="12"/>
                <w:b w:val="1"/>
                <w:bCs w:val="1"/>
                <w:color w:val="auto"/>
              </w:rPr>
              <w:t>68,516</w:t>
            </w:r>
          </w:p>
        </w:tc>
        <w:tc>
          <w:tcPr>
            <w:tcW w:w="1140" w:type="dxa"/>
            <w:vAlign w:val="bottom"/>
          </w:tcPr>
          <w:p>
            <w:pPr>
              <w:jc w:val="right"/>
              <w:spacing w:after="0"/>
              <w:rPr>
                <w:sz w:val="20"/>
                <w:szCs w:val="20"/>
                <w:color w:val="auto"/>
              </w:rPr>
            </w:pPr>
            <w:r>
              <w:rPr>
                <w:rFonts w:ascii="Arial" w:cs="Arial" w:eastAsia="Arial" w:hAnsi="Arial"/>
                <w:sz w:val="12"/>
                <w:szCs w:val="12"/>
                <w:color w:val="auto"/>
              </w:rPr>
              <w:t>(96,787)</w:t>
            </w:r>
          </w:p>
        </w:tc>
      </w:tr>
      <w:tr>
        <w:trPr>
          <w:trHeight w:val="170"/>
        </w:trPr>
        <w:tc>
          <w:tcPr>
            <w:tcW w:w="5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Other net assets</w:t>
            </w:r>
          </w:p>
        </w:tc>
        <w:tc>
          <w:tcPr>
            <w:tcW w:w="31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59,012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(47,261)</w:t>
            </w:r>
          </w:p>
        </w:tc>
      </w:tr>
      <w:tr>
        <w:trPr>
          <w:trHeight w:val="160"/>
        </w:trPr>
        <w:tc>
          <w:tcPr>
            <w:tcW w:w="5420" w:type="dxa"/>
            <w:vAlign w:val="bottom"/>
          </w:tcPr>
          <w:p>
            <w:pPr>
              <w:ind w:left="20"/>
              <w:spacing w:after="0"/>
              <w:rPr>
                <w:sz w:val="20"/>
                <w:szCs w:val="20"/>
                <w:color w:val="auto"/>
              </w:rPr>
            </w:pPr>
            <w:r>
              <w:rPr>
                <w:rFonts w:ascii="Arial" w:cs="Arial" w:eastAsia="Arial" w:hAnsi="Arial"/>
                <w:sz w:val="12"/>
                <w:szCs w:val="12"/>
                <w:b w:val="1"/>
                <w:bCs w:val="1"/>
                <w:color w:val="auto"/>
              </w:rPr>
              <w:t>Cash provided by operations</w:t>
            </w:r>
          </w:p>
        </w:tc>
        <w:tc>
          <w:tcPr>
            <w:tcW w:w="3100" w:type="dxa"/>
            <w:vAlign w:val="bottom"/>
          </w:tcPr>
          <w:p>
            <w:pPr>
              <w:spacing w:after="0"/>
              <w:rPr>
                <w:sz w:val="13"/>
                <w:szCs w:val="13"/>
                <w:color w:val="auto"/>
              </w:rPr>
            </w:pPr>
          </w:p>
        </w:tc>
        <w:tc>
          <w:tcPr>
            <w:tcW w:w="1600" w:type="dxa"/>
            <w:vAlign w:val="bottom"/>
          </w:tcPr>
          <w:p>
            <w:pPr>
              <w:jc w:val="right"/>
              <w:ind w:right="338"/>
              <w:spacing w:after="0"/>
              <w:rPr>
                <w:sz w:val="20"/>
                <w:szCs w:val="20"/>
                <w:color w:val="auto"/>
              </w:rPr>
            </w:pPr>
            <w:r>
              <w:rPr>
                <w:rFonts w:ascii="Arial" w:cs="Arial" w:eastAsia="Arial" w:hAnsi="Arial"/>
                <w:sz w:val="12"/>
                <w:szCs w:val="12"/>
                <w:b w:val="1"/>
                <w:bCs w:val="1"/>
                <w:color w:val="auto"/>
              </w:rPr>
              <w:t>1,435,768</w:t>
            </w:r>
          </w:p>
        </w:tc>
        <w:tc>
          <w:tcPr>
            <w:tcW w:w="1140" w:type="dxa"/>
            <w:vAlign w:val="bottom"/>
          </w:tcPr>
          <w:p>
            <w:pPr>
              <w:jc w:val="right"/>
              <w:spacing w:after="0"/>
              <w:rPr>
                <w:sz w:val="20"/>
                <w:szCs w:val="20"/>
                <w:color w:val="auto"/>
              </w:rPr>
            </w:pPr>
            <w:r>
              <w:rPr>
                <w:rFonts w:ascii="Arial" w:cs="Arial" w:eastAsia="Arial" w:hAnsi="Arial"/>
                <w:sz w:val="12"/>
                <w:szCs w:val="12"/>
                <w:color w:val="auto"/>
              </w:rPr>
              <w:t>1,663,113</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taxes paid</w:t>
            </w:r>
          </w:p>
        </w:tc>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(165,787)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(140,718)</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Interest received</w:t>
            </w:r>
          </w:p>
        </w:tc>
        <w:tc>
          <w:tcPr>
            <w:tcW w:w="3100" w:type="dxa"/>
            <w:vAlign w:val="bottom"/>
          </w:tcPr>
          <w:p>
            <w:pPr>
              <w:jc w:val="center"/>
              <w:ind w:left="1878"/>
              <w:spacing w:after="0"/>
              <w:rPr>
                <w:sz w:val="20"/>
                <w:szCs w:val="20"/>
                <w:color w:val="auto"/>
              </w:rPr>
            </w:pPr>
            <w:r>
              <w:rPr>
                <w:rFonts w:ascii="Arial" w:cs="Arial" w:eastAsia="Arial" w:hAnsi="Arial"/>
                <w:sz w:val="12"/>
                <w:szCs w:val="12"/>
                <w:i w:val="1"/>
                <w:iCs w:val="1"/>
                <w:color w:val="auto"/>
              </w:rPr>
              <w:t>4</w:t>
            </w:r>
          </w:p>
        </w:tc>
        <w:tc>
          <w:tcPr>
            <w:tcW w:w="1600" w:type="dxa"/>
            <w:vAlign w:val="bottom"/>
          </w:tcPr>
          <w:p>
            <w:pPr>
              <w:jc w:val="right"/>
              <w:ind w:right="338"/>
              <w:spacing w:after="0"/>
              <w:rPr>
                <w:sz w:val="20"/>
                <w:szCs w:val="20"/>
                <w:color w:val="auto"/>
              </w:rPr>
            </w:pPr>
            <w:r>
              <w:rPr>
                <w:rFonts w:ascii="Arial" w:cs="Arial" w:eastAsia="Arial" w:hAnsi="Arial"/>
                <w:sz w:val="12"/>
                <w:szCs w:val="12"/>
                <w:b w:val="1"/>
                <w:bCs w:val="1"/>
                <w:color w:val="auto"/>
              </w:rPr>
              <w:t>7,109</w:t>
            </w:r>
          </w:p>
        </w:tc>
        <w:tc>
          <w:tcPr>
            <w:tcW w:w="1140" w:type="dxa"/>
            <w:vAlign w:val="bottom"/>
          </w:tcPr>
          <w:p>
            <w:pPr>
              <w:jc w:val="right"/>
              <w:spacing w:after="0"/>
              <w:rPr>
                <w:sz w:val="20"/>
                <w:szCs w:val="20"/>
                <w:color w:val="auto"/>
              </w:rPr>
            </w:pPr>
            <w:r>
              <w:rPr>
                <w:rFonts w:ascii="Arial" w:cs="Arial" w:eastAsia="Arial" w:hAnsi="Arial"/>
                <w:sz w:val="12"/>
                <w:szCs w:val="12"/>
                <w:color w:val="auto"/>
              </w:rPr>
              <w:t>8,609</w:t>
            </w:r>
          </w:p>
        </w:tc>
      </w:tr>
      <w:tr>
        <w:trPr>
          <w:trHeight w:val="170"/>
        </w:trPr>
        <w:tc>
          <w:tcPr>
            <w:tcW w:w="5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Interest and similar cost paid</w:t>
            </w:r>
          </w:p>
        </w:tc>
        <w:tc>
          <w:tcPr>
            <w:tcW w:w="31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(198,896)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(196,622)</w:t>
            </w:r>
          </w:p>
        </w:tc>
      </w:tr>
      <w:tr>
        <w:trPr>
          <w:trHeight w:val="16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cash inflow from operating activities</w:t>
            </w:r>
          </w:p>
        </w:tc>
        <w:tc>
          <w:tcPr>
            <w:tcW w:w="3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1,078,194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1,334,382</w:t>
            </w:r>
          </w:p>
        </w:tc>
      </w:tr>
      <w:tr>
        <w:trPr>
          <w:trHeight w:val="16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3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Purchase of property, plant and equipment</w:t>
            </w:r>
          </w:p>
        </w:tc>
        <w:tc>
          <w:tcPr>
            <w:tcW w:w="3100" w:type="dxa"/>
            <w:vAlign w:val="bottom"/>
          </w:tcPr>
          <w:p>
            <w:pPr>
              <w:jc w:val="center"/>
              <w:ind w:left="1898"/>
              <w:spacing w:after="0"/>
              <w:rPr>
                <w:sz w:val="20"/>
                <w:szCs w:val="20"/>
                <w:color w:val="auto"/>
              </w:rPr>
            </w:pPr>
            <w:r>
              <w:rPr>
                <w:rFonts w:ascii="Arial" w:cs="Arial" w:eastAsia="Arial" w:hAnsi="Arial"/>
                <w:sz w:val="12"/>
                <w:szCs w:val="12"/>
                <w:i w:val="1"/>
                <w:iCs w:val="1"/>
                <w:color w:val="auto"/>
              </w:rPr>
              <w:t>12</w:t>
            </w:r>
          </w:p>
        </w:tc>
        <w:tc>
          <w:tcPr>
            <w:tcW w:w="1600" w:type="dxa"/>
            <w:vAlign w:val="bottom"/>
          </w:tcPr>
          <w:p>
            <w:pPr>
              <w:jc w:val="right"/>
              <w:ind w:right="318"/>
              <w:spacing w:after="0"/>
              <w:rPr>
                <w:sz w:val="20"/>
                <w:szCs w:val="20"/>
                <w:color w:val="auto"/>
              </w:rPr>
            </w:pPr>
            <w:r>
              <w:rPr>
                <w:rFonts w:ascii="Arial" w:cs="Arial" w:eastAsia="Arial" w:hAnsi="Arial"/>
                <w:sz w:val="12"/>
                <w:szCs w:val="12"/>
                <w:b w:val="1"/>
                <w:bCs w:val="1"/>
                <w:color w:val="auto"/>
              </w:rPr>
              <w:t>(69,787)</w:t>
            </w:r>
          </w:p>
        </w:tc>
        <w:tc>
          <w:tcPr>
            <w:tcW w:w="1140" w:type="dxa"/>
            <w:vAlign w:val="bottom"/>
          </w:tcPr>
          <w:p>
            <w:pPr>
              <w:jc w:val="right"/>
              <w:spacing w:after="0"/>
              <w:rPr>
                <w:sz w:val="20"/>
                <w:szCs w:val="20"/>
                <w:color w:val="auto"/>
              </w:rPr>
            </w:pPr>
            <w:r>
              <w:rPr>
                <w:rFonts w:ascii="Arial" w:cs="Arial" w:eastAsia="Arial" w:hAnsi="Arial"/>
                <w:sz w:val="12"/>
                <w:szCs w:val="12"/>
                <w:color w:val="auto"/>
              </w:rPr>
              <w:t>(56,804)</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 of intangible assets</w:t>
            </w:r>
          </w:p>
        </w:tc>
        <w:tc>
          <w:tcPr>
            <w:tcW w:w="3100" w:type="dxa"/>
            <w:vAlign w:val="bottom"/>
            <w:shd w:val="clear" w:color="auto" w:fill="CCEEFF"/>
          </w:tcPr>
          <w:p>
            <w:pPr>
              <w:jc w:val="center"/>
              <w:ind w:left="1898"/>
              <w:spacing w:after="0"/>
              <w:rPr>
                <w:sz w:val="20"/>
                <w:szCs w:val="20"/>
                <w:color w:val="auto"/>
              </w:rPr>
            </w:pPr>
            <w:r>
              <w:rPr>
                <w:rFonts w:ascii="Arial" w:cs="Arial" w:eastAsia="Arial" w:hAnsi="Arial"/>
                <w:sz w:val="12"/>
                <w:szCs w:val="12"/>
                <w:i w:val="1"/>
                <w:iCs w:val="1"/>
                <w:color w:val="auto"/>
              </w:rPr>
              <w:t>13</w:t>
            </w:r>
          </w:p>
        </w:tc>
        <w:tc>
          <w:tcPr>
            <w:tcW w:w="16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(104,427)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(111,256)</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Purchase of subsidiary undertakings (net of cash acquired)</w:t>
            </w:r>
          </w:p>
        </w:tc>
        <w:tc>
          <w:tcPr>
            <w:tcW w:w="3100" w:type="dxa"/>
            <w:vAlign w:val="bottom"/>
          </w:tcPr>
          <w:p>
            <w:pPr>
              <w:jc w:val="center"/>
              <w:ind w:left="1898"/>
              <w:spacing w:after="0"/>
              <w:rPr>
                <w:sz w:val="20"/>
                <w:szCs w:val="20"/>
                <w:color w:val="auto"/>
              </w:rPr>
            </w:pPr>
            <w:r>
              <w:rPr>
                <w:rFonts w:ascii="Arial" w:cs="Arial" w:eastAsia="Arial" w:hAnsi="Arial"/>
                <w:sz w:val="12"/>
                <w:szCs w:val="12"/>
                <w:i w:val="1"/>
                <w:iCs w:val="1"/>
                <w:color w:val="auto"/>
              </w:rPr>
              <w:t>14</w:t>
            </w:r>
          </w:p>
        </w:tc>
        <w:tc>
          <w:tcPr>
            <w:tcW w:w="1600" w:type="dxa"/>
            <w:vAlign w:val="bottom"/>
          </w:tcPr>
          <w:p>
            <w:pPr>
              <w:jc w:val="right"/>
              <w:ind w:right="318"/>
              <w:spacing w:after="0"/>
              <w:rPr>
                <w:sz w:val="20"/>
                <w:szCs w:val="20"/>
                <w:color w:val="auto"/>
              </w:rPr>
            </w:pPr>
            <w:r>
              <w:rPr>
                <w:rFonts w:ascii="Arial" w:cs="Arial" w:eastAsia="Arial" w:hAnsi="Arial"/>
                <w:sz w:val="12"/>
                <w:szCs w:val="12"/>
                <w:b w:val="1"/>
                <w:bCs w:val="1"/>
                <w:color w:val="auto"/>
              </w:rPr>
              <w:t>(2,537)</w:t>
            </w:r>
          </w:p>
        </w:tc>
        <w:tc>
          <w:tcPr>
            <w:tcW w:w="1140" w:type="dxa"/>
            <w:vAlign w:val="bottom"/>
          </w:tcPr>
          <w:p>
            <w:pPr>
              <w:jc w:val="right"/>
              <w:spacing w:after="0"/>
              <w:rPr>
                <w:sz w:val="20"/>
                <w:szCs w:val="20"/>
                <w:color w:val="auto"/>
              </w:rPr>
            </w:pPr>
            <w:r>
              <w:rPr>
                <w:rFonts w:ascii="Arial" w:cs="Arial" w:eastAsia="Arial" w:hAnsi="Arial"/>
                <w:sz w:val="12"/>
                <w:szCs w:val="12"/>
                <w:color w:val="auto"/>
              </w:rPr>
              <w:t>(84,159)</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sale of financial assets</w:t>
            </w:r>
          </w:p>
        </w:tc>
        <w:tc>
          <w:tcPr>
            <w:tcW w:w="3100" w:type="dxa"/>
            <w:vAlign w:val="bottom"/>
            <w:shd w:val="clear" w:color="auto" w:fill="CCEEFF"/>
          </w:tcPr>
          <w:p>
            <w:pPr>
              <w:jc w:val="center"/>
              <w:ind w:left="1898"/>
              <w:spacing w:after="0"/>
              <w:rPr>
                <w:sz w:val="20"/>
                <w:szCs w:val="20"/>
                <w:color w:val="auto"/>
              </w:rPr>
            </w:pPr>
            <w:r>
              <w:rPr>
                <w:rFonts w:ascii="Arial" w:cs="Arial" w:eastAsia="Arial" w:hAnsi="Arial"/>
                <w:sz w:val="12"/>
                <w:szCs w:val="12"/>
                <w:i w:val="1"/>
                <w:iCs w:val="1"/>
                <w:color w:val="auto"/>
              </w:rPr>
              <w:t>18</w:t>
            </w: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9,089</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2,690</w:t>
            </w:r>
          </w:p>
        </w:tc>
      </w:tr>
      <w:tr>
        <w:trPr>
          <w:trHeight w:val="170"/>
        </w:trPr>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Purchase of financial assets</w:t>
            </w:r>
          </w:p>
        </w:tc>
        <w:tc>
          <w:tcPr>
            <w:tcW w:w="3100" w:type="dxa"/>
            <w:vAlign w:val="bottom"/>
            <w:tcBorders>
              <w:bottom w:val="single" w:sz="8" w:color="auto"/>
            </w:tcBorders>
          </w:tcPr>
          <w:p>
            <w:pPr>
              <w:jc w:val="center"/>
              <w:ind w:left="1898"/>
              <w:spacing w:after="0"/>
              <w:rPr>
                <w:sz w:val="20"/>
                <w:szCs w:val="20"/>
                <w:color w:val="auto"/>
              </w:rPr>
            </w:pPr>
            <w:r>
              <w:rPr>
                <w:rFonts w:ascii="Arial" w:cs="Arial" w:eastAsia="Arial" w:hAnsi="Arial"/>
                <w:sz w:val="12"/>
                <w:szCs w:val="12"/>
                <w:i w:val="1"/>
                <w:iCs w:val="1"/>
                <w:color w:val="auto"/>
              </w:rPr>
              <w:t>18</w:t>
            </w:r>
          </w:p>
        </w:tc>
        <w:tc>
          <w:tcPr>
            <w:tcW w:w="16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(19,871)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(17,261)</w:t>
            </w:r>
          </w:p>
        </w:tc>
      </w:tr>
      <w:tr>
        <w:trPr>
          <w:trHeight w:val="16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31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(187,533)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(266,790)</w:t>
            </w:r>
          </w:p>
        </w:tc>
      </w:tr>
      <w:tr>
        <w:trPr>
          <w:trHeight w:val="160"/>
        </w:trPr>
        <w:tc>
          <w:tcPr>
            <w:tcW w:w="542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3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Debt issue costs</w:t>
            </w:r>
          </w:p>
        </w:tc>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(750)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(12,679)</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Drawdown of credit lines and loan facilities</w:t>
            </w:r>
          </w:p>
        </w:tc>
        <w:tc>
          <w:tcPr>
            <w:tcW w:w="3100" w:type="dxa"/>
            <w:vAlign w:val="bottom"/>
          </w:tcPr>
          <w:p>
            <w:pPr>
              <w:jc w:val="center"/>
              <w:ind w:left="1898"/>
              <w:spacing w:after="0"/>
              <w:rPr>
                <w:sz w:val="20"/>
                <w:szCs w:val="20"/>
                <w:color w:val="auto"/>
              </w:rPr>
            </w:pPr>
            <w:r>
              <w:rPr>
                <w:rFonts w:ascii="Arial" w:cs="Arial" w:eastAsia="Arial" w:hAnsi="Arial"/>
                <w:sz w:val="12"/>
                <w:szCs w:val="12"/>
                <w:i w:val="1"/>
                <w:iCs w:val="1"/>
                <w:color w:val="auto"/>
              </w:rPr>
              <w:t>21</w:t>
            </w:r>
          </w:p>
        </w:tc>
        <w:tc>
          <w:tcPr>
            <w:tcW w:w="1600" w:type="dxa"/>
            <w:vAlign w:val="bottom"/>
          </w:tcPr>
          <w:p>
            <w:pPr>
              <w:jc w:val="right"/>
              <w:ind w:right="338"/>
              <w:spacing w:after="0"/>
              <w:rPr>
                <w:sz w:val="20"/>
                <w:szCs w:val="20"/>
                <w:color w:val="auto"/>
              </w:rPr>
            </w:pPr>
            <w:r>
              <w:rPr>
                <w:rFonts w:ascii="Arial" w:cs="Arial" w:eastAsia="Arial" w:hAnsi="Arial"/>
                <w:sz w:val="12"/>
                <w:szCs w:val="12"/>
                <w:b w:val="1"/>
                <w:bCs w:val="1"/>
                <w:color w:val="auto"/>
              </w:rPr>
              <w:t>50,000</w:t>
            </w:r>
          </w:p>
        </w:tc>
        <w:tc>
          <w:tcPr>
            <w:tcW w:w="1140" w:type="dxa"/>
            <w:vAlign w:val="bottom"/>
          </w:tcPr>
          <w:p>
            <w:pPr>
              <w:jc w:val="right"/>
              <w:spacing w:after="0"/>
              <w:rPr>
                <w:sz w:val="20"/>
                <w:szCs w:val="20"/>
                <w:color w:val="auto"/>
              </w:rPr>
            </w:pPr>
            <w:r>
              <w:rPr>
                <w:rFonts w:ascii="Arial" w:cs="Arial" w:eastAsia="Arial" w:hAnsi="Arial"/>
                <w:sz w:val="12"/>
                <w:szCs w:val="12"/>
                <w:color w:val="auto"/>
              </w:rPr>
              <w:t>2,317,480</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Repayment of credit lines and loan facilities</w:t>
            </w:r>
          </w:p>
        </w:tc>
        <w:tc>
          <w:tcPr>
            <w:tcW w:w="3100" w:type="dxa"/>
            <w:vAlign w:val="bottom"/>
            <w:shd w:val="clear" w:color="auto" w:fill="CCEEFF"/>
          </w:tcPr>
          <w:p>
            <w:pPr>
              <w:jc w:val="center"/>
              <w:ind w:left="1898"/>
              <w:spacing w:after="0"/>
              <w:rPr>
                <w:sz w:val="20"/>
                <w:szCs w:val="20"/>
                <w:color w:val="auto"/>
              </w:rPr>
            </w:pPr>
            <w:r>
              <w:rPr>
                <w:rFonts w:ascii="Arial" w:cs="Arial" w:eastAsia="Arial" w:hAnsi="Arial"/>
                <w:sz w:val="12"/>
                <w:szCs w:val="12"/>
                <w:i w:val="1"/>
                <w:iCs w:val="1"/>
                <w:color w:val="auto"/>
              </w:rPr>
              <w:t>21</w:t>
            </w:r>
          </w:p>
        </w:tc>
        <w:tc>
          <w:tcPr>
            <w:tcW w:w="16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(79,762)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(2,677,763)</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Repayments of obligations under lease liabilities</w:t>
            </w:r>
          </w:p>
        </w:tc>
        <w:tc>
          <w:tcPr>
            <w:tcW w:w="3100" w:type="dxa"/>
            <w:vAlign w:val="bottom"/>
          </w:tcPr>
          <w:p>
            <w:pPr>
              <w:spacing w:after="0"/>
              <w:rPr>
                <w:sz w:val="14"/>
                <w:szCs w:val="14"/>
                <w:color w:val="auto"/>
              </w:rPr>
            </w:pPr>
          </w:p>
        </w:tc>
        <w:tc>
          <w:tcPr>
            <w:tcW w:w="1600" w:type="dxa"/>
            <w:vAlign w:val="bottom"/>
          </w:tcPr>
          <w:p>
            <w:pPr>
              <w:jc w:val="right"/>
              <w:ind w:right="318"/>
              <w:spacing w:after="0"/>
              <w:rPr>
                <w:sz w:val="20"/>
                <w:szCs w:val="20"/>
                <w:color w:val="auto"/>
              </w:rPr>
            </w:pPr>
            <w:r>
              <w:rPr>
                <w:rFonts w:ascii="Arial" w:cs="Arial" w:eastAsia="Arial" w:hAnsi="Arial"/>
                <w:sz w:val="12"/>
                <w:szCs w:val="12"/>
                <w:b w:val="1"/>
                <w:bCs w:val="1"/>
                <w:color w:val="auto"/>
              </w:rPr>
              <w:t>(41,989)</w:t>
            </w:r>
          </w:p>
        </w:tc>
        <w:tc>
          <w:tcPr>
            <w:tcW w:w="1140" w:type="dxa"/>
            <w:vAlign w:val="bottom"/>
          </w:tcPr>
          <w:p>
            <w:pPr>
              <w:jc w:val="right"/>
              <w:spacing w:after="0"/>
              <w:rPr>
                <w:sz w:val="20"/>
                <w:szCs w:val="20"/>
                <w:color w:val="auto"/>
              </w:rPr>
            </w:pPr>
            <w:r>
              <w:rPr>
                <w:rFonts w:ascii="Arial" w:cs="Arial" w:eastAsia="Arial" w:hAnsi="Arial"/>
                <w:sz w:val="12"/>
                <w:szCs w:val="12"/>
                <w:color w:val="auto"/>
              </w:rPr>
              <w:t>(47,730)</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exercise of share options, RSUs and PSUs</w:t>
            </w:r>
          </w:p>
        </w:tc>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9,724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36,187</w:t>
            </w:r>
          </w:p>
        </w:tc>
      </w:tr>
      <w:tr>
        <w:trPr>
          <w:trHeight w:val="170"/>
        </w:trPr>
        <w:tc>
          <w:tcPr>
            <w:tcW w:w="5420" w:type="dxa"/>
            <w:vAlign w:val="bottom"/>
          </w:tcPr>
          <w:p>
            <w:pPr>
              <w:ind w:left="100"/>
              <w:spacing w:after="0"/>
              <w:rPr>
                <w:sz w:val="20"/>
                <w:szCs w:val="20"/>
                <w:color w:val="auto"/>
              </w:rPr>
            </w:pPr>
            <w:r>
              <w:rPr>
                <w:rFonts w:ascii="Arial" w:cs="Arial" w:eastAsia="Arial" w:hAnsi="Arial"/>
                <w:sz w:val="12"/>
                <w:szCs w:val="12"/>
                <w:color w:val="auto"/>
              </w:rPr>
              <w:t>Share issue costs</w:t>
            </w:r>
          </w:p>
        </w:tc>
        <w:tc>
          <w:tcPr>
            <w:tcW w:w="3100" w:type="dxa"/>
            <w:vAlign w:val="bottom"/>
          </w:tcPr>
          <w:p>
            <w:pPr>
              <w:spacing w:after="0"/>
              <w:rPr>
                <w:sz w:val="14"/>
                <w:szCs w:val="14"/>
                <w:color w:val="auto"/>
              </w:rPr>
            </w:pPr>
          </w:p>
        </w:tc>
        <w:tc>
          <w:tcPr>
            <w:tcW w:w="1600" w:type="dxa"/>
            <w:vAlign w:val="bottom"/>
          </w:tcPr>
          <w:p>
            <w:pPr>
              <w:jc w:val="right"/>
              <w:ind w:right="318"/>
              <w:spacing w:after="0"/>
              <w:rPr>
                <w:sz w:val="20"/>
                <w:szCs w:val="20"/>
                <w:color w:val="auto"/>
              </w:rPr>
            </w:pPr>
            <w:r>
              <w:rPr>
                <w:rFonts w:ascii="Arial" w:cs="Arial" w:eastAsia="Arial" w:hAnsi="Arial"/>
                <w:sz w:val="12"/>
                <w:szCs w:val="12"/>
                <w:b w:val="1"/>
                <w:bCs w:val="1"/>
                <w:color w:val="auto"/>
              </w:rPr>
              <w:t>(19)</w:t>
            </w:r>
          </w:p>
        </w:tc>
        <w:tc>
          <w:tcPr>
            <w:tcW w:w="114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70"/>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Repurchase of ordinary shares</w:t>
            </w:r>
          </w:p>
        </w:tc>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(750,000)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(499,998)</w:t>
            </w:r>
          </w:p>
        </w:tc>
      </w:tr>
      <w:tr>
        <w:trPr>
          <w:trHeight w:val="170"/>
        </w:trPr>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Share repurchase costs</w:t>
            </w:r>
          </w:p>
        </w:tc>
        <w:tc>
          <w:tcPr>
            <w:tcW w:w="3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(450)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w:t>
            </w:r>
          </w:p>
        </w:tc>
      </w:tr>
      <w:tr>
        <w:trPr>
          <w:trHeight w:val="16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financing activities</w:t>
            </w:r>
          </w:p>
        </w:tc>
        <w:tc>
          <w:tcPr>
            <w:tcW w:w="31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(813,246)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(884,913)</w:t>
            </w:r>
          </w:p>
        </w:tc>
      </w:tr>
      <w:tr>
        <w:trPr>
          <w:trHeight w:val="16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increase in cash and cash equivalents</w:t>
            </w:r>
          </w:p>
        </w:tc>
        <w:tc>
          <w:tcPr>
            <w:tcW w:w="3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77,415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182,679</w:t>
            </w:r>
          </w:p>
        </w:tc>
      </w:tr>
      <w:tr>
        <w:trPr>
          <w:trHeight w:val="16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movements on cash</w:t>
            </w:r>
          </w:p>
        </w:tc>
        <w:tc>
          <w:tcPr>
            <w:tcW w:w="3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338"/>
              <w:spacing w:after="0"/>
              <w:rPr>
                <w:sz w:val="20"/>
                <w:szCs w:val="20"/>
                <w:color w:val="auto"/>
              </w:rPr>
            </w:pPr>
            <w:r>
              <w:rPr>
                <w:rFonts w:ascii="Arial" w:cs="Arial" w:eastAsia="Arial" w:hAnsi="Arial"/>
                <w:sz w:val="12"/>
                <w:szCs w:val="12"/>
                <w:b w:val="1"/>
                <w:bCs w:val="1"/>
                <w:color w:val="auto"/>
              </w:rPr>
              <w:t>31,095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(21,996)</w:t>
            </w:r>
          </w:p>
        </w:tc>
      </w:tr>
      <w:tr>
        <w:trPr>
          <w:trHeight w:val="17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3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538,785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378,102</w:t>
            </w:r>
          </w:p>
        </w:tc>
      </w:tr>
      <w:tr>
        <w:trPr>
          <w:trHeight w:val="162"/>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31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647,295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538,785</w:t>
            </w:r>
          </w:p>
        </w:tc>
      </w:tr>
      <w:tr>
        <w:trPr>
          <w:trHeight w:val="592"/>
        </w:trPr>
        <w:tc>
          <w:tcPr>
            <w:tcW w:w="5420" w:type="dxa"/>
            <w:vAlign w:val="bottom"/>
          </w:tcPr>
          <w:p>
            <w:pPr>
              <w:spacing w:after="0"/>
              <w:rPr>
                <w:sz w:val="24"/>
                <w:szCs w:val="24"/>
                <w:color w:val="auto"/>
              </w:rPr>
            </w:pPr>
          </w:p>
        </w:tc>
        <w:tc>
          <w:tcPr>
            <w:tcW w:w="3100" w:type="dxa"/>
            <w:vAlign w:val="bottom"/>
          </w:tcPr>
          <w:p>
            <w:pPr>
              <w:jc w:val="right"/>
              <w:ind w:right="2498"/>
              <w:spacing w:after="0"/>
              <w:rPr>
                <w:sz w:val="20"/>
                <w:szCs w:val="20"/>
                <w:color w:val="auto"/>
              </w:rPr>
            </w:pPr>
            <w:r>
              <w:rPr>
                <w:rFonts w:ascii="Arial" w:cs="Arial" w:eastAsia="Arial" w:hAnsi="Arial"/>
                <w:sz w:val="13"/>
                <w:szCs w:val="13"/>
                <w:color w:val="auto"/>
              </w:rPr>
              <w:t>45</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accounting policies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public limited company (“ICON plc” and the “Company”) is a public company limited by shares, incorporated, domiciled and registered in the Republic of Ireland. The Company’s registered office is South County Business Park, Leopardstown, Dublin 18, D18 X5R3, Ireland. The Company’s registered number is 145835.</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2025, and with those parts of the Companies Act applicable to companies reporting under IFRS. IFRS adopted by the EU differs in certain respects from IFRS issued by the IASB. Reference to IFRS hereafter refers to IFRS adopted by the EU.</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Financial Statements are prepared under the historical cost convention, in accordance with Financial Reporting Standard 101 Reduced Disclosure Framework (“FRS 101”) and the Companies Act 2014. The Company meets the definition of a qualifying entity under Financial Reporting Standard (FRS) 100 issued by the Financial Reporting Council (FRC). Accordingly, the Company prepares its Financial Statements in accordance with FRS 101 Reduced Disclosure Framework as issued by the FRC.</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preparing the Company Financial Statements, the Company applies the recognition, measurement and disclosure requirements of IFRS as adopted by the EU, but makes amendments where necessary in order to comply with the Companies Act 2014 and has set out below where advantage of the FRS 101 disclosure exemptions has been taken. The Company has taken advantage of the following disclosure exemptions under FRS 101:</w:t>
      </w:r>
    </w:p>
    <w:p>
      <w:pPr>
        <w:spacing w:after="0" w:line="170" w:lineRule="exact"/>
        <w:rPr>
          <w:sz w:val="20"/>
          <w:szCs w:val="20"/>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cash flow statement and related notes;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Comparative period reconciliation for share capital;</w:t>
      </w: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Disclosures in respect of transactions with wholly owned subsidiaries;</w:t>
      </w:r>
    </w:p>
    <w:p>
      <w:pPr>
        <w:ind w:left="500" w:hanging="240"/>
        <w:spacing w:after="0" w:line="221" w:lineRule="auto"/>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Disclosures in respect of capital management;</w:t>
      </w: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effects of new but not yet effective IFRS; and</w:t>
      </w: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Disclosures in respect of the compensation of key management personnel.</w:t>
      </w:r>
    </w:p>
    <w:p>
      <w:pPr>
        <w:spacing w:after="0" w:line="17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As the consolidated financial statements of the Group are prepared in accordance with IFRS as adopted by the EU and include the equivalent disclosures, the Company has also taken the exemptions under FRS 101 available in respect of the following disclosures:</w:t>
      </w:r>
    </w:p>
    <w:p>
      <w:pPr>
        <w:spacing w:after="0" w:line="157" w:lineRule="exact"/>
        <w:rPr>
          <w:sz w:val="20"/>
          <w:szCs w:val="20"/>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Certain disclosures required by IFRS 2 Share-Based Payments;</w:t>
      </w: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Certain disclosures required by IFRS 13 Fair Value Measurement; and</w:t>
      </w: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disclosures required by IFRS 7 Financial Instruments: Disclosures.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accordance with Section 304(2) of the Companies Act 2014, the Company is availing of the exemption from presenting its individual income statement to the Annual General Meeting and from filing it with the Companies Registration Office. The Company’s profit for the financial year is $703.9 million (2024: $425.3 million).</w:t>
      </w:r>
    </w:p>
    <w:p>
      <w:pPr>
        <w:spacing w:after="0"/>
        <w:rPr>
          <w:sz w:val="20"/>
          <w:szCs w:val="20"/>
          <w:color w:val="auto"/>
        </w:rPr>
      </w:pPr>
      <w:r>
        <w:rPr>
          <w:rFonts w:ascii="Arial" w:cs="Arial" w:eastAsia="Arial" w:hAnsi="Arial"/>
          <w:sz w:val="13"/>
          <w:szCs w:val="13"/>
          <w:b w:val="1"/>
          <w:bCs w:val="1"/>
          <w:color w:val="auto"/>
        </w:rPr>
        <w:t>Basis of preparation</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and Company Financial Statements are presented in United States dollars (“U.S. dollars”) and all values are rounded to the nearest thousand ($‘000), except where otherwise indicated. They are prepared on a going concern and historical cost basis, except for the measurement at fair value on date of grant of share based payments, net pension plan assets, derivative financial instruments and certain financial asset investments. Other than the amended standards adopted by the Group, accounting policies are applied consistently with the prior year.</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principal accounting policies adopted in the Company Financial Statements are the same as those set out for the Group financial statements except as noted below. The accounting policies for the Group and Company Financial Statements have, unless otherwise stated, been applied consistently to all periods presented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80"/>
          </w:cols>
          <w:pgMar w:left="300" w:top="698"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Restatement due to prior year adjustments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October 2025, the Audit Committee initiated an investigation into certain accounting practices and controls, following concerns reported to the Audit Committee through Group management. The Audit Committee promptly engaged outside legal counsel, who were supported by forensic and technical accounting firms, to conduct the investigation (the “Investigation”) and notified the Group’s independent auditors. The Group has also self-reported the matter to the SEC and other relevant agencies. The Investigation primarily focused on revenue recognition practices, and, in connection with the Investigation, the Group has determined that improper adjustments were made to the clinical trial services revenue of the Group in 2023 and 2024. The Group also identified errors in determining the estimated cost to complete, the assessment of realizable value, and certain manual adjustments in respect of clinical trial services revenue contracts during 2023 and 2024.</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preparing these financial statements, management have restated the comparative financial information as of and for the year ended 31 December 2024 to correct errors (the “Restatement Items”) that were concluded to be material. The Restatement Items reflect adjustments to correct errors in revenue recognition for the year ended 31 December 2024 arising from improper adjustments to revenue on long-term clinical trial contracts, and inaccuracies in certain inputs to revenue recognition for long-term clinical trial contracts among other adjustments described below. In addition to the Restatement Items, the restatement also includes adjustments to correct certain other immaterial errors, (the “Other Adjustments”). The Group has also presented a restated opening balance sheet as at 1 January 2024, which has been restated to correct the cumulative effect of these matters for periods prior to 2024.</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190" w:lineRule="exact"/>
        <w:rPr>
          <w:sz w:val="20"/>
          <w:szCs w:val="20"/>
          <w:color w:val="auto"/>
        </w:rPr>
      </w:pPr>
    </w:p>
    <w:p>
      <w:pPr>
        <w:jc w:val="both"/>
        <w:ind w:left="520" w:hanging="260"/>
        <w:spacing w:after="0" w:line="247" w:lineRule="auto"/>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Investigation identified improper adjustments recorded to recognise revenue outside of normal system processes for long-term clinical services revenue contracts. In addition, errors in determining the estimated cost to complete, the assessment of realisable value and certain manual adjustments in respect of certain long-term clinical services revenue contracts were identified. These errors amount to a $73.6 million decrease in revenue for the year ended 31 December 2024 and an adjustment to decrease retained earnings as at 1 January 2024 of $68.9 million.</w:t>
      </w:r>
    </w:p>
    <w:p>
      <w:pPr>
        <w:spacing w:after="0" w:line="159" w:lineRule="exact"/>
        <w:rPr>
          <w:rFonts w:ascii="Arial" w:cs="Arial" w:eastAsia="Arial" w:hAnsi="Arial"/>
          <w:sz w:val="13"/>
          <w:szCs w:val="13"/>
          <w:color w:val="auto"/>
        </w:rPr>
      </w:pPr>
    </w:p>
    <w:p>
      <w:pPr>
        <w:ind w:left="520" w:hanging="260"/>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 error related to rebates was identified for the year ended 31 December 2024. Correcting this error reduced revenue by $20.7 million with a corresponding reduction in direct costs.</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 error was identified in the recognition of revenue provisions in 2023. The release of these provisions resulted in an increase to retained earnings as at 1 January 2024 of $23.3 million.</w:t>
      </w:r>
    </w:p>
    <w:p>
      <w:pPr>
        <w:spacing w:after="0" w:line="190" w:lineRule="exact"/>
        <w:rPr>
          <w:rFonts w:ascii="Arial" w:cs="Arial" w:eastAsia="Arial" w:hAnsi="Arial"/>
          <w:sz w:val="13"/>
          <w:szCs w:val="13"/>
          <w:color w:val="auto"/>
        </w:rPr>
      </w:pPr>
    </w:p>
    <w:p>
      <w:pPr>
        <w:ind w:left="520" w:hanging="260"/>
        <w:spacing w:after="0" w:line="266" w:lineRule="auto"/>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 error was identified in the calculation of estimated revenue attributable to the impact of cost accruals on the measure of progress at period end, resulting in additional revenue of $1.6 million for the year ended 31 December 2024. A $12.0 million adjustment was also recorded to increase retained earnings as at 1 January 2024 with respect to this accrual.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correction of these errors resulted in a decrease in revenue of $92.7 million for the year ended 31 December 2024 and a decrease in retained earnings of $33.6 million as at 1 January 2024.</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Consolidated Statement of Financial Position</w:t>
      </w:r>
    </w:p>
    <w:p>
      <w:pPr>
        <w:spacing w:after="0" w:line="190" w:lineRule="exact"/>
        <w:rPr>
          <w:sz w:val="20"/>
          <w:szCs w:val="20"/>
          <w:color w:val="auto"/>
        </w:rPr>
      </w:pPr>
    </w:p>
    <w:p>
      <w:pPr>
        <w:ind w:left="520" w:hanging="260"/>
        <w:spacing w:after="0" w:line="266" w:lineRule="auto"/>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Errors were identified in unbilled revenue and unearned revenue whereby certain contract assets and liabilities with a legal right of offset were not identified. The correction of these errors resulted in a reduction of unbilled revenue and unearned revenue of $192.4 million as at 31 December 2024 and $100.8 million as at 1 January 2024.</w:t>
      </w:r>
    </w:p>
    <w:p>
      <w:pPr>
        <w:spacing w:after="0" w:line="156" w:lineRule="exact"/>
        <w:rPr>
          <w:rFonts w:ascii="Arial" w:cs="Arial" w:eastAsia="Arial" w:hAnsi="Arial"/>
          <w:sz w:val="13"/>
          <w:szCs w:val="13"/>
          <w:color w:val="auto"/>
        </w:rPr>
      </w:pPr>
    </w:p>
    <w:p>
      <w:pPr>
        <w:jc w:val="both"/>
        <w:ind w:left="520" w:hanging="260"/>
        <w:spacing w:after="0" w:line="244" w:lineRule="auto"/>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Errors were identified between unbilled revenue, unearned revenue and accounts receivable as at 31 December 2024. As at 31 December 2024 a $12.6 million understatement was identified in unbilled revenue, a $3.4 million understatement was identified in unearned revenue and a $9.2 million overstatement was identified in accounts receivable. As at 1 January 2024 a $25.9 million understatement was identified in unbilled revenue with a corresponding overstatement identified in accounts receivable.</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correction of the above errors in addition to the impact of the revenue restatement items resulted in a net decrease in unbilled revenue of $246.1 million and $98.4 million as at 31 December 2024 and 1 January 2024, respectively, a net decrease in accounts receivable of $9.2 million and $25.9 million as at 31 December 2024 and 1 January 2024, respectively and a net decrease in unearned revenue of $147.1 million and $88.0 million as at 31 December 2024 and 1 January 2024, respectively.</w:t>
      </w:r>
    </w:p>
    <w:p>
      <w:pPr>
        <w:spacing w:after="0" w:line="200" w:lineRule="exact"/>
        <w:rPr>
          <w:sz w:val="20"/>
          <w:szCs w:val="20"/>
          <w:color w:val="auto"/>
        </w:rPr>
      </w:pPr>
    </w:p>
    <w:p>
      <w:pPr>
        <w:spacing w:after="0" w:line="32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80"/>
          </w:cols>
          <w:pgMar w:left="300" w:top="698"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Restatement due to prior year adjustments </w:t>
      </w:r>
      <w:r>
        <w:rPr>
          <w:rFonts w:ascii="Arial" w:cs="Arial" w:eastAsia="Arial" w:hAnsi="Arial"/>
          <w:sz w:val="13"/>
          <w:szCs w:val="13"/>
          <w:b w:val="1"/>
          <w:bCs w:val="1"/>
          <w:i w:val="1"/>
          <w:i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Taxation</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As a result of the Restatement Items and the Other Adjustments discussed below, the Group’s income tax expense decreased by $13.1 million for the year ended 31 December 2024. Corresponding adjustments were recorded to increase the Group’s non-current income tax receivable, non-current deferred tax asset and current income tax payable as at 31 December 2024 by $11.4 million, $1.1 million and $1.7 million respectively, and to decrease non-current deferred liabilities by $1.3 million. Adjustments were recorded to decrease the Group’s non-current deferred tax asset and non-current deferred tax liability as at 1 January 2024 by $0.8 million and $0.8 million respectively and to increase current income tax payable by $1.1 million.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Adjustments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Restatement Items described above, the Group has corrected other adjustments. While these other adjustments are quantitatively and qualitatively immaterial, individually and in the aggregate, because we are correcting for the Restatement items, we have decided to correct these other adjustments as well.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In addition, other immaterial adjustments of a $5.4 million net increase were recorded to opening retained earnings. A tax charge of $1.1 million was also recorded to opening retained earnings.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net impact of all the Restatement items to opening retained earnings as at 1 January 2024 was a reduction of $29.3 million.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There were no restatements of prior year balances in the Company financial statements. Accordingly, the comparatives presented are unchanged from those previously reported.</w:t>
      </w:r>
    </w:p>
    <w:p>
      <w:pPr>
        <w:spacing w:after="0" w:line="37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80"/>
          </w:cols>
          <w:pgMar w:left="300" w:top="698"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Restatement due to prior year adjustments (continued)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impact of the restatements on the Consolidated Statement of Profit and Loss for the year ended 31 December 2024 is summarised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55180" cy="107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12" w:lineRule="exact"/>
        <w:rPr>
          <w:sz w:val="20"/>
          <w:szCs w:val="20"/>
          <w:color w:val="auto"/>
        </w:rPr>
      </w:pPr>
    </w:p>
    <w:p>
      <w:pPr>
        <w:ind w:left="6540"/>
        <w:spacing w:after="0"/>
        <w:rPr>
          <w:sz w:val="20"/>
          <w:szCs w:val="20"/>
          <w:color w:val="auto"/>
        </w:rPr>
      </w:pPr>
      <w:r>
        <w:rPr>
          <w:rFonts w:ascii="Arial" w:cs="Arial" w:eastAsia="Arial" w:hAnsi="Arial"/>
          <w:sz w:val="13"/>
          <w:szCs w:val="13"/>
          <w:b w:val="1"/>
          <w:bCs w:val="1"/>
          <w:color w:val="auto"/>
        </w:rPr>
        <w:t>31 December 2024</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As Reported</w:t>
            </w:r>
          </w:p>
        </w:tc>
        <w:tc>
          <w:tcPr>
            <w:tcW w:w="9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Adjustments</w:t>
            </w:r>
          </w:p>
        </w:tc>
        <w:tc>
          <w:tcPr>
            <w:tcW w:w="8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As Restated</w:t>
            </w:r>
          </w:p>
        </w:tc>
        <w:tc>
          <w:tcPr>
            <w:tcW w:w="800" w:type="dxa"/>
            <w:vAlign w:val="bottom"/>
            <w:tcBorders>
              <w:top w:val="single" w:sz="8" w:color="auto"/>
              <w:bottom w:val="single" w:sz="8" w:color="auto"/>
            </w:tcBorders>
          </w:tcPr>
          <w:p>
            <w:pPr>
              <w:spacing w:after="0"/>
              <w:rPr>
                <w:sz w:val="13"/>
                <w:szCs w:val="13"/>
                <w:color w:val="auto"/>
              </w:rPr>
            </w:pPr>
          </w:p>
        </w:tc>
      </w:tr>
      <w:tr>
        <w:trPr>
          <w:trHeight w:val="118"/>
        </w:trPr>
        <w:tc>
          <w:tcPr>
            <w:tcW w:w="238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Pre-</w:t>
            </w:r>
          </w:p>
        </w:tc>
        <w:tc>
          <w:tcPr>
            <w:tcW w:w="1000" w:type="dxa"/>
            <w:vAlign w:val="bottom"/>
            <w:shd w:val="clear" w:color="auto" w:fill="CCEEFF"/>
          </w:tcPr>
          <w:p>
            <w:pPr>
              <w:jc w:val="right"/>
              <w:ind w:right="76"/>
              <w:spacing w:after="0" w:line="118" w:lineRule="exact"/>
              <w:rPr>
                <w:sz w:val="20"/>
                <w:szCs w:val="20"/>
                <w:color w:val="auto"/>
              </w:rPr>
            </w:pPr>
            <w:r>
              <w:rPr>
                <w:rFonts w:ascii="Arial" w:cs="Arial" w:eastAsia="Arial" w:hAnsi="Arial"/>
                <w:sz w:val="13"/>
                <w:szCs w:val="13"/>
                <w:b w:val="1"/>
                <w:bCs w:val="1"/>
                <w:color w:val="auto"/>
              </w:rPr>
              <w:t>Exceptional</w:t>
            </w:r>
          </w:p>
        </w:tc>
        <w:tc>
          <w:tcPr>
            <w:tcW w:w="920" w:type="dxa"/>
            <w:vAlign w:val="bottom"/>
            <w:shd w:val="clear" w:color="auto" w:fill="CCEEFF"/>
          </w:tcPr>
          <w:p>
            <w:pPr>
              <w:jc w:val="right"/>
              <w:ind w:right="76"/>
              <w:spacing w:after="0" w:line="118" w:lineRule="exact"/>
              <w:rPr>
                <w:sz w:val="20"/>
                <w:szCs w:val="20"/>
                <w:color w:val="auto"/>
              </w:rPr>
            </w:pPr>
            <w:r>
              <w:rPr>
                <w:rFonts w:ascii="Arial" w:cs="Arial" w:eastAsia="Arial" w:hAnsi="Arial"/>
                <w:sz w:val="13"/>
                <w:szCs w:val="13"/>
                <w:b w:val="1"/>
                <w:bCs w:val="1"/>
                <w:color w:val="auto"/>
              </w:rPr>
              <w:t>Total</w:t>
            </w:r>
          </w:p>
        </w:tc>
        <w:tc>
          <w:tcPr>
            <w:tcW w:w="88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Pre-</w:t>
            </w:r>
          </w:p>
        </w:tc>
        <w:tc>
          <w:tcPr>
            <w:tcW w:w="1080" w:type="dxa"/>
            <w:vAlign w:val="bottom"/>
            <w:shd w:val="clear" w:color="auto" w:fill="CCEEFF"/>
          </w:tcPr>
          <w:p>
            <w:pPr>
              <w:jc w:val="right"/>
              <w:ind w:right="156"/>
              <w:spacing w:after="0" w:line="118" w:lineRule="exact"/>
              <w:rPr>
                <w:sz w:val="20"/>
                <w:szCs w:val="20"/>
                <w:color w:val="auto"/>
              </w:rPr>
            </w:pPr>
            <w:r>
              <w:rPr>
                <w:rFonts w:ascii="Arial" w:cs="Arial" w:eastAsia="Arial" w:hAnsi="Arial"/>
                <w:sz w:val="13"/>
                <w:szCs w:val="13"/>
                <w:b w:val="1"/>
                <w:bCs w:val="1"/>
                <w:color w:val="auto"/>
              </w:rPr>
              <w:t>Exceptional</w:t>
            </w:r>
          </w:p>
        </w:tc>
        <w:tc>
          <w:tcPr>
            <w:tcW w:w="840" w:type="dxa"/>
            <w:vAlign w:val="bottom"/>
            <w:shd w:val="clear" w:color="auto" w:fill="CCEEFF"/>
          </w:tcPr>
          <w:p>
            <w:pPr>
              <w:jc w:val="right"/>
              <w:ind w:right="76"/>
              <w:spacing w:after="0" w:line="118" w:lineRule="exact"/>
              <w:rPr>
                <w:sz w:val="20"/>
                <w:szCs w:val="20"/>
                <w:color w:val="auto"/>
              </w:rPr>
            </w:pPr>
            <w:r>
              <w:rPr>
                <w:rFonts w:ascii="Arial" w:cs="Arial" w:eastAsia="Arial" w:hAnsi="Arial"/>
                <w:sz w:val="13"/>
                <w:szCs w:val="13"/>
                <w:b w:val="1"/>
                <w:bCs w:val="1"/>
                <w:color w:val="auto"/>
              </w:rPr>
              <w:t>Total</w:t>
            </w:r>
          </w:p>
        </w:tc>
        <w:tc>
          <w:tcPr>
            <w:tcW w:w="88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Pre-</w:t>
            </w:r>
          </w:p>
        </w:tc>
        <w:tc>
          <w:tcPr>
            <w:tcW w:w="1000" w:type="dxa"/>
            <w:vAlign w:val="bottom"/>
            <w:shd w:val="clear" w:color="auto" w:fill="CCEEFF"/>
          </w:tcPr>
          <w:p>
            <w:pPr>
              <w:jc w:val="right"/>
              <w:ind w:right="76"/>
              <w:spacing w:after="0" w:line="118" w:lineRule="exact"/>
              <w:rPr>
                <w:sz w:val="20"/>
                <w:szCs w:val="20"/>
                <w:color w:val="auto"/>
              </w:rPr>
            </w:pPr>
            <w:r>
              <w:rPr>
                <w:rFonts w:ascii="Arial" w:cs="Arial" w:eastAsia="Arial" w:hAnsi="Arial"/>
                <w:sz w:val="13"/>
                <w:szCs w:val="13"/>
                <w:b w:val="1"/>
                <w:bCs w:val="1"/>
                <w:color w:val="auto"/>
              </w:rPr>
              <w:t>Exceptional</w:t>
            </w:r>
          </w:p>
        </w:tc>
        <w:tc>
          <w:tcPr>
            <w:tcW w:w="80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Total</w:t>
            </w:r>
          </w:p>
        </w:tc>
      </w:tr>
      <w:tr>
        <w:trPr>
          <w:trHeight w:val="170"/>
        </w:trPr>
        <w:tc>
          <w:tcPr>
            <w:tcW w:w="23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exceptional</w:t>
            </w: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exceptional</w:t>
            </w:r>
          </w:p>
        </w:tc>
        <w:tc>
          <w:tcPr>
            <w:tcW w:w="10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exceptional</w:t>
            </w: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12"/>
        </w:trPr>
        <w:tc>
          <w:tcPr>
            <w:tcW w:w="2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70"/>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8,281,676</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6"/>
              <w:spacing w:after="0"/>
              <w:rPr>
                <w:sz w:val="20"/>
                <w:szCs w:val="20"/>
                <w:color w:val="auto"/>
              </w:rPr>
            </w:pPr>
            <w:r>
              <w:rPr>
                <w:rFonts w:ascii="Arial" w:cs="Arial" w:eastAsia="Arial" w:hAnsi="Arial"/>
                <w:sz w:val="13"/>
                <w:szCs w:val="13"/>
                <w:color w:val="auto"/>
              </w:rPr>
              <w:t>8,281,676</w:t>
            </w:r>
          </w:p>
        </w:tc>
        <w:tc>
          <w:tcPr>
            <w:tcW w:w="880" w:type="dxa"/>
            <w:vAlign w:val="bottom"/>
          </w:tcPr>
          <w:p>
            <w:pPr>
              <w:jc w:val="right"/>
              <w:spacing w:after="0"/>
              <w:rPr>
                <w:sz w:val="20"/>
                <w:szCs w:val="20"/>
                <w:color w:val="auto"/>
              </w:rPr>
            </w:pPr>
            <w:r>
              <w:rPr>
                <w:rFonts w:ascii="Arial" w:cs="Arial" w:eastAsia="Arial" w:hAnsi="Arial"/>
                <w:sz w:val="13"/>
                <w:szCs w:val="13"/>
                <w:color w:val="auto"/>
              </w:rPr>
              <w:t>(92,686)</w:t>
            </w:r>
          </w:p>
        </w:tc>
        <w:tc>
          <w:tcPr>
            <w:tcW w:w="1080" w:type="dxa"/>
            <w:vAlign w:val="bottom"/>
          </w:tcPr>
          <w:p>
            <w:pPr>
              <w:ind w:left="7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6"/>
              <w:spacing w:after="0"/>
              <w:rPr>
                <w:sz w:val="20"/>
                <w:szCs w:val="20"/>
                <w:color w:val="auto"/>
              </w:rPr>
            </w:pPr>
            <w:r>
              <w:rPr>
                <w:rFonts w:ascii="Arial" w:cs="Arial" w:eastAsia="Arial" w:hAnsi="Arial"/>
                <w:sz w:val="13"/>
                <w:szCs w:val="13"/>
                <w:color w:val="auto"/>
              </w:rPr>
              <w:t>(92,686)</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8,188,990</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8,188,990</w:t>
            </w:r>
          </w:p>
        </w:tc>
      </w:tr>
      <w:tr>
        <w:trPr>
          <w:trHeight w:val="202"/>
        </w:trPr>
        <w:tc>
          <w:tcPr>
            <w:tcW w:w="2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69"/>
        </w:trPr>
        <w:tc>
          <w:tcPr>
            <w:tcW w:w="2380" w:type="dxa"/>
            <w:vAlign w:val="bottom"/>
          </w:tcPr>
          <w:p>
            <w:pPr>
              <w:ind w:left="20"/>
              <w:spacing w:after="0"/>
              <w:rPr>
                <w:sz w:val="20"/>
                <w:szCs w:val="20"/>
                <w:color w:val="auto"/>
              </w:rPr>
            </w:pPr>
            <w:r>
              <w:rPr>
                <w:rFonts w:ascii="Arial" w:cs="Arial" w:eastAsia="Arial" w:hAnsi="Arial"/>
                <w:sz w:val="13"/>
                <w:szCs w:val="13"/>
                <w:color w:val="auto"/>
              </w:rPr>
              <w:t>Direct costs</w:t>
            </w:r>
          </w:p>
        </w:tc>
        <w:tc>
          <w:tcPr>
            <w:tcW w:w="1500" w:type="dxa"/>
            <w:vAlign w:val="bottom"/>
          </w:tcPr>
          <w:p>
            <w:pPr>
              <w:jc w:val="right"/>
              <w:spacing w:after="0"/>
              <w:rPr>
                <w:sz w:val="20"/>
                <w:szCs w:val="20"/>
                <w:color w:val="auto"/>
              </w:rPr>
            </w:pPr>
            <w:r>
              <w:rPr>
                <w:rFonts w:ascii="Arial" w:cs="Arial" w:eastAsia="Arial" w:hAnsi="Arial"/>
                <w:sz w:val="13"/>
                <w:szCs w:val="13"/>
                <w:color w:val="auto"/>
              </w:rPr>
              <w:t>(5,845,022)</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(5,845,022)</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27,258</w:t>
            </w:r>
          </w:p>
        </w:tc>
        <w:tc>
          <w:tcPr>
            <w:tcW w:w="1080" w:type="dxa"/>
            <w:vAlign w:val="bottom"/>
          </w:tcPr>
          <w:p>
            <w:pPr>
              <w:spacing w:after="0"/>
              <w:rPr>
                <w:sz w:val="14"/>
                <w:szCs w:val="14"/>
                <w:color w:val="auto"/>
              </w:rPr>
            </w:pPr>
          </w:p>
        </w:tc>
        <w:tc>
          <w:tcPr>
            <w:tcW w:w="840" w:type="dxa"/>
            <w:vAlign w:val="bottom"/>
          </w:tcPr>
          <w:p>
            <w:pPr>
              <w:jc w:val="right"/>
              <w:ind w:right="116"/>
              <w:spacing w:after="0"/>
              <w:rPr>
                <w:sz w:val="20"/>
                <w:szCs w:val="20"/>
                <w:color w:val="auto"/>
              </w:rPr>
            </w:pPr>
            <w:r>
              <w:rPr>
                <w:rFonts w:ascii="Arial" w:cs="Arial" w:eastAsia="Arial" w:hAnsi="Arial"/>
                <w:sz w:val="13"/>
                <w:szCs w:val="13"/>
                <w:color w:val="auto"/>
              </w:rPr>
              <w:t>27,258</w:t>
            </w:r>
          </w:p>
        </w:tc>
        <w:tc>
          <w:tcPr>
            <w:tcW w:w="880" w:type="dxa"/>
            <w:vAlign w:val="bottom"/>
          </w:tcPr>
          <w:p>
            <w:pPr>
              <w:jc w:val="right"/>
              <w:spacing w:after="0"/>
              <w:rPr>
                <w:sz w:val="20"/>
                <w:szCs w:val="20"/>
                <w:color w:val="auto"/>
              </w:rPr>
            </w:pPr>
            <w:r>
              <w:rPr>
                <w:rFonts w:ascii="Arial" w:cs="Arial" w:eastAsia="Arial" w:hAnsi="Arial"/>
                <w:sz w:val="13"/>
                <w:szCs w:val="13"/>
                <w:color w:val="auto"/>
              </w:rPr>
              <w:t>(5,817,764)</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(5,817,764)</w:t>
            </w:r>
          </w:p>
        </w:tc>
      </w:tr>
      <w:tr>
        <w:trPr>
          <w:trHeight w:val="170"/>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(1,212,972)</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(121,697)</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(1,334,669)</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(1,212,972)</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(121,697)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(1,334,669)</w:t>
            </w:r>
          </w:p>
        </w:tc>
      </w:tr>
      <w:tr>
        <w:trPr>
          <w:trHeight w:val="162"/>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Operating profit</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1,223,682</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(121,697)</w:t>
            </w:r>
          </w:p>
        </w:tc>
        <w:tc>
          <w:tcPr>
            <w:tcW w:w="920" w:type="dxa"/>
            <w:vAlign w:val="bottom"/>
          </w:tcPr>
          <w:p>
            <w:pPr>
              <w:jc w:val="right"/>
              <w:ind w:right="116"/>
              <w:spacing w:after="0"/>
              <w:rPr>
                <w:sz w:val="20"/>
                <w:szCs w:val="20"/>
                <w:color w:val="auto"/>
              </w:rPr>
            </w:pPr>
            <w:r>
              <w:rPr>
                <w:rFonts w:ascii="Arial" w:cs="Arial" w:eastAsia="Arial" w:hAnsi="Arial"/>
                <w:sz w:val="13"/>
                <w:szCs w:val="13"/>
                <w:color w:val="auto"/>
              </w:rPr>
              <w:t>1,101,985</w:t>
            </w:r>
          </w:p>
        </w:tc>
        <w:tc>
          <w:tcPr>
            <w:tcW w:w="880" w:type="dxa"/>
            <w:vAlign w:val="bottom"/>
          </w:tcPr>
          <w:p>
            <w:pPr>
              <w:jc w:val="right"/>
              <w:spacing w:after="0"/>
              <w:rPr>
                <w:sz w:val="20"/>
                <w:szCs w:val="20"/>
                <w:color w:val="auto"/>
              </w:rPr>
            </w:pPr>
            <w:r>
              <w:rPr>
                <w:rFonts w:ascii="Arial" w:cs="Arial" w:eastAsia="Arial" w:hAnsi="Arial"/>
                <w:sz w:val="13"/>
                <w:szCs w:val="13"/>
                <w:color w:val="auto"/>
              </w:rPr>
              <w:t>(65,428)</w:t>
            </w:r>
          </w:p>
        </w:tc>
        <w:tc>
          <w:tcPr>
            <w:tcW w:w="1080" w:type="dxa"/>
            <w:vAlign w:val="bottom"/>
          </w:tcPr>
          <w:p>
            <w:pPr>
              <w:ind w:left="7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6"/>
              <w:spacing w:after="0"/>
              <w:rPr>
                <w:sz w:val="20"/>
                <w:szCs w:val="20"/>
                <w:color w:val="auto"/>
              </w:rPr>
            </w:pPr>
            <w:r>
              <w:rPr>
                <w:rFonts w:ascii="Arial" w:cs="Arial" w:eastAsia="Arial" w:hAnsi="Arial"/>
                <w:sz w:val="13"/>
                <w:szCs w:val="13"/>
                <w:color w:val="auto"/>
              </w:rPr>
              <w:t>(65,428)</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1,158,254</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(121,697)</w:t>
            </w:r>
          </w:p>
        </w:tc>
        <w:tc>
          <w:tcPr>
            <w:tcW w:w="800" w:type="dxa"/>
            <w:vAlign w:val="bottom"/>
          </w:tcPr>
          <w:p>
            <w:pPr>
              <w:jc w:val="right"/>
              <w:spacing w:after="0"/>
              <w:rPr>
                <w:sz w:val="20"/>
                <w:szCs w:val="20"/>
                <w:color w:val="auto"/>
              </w:rPr>
            </w:pPr>
            <w:r>
              <w:rPr>
                <w:rFonts w:ascii="Arial" w:cs="Arial" w:eastAsia="Arial" w:hAnsi="Arial"/>
                <w:sz w:val="13"/>
                <w:szCs w:val="13"/>
                <w:color w:val="auto"/>
              </w:rPr>
              <w:t>1,036,557</w:t>
            </w:r>
          </w:p>
        </w:tc>
      </w:tr>
      <w:tr>
        <w:trPr>
          <w:trHeight w:val="212"/>
        </w:trPr>
        <w:tc>
          <w:tcPr>
            <w:tcW w:w="2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69"/>
        </w:trPr>
        <w:tc>
          <w:tcPr>
            <w:tcW w:w="2380" w:type="dxa"/>
            <w:vAlign w:val="bottom"/>
          </w:tcPr>
          <w:p>
            <w:pPr>
              <w:ind w:left="20"/>
              <w:spacing w:after="0"/>
              <w:rPr>
                <w:sz w:val="20"/>
                <w:szCs w:val="20"/>
                <w:color w:val="auto"/>
              </w:rPr>
            </w:pPr>
            <w:r>
              <w:rPr>
                <w:rFonts w:ascii="Arial" w:cs="Arial" w:eastAsia="Arial" w:hAnsi="Arial"/>
                <w:sz w:val="13"/>
                <w:szCs w:val="13"/>
                <w:color w:val="auto"/>
              </w:rPr>
              <w:t>Finance income</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8,609</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6"/>
              <w:spacing w:after="0"/>
              <w:rPr>
                <w:sz w:val="20"/>
                <w:szCs w:val="20"/>
                <w:color w:val="auto"/>
              </w:rPr>
            </w:pPr>
            <w:r>
              <w:rPr>
                <w:rFonts w:ascii="Arial" w:cs="Arial" w:eastAsia="Arial" w:hAnsi="Arial"/>
                <w:sz w:val="13"/>
                <w:szCs w:val="13"/>
                <w:color w:val="auto"/>
              </w:rPr>
              <w:t>8,609</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ind w:left="7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8,609</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8,609</w:t>
            </w:r>
          </w:p>
        </w:tc>
      </w:tr>
      <w:tr>
        <w:trPr>
          <w:trHeight w:val="170"/>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Finance costs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(242,616)</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(242,616)</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(242,616)</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(242,616)</w:t>
            </w:r>
          </w:p>
        </w:tc>
      </w:tr>
      <w:tr>
        <w:trPr>
          <w:trHeight w:val="193"/>
        </w:trPr>
        <w:tc>
          <w:tcPr>
            <w:tcW w:w="2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0"/>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before taxation</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989,675</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(121,697)</w:t>
            </w: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867,978</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(65,428)</w:t>
            </w:r>
          </w:p>
        </w:tc>
        <w:tc>
          <w:tcPr>
            <w:tcW w:w="108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(65,428)</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924,247</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(121,697)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802,550</w:t>
            </w:r>
          </w:p>
        </w:tc>
      </w:tr>
      <w:tr>
        <w:trPr>
          <w:trHeight w:val="169"/>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(109,829)</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21,276</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(88,553)</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13,080</w:t>
            </w:r>
          </w:p>
        </w:tc>
        <w:tc>
          <w:tcPr>
            <w:tcW w:w="10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13,080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(96,749)</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21,276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(75,473)</w:t>
            </w:r>
          </w:p>
        </w:tc>
      </w:tr>
      <w:tr>
        <w:trPr>
          <w:trHeight w:val="183"/>
        </w:trPr>
        <w:tc>
          <w:tcPr>
            <w:tcW w:w="23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r>
      <w:tr>
        <w:trPr>
          <w:trHeight w:val="160"/>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879,846</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(100,421)</w:t>
            </w: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779,425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(52,348)</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(52,348)</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827,498</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(100,421)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727,077</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23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0"/>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Earnings per share</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0"/>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1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9.45</w:t>
            </w:r>
          </w:p>
        </w:tc>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(0.64)</w:t>
            </w: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w:t>
            </w:r>
          </w:p>
        </w:tc>
      </w:tr>
      <w:tr>
        <w:trPr>
          <w:trHeight w:val="169"/>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1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9.38</w:t>
            </w:r>
          </w:p>
        </w:tc>
        <w:tc>
          <w:tcPr>
            <w:tcW w:w="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(0.63)</w:t>
            </w:r>
          </w:p>
        </w:tc>
        <w:tc>
          <w:tcPr>
            <w:tcW w:w="8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80"/>
          </w:cols>
          <w:pgMar w:left="300" w:top="698"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Restatement due to prior year adjustments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impact of the restatements on the Consolidated Statement of Comprehensive Income for the year ended 31 December 2024 is summarised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31 December 2024</w:t>
            </w:r>
          </w:p>
        </w:tc>
        <w:tc>
          <w:tcPr>
            <w:tcW w:w="960" w:type="dxa"/>
            <w:vAlign w:val="bottom"/>
            <w:shd w:val="clear" w:color="auto" w:fill="CCEEFF"/>
          </w:tcPr>
          <w:p>
            <w:pPr>
              <w:spacing w:after="0"/>
              <w:rPr>
                <w:sz w:val="14"/>
                <w:szCs w:val="14"/>
                <w:color w:val="auto"/>
              </w:rPr>
            </w:pPr>
          </w:p>
        </w:tc>
      </w:tr>
      <w:tr>
        <w:trPr>
          <w:trHeight w:val="170"/>
        </w:trPr>
        <w:tc>
          <w:tcPr>
            <w:tcW w:w="51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Reported</w:t>
            </w: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Adjustments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0"/>
        </w:trPr>
        <w:tc>
          <w:tcPr>
            <w:tcW w:w="5100" w:type="dxa"/>
            <w:vAlign w:val="bottom"/>
            <w:shd w:val="clear" w:color="auto" w:fill="CCEEFF"/>
          </w:tcPr>
          <w:p>
            <w:pPr>
              <w:spacing w:after="0"/>
              <w:rPr>
                <w:sz w:val="13"/>
                <w:szCs w:val="13"/>
                <w:color w:val="auto"/>
              </w:rPr>
            </w:pPr>
          </w:p>
        </w:tc>
        <w:tc>
          <w:tcPr>
            <w:tcW w:w="3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212"/>
        </w:trPr>
        <w:tc>
          <w:tcPr>
            <w:tcW w:w="5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3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779,425</w:t>
            </w:r>
          </w:p>
        </w:tc>
        <w:tc>
          <w:tcPr>
            <w:tcW w:w="15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(52,348)</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727,077</w:t>
            </w:r>
          </w:p>
        </w:tc>
      </w:tr>
      <w:tr>
        <w:trPr>
          <w:trHeight w:val="212"/>
        </w:trPr>
        <w:tc>
          <w:tcPr>
            <w:tcW w:w="5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(loss) / income</w:t>
            </w:r>
          </w:p>
        </w:tc>
        <w:tc>
          <w:tcPr>
            <w:tcW w:w="37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Items that will not be reclassified to profit or loss, net of tax:</w:t>
            </w:r>
          </w:p>
        </w:tc>
        <w:tc>
          <w:tcPr>
            <w:tcW w:w="3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Re-measurement of defined benefit liability</w:t>
            </w:r>
          </w:p>
        </w:tc>
        <w:tc>
          <w:tcPr>
            <w:tcW w:w="3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(6,338)</w:t>
            </w:r>
          </w:p>
        </w:tc>
        <w:tc>
          <w:tcPr>
            <w:tcW w:w="15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(6,338)</w:t>
            </w:r>
          </w:p>
        </w:tc>
      </w:tr>
      <w:tr>
        <w:trPr>
          <w:trHeight w:val="160"/>
        </w:trPr>
        <w:tc>
          <w:tcPr>
            <w:tcW w:w="5100" w:type="dxa"/>
            <w:vAlign w:val="bottom"/>
          </w:tcPr>
          <w:p>
            <w:pPr>
              <w:spacing w:after="0"/>
              <w:rPr>
                <w:sz w:val="13"/>
                <w:szCs w:val="13"/>
                <w:color w:val="auto"/>
              </w:rPr>
            </w:pPr>
          </w:p>
        </w:tc>
        <w:tc>
          <w:tcPr>
            <w:tcW w:w="3700" w:type="dxa"/>
            <w:vAlign w:val="bottom"/>
          </w:tcPr>
          <w:p>
            <w:pPr>
              <w:jc w:val="right"/>
              <w:ind w:right="16"/>
              <w:spacing w:after="0"/>
              <w:rPr>
                <w:sz w:val="20"/>
                <w:szCs w:val="20"/>
                <w:color w:val="auto"/>
              </w:rPr>
            </w:pPr>
            <w:r>
              <w:rPr>
                <w:rFonts w:ascii="Arial" w:cs="Arial" w:eastAsia="Arial" w:hAnsi="Arial"/>
                <w:sz w:val="13"/>
                <w:szCs w:val="13"/>
                <w:color w:val="auto"/>
              </w:rPr>
              <w:t>(6,338)</w:t>
            </w:r>
          </w:p>
        </w:tc>
        <w:tc>
          <w:tcPr>
            <w:tcW w:w="1500" w:type="dxa"/>
            <w:vAlign w:val="bottom"/>
          </w:tcPr>
          <w:p>
            <w:pPr>
              <w:ind w:left="11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(6,338)</w:t>
            </w:r>
          </w:p>
        </w:tc>
      </w:tr>
      <w:tr>
        <w:trPr>
          <w:trHeight w:val="213"/>
        </w:trPr>
        <w:tc>
          <w:tcPr>
            <w:tcW w:w="5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Items that are or may be reclassified subsequently to profit or loss, net of tax:</w:t>
            </w:r>
          </w:p>
        </w:tc>
        <w:tc>
          <w:tcPr>
            <w:tcW w:w="3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Currency translation differences</w:t>
            </w:r>
          </w:p>
        </w:tc>
        <w:tc>
          <w:tcPr>
            <w:tcW w:w="3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(84,927)</w:t>
            </w:r>
          </w:p>
        </w:tc>
        <w:tc>
          <w:tcPr>
            <w:tcW w:w="150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(84,927)</w:t>
            </w:r>
          </w:p>
        </w:tc>
      </w:tr>
      <w:tr>
        <w:trPr>
          <w:trHeight w:val="169"/>
        </w:trPr>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Movement on cash flow hedge</w:t>
            </w:r>
          </w:p>
        </w:tc>
        <w:tc>
          <w:tcPr>
            <w:tcW w:w="3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4,581</w:t>
            </w:r>
          </w:p>
        </w:tc>
        <w:tc>
          <w:tcPr>
            <w:tcW w:w="1500" w:type="dxa"/>
            <w:vAlign w:val="bottom"/>
            <w:tcBorders>
              <w:bottom w:val="single" w:sz="8" w:color="auto"/>
            </w:tcBorders>
          </w:tcPr>
          <w:p>
            <w:pPr>
              <w:ind w:left="114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4,581</w:t>
            </w:r>
          </w:p>
        </w:tc>
      </w:tr>
      <w:tr>
        <w:trPr>
          <w:trHeight w:val="162"/>
        </w:trPr>
        <w:tc>
          <w:tcPr>
            <w:tcW w:w="5100" w:type="dxa"/>
            <w:vAlign w:val="bottom"/>
            <w:shd w:val="clear" w:color="auto" w:fill="CCEEFF"/>
          </w:tcPr>
          <w:p>
            <w:pPr>
              <w:spacing w:after="0"/>
              <w:rPr>
                <w:sz w:val="14"/>
                <w:szCs w:val="14"/>
                <w:color w:val="auto"/>
              </w:rPr>
            </w:pPr>
          </w:p>
        </w:tc>
        <w:tc>
          <w:tcPr>
            <w:tcW w:w="3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(80,346)</w:t>
            </w:r>
          </w:p>
        </w:tc>
        <w:tc>
          <w:tcPr>
            <w:tcW w:w="150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(80,346)</w:t>
            </w:r>
          </w:p>
        </w:tc>
      </w:tr>
      <w:tr>
        <w:trPr>
          <w:trHeight w:val="212"/>
        </w:trPr>
        <w:tc>
          <w:tcPr>
            <w:tcW w:w="51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85"/>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loss for the year, net of tax</w:t>
            </w:r>
          </w:p>
        </w:tc>
        <w:tc>
          <w:tcPr>
            <w:tcW w:w="3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(86,684)</w:t>
            </w:r>
          </w:p>
        </w:tc>
        <w:tc>
          <w:tcPr>
            <w:tcW w:w="15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(86,684)</w:t>
            </w: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10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85"/>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 for the financial year</w:t>
            </w:r>
          </w:p>
        </w:tc>
        <w:tc>
          <w:tcPr>
            <w:tcW w:w="3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692,741</w:t>
            </w:r>
          </w:p>
        </w:tc>
        <w:tc>
          <w:tcPr>
            <w:tcW w:w="15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(52,348)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640,393</w:t>
            </w: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44"/>
        </w:trPr>
        <w:tc>
          <w:tcPr>
            <w:tcW w:w="5100" w:type="dxa"/>
            <w:vAlign w:val="bottom"/>
          </w:tcPr>
          <w:p>
            <w:pPr>
              <w:spacing w:after="0"/>
              <w:rPr>
                <w:sz w:val="24"/>
                <w:szCs w:val="24"/>
                <w:color w:val="auto"/>
              </w:rPr>
            </w:pPr>
          </w:p>
        </w:tc>
        <w:tc>
          <w:tcPr>
            <w:tcW w:w="3700" w:type="dxa"/>
            <w:vAlign w:val="bottom"/>
          </w:tcPr>
          <w:p>
            <w:pPr>
              <w:jc w:val="right"/>
              <w:ind w:right="2776"/>
              <w:spacing w:after="0"/>
              <w:rPr>
                <w:sz w:val="20"/>
                <w:szCs w:val="20"/>
                <w:color w:val="auto"/>
              </w:rPr>
            </w:pPr>
            <w:r>
              <w:rPr>
                <w:rFonts w:ascii="Arial" w:cs="Arial" w:eastAsia="Arial" w:hAnsi="Arial"/>
                <w:sz w:val="13"/>
                <w:szCs w:val="13"/>
                <w:color w:val="auto"/>
              </w:rPr>
              <w:t>50</w:t>
            </w: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Restatement due to prior year adjustments (continued)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impact of the restatements on the Consolidated Statement of Financial Position as at 31 December 2024 and 1 January 2024 is summarised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2024</w:t>
            </w:r>
          </w:p>
        </w:tc>
        <w:tc>
          <w:tcPr>
            <w:tcW w:w="1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 January 2024</w:t>
            </w:r>
          </w:p>
        </w:tc>
        <w:tc>
          <w:tcPr>
            <w:tcW w:w="1060" w:type="dxa"/>
            <w:vAlign w:val="bottom"/>
            <w:shd w:val="clear" w:color="auto" w:fill="CCEEFF"/>
          </w:tcPr>
          <w:p>
            <w:pPr>
              <w:spacing w:after="0"/>
              <w:rPr>
                <w:sz w:val="14"/>
                <w:szCs w:val="14"/>
                <w:color w:val="auto"/>
              </w:rPr>
            </w:pPr>
          </w:p>
        </w:tc>
      </w:tr>
      <w:tr>
        <w:trPr>
          <w:trHeight w:val="170"/>
        </w:trPr>
        <w:tc>
          <w:tcPr>
            <w:tcW w:w="3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As Reported</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Adjustments</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As Restated</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As Reported</w:t>
            </w: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Adjustments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16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Property, plant and equipment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150,520</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18,604</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169,124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161,970</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4,880</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166,850</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Right-of-use assets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143,305</w:t>
            </w:r>
          </w:p>
        </w:tc>
        <w:tc>
          <w:tcPr>
            <w:tcW w:w="13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143,305</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137,264</w:t>
            </w: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137,264</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Goodwill</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9,104,218</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9,104,218</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9,074,884</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9,074,884</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3,792,151</w:t>
            </w:r>
          </w:p>
        </w:tc>
        <w:tc>
          <w:tcPr>
            <w:tcW w:w="1360" w:type="dxa"/>
            <w:vAlign w:val="bottom"/>
          </w:tcPr>
          <w:p>
            <w:pPr>
              <w:jc w:val="right"/>
              <w:ind w:right="16"/>
              <w:spacing w:after="0"/>
              <w:rPr>
                <w:sz w:val="20"/>
                <w:szCs w:val="20"/>
                <w:color w:val="auto"/>
              </w:rPr>
            </w:pPr>
            <w:r>
              <w:rPr>
                <w:rFonts w:ascii="Arial" w:cs="Arial" w:eastAsia="Arial" w:hAnsi="Arial"/>
                <w:sz w:val="13"/>
                <w:szCs w:val="13"/>
                <w:color w:val="auto"/>
              </w:rPr>
              <w:t>(18,604)</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3,773,547</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4,055,079</w:t>
            </w:r>
          </w:p>
        </w:tc>
        <w:tc>
          <w:tcPr>
            <w:tcW w:w="1560" w:type="dxa"/>
            <w:vAlign w:val="bottom"/>
          </w:tcPr>
          <w:p>
            <w:pPr>
              <w:jc w:val="right"/>
              <w:ind w:right="256"/>
              <w:spacing w:after="0"/>
              <w:rPr>
                <w:sz w:val="20"/>
                <w:szCs w:val="20"/>
                <w:color w:val="auto"/>
              </w:rPr>
            </w:pPr>
            <w:r>
              <w:rPr>
                <w:rFonts w:ascii="Arial" w:cs="Arial" w:eastAsia="Arial" w:hAnsi="Arial"/>
                <w:sz w:val="13"/>
                <w:szCs w:val="13"/>
                <w:color w:val="auto"/>
              </w:rPr>
              <w:t>(4,880)</w:t>
            </w:r>
          </w:p>
        </w:tc>
        <w:tc>
          <w:tcPr>
            <w:tcW w:w="1060" w:type="dxa"/>
            <w:vAlign w:val="bottom"/>
          </w:tcPr>
          <w:p>
            <w:pPr>
              <w:jc w:val="right"/>
              <w:spacing w:after="0"/>
              <w:rPr>
                <w:sz w:val="20"/>
                <w:szCs w:val="20"/>
                <w:color w:val="auto"/>
              </w:rPr>
            </w:pPr>
            <w:r>
              <w:rPr>
                <w:rFonts w:ascii="Arial" w:cs="Arial" w:eastAsia="Arial" w:hAnsi="Arial"/>
                <w:sz w:val="13"/>
                <w:szCs w:val="13"/>
                <w:color w:val="auto"/>
              </w:rPr>
              <w:t>4,050,199</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non-current assets</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72,796</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72,796</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78,470</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78,470</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Financial assets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57,948</w:t>
            </w:r>
          </w:p>
        </w:tc>
        <w:tc>
          <w:tcPr>
            <w:tcW w:w="13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57,948</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46,804</w:t>
            </w: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46,804</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taxes receivable</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11,395</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11,395</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Deferred tax assets</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84,801</w:t>
            </w: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1,074</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85,875</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105,229</w:t>
            </w: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(807)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104,422</w:t>
            </w:r>
          </w:p>
        </w:tc>
      </w:tr>
      <w:tr>
        <w:trPr>
          <w:trHeight w:val="162"/>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13,405,739</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12,469</w:t>
            </w:r>
          </w:p>
        </w:tc>
        <w:tc>
          <w:tcPr>
            <w:tcW w:w="16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13,418,208</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13,659,700</w:t>
            </w:r>
          </w:p>
        </w:tc>
        <w:tc>
          <w:tcPr>
            <w:tcW w:w="15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(807)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13,658,893</w:t>
            </w:r>
          </w:p>
        </w:tc>
      </w:tr>
      <w:tr>
        <w:trPr>
          <w:trHeight w:val="160"/>
        </w:trPr>
        <w:tc>
          <w:tcPr>
            <w:tcW w:w="316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Inventories</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8,414</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8,414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8,442</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8,442</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Trade receivables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1,401,989</w:t>
            </w:r>
          </w:p>
        </w:tc>
        <w:tc>
          <w:tcPr>
            <w:tcW w:w="1360" w:type="dxa"/>
            <w:vAlign w:val="bottom"/>
          </w:tcPr>
          <w:p>
            <w:pPr>
              <w:jc w:val="right"/>
              <w:ind w:right="16"/>
              <w:spacing w:after="0"/>
              <w:rPr>
                <w:sz w:val="20"/>
                <w:szCs w:val="20"/>
                <w:color w:val="auto"/>
              </w:rPr>
            </w:pPr>
            <w:r>
              <w:rPr>
                <w:rFonts w:ascii="Arial" w:cs="Arial" w:eastAsia="Arial" w:hAnsi="Arial"/>
                <w:sz w:val="13"/>
                <w:szCs w:val="13"/>
                <w:color w:val="auto"/>
              </w:rPr>
              <w:t>(9,225)</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1,392,764</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1,790,322</w:t>
            </w:r>
          </w:p>
        </w:tc>
        <w:tc>
          <w:tcPr>
            <w:tcW w:w="1560" w:type="dxa"/>
            <w:vAlign w:val="bottom"/>
          </w:tcPr>
          <w:p>
            <w:pPr>
              <w:jc w:val="right"/>
              <w:ind w:right="256"/>
              <w:spacing w:after="0"/>
              <w:rPr>
                <w:sz w:val="20"/>
                <w:szCs w:val="20"/>
                <w:color w:val="auto"/>
              </w:rPr>
            </w:pPr>
            <w:r>
              <w:rPr>
                <w:rFonts w:ascii="Arial" w:cs="Arial" w:eastAsia="Arial" w:hAnsi="Arial"/>
                <w:sz w:val="13"/>
                <w:szCs w:val="13"/>
                <w:color w:val="auto"/>
              </w:rPr>
              <w:t>(25,918)</w:t>
            </w:r>
          </w:p>
        </w:tc>
        <w:tc>
          <w:tcPr>
            <w:tcW w:w="1060" w:type="dxa"/>
            <w:vAlign w:val="bottom"/>
          </w:tcPr>
          <w:p>
            <w:pPr>
              <w:jc w:val="right"/>
              <w:spacing w:after="0"/>
              <w:rPr>
                <w:sz w:val="20"/>
                <w:szCs w:val="20"/>
                <w:color w:val="auto"/>
              </w:rPr>
            </w:pPr>
            <w:r>
              <w:rPr>
                <w:rFonts w:ascii="Arial" w:cs="Arial" w:eastAsia="Arial" w:hAnsi="Arial"/>
                <w:sz w:val="13"/>
                <w:szCs w:val="13"/>
                <w:color w:val="auto"/>
              </w:rPr>
              <w:t>1,764,404</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Unbilled revenue (contract assets)</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1,286,274</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(246,100)</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1,040,174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951,936</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(98,355)</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853,581</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Other current assets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211,508</w:t>
            </w:r>
          </w:p>
        </w:tc>
        <w:tc>
          <w:tcPr>
            <w:tcW w:w="13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211,508</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189,460</w:t>
            </w: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189,460</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taxes receivable</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83,523</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83,523</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91,254</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91,254</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Current asset investments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1,954</w:t>
            </w: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1,954</w:t>
            </w:r>
          </w:p>
        </w:tc>
      </w:tr>
      <w:tr>
        <w:trPr>
          <w:trHeight w:val="170"/>
        </w:trPr>
        <w:tc>
          <w:tcPr>
            <w:tcW w:w="31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538,785</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538,785</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378,102</w:t>
            </w:r>
          </w:p>
        </w:tc>
        <w:tc>
          <w:tcPr>
            <w:tcW w:w="15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378,102</w:t>
            </w:r>
          </w:p>
        </w:tc>
      </w:tr>
      <w:tr>
        <w:trPr>
          <w:trHeight w:val="16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3,530,493</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(255,325)</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3,275,168</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3,411,470</w:t>
            </w: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(124,273)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3,287,197</w:t>
            </w:r>
          </w:p>
        </w:tc>
      </w:tr>
      <w:tr>
        <w:trPr>
          <w:trHeight w:val="171"/>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16,936,232</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(242,856)</w:t>
            </w:r>
          </w:p>
        </w:tc>
        <w:tc>
          <w:tcPr>
            <w:tcW w:w="16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16,693,376</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17,071,170</w:t>
            </w:r>
          </w:p>
        </w:tc>
        <w:tc>
          <w:tcPr>
            <w:tcW w:w="15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(125,080)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16,946,090</w:t>
            </w:r>
          </w:p>
        </w:tc>
      </w:tr>
      <w:tr>
        <w:trPr>
          <w:trHeight w:val="170"/>
        </w:trPr>
        <w:tc>
          <w:tcPr>
            <w:tcW w:w="316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 capital</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6,586</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6,586</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6,699</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6,699</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Share premium</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559,804</w:t>
            </w:r>
          </w:p>
        </w:tc>
        <w:tc>
          <w:tcPr>
            <w:tcW w:w="13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559,804</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523,646</w:t>
            </w: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523,646</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undenominated capital</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1,304</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1,304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1,162</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Share-based payment reserve</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331,838</w:t>
            </w:r>
          </w:p>
        </w:tc>
        <w:tc>
          <w:tcPr>
            <w:tcW w:w="13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331,838</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354,183</w:t>
            </w: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354,183</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reserve</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16,454</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16,454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10,183</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10,183</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Foreign currency reserve</w:t>
            </w:r>
          </w:p>
        </w:tc>
        <w:tc>
          <w:tcPr>
            <w:tcW w:w="1240" w:type="dxa"/>
            <w:vAlign w:val="bottom"/>
          </w:tcPr>
          <w:p>
            <w:pPr>
              <w:jc w:val="right"/>
              <w:ind w:right="16"/>
              <w:spacing w:after="0"/>
              <w:rPr>
                <w:sz w:val="20"/>
                <w:szCs w:val="20"/>
                <w:color w:val="auto"/>
              </w:rPr>
            </w:pPr>
            <w:r>
              <w:rPr>
                <w:rFonts w:ascii="Arial" w:cs="Arial" w:eastAsia="Arial" w:hAnsi="Arial"/>
                <w:sz w:val="13"/>
                <w:szCs w:val="13"/>
                <w:color w:val="auto"/>
              </w:rPr>
              <w:t>(233,771)</w:t>
            </w:r>
          </w:p>
        </w:tc>
        <w:tc>
          <w:tcPr>
            <w:tcW w:w="13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296"/>
              <w:spacing w:after="0"/>
              <w:rPr>
                <w:sz w:val="20"/>
                <w:szCs w:val="20"/>
                <w:color w:val="auto"/>
              </w:rPr>
            </w:pPr>
            <w:r>
              <w:rPr>
                <w:rFonts w:ascii="Arial" w:cs="Arial" w:eastAsia="Arial" w:hAnsi="Arial"/>
                <w:sz w:val="13"/>
                <w:szCs w:val="13"/>
                <w:color w:val="auto"/>
              </w:rPr>
              <w:t>(233,771)</w:t>
            </w: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(148,844)</w:t>
            </w: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(148,844)</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Merger reserve</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5,656,195</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5,656,195</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5,656,195</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r>
      <w:tr>
        <w:trPr>
          <w:trHeight w:val="171"/>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Retained earnings</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3,244,215</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(81,645)</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3,162,570</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2,919,591</w:t>
            </w: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(29,297)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2,890,294</w:t>
            </w:r>
          </w:p>
        </w:tc>
      </w:tr>
      <w:tr>
        <w:trPr>
          <w:trHeight w:val="170"/>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9,582,625</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(81,645)</w:t>
            </w:r>
          </w:p>
        </w:tc>
        <w:tc>
          <w:tcPr>
            <w:tcW w:w="16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9,500,980</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9,322,815</w:t>
            </w:r>
          </w:p>
        </w:tc>
        <w:tc>
          <w:tcPr>
            <w:tcW w:w="15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(29,297)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9,293,518</w:t>
            </w:r>
          </w:p>
        </w:tc>
      </w:tr>
      <w:tr>
        <w:trPr>
          <w:trHeight w:val="160"/>
        </w:trPr>
        <w:tc>
          <w:tcPr>
            <w:tcW w:w="31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Non-current bank credit lines and loan facilities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3,396,398</w:t>
            </w:r>
          </w:p>
        </w:tc>
        <w:tc>
          <w:tcPr>
            <w:tcW w:w="13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3,396,398</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3,665,439</w:t>
            </w: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3,665,439</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lease liabilities</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140,085</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140,085</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126,321</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126,321</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Non-current other liabilities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81,116</w:t>
            </w:r>
          </w:p>
        </w:tc>
        <w:tc>
          <w:tcPr>
            <w:tcW w:w="1360" w:type="dxa"/>
            <w:vAlign w:val="bottom"/>
          </w:tcPr>
          <w:p>
            <w:pPr>
              <w:jc w:val="right"/>
              <w:ind w:right="16"/>
              <w:spacing w:after="0"/>
              <w:rPr>
                <w:sz w:val="20"/>
                <w:szCs w:val="20"/>
                <w:color w:val="auto"/>
              </w:rPr>
            </w:pPr>
            <w:r>
              <w:rPr>
                <w:rFonts w:ascii="Arial" w:cs="Arial" w:eastAsia="Arial" w:hAnsi="Arial"/>
                <w:sz w:val="13"/>
                <w:szCs w:val="13"/>
                <w:color w:val="auto"/>
              </w:rPr>
              <w:t>(752)</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80,364</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43,950</w:t>
            </w:r>
          </w:p>
        </w:tc>
        <w:tc>
          <w:tcPr>
            <w:tcW w:w="1560" w:type="dxa"/>
            <w:vAlign w:val="bottom"/>
          </w:tcPr>
          <w:p>
            <w:pPr>
              <w:jc w:val="right"/>
              <w:ind w:right="256"/>
              <w:spacing w:after="0"/>
              <w:rPr>
                <w:sz w:val="20"/>
                <w:szCs w:val="20"/>
                <w:color w:val="auto"/>
              </w:rPr>
            </w:pPr>
            <w:r>
              <w:rPr>
                <w:rFonts w:ascii="Arial" w:cs="Arial" w:eastAsia="Arial" w:hAnsi="Arial"/>
                <w:sz w:val="13"/>
                <w:szCs w:val="13"/>
                <w:color w:val="auto"/>
              </w:rPr>
              <w:t>(752)</w:t>
            </w:r>
          </w:p>
        </w:tc>
        <w:tc>
          <w:tcPr>
            <w:tcW w:w="1060" w:type="dxa"/>
            <w:vAlign w:val="bottom"/>
          </w:tcPr>
          <w:p>
            <w:pPr>
              <w:jc w:val="right"/>
              <w:spacing w:after="0"/>
              <w:rPr>
                <w:sz w:val="20"/>
                <w:szCs w:val="20"/>
                <w:color w:val="auto"/>
              </w:rPr>
            </w:pPr>
            <w:r>
              <w:rPr>
                <w:rFonts w:ascii="Arial" w:cs="Arial" w:eastAsia="Arial" w:hAnsi="Arial"/>
                <w:sz w:val="13"/>
                <w:szCs w:val="13"/>
                <w:color w:val="auto"/>
              </w:rPr>
              <w:t>43,198</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Non-current provisions</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2,354</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2,354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2,048</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w:t>
            </w:r>
          </w:p>
        </w:tc>
      </w:tr>
      <w:tr>
        <w:trPr>
          <w:trHeight w:val="169"/>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Deferred tax liabilities</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811,414</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(1,255)</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810,159</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898,335</w:t>
            </w: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(792)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897,543</w:t>
            </w:r>
          </w:p>
        </w:tc>
      </w:tr>
      <w:tr>
        <w:trPr>
          <w:trHeight w:val="162"/>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4,431,367</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(2,007)</w:t>
            </w:r>
          </w:p>
        </w:tc>
        <w:tc>
          <w:tcPr>
            <w:tcW w:w="16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4,429,360</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4,736,093</w:t>
            </w:r>
          </w:p>
        </w:tc>
        <w:tc>
          <w:tcPr>
            <w:tcW w:w="15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(1,544)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4,734,549</w:t>
            </w:r>
          </w:p>
        </w:tc>
      </w:tr>
      <w:tr>
        <w:trPr>
          <w:trHeight w:val="160"/>
        </w:trPr>
        <w:tc>
          <w:tcPr>
            <w:tcW w:w="316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173,025</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173,025</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131,584</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131,584</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Unearned revenue (contract liabilities)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1,614,758</w:t>
            </w:r>
          </w:p>
        </w:tc>
        <w:tc>
          <w:tcPr>
            <w:tcW w:w="1360" w:type="dxa"/>
            <w:vAlign w:val="bottom"/>
          </w:tcPr>
          <w:p>
            <w:pPr>
              <w:jc w:val="right"/>
              <w:ind w:right="16"/>
              <w:spacing w:after="0"/>
              <w:rPr>
                <w:sz w:val="20"/>
                <w:szCs w:val="20"/>
                <w:color w:val="auto"/>
              </w:rPr>
            </w:pPr>
            <w:r>
              <w:rPr>
                <w:rFonts w:ascii="Arial" w:cs="Arial" w:eastAsia="Arial" w:hAnsi="Arial"/>
                <w:sz w:val="13"/>
                <w:szCs w:val="13"/>
                <w:color w:val="auto"/>
              </w:rPr>
              <w:t>(147,087)</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1,467,671</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1,654,507</w:t>
            </w:r>
          </w:p>
        </w:tc>
        <w:tc>
          <w:tcPr>
            <w:tcW w:w="1560" w:type="dxa"/>
            <w:vAlign w:val="bottom"/>
          </w:tcPr>
          <w:p>
            <w:pPr>
              <w:jc w:val="right"/>
              <w:ind w:right="256"/>
              <w:spacing w:after="0"/>
              <w:rPr>
                <w:sz w:val="20"/>
                <w:szCs w:val="20"/>
                <w:color w:val="auto"/>
              </w:rPr>
            </w:pPr>
            <w:r>
              <w:rPr>
                <w:rFonts w:ascii="Arial" w:cs="Arial" w:eastAsia="Arial" w:hAnsi="Arial"/>
                <w:sz w:val="13"/>
                <w:szCs w:val="13"/>
                <w:color w:val="auto"/>
              </w:rPr>
              <w:t>(88,043)</w:t>
            </w:r>
          </w:p>
        </w:tc>
        <w:tc>
          <w:tcPr>
            <w:tcW w:w="1060" w:type="dxa"/>
            <w:vAlign w:val="bottom"/>
          </w:tcPr>
          <w:p>
            <w:pPr>
              <w:jc w:val="right"/>
              <w:spacing w:after="0"/>
              <w:rPr>
                <w:sz w:val="20"/>
                <w:szCs w:val="20"/>
                <w:color w:val="auto"/>
              </w:rPr>
            </w:pPr>
            <w:r>
              <w:rPr>
                <w:rFonts w:ascii="Arial" w:cs="Arial" w:eastAsia="Arial" w:hAnsi="Arial"/>
                <w:sz w:val="13"/>
                <w:szCs w:val="13"/>
                <w:color w:val="auto"/>
              </w:rPr>
              <w:t>1,566,464</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and other liabilities</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894,483</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(13,827)</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880,656</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910,448</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(7,248)</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903,200</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Provisions</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29,120</w:t>
            </w:r>
          </w:p>
        </w:tc>
        <w:tc>
          <w:tcPr>
            <w:tcW w:w="13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29,120</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4,951</w:t>
            </w: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4,951</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tax payable</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181,092</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1,710</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182,802</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200,622</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1,052</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201,674</w:t>
            </w:r>
          </w:p>
        </w:tc>
      </w:tr>
      <w:tr>
        <w:trPr>
          <w:trHeight w:val="169"/>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Bank credit lines and loan facilities</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29,762</w:t>
            </w: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29,762</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110,150</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110,150</w:t>
            </w:r>
          </w:p>
        </w:tc>
      </w:tr>
      <w:tr>
        <w:trPr>
          <w:trHeight w:val="163"/>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2,922,240</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(159,204)</w:t>
            </w:r>
          </w:p>
        </w:tc>
        <w:tc>
          <w:tcPr>
            <w:tcW w:w="16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2,763,036</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3,012,262</w:t>
            </w:r>
          </w:p>
        </w:tc>
        <w:tc>
          <w:tcPr>
            <w:tcW w:w="15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(94,239)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2,918,023</w:t>
            </w:r>
          </w:p>
        </w:tc>
      </w:tr>
      <w:tr>
        <w:trPr>
          <w:trHeight w:val="17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7,353,607</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(161,211)</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7,192,396</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7,748,355</w:t>
            </w: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(95,783)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7,652,572</w:t>
            </w:r>
          </w:p>
        </w:tc>
      </w:tr>
      <w:tr>
        <w:trPr>
          <w:trHeight w:val="171"/>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16,936,232</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(242,856)</w:t>
            </w:r>
          </w:p>
        </w:tc>
        <w:tc>
          <w:tcPr>
            <w:tcW w:w="16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16,693,376</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17,071,170</w:t>
            </w:r>
          </w:p>
        </w:tc>
        <w:tc>
          <w:tcPr>
            <w:tcW w:w="15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(125,080)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16,946,090</w:t>
            </w:r>
          </w:p>
        </w:tc>
      </w:tr>
      <w:tr>
        <w:trPr>
          <w:trHeight w:val="592"/>
        </w:trPr>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jc w:val="right"/>
              <w:ind w:right="1376"/>
              <w:spacing w:after="0"/>
              <w:rPr>
                <w:sz w:val="20"/>
                <w:szCs w:val="20"/>
                <w:color w:val="auto"/>
              </w:rPr>
            </w:pPr>
            <w:r>
              <w:rPr>
                <w:rFonts w:ascii="Arial" w:cs="Arial" w:eastAsia="Arial" w:hAnsi="Arial"/>
                <w:sz w:val="13"/>
                <w:szCs w:val="13"/>
                <w:color w:val="auto"/>
              </w:rPr>
              <w:t>51</w:t>
            </w: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Restatement due to prior year adjustments (continued)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impact of the restatements on the Consolidated Statements of Cash Flows for the year ended 31 December 2024 is summarised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31 December 2024</w:t>
            </w:r>
          </w:p>
        </w:tc>
        <w:tc>
          <w:tcPr>
            <w:tcW w:w="1060" w:type="dxa"/>
            <w:vAlign w:val="bottom"/>
            <w:shd w:val="clear" w:color="auto" w:fill="CCEEFF"/>
          </w:tcPr>
          <w:p>
            <w:pPr>
              <w:spacing w:after="0"/>
              <w:rPr>
                <w:sz w:val="14"/>
                <w:szCs w:val="14"/>
                <w:color w:val="auto"/>
              </w:rPr>
            </w:pPr>
          </w:p>
        </w:tc>
      </w:tr>
      <w:tr>
        <w:trPr>
          <w:trHeight w:val="170"/>
        </w:trPr>
        <w:tc>
          <w:tcPr>
            <w:tcW w:w="6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Reported</w:t>
            </w:r>
          </w:p>
        </w:tc>
        <w:tc>
          <w:tcPr>
            <w:tcW w:w="16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Adjustments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0"/>
        </w:trPr>
        <w:tc>
          <w:tcPr>
            <w:tcW w:w="6440" w:type="dxa"/>
            <w:vAlign w:val="bottom"/>
            <w:shd w:val="clear" w:color="auto" w:fill="CCEEFF"/>
          </w:tcPr>
          <w:p>
            <w:pPr>
              <w:spacing w:after="0"/>
              <w:rPr>
                <w:sz w:val="13"/>
                <w:szCs w:val="1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62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2140" w:type="dxa"/>
            <w:vAlign w:val="bottom"/>
          </w:tcPr>
          <w:p>
            <w:pPr>
              <w:jc w:val="right"/>
              <w:ind w:right="56"/>
              <w:spacing w:after="0"/>
              <w:rPr>
                <w:sz w:val="20"/>
                <w:szCs w:val="20"/>
                <w:color w:val="auto"/>
              </w:rPr>
            </w:pPr>
            <w:r>
              <w:rPr>
                <w:rFonts w:ascii="Arial" w:cs="Arial" w:eastAsia="Arial" w:hAnsi="Arial"/>
                <w:sz w:val="13"/>
                <w:szCs w:val="13"/>
                <w:color w:val="auto"/>
              </w:rPr>
              <w:t>779,425</w:t>
            </w:r>
          </w:p>
        </w:tc>
        <w:tc>
          <w:tcPr>
            <w:tcW w:w="1620" w:type="dxa"/>
            <w:vAlign w:val="bottom"/>
          </w:tcPr>
          <w:p>
            <w:pPr>
              <w:jc w:val="right"/>
              <w:ind w:right="256"/>
              <w:spacing w:after="0"/>
              <w:rPr>
                <w:sz w:val="20"/>
                <w:szCs w:val="20"/>
                <w:color w:val="auto"/>
              </w:rPr>
            </w:pPr>
            <w:r>
              <w:rPr>
                <w:rFonts w:ascii="Arial" w:cs="Arial" w:eastAsia="Arial" w:hAnsi="Arial"/>
                <w:sz w:val="13"/>
                <w:szCs w:val="13"/>
                <w:color w:val="auto"/>
              </w:rPr>
              <w:t>(52,348)</w:t>
            </w:r>
          </w:p>
        </w:tc>
        <w:tc>
          <w:tcPr>
            <w:tcW w:w="1060" w:type="dxa"/>
            <w:vAlign w:val="bottom"/>
          </w:tcPr>
          <w:p>
            <w:pPr>
              <w:jc w:val="right"/>
              <w:spacing w:after="0"/>
              <w:rPr>
                <w:sz w:val="20"/>
                <w:szCs w:val="20"/>
                <w:color w:val="auto"/>
              </w:rPr>
            </w:pPr>
            <w:r>
              <w:rPr>
                <w:rFonts w:ascii="Arial" w:cs="Arial" w:eastAsia="Arial" w:hAnsi="Arial"/>
                <w:sz w:val="13"/>
                <w:szCs w:val="13"/>
                <w:color w:val="auto"/>
              </w:rPr>
              <w:t>727,077</w:t>
            </w:r>
          </w:p>
        </w:tc>
      </w:tr>
      <w:tr>
        <w:trPr>
          <w:trHeight w:val="170"/>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to reconcile net income to net cash generated from operating activities</w:t>
            </w:r>
          </w:p>
        </w:tc>
        <w:tc>
          <w:tcPr>
            <w:tcW w:w="21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Depreciation of property, plant and equipment</w:t>
            </w:r>
          </w:p>
        </w:tc>
        <w:tc>
          <w:tcPr>
            <w:tcW w:w="2140" w:type="dxa"/>
            <w:vAlign w:val="bottom"/>
          </w:tcPr>
          <w:p>
            <w:pPr>
              <w:jc w:val="right"/>
              <w:ind w:right="56"/>
              <w:spacing w:after="0"/>
              <w:rPr>
                <w:sz w:val="20"/>
                <w:szCs w:val="20"/>
                <w:color w:val="auto"/>
              </w:rPr>
            </w:pPr>
            <w:r>
              <w:rPr>
                <w:rFonts w:ascii="Arial" w:cs="Arial" w:eastAsia="Arial" w:hAnsi="Arial"/>
                <w:sz w:val="13"/>
                <w:szCs w:val="13"/>
                <w:color w:val="auto"/>
              </w:rPr>
              <w:t>44,878</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2,902</w:t>
            </w:r>
          </w:p>
        </w:tc>
        <w:tc>
          <w:tcPr>
            <w:tcW w:w="1060" w:type="dxa"/>
            <w:vAlign w:val="bottom"/>
          </w:tcPr>
          <w:p>
            <w:pPr>
              <w:jc w:val="right"/>
              <w:spacing w:after="0"/>
              <w:rPr>
                <w:sz w:val="20"/>
                <w:szCs w:val="20"/>
                <w:color w:val="auto"/>
              </w:rPr>
            </w:pPr>
            <w:r>
              <w:rPr>
                <w:rFonts w:ascii="Arial" w:cs="Arial" w:eastAsia="Arial" w:hAnsi="Arial"/>
                <w:sz w:val="13"/>
                <w:szCs w:val="13"/>
                <w:color w:val="auto"/>
              </w:rPr>
              <w:t>47,780</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of right-of-use assets</w:t>
            </w:r>
          </w:p>
        </w:tc>
        <w:tc>
          <w:tcPr>
            <w:tcW w:w="2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41,014</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41,014</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Impairment of long lived assets</w:t>
            </w:r>
          </w:p>
        </w:tc>
        <w:tc>
          <w:tcPr>
            <w:tcW w:w="2140" w:type="dxa"/>
            <w:vAlign w:val="bottom"/>
          </w:tcPr>
          <w:p>
            <w:pPr>
              <w:jc w:val="right"/>
              <w:ind w:right="56"/>
              <w:spacing w:after="0"/>
              <w:rPr>
                <w:sz w:val="20"/>
                <w:szCs w:val="20"/>
                <w:color w:val="auto"/>
              </w:rPr>
            </w:pPr>
            <w:r>
              <w:rPr>
                <w:rFonts w:ascii="Arial" w:cs="Arial" w:eastAsia="Arial" w:hAnsi="Arial"/>
                <w:sz w:val="13"/>
                <w:szCs w:val="13"/>
                <w:color w:val="auto"/>
              </w:rPr>
              <w:t>15,731</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15,731</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Amortisation of intangible assets</w:t>
            </w:r>
          </w:p>
        </w:tc>
        <w:tc>
          <w:tcPr>
            <w:tcW w:w="2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443,622</w:t>
            </w:r>
          </w:p>
        </w:tc>
        <w:tc>
          <w:tcPr>
            <w:tcW w:w="16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(2,902)</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440,720</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Share-based payment</w:t>
            </w:r>
          </w:p>
        </w:tc>
        <w:tc>
          <w:tcPr>
            <w:tcW w:w="2140" w:type="dxa"/>
            <w:vAlign w:val="bottom"/>
          </w:tcPr>
          <w:p>
            <w:pPr>
              <w:jc w:val="right"/>
              <w:ind w:right="56"/>
              <w:spacing w:after="0"/>
              <w:rPr>
                <w:sz w:val="20"/>
                <w:szCs w:val="20"/>
                <w:color w:val="auto"/>
              </w:rPr>
            </w:pPr>
            <w:r>
              <w:rPr>
                <w:rFonts w:ascii="Arial" w:cs="Arial" w:eastAsia="Arial" w:hAnsi="Arial"/>
                <w:sz w:val="13"/>
                <w:szCs w:val="13"/>
                <w:color w:val="auto"/>
              </w:rPr>
              <w:t>46,108</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46,108</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Finance income</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(8,609)</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(8,609)</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Finance costs</w:t>
            </w:r>
          </w:p>
        </w:tc>
        <w:tc>
          <w:tcPr>
            <w:tcW w:w="2140" w:type="dxa"/>
            <w:vAlign w:val="bottom"/>
          </w:tcPr>
          <w:p>
            <w:pPr>
              <w:jc w:val="right"/>
              <w:ind w:right="56"/>
              <w:spacing w:after="0"/>
              <w:rPr>
                <w:sz w:val="20"/>
                <w:szCs w:val="20"/>
                <w:color w:val="auto"/>
              </w:rPr>
            </w:pPr>
            <w:r>
              <w:rPr>
                <w:rFonts w:ascii="Arial" w:cs="Arial" w:eastAsia="Arial" w:hAnsi="Arial"/>
                <w:sz w:val="13"/>
                <w:szCs w:val="13"/>
                <w:color w:val="auto"/>
              </w:rPr>
              <w:t>242,616</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242,616</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Income tax expense</w:t>
            </w:r>
          </w:p>
        </w:tc>
        <w:tc>
          <w:tcPr>
            <w:tcW w:w="2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88,553</w:t>
            </w:r>
          </w:p>
        </w:tc>
        <w:tc>
          <w:tcPr>
            <w:tcW w:w="16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(13,080)</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75,473</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Unrealised foreign exchange movements</w:t>
            </w:r>
          </w:p>
        </w:tc>
        <w:tc>
          <w:tcPr>
            <w:tcW w:w="2140" w:type="dxa"/>
            <w:vAlign w:val="bottom"/>
          </w:tcPr>
          <w:p>
            <w:pPr>
              <w:jc w:val="right"/>
              <w:ind w:right="56"/>
              <w:spacing w:after="0"/>
              <w:rPr>
                <w:sz w:val="20"/>
                <w:szCs w:val="20"/>
                <w:color w:val="auto"/>
              </w:rPr>
            </w:pPr>
            <w:r>
              <w:rPr>
                <w:rFonts w:ascii="Arial" w:cs="Arial" w:eastAsia="Arial" w:hAnsi="Arial"/>
                <w:sz w:val="13"/>
                <w:szCs w:val="13"/>
                <w:color w:val="auto"/>
              </w:rPr>
              <w:t>6,911</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6,911</w:t>
            </w:r>
          </w:p>
        </w:tc>
      </w:tr>
      <w:tr>
        <w:trPr>
          <w:trHeight w:val="170"/>
        </w:trPr>
        <w:tc>
          <w:tcPr>
            <w:tcW w:w="6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Other non-cash items</w:t>
            </w:r>
          </w:p>
        </w:tc>
        <w:tc>
          <w:tcPr>
            <w:tcW w:w="2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31,900</w:t>
            </w:r>
          </w:p>
        </w:tc>
        <w:tc>
          <w:tcPr>
            <w:tcW w:w="16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31,900</w:t>
            </w:r>
          </w:p>
        </w:tc>
      </w:tr>
      <w:tr>
        <w:trPr>
          <w:trHeight w:val="162"/>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Operating cash inflow before changes in working capital</w:t>
            </w:r>
          </w:p>
        </w:tc>
        <w:tc>
          <w:tcPr>
            <w:tcW w:w="2140" w:type="dxa"/>
            <w:vAlign w:val="bottom"/>
          </w:tcPr>
          <w:p>
            <w:pPr>
              <w:jc w:val="right"/>
              <w:ind w:right="56"/>
              <w:spacing w:after="0"/>
              <w:rPr>
                <w:sz w:val="20"/>
                <w:szCs w:val="20"/>
                <w:color w:val="auto"/>
              </w:rPr>
            </w:pPr>
            <w:r>
              <w:rPr>
                <w:rFonts w:ascii="Arial" w:cs="Arial" w:eastAsia="Arial" w:hAnsi="Arial"/>
                <w:sz w:val="13"/>
                <w:szCs w:val="13"/>
                <w:color w:val="auto"/>
              </w:rPr>
              <w:t>1,732,149</w:t>
            </w:r>
          </w:p>
        </w:tc>
        <w:tc>
          <w:tcPr>
            <w:tcW w:w="1620" w:type="dxa"/>
            <w:vAlign w:val="bottom"/>
          </w:tcPr>
          <w:p>
            <w:pPr>
              <w:jc w:val="right"/>
              <w:ind w:right="256"/>
              <w:spacing w:after="0"/>
              <w:rPr>
                <w:sz w:val="20"/>
                <w:szCs w:val="20"/>
                <w:color w:val="auto"/>
              </w:rPr>
            </w:pPr>
            <w:r>
              <w:rPr>
                <w:rFonts w:ascii="Arial" w:cs="Arial" w:eastAsia="Arial" w:hAnsi="Arial"/>
                <w:sz w:val="13"/>
                <w:szCs w:val="13"/>
                <w:color w:val="auto"/>
              </w:rPr>
              <w:t>(65,428)</w:t>
            </w:r>
          </w:p>
        </w:tc>
        <w:tc>
          <w:tcPr>
            <w:tcW w:w="1060" w:type="dxa"/>
            <w:vAlign w:val="bottom"/>
          </w:tcPr>
          <w:p>
            <w:pPr>
              <w:jc w:val="right"/>
              <w:spacing w:after="0"/>
              <w:rPr>
                <w:sz w:val="20"/>
                <w:szCs w:val="20"/>
                <w:color w:val="auto"/>
              </w:rPr>
            </w:pPr>
            <w:r>
              <w:rPr>
                <w:rFonts w:ascii="Arial" w:cs="Arial" w:eastAsia="Arial" w:hAnsi="Arial"/>
                <w:sz w:val="13"/>
                <w:szCs w:val="13"/>
                <w:color w:val="auto"/>
              </w:rPr>
              <w:t>1,666,721</w:t>
            </w:r>
          </w:p>
        </w:tc>
      </w:tr>
      <w:tr>
        <w:trPr>
          <w:trHeight w:val="170"/>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w:t>
            </w:r>
          </w:p>
        </w:tc>
        <w:tc>
          <w:tcPr>
            <w:tcW w:w="2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349,309</w:t>
            </w:r>
          </w:p>
        </w:tc>
        <w:tc>
          <w:tcPr>
            <w:tcW w:w="16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(16,693)</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332,616</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Unbilled revenue</w:t>
            </w:r>
          </w:p>
        </w:tc>
        <w:tc>
          <w:tcPr>
            <w:tcW w:w="2140" w:type="dxa"/>
            <w:vAlign w:val="bottom"/>
          </w:tcPr>
          <w:p>
            <w:pPr>
              <w:jc w:val="right"/>
              <w:ind w:right="16"/>
              <w:spacing w:after="0"/>
              <w:rPr>
                <w:sz w:val="20"/>
                <w:szCs w:val="20"/>
                <w:color w:val="auto"/>
              </w:rPr>
            </w:pPr>
            <w:r>
              <w:rPr>
                <w:rFonts w:ascii="Arial" w:cs="Arial" w:eastAsia="Arial" w:hAnsi="Arial"/>
                <w:sz w:val="13"/>
                <w:szCs w:val="13"/>
                <w:color w:val="auto"/>
              </w:rPr>
              <w:t>(339,921)</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147,745</w:t>
            </w:r>
          </w:p>
        </w:tc>
        <w:tc>
          <w:tcPr>
            <w:tcW w:w="1060" w:type="dxa"/>
            <w:vAlign w:val="bottom"/>
          </w:tcPr>
          <w:p>
            <w:pPr>
              <w:jc w:val="right"/>
              <w:spacing w:after="0"/>
              <w:rPr>
                <w:sz w:val="20"/>
                <w:szCs w:val="20"/>
                <w:color w:val="auto"/>
              </w:rPr>
            </w:pPr>
            <w:r>
              <w:rPr>
                <w:rFonts w:ascii="Arial" w:cs="Arial" w:eastAsia="Arial" w:hAnsi="Arial"/>
                <w:sz w:val="13"/>
                <w:szCs w:val="13"/>
                <w:color w:val="auto"/>
              </w:rPr>
              <w:t>(192,176)</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Unearned revenue</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(37,743)</w:t>
            </w:r>
          </w:p>
        </w:tc>
        <w:tc>
          <w:tcPr>
            <w:tcW w:w="16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(59,044)</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(96,787)</w:t>
            </w:r>
          </w:p>
        </w:tc>
      </w:tr>
      <w:tr>
        <w:trPr>
          <w:trHeight w:val="169"/>
        </w:trPr>
        <w:tc>
          <w:tcPr>
            <w:tcW w:w="64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Other net assets</w:t>
            </w:r>
          </w:p>
        </w:tc>
        <w:tc>
          <w:tcPr>
            <w:tcW w:w="2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(44,277)</w:t>
            </w:r>
          </w:p>
        </w:tc>
        <w:tc>
          <w:tcPr>
            <w:tcW w:w="16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(2,984)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(47,261)</w:t>
            </w:r>
          </w:p>
        </w:tc>
      </w:tr>
      <w:tr>
        <w:trPr>
          <w:trHeight w:val="162"/>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provided by operations</w:t>
            </w:r>
          </w:p>
        </w:tc>
        <w:tc>
          <w:tcPr>
            <w:tcW w:w="2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1,659,517</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3,596</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1,663,113</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Income taxes paid</w:t>
            </w:r>
          </w:p>
        </w:tc>
        <w:tc>
          <w:tcPr>
            <w:tcW w:w="2140" w:type="dxa"/>
            <w:vAlign w:val="bottom"/>
          </w:tcPr>
          <w:p>
            <w:pPr>
              <w:jc w:val="right"/>
              <w:ind w:right="16"/>
              <w:spacing w:after="0"/>
              <w:rPr>
                <w:sz w:val="20"/>
                <w:szCs w:val="20"/>
                <w:color w:val="auto"/>
              </w:rPr>
            </w:pPr>
            <w:r>
              <w:rPr>
                <w:rFonts w:ascii="Arial" w:cs="Arial" w:eastAsia="Arial" w:hAnsi="Arial"/>
                <w:sz w:val="13"/>
                <w:szCs w:val="13"/>
                <w:color w:val="auto"/>
              </w:rPr>
              <w:t>(140,718)</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(140,718)</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received</w:t>
            </w:r>
          </w:p>
        </w:tc>
        <w:tc>
          <w:tcPr>
            <w:tcW w:w="2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8,609</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8,609</w:t>
            </w:r>
          </w:p>
        </w:tc>
      </w:tr>
      <w:tr>
        <w:trPr>
          <w:trHeight w:val="169"/>
        </w:trPr>
        <w:tc>
          <w:tcPr>
            <w:tcW w:w="64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Interest and similar costs paid</w:t>
            </w:r>
          </w:p>
        </w:tc>
        <w:tc>
          <w:tcPr>
            <w:tcW w:w="2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(196,622)</w:t>
            </w: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(196,622)</w:t>
            </w:r>
          </w:p>
        </w:tc>
      </w:tr>
      <w:tr>
        <w:trPr>
          <w:trHeight w:val="162"/>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inflow from operating activities</w:t>
            </w:r>
          </w:p>
        </w:tc>
        <w:tc>
          <w:tcPr>
            <w:tcW w:w="2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1,330,786</w:t>
            </w:r>
          </w:p>
        </w:tc>
        <w:tc>
          <w:tcPr>
            <w:tcW w:w="16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3,596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1,334,382</w:t>
            </w:r>
          </w:p>
        </w:tc>
      </w:tr>
      <w:tr>
        <w:trPr>
          <w:trHeight w:val="160"/>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of property, plant and equipment</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(39,804)</w:t>
            </w:r>
          </w:p>
        </w:tc>
        <w:tc>
          <w:tcPr>
            <w:tcW w:w="16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(17,000)</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(56,804)</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Purchase of intangible assets</w:t>
            </w:r>
          </w:p>
        </w:tc>
        <w:tc>
          <w:tcPr>
            <w:tcW w:w="2140" w:type="dxa"/>
            <w:vAlign w:val="bottom"/>
          </w:tcPr>
          <w:p>
            <w:pPr>
              <w:jc w:val="right"/>
              <w:ind w:right="16"/>
              <w:spacing w:after="0"/>
              <w:rPr>
                <w:sz w:val="20"/>
                <w:szCs w:val="20"/>
                <w:color w:val="auto"/>
              </w:rPr>
            </w:pPr>
            <w:r>
              <w:rPr>
                <w:rFonts w:ascii="Arial" w:cs="Arial" w:eastAsia="Arial" w:hAnsi="Arial"/>
                <w:sz w:val="13"/>
                <w:szCs w:val="13"/>
                <w:color w:val="auto"/>
              </w:rPr>
              <w:t>(128,256)</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17,000</w:t>
            </w:r>
          </w:p>
        </w:tc>
        <w:tc>
          <w:tcPr>
            <w:tcW w:w="1060" w:type="dxa"/>
            <w:vAlign w:val="bottom"/>
          </w:tcPr>
          <w:p>
            <w:pPr>
              <w:jc w:val="right"/>
              <w:spacing w:after="0"/>
              <w:rPr>
                <w:sz w:val="20"/>
                <w:szCs w:val="20"/>
                <w:color w:val="auto"/>
              </w:rPr>
            </w:pPr>
            <w:r>
              <w:rPr>
                <w:rFonts w:ascii="Arial" w:cs="Arial" w:eastAsia="Arial" w:hAnsi="Arial"/>
                <w:sz w:val="13"/>
                <w:szCs w:val="13"/>
                <w:color w:val="auto"/>
              </w:rPr>
              <w:t>(111,256)</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of subsidiary undertakings (net of cash acquired)</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(84,159)</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(84,159)</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Proceeds from sale of financial assets</w:t>
            </w:r>
          </w:p>
        </w:tc>
        <w:tc>
          <w:tcPr>
            <w:tcW w:w="2140" w:type="dxa"/>
            <w:vAlign w:val="bottom"/>
          </w:tcPr>
          <w:p>
            <w:pPr>
              <w:jc w:val="right"/>
              <w:ind w:right="56"/>
              <w:spacing w:after="0"/>
              <w:rPr>
                <w:sz w:val="20"/>
                <w:szCs w:val="20"/>
                <w:color w:val="auto"/>
              </w:rPr>
            </w:pPr>
            <w:r>
              <w:rPr>
                <w:rFonts w:ascii="Arial" w:cs="Arial" w:eastAsia="Arial" w:hAnsi="Arial"/>
                <w:sz w:val="13"/>
                <w:szCs w:val="13"/>
                <w:color w:val="auto"/>
              </w:rPr>
              <w:t>2,690</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2,690</w:t>
            </w:r>
          </w:p>
        </w:tc>
      </w:tr>
      <w:tr>
        <w:trPr>
          <w:trHeight w:val="170"/>
        </w:trPr>
        <w:tc>
          <w:tcPr>
            <w:tcW w:w="6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Purchase of financial assets</w:t>
            </w:r>
          </w:p>
        </w:tc>
        <w:tc>
          <w:tcPr>
            <w:tcW w:w="2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(17,261)</w:t>
            </w:r>
          </w:p>
        </w:tc>
        <w:tc>
          <w:tcPr>
            <w:tcW w:w="16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(17,261)</w:t>
            </w:r>
          </w:p>
        </w:tc>
      </w:tr>
      <w:tr>
        <w:trPr>
          <w:trHeight w:val="162"/>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2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(266,790)</w:t>
            </w: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(266,790)</w:t>
            </w:r>
          </w:p>
        </w:tc>
      </w:tr>
      <w:tr>
        <w:trPr>
          <w:trHeight w:val="160"/>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Debt issue costs</w:t>
            </w:r>
          </w:p>
        </w:tc>
        <w:tc>
          <w:tcPr>
            <w:tcW w:w="2140" w:type="dxa"/>
            <w:vAlign w:val="bottom"/>
          </w:tcPr>
          <w:p>
            <w:pPr>
              <w:jc w:val="right"/>
              <w:ind w:right="16"/>
              <w:spacing w:after="0"/>
              <w:rPr>
                <w:sz w:val="20"/>
                <w:szCs w:val="20"/>
                <w:color w:val="auto"/>
              </w:rPr>
            </w:pPr>
            <w:r>
              <w:rPr>
                <w:rFonts w:ascii="Arial" w:cs="Arial" w:eastAsia="Arial" w:hAnsi="Arial"/>
                <w:sz w:val="13"/>
                <w:szCs w:val="13"/>
                <w:color w:val="auto"/>
              </w:rPr>
              <w:t>(12,679)</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(12,679)</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Drawdown of credit lines and loan facilities</w:t>
            </w:r>
          </w:p>
        </w:tc>
        <w:tc>
          <w:tcPr>
            <w:tcW w:w="2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2,317,480</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2,317,480</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Repayment of credit lines and loan facilities</w:t>
            </w:r>
          </w:p>
        </w:tc>
        <w:tc>
          <w:tcPr>
            <w:tcW w:w="2140" w:type="dxa"/>
            <w:vAlign w:val="bottom"/>
          </w:tcPr>
          <w:p>
            <w:pPr>
              <w:jc w:val="right"/>
              <w:ind w:right="16"/>
              <w:spacing w:after="0"/>
              <w:rPr>
                <w:sz w:val="20"/>
                <w:szCs w:val="20"/>
                <w:color w:val="auto"/>
              </w:rPr>
            </w:pPr>
            <w:r>
              <w:rPr>
                <w:rFonts w:ascii="Arial" w:cs="Arial" w:eastAsia="Arial" w:hAnsi="Arial"/>
                <w:sz w:val="13"/>
                <w:szCs w:val="13"/>
                <w:color w:val="auto"/>
              </w:rPr>
              <w:t>(2,677,763)</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(2,677,763)</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Repayments of obligations under lease liabilities</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(47,730)</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(47,730)</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Tax benefit from the exercise of share options</w:t>
            </w:r>
          </w:p>
        </w:tc>
        <w:tc>
          <w:tcPr>
            <w:tcW w:w="2140" w:type="dxa"/>
            <w:vAlign w:val="bottom"/>
          </w:tcPr>
          <w:p>
            <w:pPr>
              <w:jc w:val="right"/>
              <w:ind w:right="56"/>
              <w:spacing w:after="0"/>
              <w:rPr>
                <w:sz w:val="20"/>
                <w:szCs w:val="20"/>
                <w:color w:val="auto"/>
              </w:rPr>
            </w:pPr>
            <w:r>
              <w:rPr>
                <w:rFonts w:ascii="Arial" w:cs="Arial" w:eastAsia="Arial" w:hAnsi="Arial"/>
                <w:sz w:val="13"/>
                <w:szCs w:val="13"/>
                <w:color w:val="auto"/>
              </w:rPr>
              <w:t>3,596</w:t>
            </w:r>
          </w:p>
        </w:tc>
        <w:tc>
          <w:tcPr>
            <w:tcW w:w="1620" w:type="dxa"/>
            <w:vAlign w:val="bottom"/>
          </w:tcPr>
          <w:p>
            <w:pPr>
              <w:jc w:val="right"/>
              <w:ind w:right="256"/>
              <w:spacing w:after="0"/>
              <w:rPr>
                <w:sz w:val="20"/>
                <w:szCs w:val="20"/>
                <w:color w:val="auto"/>
              </w:rPr>
            </w:pPr>
            <w:r>
              <w:rPr>
                <w:rFonts w:ascii="Arial" w:cs="Arial" w:eastAsia="Arial" w:hAnsi="Arial"/>
                <w:sz w:val="13"/>
                <w:szCs w:val="13"/>
                <w:color w:val="auto"/>
              </w:rPr>
              <w:t>(3,596)</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exercise of share options, RSUs and PSUs</w:t>
            </w:r>
          </w:p>
        </w:tc>
        <w:tc>
          <w:tcPr>
            <w:tcW w:w="2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36,187</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36,187</w:t>
            </w:r>
          </w:p>
        </w:tc>
      </w:tr>
      <w:tr>
        <w:trPr>
          <w:trHeight w:val="169"/>
        </w:trPr>
        <w:tc>
          <w:tcPr>
            <w:tcW w:w="6440" w:type="dxa"/>
            <w:vAlign w:val="bottom"/>
          </w:tcPr>
          <w:p>
            <w:pPr>
              <w:ind w:left="100"/>
              <w:spacing w:after="0"/>
              <w:rPr>
                <w:sz w:val="20"/>
                <w:szCs w:val="20"/>
                <w:color w:val="auto"/>
              </w:rPr>
            </w:pPr>
            <w:r>
              <w:rPr>
                <w:rFonts w:ascii="Arial" w:cs="Arial" w:eastAsia="Arial" w:hAnsi="Arial"/>
                <w:sz w:val="13"/>
                <w:szCs w:val="13"/>
                <w:color w:val="auto"/>
              </w:rPr>
              <w:t>Share issue costs</w:t>
            </w:r>
          </w:p>
        </w:tc>
        <w:tc>
          <w:tcPr>
            <w:tcW w:w="214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16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1"/>
        </w:trPr>
        <w:tc>
          <w:tcPr>
            <w:tcW w:w="6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Repurchase of ordinary shares</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(499,998)</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(499,998)</w:t>
            </w:r>
          </w:p>
        </w:tc>
      </w:tr>
      <w:tr>
        <w:trPr>
          <w:trHeight w:val="169"/>
        </w:trPr>
        <w:tc>
          <w:tcPr>
            <w:tcW w:w="64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Share repurchase costs</w:t>
            </w:r>
          </w:p>
        </w:tc>
        <w:tc>
          <w:tcPr>
            <w:tcW w:w="2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(388)</w:t>
            </w: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w:t>
            </w:r>
          </w:p>
        </w:tc>
      </w:tr>
      <w:tr>
        <w:trPr>
          <w:trHeight w:val="162"/>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financing activities</w:t>
            </w:r>
          </w:p>
        </w:tc>
        <w:tc>
          <w:tcPr>
            <w:tcW w:w="2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(881,317)</w:t>
            </w:r>
          </w:p>
        </w:tc>
        <w:tc>
          <w:tcPr>
            <w:tcW w:w="16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(3,596)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(884,913)</w:t>
            </w:r>
          </w:p>
        </w:tc>
      </w:tr>
      <w:tr>
        <w:trPr>
          <w:trHeight w:val="160"/>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increase in cash and cash equivalents</w:t>
            </w:r>
          </w:p>
        </w:tc>
        <w:tc>
          <w:tcPr>
            <w:tcW w:w="2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182,679</w:t>
            </w: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182,679</w:t>
            </w:r>
          </w:p>
        </w:tc>
      </w:tr>
      <w:tr>
        <w:trPr>
          <w:trHeight w:val="160"/>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movements on cash</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(21,996)</w:t>
            </w:r>
          </w:p>
        </w:tc>
        <w:tc>
          <w:tcPr>
            <w:tcW w:w="16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(21,996)</w:t>
            </w:r>
          </w:p>
        </w:tc>
      </w:tr>
      <w:tr>
        <w:trPr>
          <w:trHeight w:val="169"/>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2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378,102</w:t>
            </w: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378,102</w:t>
            </w:r>
          </w:p>
        </w:tc>
      </w:tr>
      <w:tr>
        <w:trPr>
          <w:trHeight w:val="163"/>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2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538,785</w:t>
            </w:r>
          </w:p>
        </w:tc>
        <w:tc>
          <w:tcPr>
            <w:tcW w:w="16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538,785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260"/>
          </w:cols>
          <w:pgMar w:left="300" w:top="69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standards and interpretations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relevant standards and interpretations became effective for the Group during the financial year but do not have a material effect on the results or financial position of the Group:</w:t>
      </w:r>
    </w:p>
    <w:p>
      <w:pPr>
        <w:spacing w:after="0" w:line="190" w:lineRule="exact"/>
        <w:rPr>
          <w:sz w:val="20"/>
          <w:szCs w:val="20"/>
          <w:color w:val="auto"/>
        </w:rPr>
      </w:pPr>
    </w:p>
    <w:p>
      <w:pPr>
        <w:ind w:left="500" w:hanging="240"/>
        <w:spacing w:after="0"/>
        <w:tabs>
          <w:tab w:leader="none" w:pos="500" w:val="left"/>
        </w:tabs>
        <w:numPr>
          <w:ilvl w:val="0"/>
          <w:numId w:val="38"/>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IAS 21 - </w:t>
      </w:r>
      <w:r>
        <w:rPr>
          <w:rFonts w:ascii="Arial" w:cs="Arial" w:eastAsia="Arial" w:hAnsi="Arial"/>
          <w:sz w:val="13"/>
          <w:szCs w:val="13"/>
          <w:i w:val="1"/>
          <w:iCs w:val="1"/>
          <w:color w:val="auto"/>
        </w:rPr>
        <w:t>Lack of Exchangeability (effective date: 1 January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standards are not yet effective for the Group. The Group is currently evaluating the impact of these standards on its consolidated financial statements and disclosures.</w:t>
      </w:r>
    </w:p>
    <w:p>
      <w:pPr>
        <w:spacing w:after="0" w:line="192" w:lineRule="exact"/>
        <w:rPr>
          <w:sz w:val="20"/>
          <w:szCs w:val="20"/>
          <w:color w:val="auto"/>
        </w:rPr>
      </w:pPr>
    </w:p>
    <w:p>
      <w:pPr>
        <w:ind w:left="500" w:hanging="240"/>
        <w:spacing w:after="0"/>
        <w:tabs>
          <w:tab w:leader="none" w:pos="5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Amendments to IFRS 7 and IFRS 9- Classification and Measurement of Financial Instruments (effective date: 1 January 2026)</w:t>
      </w:r>
    </w:p>
    <w:p>
      <w:pPr>
        <w:spacing w:after="0" w:line="9" w:lineRule="exact"/>
        <w:rPr>
          <w:rFonts w:ascii="Arial" w:cs="Arial" w:eastAsia="Arial" w:hAnsi="Arial"/>
          <w:sz w:val="13"/>
          <w:szCs w:val="13"/>
          <w:i w:val="1"/>
          <w:iCs w:val="1"/>
          <w:color w:val="auto"/>
        </w:rPr>
      </w:pPr>
    </w:p>
    <w:p>
      <w:pPr>
        <w:ind w:left="500" w:hanging="240"/>
        <w:spacing w:after="0" w:line="221" w:lineRule="auto"/>
        <w:tabs>
          <w:tab w:leader="none" w:pos="5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IFRS 18 Presentation and Disclosure in Financial Statements (effective date: 1 January 2027)</w:t>
      </w:r>
    </w:p>
    <w:p>
      <w:pPr>
        <w:ind w:left="500" w:hanging="240"/>
        <w:spacing w:after="0"/>
        <w:tabs>
          <w:tab w:leader="none" w:pos="5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IFRS 19 Subsidiaries without Public Accountability: Disclosures (effective date: 1 January 2027)</w:t>
      </w:r>
    </w:p>
    <w:p>
      <w:pPr>
        <w:ind w:left="500" w:hanging="240"/>
        <w:spacing w:after="0"/>
        <w:tabs>
          <w:tab w:leader="none" w:pos="500" w:val="left"/>
        </w:tabs>
        <w:numPr>
          <w:ilvl w:val="0"/>
          <w:numId w:val="39"/>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IAS 21 - Translation to a Hyperinflationary Presentation Currency </w:t>
      </w:r>
      <w:r>
        <w:rPr>
          <w:rFonts w:ascii="Arial" w:cs="Arial" w:eastAsia="Arial" w:hAnsi="Arial"/>
          <w:sz w:val="13"/>
          <w:szCs w:val="13"/>
          <w:i w:val="1"/>
          <w:iCs w:val="1"/>
          <w:color w:val="auto"/>
        </w:rPr>
        <w:t>(effective date: 1 January 2027)</w:t>
      </w:r>
    </w:p>
    <w:p>
      <w:pPr>
        <w:ind w:left="500" w:hanging="240"/>
        <w:spacing w:after="0"/>
        <w:tabs>
          <w:tab w:leader="none" w:pos="5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Annual Improvements to IFRS Accounting Standards - Volume 11 (effective date: 1 January 2026)</w:t>
      </w:r>
    </w:p>
    <w:p>
      <w:pPr>
        <w:ind w:left="500" w:hanging="240"/>
        <w:spacing w:after="0"/>
        <w:tabs>
          <w:tab w:leader="none" w:pos="5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Contracts Referencing Nature-dependent Electricity – Amendments to IFRS 9 and IFRS 7 (effective date: 1 January 2026)</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judgements and key sources of estimation uncertainty</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14"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judgements by management. The application of these critical accounting policies and estimates is discussed with the Audit Committee of the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We earn revenues by providing a number of different services to our clients. These services, which are integral elements of the clinical development process, include clinical trials management, contract staffing, consulting and laboratory services. The criteria for revenue recognition is based on five steps: (1) identify the contract(s) with a customer; (2) identify the performance obligation in the contract; (3) determine the transaction price; (4) allocate the transaction price to the performance obligations in the contract; and (5) recognise revenue when (or as) the entity satisfies the performance obligation.</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Clinical trial services revenue represents the full-service obligation for a clinical trial, including services performed by investigators and other parties, and is treated as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realisable contract value. An assessment of the realisable contract value is judgmental in nature. The realisable value assessment is updated at each reporting period, having regard to (i) contract terms and (ii) customer experience.</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 is recognised on a percentage completion basis as the single performance obligation is satisfied. The progress towards completion for clinical service contracts is measured based on an input measure being total project costs (inclusive of third party costs) at each reporting period. Measurement of the progress towards completion involves judgment and estimation.</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Assessment of completion requires an evaluation of labour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reflects invoicing by third parties. The timing difference between the activity performed and receipt of invoices from third parties may result in significant accrued amounts at reporting periods.</w:t>
      </w:r>
    </w:p>
    <w:p>
      <w:pPr>
        <w:spacing w:after="0" w:line="200" w:lineRule="exact"/>
        <w:rPr>
          <w:sz w:val="20"/>
          <w:szCs w:val="20"/>
          <w:color w:val="auto"/>
        </w:rPr>
      </w:pPr>
    </w:p>
    <w:p>
      <w:pPr>
        <w:spacing w:after="0" w:line="30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280"/>
          </w:cols>
          <w:pgMar w:left="300" w:top="698"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 (continued)</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Company provides data services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 next contract year based on the terms of the data supplier contract. The calculation of the fair value of certain non-monetary terms involves management judgement and estimation.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Intangible assets acquired in a business combination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intangible assets associated with a business combination and assessing the carrying value of goodwill.</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cost of a business combination is measured as the aggregate of the fair values at the date of exchange of assets given, liabilities incurred or assumed and equity instruments issued in exchange for control. The assets, liabilities and contingent liabilities of businesses acquired are generally measured at their fair values at the date of acquisition.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Measurement of intangible assets involves the use of estimates for determining the fair value at the acquisition date. The determination of the fair values of assets and liabilities, as well as of the useful lives of the assets is based on management’s judgment. The valuation of intangible assets required management to develop discounted cash flow models which required the use of reasonable and supportable inputs such as customer attrition data, discount rates developed from various weighted average cost of capital assumptions, growth rates, margin forecasting and assessment of useful lives. Management utilised external valuation experts, where necessary, to ensure the valuation process was sufficiently detailed and robust to develop reliable valuations.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Goodwill is subject to impairment testing on an annual basis, or more frequently if there are indicators of impairment. These assets are allocated to groups of cash generating units (CGUs). The recoverable amount of each of the CGUs is determined based on the higher of fair value less cost of disposal and value-in-use calculations. Goodwill acquired through business combinations has been allocated to the Group’s three CGUs. See Note 13 </w:t>
      </w:r>
      <w:r>
        <w:rPr>
          <w:rFonts w:ascii="Arial" w:cs="Arial" w:eastAsia="Arial" w:hAnsi="Arial"/>
          <w:sz w:val="13"/>
          <w:szCs w:val="13"/>
          <w:i w:val="1"/>
          <w:iCs w:val="1"/>
          <w:color w:val="auto"/>
        </w:rPr>
        <w:t>Goodwill and intangible assets</w:t>
      </w:r>
      <w:r>
        <w:rPr>
          <w:rFonts w:ascii="Arial" w:cs="Arial" w:eastAsia="Arial" w:hAnsi="Arial"/>
          <w:sz w:val="13"/>
          <w:szCs w:val="13"/>
          <w:color w:val="auto"/>
        </w:rPr>
        <w:t xml:space="preserve"> in Notes to the Consolidated Financial Statements for further details.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The impairment review of goodwill which requires cash flow forecasts are for a ten year period and a terminal value. The Group believes a ten year forecast is appropriate to use for the impairment test, due to the cyclical nature of the business in which the Group operates and the long-term lives of its contracts and assets. The terminal value reflects the discounted value of the cash flows beyond year ten which is based on the weighted average long-term growth rates for each CGU. 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w:t>
      </w:r>
      <w:r>
        <w:rPr>
          <w:rFonts w:ascii="Arial" w:cs="Arial" w:eastAsia="Arial" w:hAnsi="Arial"/>
          <w:sz w:val="13"/>
          <w:szCs w:val="13"/>
          <w:i w:val="1"/>
          <w:iCs w:val="1"/>
          <w:color w:val="auto"/>
        </w:rPr>
        <w:t>(</w:t>
      </w:r>
      <w:r>
        <w:rPr>
          <w:rFonts w:ascii="Arial" w:cs="Arial" w:eastAsia="Arial" w:hAnsi="Arial"/>
          <w:sz w:val="13"/>
          <w:szCs w:val="13"/>
          <w:color w:val="auto"/>
        </w:rPr>
        <w:t xml:space="preserve">see Note 13 </w:t>
      </w:r>
      <w:r>
        <w:rPr>
          <w:rFonts w:ascii="Arial" w:cs="Arial" w:eastAsia="Arial" w:hAnsi="Arial"/>
          <w:sz w:val="13"/>
          <w:szCs w:val="13"/>
          <w:i w:val="1"/>
          <w:iCs w:val="1"/>
          <w:color w:val="auto"/>
        </w:rPr>
        <w:t xml:space="preserve">Goodwill and intangible assets </w:t>
      </w:r>
      <w:r>
        <w:rPr>
          <w:rFonts w:ascii="Arial" w:cs="Arial" w:eastAsia="Arial" w:hAnsi="Arial"/>
          <w:sz w:val="13"/>
          <w:szCs w:val="13"/>
          <w:color w:val="auto"/>
        </w:rPr>
        <w:t>in Notes to the Consolidated Financial Statements</w:t>
      </w:r>
      <w:r>
        <w:rPr>
          <w:rFonts w:ascii="Arial" w:cs="Arial" w:eastAsia="Arial" w:hAnsi="Arial"/>
          <w:sz w:val="13"/>
          <w:szCs w:val="13"/>
          <w:i w:val="1"/>
          <w:iCs w:val="1"/>
          <w:color w:val="auto"/>
        </w:rPr>
        <w:t>)</w:t>
      </w:r>
      <w:r>
        <w:rPr>
          <w:rFonts w:ascii="Arial" w:cs="Arial" w:eastAsia="Arial" w:hAnsi="Arial"/>
          <w:sz w:val="13"/>
          <w:szCs w:val="13"/>
          <w:color w:val="auto"/>
        </w:rPr>
        <w:t>. The Group’s cash flow projections are adjusted each year for actual and expected changes in performance.</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utilised external valuation experts, where necessary, to ensure the review process was sufficiently detailed and robust to develop reliable valuations.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280"/>
          </w:cols>
          <w:pgMar w:left="300" w:top="698"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Given the global nature of our business and the multiple taxing jurisdictions in which the Group operates, the determination of the Group’s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and does not give rise to equal taxable and deductible temporary differences. Deferred income tax assets and liabilities are measured at the tax rates that are expected to apply in the year when the asset is expected to be realised or the liability to be settled.</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3"/>
          <w:szCs w:val="13"/>
          <w:color w:val="auto"/>
        </w:rPr>
        <w:t>Recognition of deferred tax assets is based on management’s belief that it is probable that the income tax benefit associated with certain temporary differences, income tax operating loss, capital loss carryforwards, and income tax credits, would be realised. The carrying amount of deferred income tax assets is reviewed at each reporting date and reduced to the extent that it is no longer probable that sufficient taxable profit would be available to allow all or part of the deferred income tax asset to be utilised. The Group accounts for the impact of GILTI (“global intangible low-taxed income”) in the period it arises and therefore has not provided for deferred taxes in respect of this item. The Group recognises the effect of income tax positions only if those positions will more likely than not be sustained. If the estimate of future taxable income or tax strategies changes at any time in the future, the Group would record an adjustment to the deferred tax asset. Recording such an adjustment could have a material effect on the Group's financial condition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Material Accounting Policy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accounting policies have been applied consistently in dealing with items which are considered material in relation to the Group’s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Group’s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presentation and functional currency of the Company is US dollars ($). The presentation currency of the Group is US dollars ($).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Company Financial Statements are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80"/>
          </w:cols>
          <w:pgMar w:left="300" w:top="698"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 (continued)</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recorded in the foreign currency reserve within equity.</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principal exchange rates used for the translation of results, cash flows and statements of financial position into US dollars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Average</w:t>
            </w:r>
          </w:p>
        </w:tc>
        <w:tc>
          <w:tcPr>
            <w:tcW w:w="13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 end</w:t>
            </w:r>
          </w:p>
        </w:tc>
        <w:tc>
          <w:tcPr>
            <w:tcW w:w="1160" w:type="dxa"/>
            <w:vAlign w:val="bottom"/>
            <w:tcBorders>
              <w:bottom w:val="single" w:sz="8" w:color="auto"/>
            </w:tcBorders>
            <w:shd w:val="clear" w:color="auto" w:fill="CCEEFF"/>
          </w:tcPr>
          <w:p>
            <w:pPr>
              <w:spacing w:after="0"/>
              <w:rPr>
                <w:sz w:val="14"/>
                <w:szCs w:val="14"/>
                <w:color w:val="auto"/>
              </w:rPr>
            </w:pPr>
          </w:p>
        </w:tc>
      </w:tr>
      <w:tr>
        <w:trPr>
          <w:trHeight w:val="160"/>
        </w:trPr>
        <w:tc>
          <w:tcPr>
            <w:tcW w:w="5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2025</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31 December 2024</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 December 2024</w:t>
            </w:r>
          </w:p>
        </w:tc>
      </w:tr>
      <w:tr>
        <w:trPr>
          <w:trHeight w:val="16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Euro 1:$</w:t>
            </w:r>
          </w:p>
        </w:tc>
        <w:tc>
          <w:tcPr>
            <w:tcW w:w="18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1.1222</w:t>
            </w:r>
          </w:p>
        </w:tc>
        <w:tc>
          <w:tcPr>
            <w:tcW w:w="1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1.0854</w:t>
            </w:r>
          </w:p>
        </w:tc>
        <w:tc>
          <w:tcPr>
            <w:tcW w:w="16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1.1746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1.0354</w:t>
            </w:r>
          </w:p>
        </w:tc>
      </w:tr>
      <w:tr>
        <w:trPr>
          <w:trHeight w:val="162"/>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1.3150</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1.2809</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1.3475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1.2516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Items of property, plant and equipment are stated at cost less accumulated depreciation and any provisions for impairment losses. 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Borders>
              <w:bottom w:val="single" w:sz="8" w:color="auto"/>
            </w:tcBorders>
            <w:shd w:val="clear" w:color="auto" w:fill="CCEEFF"/>
          </w:tcPr>
          <w:p>
            <w:pPr>
              <w:spacing w:after="0"/>
              <w:rPr>
                <w:sz w:val="14"/>
                <w:szCs w:val="14"/>
                <w:color w:val="auto"/>
              </w:rPr>
            </w:pPr>
          </w:p>
        </w:tc>
        <w:tc>
          <w:tcPr>
            <w:tcW w:w="5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Years</w:t>
            </w:r>
          </w:p>
        </w:tc>
      </w:tr>
      <w:tr>
        <w:trPr>
          <w:trHeight w:val="191"/>
        </w:trPr>
        <w:tc>
          <w:tcPr>
            <w:tcW w:w="6220" w:type="dxa"/>
            <w:vAlign w:val="bottom"/>
          </w:tcPr>
          <w:p>
            <w:pPr>
              <w:ind w:left="20"/>
              <w:spacing w:after="0"/>
              <w:rPr>
                <w:sz w:val="20"/>
                <w:szCs w:val="20"/>
                <w:color w:val="auto"/>
              </w:rPr>
            </w:pPr>
            <w:r>
              <w:rPr>
                <w:rFonts w:ascii="Arial" w:cs="Arial" w:eastAsia="Arial" w:hAnsi="Arial"/>
                <w:sz w:val="13"/>
                <w:szCs w:val="13"/>
                <w:color w:val="auto"/>
              </w:rPr>
              <w:t>Buildings</w:t>
            </w:r>
          </w:p>
        </w:tc>
        <w:tc>
          <w:tcPr>
            <w:tcW w:w="504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203"/>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5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200"/>
        </w:trPr>
        <w:tc>
          <w:tcPr>
            <w:tcW w:w="6220" w:type="dxa"/>
            <w:vAlign w:val="bottom"/>
          </w:tcPr>
          <w:p>
            <w:pPr>
              <w:ind w:left="20"/>
              <w:spacing w:after="0"/>
              <w:rPr>
                <w:sz w:val="20"/>
                <w:szCs w:val="20"/>
                <w:color w:val="auto"/>
              </w:rPr>
            </w:pPr>
            <w:r>
              <w:rPr>
                <w:rFonts w:ascii="Arial" w:cs="Arial" w:eastAsia="Arial" w:hAnsi="Arial"/>
                <w:sz w:val="13"/>
                <w:szCs w:val="13"/>
                <w:color w:val="auto"/>
              </w:rPr>
              <w:t>Office furniture and fixtures</w:t>
            </w:r>
          </w:p>
        </w:tc>
        <w:tc>
          <w:tcPr>
            <w:tcW w:w="504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3"/>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w:t>
            </w:r>
          </w:p>
        </w:tc>
        <w:tc>
          <w:tcPr>
            <w:tcW w:w="5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99"/>
        </w:trPr>
        <w:tc>
          <w:tcPr>
            <w:tcW w:w="6220" w:type="dxa"/>
            <w:vAlign w:val="bottom"/>
          </w:tcPr>
          <w:p>
            <w:pPr>
              <w:ind w:left="20"/>
              <w:spacing w:after="0"/>
              <w:rPr>
                <w:sz w:val="20"/>
                <w:szCs w:val="20"/>
                <w:color w:val="auto"/>
              </w:rPr>
            </w:pPr>
            <w:r>
              <w:rPr>
                <w:rFonts w:ascii="Arial" w:cs="Arial" w:eastAsia="Arial" w:hAnsi="Arial"/>
                <w:sz w:val="13"/>
                <w:szCs w:val="13"/>
                <w:color w:val="auto"/>
              </w:rPr>
              <w:t>Motor vehicles</w:t>
            </w:r>
          </w:p>
        </w:tc>
        <w:tc>
          <w:tcPr>
            <w:tcW w:w="5040" w:type="dxa"/>
            <w:vAlign w:val="bottom"/>
          </w:tcPr>
          <w:p>
            <w:pPr>
              <w:jc w:val="right"/>
              <w:spacing w:after="0"/>
              <w:rPr>
                <w:sz w:val="20"/>
                <w:szCs w:val="20"/>
                <w:color w:val="auto"/>
              </w:rPr>
            </w:pPr>
            <w:r>
              <w:rPr>
                <w:rFonts w:ascii="Arial" w:cs="Arial" w:eastAsia="Arial" w:hAnsi="Arial"/>
                <w:sz w:val="13"/>
                <w:szCs w:val="13"/>
                <w:color w:val="auto"/>
              </w:rPr>
              <w:t>5</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Leasehold improvements are amortised using the straight-line method over the estimated useful life of the asset or the lease term, whichever is shorter.</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carrying amounts of the Group’s property, plant and equipment are reviewed at each reporting date to determine whether there is any indicator of impairment. Where such an indicator exists an impairment review is carried out. An impairment loss is recognised whenever the carrying amount of an asset or its cash-generating unit exceeds its recoverable amount. Impairment losses are recognised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80"/>
          </w:cols>
          <w:pgMar w:left="300" w:top="698" w:right="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plant and equipment (continued)</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 and lease liabilities</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ICON determines if an arrangement is a lease at inception and recognises the rights and obligations on the Consolidated Statements of Financial Position as right-of-use (ROU) assets with corresponding lease liabilities.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right-of-use assets comprise the initial measurement of the corresponding lease liability, plus lease payments made at or before the commencement day and any initial direct costs, less any lease incentives received. They are subsequently measured at cost less accumulated depreciation and impairment losses. Right-of-use assets are depreciated over the lease term.</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right-of-use assets are presented as a separate line in the Consolidated Statement of Financial Position. The Group applies IAS 36 to determine whether a right-of-use asset is impaired and accounts for any identified impairment loss as described in the ‘Property, Plant and Equipment’ policy.</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Lease liabilities are recognised based on the present value of future minimum lease payments over the lease term at commencement date or date of transition with the interest element of the lease charged to finance costs. As most of ICON's leases do not provide an implicit rate, the discount rate used is based on the Group's incremental borrowing rate derived from the rate of traded corporate bonds available at the commencement date adjusted for country risk, liquidity and lease term.</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Current lease liabilities are included in accrued and other liabilities in the Consolidated Statement of Financial Position and non-current lease liabilities are presented as a separate line. The lease liability is subsequently measured by increasing the carrying amount to reflect interest on the lease liability (using the effective interest method) and by reducing the carrying amount to reflect the lease payments made.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Lease terms may also include options to extend or terminate. Such options are actively reviewed and adjustments to the ROU asset and lease liability are made when it is reasonably certain the option will be exercised.</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The Group accounts for lease and non-lease components separately with the exception of motor vehicle leases for which lease and non-lease components are accounted as a single lease component.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Lease components are reflected in the Consolidated Statements of Financial Position and non-lease components expensed directly to the Consolidated Statements of Profit and Loss.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Group has elected to apply the recognition exemption for short-term leases. Instead of recognising a right-of-use asset and lease liability, the payments in relation to these are recognised as an expense in the Consolidated Statement of Profit and Loss on a straight-line basis over the lease term.</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some cases, ICON enters into sublease agreements and becomes both a lessee and a lessor for the same underlying asset. When the Group is an intermediate lessor, it accounts for the head lease and the sub-lease as two separate contracts. Subleases are accounted for in the same way as other leases. The sub-lease is classified as a finance or operating lease by reference to the right-of-use asset arising from the head lease.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to the assessment of contingent consideration determined as at acquisition date will be accounted for through the Consolidated Statement of Profit and Loss, as the liability is measured at fair value at each reporting date.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280"/>
          </w:cols>
          <w:pgMar w:left="300" w:top="698"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 (continued)</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The Group measures goodwill at the acquisition date as the fair value of the consideration transferred plus the recognised amount of any non 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Note 13 </w:t>
      </w:r>
      <w:r>
        <w:rPr>
          <w:rFonts w:ascii="Arial" w:cs="Arial" w:eastAsia="Arial" w:hAnsi="Arial"/>
          <w:sz w:val="13"/>
          <w:szCs w:val="13"/>
          <w:i w:val="1"/>
          <w:iCs w:val="1"/>
          <w:color w:val="auto"/>
        </w:rPr>
        <w:t>Goodwill and intangible assets</w:t>
      </w:r>
      <w:r>
        <w:rPr>
          <w:rFonts w:ascii="Arial" w:cs="Arial" w:eastAsia="Arial" w:hAnsi="Arial"/>
          <w:sz w:val="13"/>
          <w:szCs w:val="13"/>
          <w:color w:val="auto"/>
        </w:rPr>
        <w:t xml:space="preserve"> in Notes to the Consolidated Financial Statements.</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Following initial recognition, goodwill is measured at cost less any accumulated impairment losses. Goodwill is reviewed for impairment annually or more frequently if events or changes in circumstances indicate that the carrying value may be impaired. Impairment losses in respect of goodwill are not reversed.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straight-line basis over the estimated useful lives of intangible assets, currently estimated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Years</w:t>
            </w:r>
          </w:p>
        </w:tc>
      </w:tr>
      <w:tr>
        <w:trPr>
          <w:trHeight w:val="159"/>
        </w:trPr>
        <w:tc>
          <w:tcPr>
            <w:tcW w:w="6260" w:type="dxa"/>
            <w:vAlign w:val="bottom"/>
          </w:tcPr>
          <w:p>
            <w:pPr>
              <w:ind w:left="20"/>
              <w:spacing w:after="0"/>
              <w:rPr>
                <w:sz w:val="20"/>
                <w:szCs w:val="20"/>
                <w:color w:val="auto"/>
              </w:rPr>
            </w:pPr>
            <w:r>
              <w:rPr>
                <w:rFonts w:ascii="Arial" w:cs="Arial" w:eastAsia="Arial" w:hAnsi="Arial"/>
                <w:sz w:val="13"/>
                <w:szCs w:val="13"/>
                <w:color w:val="auto"/>
              </w:rPr>
              <w:t>Computer software</w:t>
            </w:r>
          </w:p>
        </w:tc>
        <w:tc>
          <w:tcPr>
            <w:tcW w:w="50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Customer relationships</w:t>
            </w:r>
          </w:p>
        </w:tc>
        <w:tc>
          <w:tcPr>
            <w:tcW w:w="5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r>
      <w:tr>
        <w:trPr>
          <w:trHeight w:val="169"/>
        </w:trPr>
        <w:tc>
          <w:tcPr>
            <w:tcW w:w="6260" w:type="dxa"/>
            <w:vAlign w:val="bottom"/>
          </w:tcPr>
          <w:p>
            <w:pPr>
              <w:ind w:left="20"/>
              <w:spacing w:after="0"/>
              <w:rPr>
                <w:sz w:val="20"/>
                <w:szCs w:val="20"/>
                <w:color w:val="auto"/>
              </w:rPr>
            </w:pPr>
            <w:r>
              <w:rPr>
                <w:rFonts w:ascii="Arial" w:cs="Arial" w:eastAsia="Arial" w:hAnsi="Arial"/>
                <w:sz w:val="13"/>
                <w:szCs w:val="13"/>
                <w:color w:val="auto"/>
              </w:rPr>
              <w:t>Order backlog</w:t>
            </w:r>
          </w:p>
        </w:tc>
        <w:tc>
          <w:tcPr>
            <w:tcW w:w="50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Tradenames</w:t>
            </w:r>
          </w:p>
        </w:tc>
        <w:tc>
          <w:tcPr>
            <w:tcW w:w="5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6260" w:type="dxa"/>
            <w:vAlign w:val="bottom"/>
          </w:tcPr>
          <w:p>
            <w:pPr>
              <w:ind w:left="20"/>
              <w:spacing w:after="0"/>
              <w:rPr>
                <w:sz w:val="20"/>
                <w:szCs w:val="20"/>
                <w:color w:val="auto"/>
              </w:rPr>
            </w:pPr>
            <w:r>
              <w:rPr>
                <w:rFonts w:ascii="Arial" w:cs="Arial" w:eastAsia="Arial" w:hAnsi="Arial"/>
                <w:sz w:val="13"/>
                <w:szCs w:val="13"/>
                <w:color w:val="auto"/>
              </w:rPr>
              <w:t>Technology asset</w:t>
            </w:r>
          </w:p>
        </w:tc>
        <w:tc>
          <w:tcPr>
            <w:tcW w:w="50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Non-compete arrangements</w:t>
            </w:r>
          </w:p>
        </w:tc>
        <w:tc>
          <w:tcPr>
            <w:tcW w:w="5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7"/>
        </w:trPr>
        <w:tc>
          <w:tcPr>
            <w:tcW w:w="6260" w:type="dxa"/>
            <w:vAlign w:val="bottom"/>
          </w:tcPr>
          <w:p>
            <w:pPr>
              <w:ind w:left="20"/>
              <w:spacing w:after="0"/>
              <w:rPr>
                <w:sz w:val="20"/>
                <w:szCs w:val="20"/>
                <w:color w:val="auto"/>
              </w:rPr>
            </w:pPr>
            <w:r>
              <w:rPr>
                <w:rFonts w:ascii="Arial" w:cs="Arial" w:eastAsia="Arial" w:hAnsi="Arial"/>
                <w:sz w:val="13"/>
                <w:szCs w:val="13"/>
                <w:color w:val="auto"/>
              </w:rPr>
              <w:t>Patient database</w:t>
            </w:r>
          </w:p>
        </w:tc>
        <w:tc>
          <w:tcPr>
            <w:tcW w:w="5000" w:type="dxa"/>
            <w:vAlign w:val="bottom"/>
          </w:tcPr>
          <w:p>
            <w:pPr>
              <w:jc w:val="right"/>
              <w:spacing w:after="0"/>
              <w:rPr>
                <w:sz w:val="20"/>
                <w:szCs w:val="20"/>
                <w:color w:val="auto"/>
              </w:rPr>
            </w:pPr>
            <w:r>
              <w:rPr>
                <w:rFonts w:ascii="Arial" w:cs="Arial" w:eastAsia="Arial" w:hAnsi="Arial"/>
                <w:sz w:val="13"/>
                <w:szCs w:val="13"/>
                <w:color w:val="auto"/>
              </w:rPr>
              <w:t>7</w:t>
            </w:r>
          </w:p>
        </w:tc>
      </w:tr>
    </w:tbl>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assesses at the end of each reporting period whether there is objective evidence that an intangible asset is impaired. An intangible asset is impaired and impairment losses are incurred only if there is objective evidence of impairment as a result of one or more events that occur after the initial recognition of the intangible asset (a 'loss event') and that loss event (or events) has an impact on the estimated future cash flows of the intangible asset that can be reliably estimated.</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Impairment losses in respect of intangible assets are reversed if there has been a change in the estimates used to determine recoverable amount. Impairment losses are reversed only to the extent that the carrying amount of the intangible asset does not exceed the carrying value that would have been determined, net of amortisation, if no impairment loss had been recognised.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Inventories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33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280"/>
          </w:cols>
          <w:pgMar w:left="300" w:top="698"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payable</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 grants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Grants that compensate the Group for expenses incurred are recognised in the Consolidated Statement of Profit and Loss in the same periods in which the expenditure to which they relate is charged. 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Financial assets and financial liabilities are recognised on the Consolidated Statement of Financial Position when the Group becomes party to the contractual provisions of the instrument.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Financial assets are recognised and derecognised on a trade date basis, being the date the Group commits to purchase or sell the asset under a contract.</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Financial assets and liabilities are offset and presented on a net basis in the Consolidated Statement of Financial Position, only if the Group holds an enforceable legal right of set off for such amounts and there is an intention to settle on a net basis or to realise an asset and settle the liability simultaneously. In all other instances they are presented gross in the Consolidated Statement of Financial Position.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For assets measured at fair value, gains and losses will either be recorded in profit or loss or OCI. The classification depends on the entity's business model for managing financial assets and the contractual terms of the cash flows. For investments in equity instruments that are not held for trading, this will depend on whether the Group has made an irrevocable election at the time of initial recognition to account for the equity investment at fair value through other comprehensive income (FVOCI).</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280"/>
          </w:cols>
          <w:pgMar w:left="300" w:top="698"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 (continued)</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Subsequent measurement of debt instruments depends on the Group's business model for managing the asset and the cash flow characteristics of the asset. There are three measurement categories into which the Group classifies its financial instruments:</w:t>
      </w:r>
    </w:p>
    <w:p>
      <w:pPr>
        <w:spacing w:after="0" w:line="157" w:lineRule="exact"/>
        <w:rPr>
          <w:sz w:val="20"/>
          <w:szCs w:val="20"/>
          <w:color w:val="auto"/>
        </w:rPr>
      </w:pPr>
    </w:p>
    <w:p>
      <w:pPr>
        <w:jc w:val="both"/>
        <w:ind w:left="520" w:hanging="260"/>
        <w:spacing w:after="0" w:line="252" w:lineRule="auto"/>
        <w:tabs>
          <w:tab w:leader="none" w:pos="511" w:val="left"/>
        </w:tabs>
        <w:numPr>
          <w:ilvl w:val="0"/>
          <w:numId w:val="40"/>
        </w:numPr>
        <w:rPr>
          <w:rFonts w:ascii="Arial" w:cs="Arial" w:eastAsia="Arial" w:hAnsi="Arial"/>
          <w:sz w:val="13"/>
          <w:szCs w:val="13"/>
          <w:color w:val="auto"/>
        </w:rPr>
      </w:pPr>
      <w:r>
        <w:rPr>
          <w:rFonts w:ascii="Arial" w:cs="Arial" w:eastAsia="Arial" w:hAnsi="Arial"/>
          <w:sz w:val="13"/>
          <w:szCs w:val="13"/>
          <w:color w:val="auto"/>
        </w:rPr>
        <w:t>Amortised cost: Assets that are held for collection of contractual cash flows where those cash flows represent solely payments of principal and interest are measured at amortised cost. Interest income from these financial assets is included in finance income using the effective interest rate method. Any gain or loss arising on derecognition is recognised directly in profit or loss and presented in other gains/(losses) together with foreign exchange gains and losses.</w:t>
      </w:r>
    </w:p>
    <w:p>
      <w:pPr>
        <w:spacing w:after="0" w:line="155" w:lineRule="exact"/>
        <w:rPr>
          <w:rFonts w:ascii="Arial" w:cs="Arial" w:eastAsia="Arial" w:hAnsi="Arial"/>
          <w:sz w:val="13"/>
          <w:szCs w:val="13"/>
          <w:color w:val="auto"/>
        </w:rPr>
      </w:pPr>
    </w:p>
    <w:p>
      <w:pPr>
        <w:jc w:val="both"/>
        <w:ind w:left="520" w:hanging="260"/>
        <w:spacing w:after="0" w:line="247" w:lineRule="auto"/>
        <w:tabs>
          <w:tab w:leader="none" w:pos="511" w:val="left"/>
        </w:tabs>
        <w:numPr>
          <w:ilvl w:val="0"/>
          <w:numId w:val="40"/>
        </w:numPr>
        <w:rPr>
          <w:rFonts w:ascii="Arial" w:cs="Arial" w:eastAsia="Arial" w:hAnsi="Arial"/>
          <w:sz w:val="13"/>
          <w:szCs w:val="13"/>
          <w:b w:val="1"/>
          <w:bCs w:val="1"/>
          <w:i w:val="1"/>
          <w:iCs w:val="1"/>
          <w:color w:val="auto"/>
        </w:rPr>
      </w:pPr>
      <w:r>
        <w:rPr>
          <w:rFonts w:ascii="Arial" w:cs="Arial" w:eastAsia="Arial" w:hAnsi="Arial"/>
          <w:sz w:val="13"/>
          <w:szCs w:val="13"/>
          <w:color w:val="auto"/>
        </w:rPr>
        <w:t>FVOCI: Assets that are held for collection of contractual cash flows and for selling the financial assets, where the assets' cash flows represent solely payments of principal and interest, are measured at FVOCI. Movements in the carrying amount are taken through OCI, except for the recognition of impairment losses. When the financial asset is derecognised, the cumulative gain or loss previously recognised in OCI is reclassified from equity to profit or loss and recognised in other gains/(losses). Interest income from these financial assets is included in finance income using the effective interest rate method.</w:t>
      </w:r>
    </w:p>
    <w:p>
      <w:pPr>
        <w:spacing w:after="0" w:line="169" w:lineRule="exact"/>
        <w:rPr>
          <w:rFonts w:ascii="Arial" w:cs="Arial" w:eastAsia="Arial" w:hAnsi="Arial"/>
          <w:sz w:val="13"/>
          <w:szCs w:val="13"/>
          <w:b w:val="1"/>
          <w:bCs w:val="1"/>
          <w:i w:val="1"/>
          <w:iCs w:val="1"/>
          <w:color w:val="auto"/>
        </w:rPr>
      </w:pPr>
    </w:p>
    <w:p>
      <w:pPr>
        <w:ind w:left="520" w:hanging="260"/>
        <w:spacing w:after="0" w:line="249" w:lineRule="auto"/>
        <w:tabs>
          <w:tab w:leader="none" w:pos="511" w:val="left"/>
        </w:tabs>
        <w:numPr>
          <w:ilvl w:val="0"/>
          <w:numId w:val="40"/>
        </w:numPr>
        <w:rPr>
          <w:rFonts w:ascii="Arial" w:cs="Arial" w:eastAsia="Arial" w:hAnsi="Arial"/>
          <w:sz w:val="13"/>
          <w:szCs w:val="13"/>
          <w:color w:val="auto"/>
        </w:rPr>
      </w:pPr>
      <w:r>
        <w:rPr>
          <w:rFonts w:ascii="Arial" w:cs="Arial" w:eastAsia="Arial" w:hAnsi="Arial"/>
          <w:sz w:val="13"/>
          <w:szCs w:val="13"/>
          <w:color w:val="auto"/>
        </w:rPr>
        <w:t>FVPL: Assets that do not meet the criteria for amortised cost or FVOCI are measured at FVPL. A gain or loss on a debt investment that is subsequently measured at FVPL is recognised in profit or loss.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Group assesses on a forward-looking basis the expected credit losses associated with its debt instruments carried at amortised cost.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Group reclassifies debt investments when and only when its business model for managing those assets changes.</w:t>
      </w:r>
    </w:p>
    <w:p>
      <w:pPr>
        <w:spacing w:after="0" w:line="192" w:lineRule="exact"/>
        <w:rPr>
          <w:sz w:val="20"/>
          <w:szCs w:val="20"/>
          <w:color w:val="auto"/>
        </w:rPr>
      </w:pPr>
    </w:p>
    <w:p>
      <w:pPr>
        <w:ind w:left="300" w:hanging="295"/>
        <w:spacing w:after="0"/>
        <w:tabs>
          <w:tab w:leader="none" w:pos="300" w:val="left"/>
        </w:tabs>
        <w:numPr>
          <w:ilvl w:val="0"/>
          <w:numId w:val="41"/>
        </w:numPr>
        <w:rPr>
          <w:rFonts w:ascii="Arial" w:cs="Arial" w:eastAsia="Arial" w:hAnsi="Arial"/>
          <w:sz w:val="13"/>
          <w:szCs w:val="13"/>
          <w:i w:val="1"/>
          <w:iCs w:val="1"/>
          <w:color w:val="auto"/>
        </w:rPr>
      </w:pPr>
      <w:r>
        <w:rPr>
          <w:rFonts w:ascii="Arial" w:cs="Arial" w:eastAsia="Arial" w:hAnsi="Arial"/>
          <w:sz w:val="13"/>
          <w:szCs w:val="13"/>
          <w:i w:val="1"/>
          <w:iCs w:val="1"/>
          <w:color w:val="auto"/>
        </w:rPr>
        <w:t>Cash and cash equivalents</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Cash and cash equivalents include cash and highly liquid investments with original maturities of three months or less and are stated at fair value on initial recognition followed by amortised cost, which approximates fair value.</w:t>
      </w:r>
    </w:p>
    <w:p>
      <w:pPr>
        <w:spacing w:after="0" w:line="169" w:lineRule="exact"/>
        <w:rPr>
          <w:sz w:val="20"/>
          <w:szCs w:val="20"/>
          <w:color w:val="auto"/>
        </w:rPr>
      </w:pPr>
    </w:p>
    <w:p>
      <w:pPr>
        <w:ind w:left="300" w:hanging="295"/>
        <w:spacing w:after="0"/>
        <w:tabs>
          <w:tab w:leader="none" w:pos="30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Trade receivables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Trade receivables are amounts due from customers for services performed in the ordinary course of business. Trade receivables are recognised initially at the amount of consideration that is unconditional unless they contain significant financing components. The amount of consideration that is unconditional approximates to fair value. The Group holds the trade receivables with the objective to collect the contractual cash flows and therefore measures them subsequently at amortised cost using the effective interest method.</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Where the Group enters into arrangements to sell certain trade receivables, such arrangements are accounted for in accordance with IFRS 9, Financial Instruments (“IFRS 9”). The underlying trade receivables are derecognised to the extent that substantially all of the risks and rewards of ownership of the trade receivables are transferred, under the terms of the arrangements. Cash proceeds received from such sales are included in operating cash flows.</w:t>
      </w:r>
    </w:p>
    <w:p>
      <w:pPr>
        <w:spacing w:after="0" w:line="168" w:lineRule="exact"/>
        <w:rPr>
          <w:sz w:val="20"/>
          <w:szCs w:val="20"/>
          <w:color w:val="auto"/>
        </w:rPr>
      </w:pPr>
    </w:p>
    <w:p>
      <w:pPr>
        <w:ind w:left="300" w:hanging="295"/>
        <w:spacing w:after="0"/>
        <w:tabs>
          <w:tab w:leader="none" w:pos="30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Interest bearing loans and borrowings</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Borrowings are initially recognised at fair value, net of transaction costs incurred. Borrowings are subsequently measured at amortised cost.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rate basis. Fees paid on the establishment of loan facilities are recognised as transaction costs of the loan to the extent that it is probable that some or all of the facility will be drawn down. In this case, the fee is deferred until draw down will occur. Where there is no evidence that it is probable that some or all of the facility will be drawn down, the fee is capitalised as a prepayment and amortised over the period of the facility to which it relates.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Debt issuance costs relating to the Group’s long-term debt are recorded as a direct reduction of long-term debt; these costs are deferred and amortised to interest expense using the effective interest method, over the respective terms of the related debt. Debt issuance costs relating to the Group’s revolving credit facilities are recorded as an asset; these costs are deferred and amortised to interest expense using the straight-line method. Early repayment of debt facilities can result in modification of the debt and the acceleration of the amortisation of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Borrowings are classified as current liabilities unless the Group has a right to defer settlement of the liability for at least 12 months after the reporting 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280"/>
          </w:cols>
          <w:pgMar w:left="300" w:top="698" w:right="3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 (continued)</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Borrowings are removed from the Consolidated Statement of Financial Position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recognised in profit or loss as other income or finance costs.</w:t>
      </w:r>
    </w:p>
    <w:p>
      <w:pPr>
        <w:spacing w:after="0" w:line="168" w:lineRule="exact"/>
        <w:rPr>
          <w:sz w:val="20"/>
          <w:szCs w:val="20"/>
          <w:color w:val="auto"/>
        </w:rPr>
      </w:pPr>
    </w:p>
    <w:p>
      <w:pPr>
        <w:ind w:left="300" w:hanging="295"/>
        <w:spacing w:after="0"/>
        <w:tabs>
          <w:tab w:leader="none" w:pos="30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Equity instruments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 entered into subscription agreements with a number of funds. The Group subsequently measures all equity investments, including fund subscriptions, at FVPL. Changes in the fair value of equity investments and fund subscriptions measured at FVPL are recognised in the Consolidated Statement of Profit and Loss. Dividends or interest from such investments continue to be recognised in the Consolidated Statement of Profit and Loss when the Group’s right to receive payments is established.</w:t>
      </w:r>
    </w:p>
    <w:p>
      <w:pPr>
        <w:spacing w:after="0" w:line="172" w:lineRule="exact"/>
        <w:rPr>
          <w:sz w:val="20"/>
          <w:szCs w:val="20"/>
          <w:color w:val="auto"/>
        </w:rPr>
      </w:pPr>
    </w:p>
    <w:p>
      <w:pPr>
        <w:ind w:left="300" w:hanging="295"/>
        <w:spacing w:after="0"/>
        <w:tabs>
          <w:tab w:leader="none" w:pos="30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Current financial assets</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Group classifies short term investments as current financial assets. Short-term investments comprise highly liquid investments with maturities of greater than three months. Current financial assets are subsequently measured at fair value through OCI.</w:t>
      </w:r>
    </w:p>
    <w:p>
      <w:pPr>
        <w:spacing w:after="0" w:line="148" w:lineRule="exact"/>
        <w:rPr>
          <w:sz w:val="20"/>
          <w:szCs w:val="20"/>
          <w:color w:val="auto"/>
        </w:rPr>
      </w:pPr>
    </w:p>
    <w:p>
      <w:pPr>
        <w:ind w:left="260" w:hanging="255"/>
        <w:spacing w:after="0"/>
        <w:tabs>
          <w:tab w:leader="none" w:pos="26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Impairment of financial assets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Group's financial assets measured at amortised cost, the most significant of which are trade receivables and unbilled receivables, are subject to IFRS 9's expected credit loss model.</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For trade receivables and unbilled revenue, the Group applies the simplified approach permitted by IFRS 9, which requires expected lifetime losses to be recognised from initial recognition of the receivables. See Notes 16 and 24 for further details. The expected credit losses on these financial assets are estimated based on the Group’s historical credit loss experience, adjusted for factors that are specific to the debtors, general economic conditions and an assessment of both the current, as well as the forecast direction of conditions, at the reporting date.</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writes off a financial asset when there is information indicating that the debtor is in severe financial difficulty and there is no realistic prospect of recovery, e.g. when the debtor has been placed under liquidation or has entered into bankruptcy proceedings. Financial assets written off may still be subject to enforcement activities under the Group’s recovery procedures, taking into account legal advice where appropriate. Any recoveries made are recognised in profit or loss.</w:t>
      </w:r>
    </w:p>
    <w:p>
      <w:pPr>
        <w:spacing w:after="0" w:line="168" w:lineRule="exact"/>
        <w:rPr>
          <w:sz w:val="20"/>
          <w:szCs w:val="20"/>
          <w:color w:val="auto"/>
        </w:rPr>
      </w:pPr>
    </w:p>
    <w:p>
      <w:pPr>
        <w:ind w:left="300" w:hanging="295"/>
        <w:spacing w:after="0"/>
        <w:tabs>
          <w:tab w:leader="none" w:pos="300" w:val="left"/>
        </w:tabs>
        <w:numPr>
          <w:ilvl w:val="0"/>
          <w:numId w:val="47"/>
        </w:numPr>
        <w:rPr>
          <w:rFonts w:ascii="Arial" w:cs="Arial" w:eastAsia="Arial" w:hAnsi="Arial"/>
          <w:sz w:val="13"/>
          <w:szCs w:val="13"/>
          <w:i w:val="1"/>
          <w:iCs w:val="1"/>
          <w:color w:val="auto"/>
        </w:rPr>
      </w:pPr>
      <w:r>
        <w:rPr>
          <w:rFonts w:ascii="Arial" w:cs="Arial" w:eastAsia="Arial" w:hAnsi="Arial"/>
          <w:sz w:val="13"/>
          <w:szCs w:val="13"/>
          <w:i w:val="1"/>
          <w:iCs w:val="1"/>
          <w:color w:val="auto"/>
        </w:rPr>
        <w:t>Derivative financial instruments and hedging</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Derivatives are initially recognised at fair value on the date a derivative contract is entered into and are subsequently remeasured to their fair value at the end of each reporting period. The accounting for subsequent changes in fair value depends on whether the derivative is designated as a hedging instrument, and if so, the nature of the item being hedged. The Group designates certain derivatives as either:</w:t>
      </w:r>
    </w:p>
    <w:p>
      <w:pPr>
        <w:spacing w:after="0" w:line="170" w:lineRule="exact"/>
        <w:rPr>
          <w:sz w:val="20"/>
          <w:szCs w:val="20"/>
          <w:color w:val="auto"/>
        </w:rPr>
      </w:pP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hedges of the fair value of recognised assets or liabilities or a firm commitment (fair value hedges)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hedges of a particular risk associated with the cash flows of recognised assets and liabilities and highly probable forecast transactions (cash flow hedges), or</w:t>
      </w: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hedges of a net investment in a foreign operation (net investment hedges).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The fair value of derivative financial instruments designated in hedge relationships are disclosed in Note 24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in Notes to the Consolidated Financial Statements. Movements in the hedging reserve are shown in shareholders' equity. The full fair value of a hedging derivative is classified as a non-current asset or liability when the remaining maturity of the hedged item is more than 12 months. It is classified as a current asset or liability when the remaining maturity of the hedged item is less than 12 months.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280"/>
          </w:cols>
          <w:pgMar w:left="300" w:top="698"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 hedges that qualify for hedge accounting</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effective portion of changes in the fair value of derivatives that are designated and qualify as cash flow hedges is recognised in the other reserve within equity. The gain or loss relating to the ineffective portion is recognised immediately in profit or loss, within other gains/(losses).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When a hedging instrument expires or is sold or terminated, or when a hedge no longer meets the criteria for hedge accounting, any cumulative deferred gain or loss and deferred costs of hedging in equity at that time remains in equity until the forecast transaction occurs. Changes in the fair value of any derivative instrument that does not qualify for hedge accounting are recognised immediately in profit or loss.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hierarchy</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Group reports using the fair value hierarchy in relation to its assets and liabilities which are measured at fair value expect for those which are exempt as defined under IFRS 13,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 </w:t>
      </w:r>
      <w:r>
        <w:rPr>
          <w:rFonts w:ascii="Arial" w:cs="Arial" w:eastAsia="Arial" w:hAnsi="Arial"/>
          <w:sz w:val="13"/>
          <w:szCs w:val="13"/>
          <w:color w:val="auto"/>
        </w:rPr>
        <w:t>The fair value hierarchy categorises the inputs to valuation techniques to measure fair value into three levels:</w:t>
      </w:r>
    </w:p>
    <w:p>
      <w:pPr>
        <w:spacing w:after="0" w:line="157" w:lineRule="exact"/>
        <w:rPr>
          <w:sz w:val="20"/>
          <w:szCs w:val="20"/>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Level 1: Inputs are based upon unadjusted quoted prices for identical instruments traded in active markets.</w:t>
      </w:r>
    </w:p>
    <w:p>
      <w:pPr>
        <w:jc w:val="both"/>
        <w:ind w:left="520" w:hanging="260"/>
        <w:spacing w:after="0" w:line="238" w:lineRule="auto"/>
        <w:tabs>
          <w:tab w:leader="none" w:pos="511" w:val="left"/>
        </w:tabs>
        <w:numPr>
          <w:ilvl w:val="0"/>
          <w:numId w:val="49"/>
        </w:numPr>
        <w:rPr>
          <w:rFonts w:ascii="Arial" w:cs="Arial" w:eastAsia="Arial" w:hAnsi="Arial"/>
          <w:sz w:val="13"/>
          <w:szCs w:val="13"/>
          <w:color w:val="auto"/>
        </w:rPr>
      </w:pPr>
      <w:r>
        <w:rPr>
          <w:rFonts w:ascii="Arial" w:cs="Arial" w:eastAsia="Arial" w:hAnsi="Arial"/>
          <w:sz w:val="13"/>
          <w:szCs w:val="13"/>
          <w:color w:val="auto"/>
        </w:rPr>
        <w:t>Level 2: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Level 3: Inputs are generally unobservable and typically reflect management’s estimates of assumptions that market participants would use in pricing the asset or liability.</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 capital</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Ordinary shares are classified as equity. Incremental costs directly attributable to the issue of new shares or options are shown in equity as a deduction, net of tax, from the proceeds.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Where ordinary shares are re-purchased by the Company they are cancelled and the nominal value of the shares is transferred to other undenominated capital within equity.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method investments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Company’s investments that are not consolidated are accounted for under the equity method if the Company exercises significant influence that is considered to be greater than minor. The Company records its pro rata share of the earnings/losses of these investments in Share of equity method investments in the Consolidated Statements of Profit and Loss. The Company reviews these for impairment whenever events or changes in circumstances indicate that the carrying amounts may not be recoverable.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benefits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Share-based payments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Share-based payments comprise options to acquire ordinary shares in the Company, Restricted Share Units ('RSUs') and Performance Share Units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The amount recognised as an expense is adjusted to reflect the assumption of the number of share options, RSUs or PSUs that vest.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Forfeitures are estimated on the date of grant and revised if actual or expected forfeiture activity differs materially from original estimates.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Share-based payment expense is recognised over the requisite service period for awards of equity instruments to employees based on the grant date fair value of those awards expected to ultimately vest.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280"/>
          </w:cols>
          <w:pgMar w:left="300" w:top="698"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benefits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Replacement awards</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In connection with the completion of the Merger (See note 14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in Notes to the Consolidated Financial Statements for definition of ‘Merger’), the Company issued replacement awards to the holders of PRA equity awards on 1 July 2021. An exchange of share-based compensation awards in a business combination is treated as a modification under IFRS 2. The replacement awards and the original acquiree awards are measured at fair value at the acquisition date and calculated using the fair-value-based measurement principles in IFRS 2. Amounts attributable to pre-combination vesting are accounted for as part of the consideration transferred for the acquiree. Amounts attributable to post-combination vesting are accounted for separate from the business combination and are recognised as compensation cost in the post-combination period.</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Share-based payments – Company</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Company operates a number of share-based payment plans the details of which are presented in Note 11 </w:t>
      </w:r>
      <w:r>
        <w:rPr>
          <w:rFonts w:ascii="Arial" w:cs="Arial" w:eastAsia="Arial" w:hAnsi="Arial"/>
          <w:sz w:val="13"/>
          <w:szCs w:val="13"/>
          <w:i w:val="1"/>
          <w:iCs w:val="1"/>
          <w:color w:val="auto"/>
        </w:rPr>
        <w:t>Share-based payments</w:t>
      </w:r>
      <w:r>
        <w:rPr>
          <w:rFonts w:ascii="Arial" w:cs="Arial" w:eastAsia="Arial" w:hAnsi="Arial"/>
          <w:sz w:val="13"/>
          <w:szCs w:val="13"/>
          <w:color w:val="auto"/>
        </w:rPr>
        <w:t xml:space="preserve"> in Notes to the Consolidated Financial Statements. The share-based payment expense associated with the share-based payment plans is recognised by the entity which receives services in exchange for the share-based compensation.</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with certain subsidiaries, on the date of exercise the Company is paid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(see Note 2 </w:t>
      </w:r>
      <w:r>
        <w:rPr>
          <w:rFonts w:ascii="Arial" w:cs="Arial" w:eastAsia="Arial" w:hAnsi="Arial"/>
          <w:sz w:val="13"/>
          <w:szCs w:val="13"/>
          <w:i w:val="1"/>
          <w:iCs w:val="1"/>
          <w:color w:val="auto"/>
        </w:rPr>
        <w:t>Investment in subsidiaries</w:t>
      </w:r>
      <w:r>
        <w:rPr>
          <w:rFonts w:ascii="Arial" w:cs="Arial" w:eastAsia="Arial" w:hAnsi="Arial"/>
          <w:sz w:val="13"/>
          <w:szCs w:val="13"/>
          <w:color w:val="auto"/>
        </w:rPr>
        <w:t>, in Notes to the Company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primarily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Clinical trial service revenue</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3"/>
          <w:szCs w:val="13"/>
          <w:color w:val="auto"/>
        </w:rPr>
        <w:t>Under IFRS 15 Revenue from Contracts with Customers ('IFRS 15'), a clinical trial service is a single performance obligation satisfied over time. It represents the full service obligation in respect of a clinical trial (including those services performed by investigators and other parties) and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pass-through/reimbursable expenses) adjusted downwards to reflect a realisable contract value. Revenue is recognised as the single performance obligation is satisfied. The progress towards completion for clinical service contracts is measured based on an input measure being project costs incurred as a proportion of total project costs (inclusive of third-party costs) at each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Contracting services revenue</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Group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Consulting services revenue</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Consulting services contracts represent a single performance obligation satisfied over time. The transaction price is determined by reference to contract or change order value. Revenue is recognised as the performance obligation is satisfied. The progress towards completion for consulting contracts is measured based on total project inputs (time) at each reporting period as a percentage of forecasted total project inputs.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280"/>
          </w:cols>
          <w:pgMar w:left="300" w:top="698"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 (continued)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Laboratory services revenue</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Revenue is recognised when, or as, obligations under the terms of a contract are satisfied, which occurs when control of the products or services is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Service revenue is recognised over time as the services are delivered to the customer based on the extent of progress towards completion of the performance obligation. The determination of the methodology to measure progress requires judgement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labour hours incurred. Revenue is recorded in the amount invoiced since those amounts corresponds to the value of the Company's performance and the transfer of value to the customer.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Data services revenue</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recognises revenue over time using the “units delivered” output method as the data or reports are delivered. Expense reimbursements are recorded to revenue as the expenses are incurred as they relate directly to the services performed.</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Certain arrangements include upfront customisation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recognises revenue under these contracts over time, using an appropriate measure of progress, generally time elapsed, to measure progress and transfer of control of the performance obligation to the customer. Expense reimbursements are recorded to revenue as the expenses are incurred as they relate directly to the service performed.</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 next contract year based on the terms of the data supplier contract.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Commissions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Incremental costs of obtaining a contract are recognised as an asset on the Consolidated Statement of Financial Position in respect of those contracts that exceed one year. Where commission costs relate to contracts that are less than one year, the practical expedient is applied as the amortisation period of the asset which would arise on deferral would be one year or less.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Reimbursable expenses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Reimbursable expenses comprise investigator payments and certain other costs which are reimbursed by clients under terms specific to each contract. The Company includes reimbursed expenses in revenue and direct costs as the Company is primarily responsible for fulfilling the promise to provide the specified service, including integration of the related services into a combined output to the customer.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280"/>
          </w:cols>
          <w:pgMar w:left="300" w:top="698"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Direct costs consist of compensation, associated employee benefits and share-based payments for project-related employees and other direct project-related costs. Reimbursable expenses are presented within direct costs. This presentation is to align the presentation of costs with our assessment that our clinical trial service is a single performance obligation satisfied over time. Reimbursable expenses are recorded once the activity which forms the basis for the cost has occurred. Payments are made based on predetermined contractual arrangements. Timing of payments may differ from the timing of the expense.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Other operating expenses consist of compensation, associated employee benefits and share-based payments for non-project-related employees and other indirect costs associated with the business.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Other operating expenses also include depreciation expense and the amortisation of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transaction and integration-related expenses, significant impairments (Goodwill and non financial assets) and related resulting provisions, and material changes in estimates.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integration-related expenses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Transaction and integration-related expenses are the incremental costs directly attributable to completion and integration activities associated with the Group’s recent acquisitions. The costs consist of investment banking fees, advisory costs, professional fees, legal costs, retention agreements with employees, and ongoing business combination and integration activities offset by the remeasurement of liability-classified contingent consideration. The Group accounts for these transaction and integration-related costs as expenses in the period in which the costs are incurred and the services are received.</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Restructuring charges reflect certain one-time and associated unavoidable costs arising from reorganisation programmes announced by Group management. These programmes generally result in asset impairments and workforce reductions in order to optimise the Group’s structure and facilitate improved long-term performance. Impairment charges are taken when the value-in-use of the asset is less than the asset’s carrying value. Workforce related charges are taken when an approved reorganisation programme is communicated to the relevant employee groups.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credits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Research and development credits are available to the Group under the tax laws in certain jurisdictions, based on qualifying research and development spend as defined under those tax laws. Research and development credits may be recognised as a reduction of income tax expense. However, certain tax jurisdictions provide refundable credits that are not wholly dependent on the Group's ongoing income tax status or income tax position. In these circumstances the benefit of these credits is not recorded as a reduction to income tax expense, but rather as a reduction of operating expenditure.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Finance income</w:t>
      </w:r>
    </w:p>
    <w:p>
      <w:pPr>
        <w:spacing w:after="0" w:line="190" w:lineRule="exact"/>
        <w:rPr>
          <w:sz w:val="20"/>
          <w:szCs w:val="20"/>
          <w:color w:val="auto"/>
        </w:rPr>
      </w:pPr>
    </w:p>
    <w:p>
      <w:pPr>
        <w:ind w:right="1120"/>
        <w:spacing w:after="0" w:line="276" w:lineRule="auto"/>
        <w:rPr>
          <w:sz w:val="20"/>
          <w:szCs w:val="20"/>
          <w:color w:val="auto"/>
        </w:rPr>
      </w:pPr>
      <w:r>
        <w:rPr>
          <w:rFonts w:ascii="Arial" w:cs="Arial" w:eastAsia="Arial" w:hAnsi="Arial"/>
          <w:sz w:val="13"/>
          <w:szCs w:val="13"/>
          <w:color w:val="auto"/>
        </w:rPr>
        <w:t xml:space="preserve">Interest income is recognised in the Consolidated Statement of Profit and Loss as it accrues using the effective interest rate method and includes interest receivable on investments. </w:t>
      </w:r>
      <w:r>
        <w:rPr>
          <w:rFonts w:ascii="Arial" w:cs="Arial" w:eastAsia="Arial" w:hAnsi="Arial"/>
          <w:sz w:val="13"/>
          <w:szCs w:val="13"/>
          <w:b w:val="1"/>
          <w:bCs w:val="1"/>
          <w:i w:val="1"/>
          <w:iCs w:val="1"/>
          <w:color w:val="auto"/>
        </w:rPr>
        <w:t>Finance costs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Finance costs comprises interest payable on borrowings calculated using the effective interest rate method, finance charges on leases, foreign exchange gains and losses on bank loans and gains and losses on hedging instruments that are recognised in the Consolidated Statement of Profit and Loss.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200" w:lineRule="exact"/>
        <w:rPr>
          <w:sz w:val="20"/>
          <w:szCs w:val="20"/>
          <w:color w:val="auto"/>
        </w:rPr>
      </w:pPr>
    </w:p>
    <w:p>
      <w:pPr>
        <w:spacing w:after="0" w:line="32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80"/>
          </w:cols>
          <w:pgMar w:left="300" w:top="698"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in the Consolidated Statement of Profit and Loss represents the sum of income tax currently payable and deferred income tax.</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and does not give rise to equal taxable and deductible temporary differences. Deferred income tax assets and liabilities are measured at the tax rates that are expected to apply in the year when the asset is expected to be realised or the liability to be settled.</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The Group offsets deferred tax assets and deferred tax liabilities only if it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realise the assets and settle the liabilities simultaneously, in each future period in which significant amounts of deferred tax liabilities or assets are expected to be settled or recovered.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Group has determined that the global minimum top-up tax – which it is required to pay under Pillar Two legislation – is an income tax in scope of IAS 12. The Group has applied a temporary mandatory relief from deferred tax accounting for the impacts of the top-up tax and accounts for it as current tax when it is incurred.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Earnings per ordinary share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Segment reporting</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Chief Financial Officer (CFO) and the former Chief Operating Officer (now the current Chief Executive Officer) who together are considered the Group’s chief operating decision makers, the ‘CODM’. An operating segment’s operating results are reviewed regularly by the CODM to make decisions about resources to be allocated to the segment and assess its performance, and for which discrete financial information is available.</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right-of-use assets.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Investments in subsidiaries - Company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Investments in subsidiary undertakings are stated at cost less any accumulated impairment and are reviewed for impairment if there are indicators that the carrying value may not be recoverable.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Intercompany receivable and payable - Company</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expected credit loss, calculated on an expected credit loss basis (simplified approach).</w:t>
      </w:r>
    </w:p>
    <w:p>
      <w:pPr>
        <w:spacing w:after="0" w:line="34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80"/>
          </w:cols>
          <w:pgMar w:left="300" w:top="698"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Basis of preparation and statement of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Dividend income - Company</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Dividend income is recognised when the right to receive payment is established.</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Segmental information</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 is a CRO providing outsourced services on a global basis to pharmaceutical, biotechnology, medical device and government and public health organisations. It specialises in the strategic development, management and analysis of programmes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or “blended-service” solution. The Company has expanded through internal growth, together with a number of strategic acquisitions to enhance its expertise and capabilities in certain areas of the clinical development process.</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The Company operates as one reportable segment, which is the provision of outsourced development services on a global basis to the pharmaceutical, biotechnology and medical devices industries. The Company determines and presents operating segments based on the information that is internally provided to the chief operating decision maker (“CODM”) in accordance with IFRS 8 </w:t>
      </w:r>
      <w:r>
        <w:rPr>
          <w:rFonts w:ascii="Arial" w:cs="Arial" w:eastAsia="Arial" w:hAnsi="Arial"/>
          <w:sz w:val="13"/>
          <w:szCs w:val="13"/>
          <w:i w:val="1"/>
          <w:iCs w:val="1"/>
          <w:color w:val="auto"/>
        </w:rPr>
        <w:t>Operating</w:t>
      </w:r>
      <w:r>
        <w:rPr>
          <w:rFonts w:ascii="Arial" w:cs="Arial" w:eastAsia="Arial" w:hAnsi="Arial"/>
          <w:sz w:val="13"/>
          <w:szCs w:val="13"/>
          <w:color w:val="auto"/>
        </w:rPr>
        <w:t xml:space="preserve"> </w:t>
      </w:r>
      <w:r>
        <w:rPr>
          <w:rFonts w:ascii="Arial" w:cs="Arial" w:eastAsia="Arial" w:hAnsi="Arial"/>
          <w:sz w:val="13"/>
          <w:szCs w:val="13"/>
          <w:i w:val="1"/>
          <w:iCs w:val="1"/>
          <w:color w:val="auto"/>
        </w:rPr>
        <w:t>Segments.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During the year ended 31 December 2025, the Company determined that Chief Operating Decision Maker (“CODM”) was comprised of the Chief Executive Officer, the Chief Financial Officer and the former Chief Operating Officer (now the current Chief Executive Officer). For the year ended 31 December 2024 the Company determined that Chief Operating Decision Maker (“CODM”) was comprised of the Chief Executive Officer and the Chief Financial Officer. As the Company is managed on a consolidated basis, the CODM evaluates performance and allocates resources based on consolidated net income.</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151 to 155 of this report.</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ICON Clinical Research Limited and Accellacare Limited (collectively “ICON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ICON Ireland remunerates other operating entities in the Group on the basis of an arm’s length return, in accordance with the 2022 OECD transfer pricing guidelines,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geographic split of revenue disclosed for each region outside Ireland is the arm’s length revenue attributable to these entities under the policies outlined above.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changes to the overall basis of segmentation or the measurement basis for the segment results since the prior year.</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280"/>
          </w:cols>
          <w:pgMar w:left="300" w:top="698"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 Segmental information </w:t>
      </w:r>
      <w:r>
        <w:rPr>
          <w:rFonts w:ascii="Arial" w:cs="Arial" w:eastAsia="Arial" w:hAnsi="Arial"/>
          <w:sz w:val="13"/>
          <w:szCs w:val="13"/>
          <w:b w:val="1"/>
          <w:bCs w:val="1"/>
          <w:i w:val="1"/>
          <w:iCs w:val="1"/>
          <w:color w:val="auto"/>
        </w:rPr>
        <w:t>(continued)</w:t>
      </w: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Geographical segment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40" w:type="dxa"/>
            <w:vAlign w:val="bottom"/>
            <w:shd w:val="clear" w:color="auto" w:fill="CCEEFF"/>
          </w:tcPr>
          <w:p>
            <w:pPr>
              <w:spacing w:after="0"/>
              <w:rPr>
                <w:sz w:val="13"/>
                <w:szCs w:val="13"/>
                <w:color w:val="auto"/>
              </w:rPr>
            </w:pPr>
          </w:p>
        </w:tc>
        <w:tc>
          <w:tcPr>
            <w:tcW w:w="40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6140" w:type="dxa"/>
            <w:vAlign w:val="bottom"/>
            <w:shd w:val="clear" w:color="auto" w:fill="CCEEFF"/>
          </w:tcPr>
          <w:p>
            <w:pPr>
              <w:spacing w:after="0"/>
              <w:rPr>
                <w:sz w:val="11"/>
                <w:szCs w:val="11"/>
                <w:color w:val="auto"/>
              </w:rPr>
            </w:pPr>
          </w:p>
        </w:tc>
        <w:tc>
          <w:tcPr>
            <w:tcW w:w="40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6140" w:type="dxa"/>
            <w:vAlign w:val="bottom"/>
            <w:tcBorders>
              <w:bottom w:val="single" w:sz="8" w:color="auto"/>
            </w:tcBorders>
            <w:shd w:val="clear" w:color="auto" w:fill="CCEEFF"/>
          </w:tcPr>
          <w:p>
            <w:pPr>
              <w:spacing w:after="0"/>
              <w:rPr>
                <w:sz w:val="14"/>
                <w:szCs w:val="14"/>
                <w:color w:val="auto"/>
              </w:rPr>
            </w:pPr>
          </w:p>
        </w:tc>
        <w:tc>
          <w:tcPr>
            <w:tcW w:w="40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6140" w:type="dxa"/>
            <w:vAlign w:val="bottom"/>
          </w:tcPr>
          <w:p>
            <w:pPr>
              <w:spacing w:after="0"/>
              <w:rPr>
                <w:sz w:val="14"/>
                <w:szCs w:val="14"/>
                <w:color w:val="auto"/>
              </w:rPr>
            </w:pPr>
          </w:p>
        </w:tc>
        <w:tc>
          <w:tcPr>
            <w:tcW w:w="40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40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140" w:type="dxa"/>
            <w:vAlign w:val="bottom"/>
          </w:tcPr>
          <w:p>
            <w:pPr>
              <w:ind w:left="20"/>
              <w:spacing w:after="0"/>
              <w:rPr>
                <w:sz w:val="20"/>
                <w:szCs w:val="20"/>
                <w:color w:val="auto"/>
              </w:rPr>
            </w:pPr>
            <w:r>
              <w:rPr>
                <w:rFonts w:ascii="Arial" w:cs="Arial" w:eastAsia="Arial" w:hAnsi="Arial"/>
                <w:sz w:val="13"/>
                <w:szCs w:val="13"/>
                <w:color w:val="auto"/>
              </w:rPr>
              <w:t>Ireland</w:t>
            </w:r>
          </w:p>
        </w:tc>
        <w:tc>
          <w:tcPr>
            <w:tcW w:w="4000" w:type="dxa"/>
            <w:vAlign w:val="bottom"/>
          </w:tcPr>
          <w:p>
            <w:pPr>
              <w:jc w:val="right"/>
              <w:ind w:right="336"/>
              <w:spacing w:after="0"/>
              <w:rPr>
                <w:sz w:val="20"/>
                <w:szCs w:val="20"/>
                <w:color w:val="auto"/>
              </w:rPr>
            </w:pPr>
            <w:r>
              <w:rPr>
                <w:rFonts w:ascii="Arial" w:cs="Arial" w:eastAsia="Arial" w:hAnsi="Arial"/>
                <w:sz w:val="13"/>
                <w:szCs w:val="13"/>
                <w:b w:val="1"/>
                <w:bCs w:val="1"/>
                <w:color w:val="auto"/>
              </w:rPr>
              <w:t>3,183,637</w:t>
            </w:r>
          </w:p>
        </w:tc>
        <w:tc>
          <w:tcPr>
            <w:tcW w:w="1140" w:type="dxa"/>
            <w:vAlign w:val="bottom"/>
          </w:tcPr>
          <w:p>
            <w:pPr>
              <w:jc w:val="right"/>
              <w:spacing w:after="0"/>
              <w:rPr>
                <w:sz w:val="20"/>
                <w:szCs w:val="20"/>
                <w:color w:val="auto"/>
              </w:rPr>
            </w:pPr>
            <w:r>
              <w:rPr>
                <w:rFonts w:ascii="Arial" w:cs="Arial" w:eastAsia="Arial" w:hAnsi="Arial"/>
                <w:sz w:val="13"/>
                <w:szCs w:val="13"/>
                <w:color w:val="auto"/>
              </w:rPr>
              <w:t>2,703,765</w:t>
            </w:r>
          </w:p>
        </w:tc>
      </w:tr>
      <w:tr>
        <w:trPr>
          <w:trHeight w:val="170"/>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40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1,590,867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1,559,532</w:t>
            </w:r>
          </w:p>
        </w:tc>
      </w:tr>
      <w:tr>
        <w:trPr>
          <w:trHeight w:val="170"/>
        </w:trPr>
        <w:tc>
          <w:tcPr>
            <w:tcW w:w="614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4000" w:type="dxa"/>
            <w:vAlign w:val="bottom"/>
          </w:tcPr>
          <w:p>
            <w:pPr>
              <w:jc w:val="right"/>
              <w:ind w:right="336"/>
              <w:spacing w:after="0"/>
              <w:rPr>
                <w:sz w:val="20"/>
                <w:szCs w:val="20"/>
                <w:color w:val="auto"/>
              </w:rPr>
            </w:pPr>
            <w:r>
              <w:rPr>
                <w:rFonts w:ascii="Arial" w:cs="Arial" w:eastAsia="Arial" w:hAnsi="Arial"/>
                <w:sz w:val="13"/>
                <w:szCs w:val="13"/>
                <w:b w:val="1"/>
                <w:bCs w:val="1"/>
                <w:color w:val="auto"/>
              </w:rPr>
              <w:t>2,524,938</w:t>
            </w:r>
          </w:p>
        </w:tc>
        <w:tc>
          <w:tcPr>
            <w:tcW w:w="1140" w:type="dxa"/>
            <w:vAlign w:val="bottom"/>
          </w:tcPr>
          <w:p>
            <w:pPr>
              <w:jc w:val="right"/>
              <w:spacing w:after="0"/>
              <w:rPr>
                <w:sz w:val="20"/>
                <w:szCs w:val="20"/>
                <w:color w:val="auto"/>
              </w:rPr>
            </w:pPr>
            <w:r>
              <w:rPr>
                <w:rFonts w:ascii="Arial" w:cs="Arial" w:eastAsia="Arial" w:hAnsi="Arial"/>
                <w:sz w:val="13"/>
                <w:szCs w:val="13"/>
                <w:color w:val="auto"/>
              </w:rPr>
              <w:t>2,983,052</w:t>
            </w:r>
          </w:p>
        </w:tc>
      </w:tr>
      <w:tr>
        <w:trPr>
          <w:trHeight w:val="170"/>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40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951,898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942,641</w:t>
            </w:r>
          </w:p>
        </w:tc>
      </w:tr>
      <w:tr>
        <w:trPr>
          <w:trHeight w:val="16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0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8,251,340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8,188,990</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69"/>
        </w:trPr>
        <w:tc>
          <w:tcPr>
            <w:tcW w:w="61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27"/>
        </w:trPr>
        <w:tc>
          <w:tcPr>
            <w:tcW w:w="6140" w:type="dxa"/>
            <w:vAlign w:val="bottom"/>
            <w:shd w:val="clear" w:color="auto" w:fill="CCEEFF"/>
          </w:tcPr>
          <w:p>
            <w:pPr>
              <w:spacing w:after="0"/>
              <w:rPr>
                <w:sz w:val="11"/>
                <w:szCs w:val="11"/>
                <w:color w:val="auto"/>
              </w:rPr>
            </w:pPr>
          </w:p>
        </w:tc>
        <w:tc>
          <w:tcPr>
            <w:tcW w:w="40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27"/>
        </w:trPr>
        <w:tc>
          <w:tcPr>
            <w:tcW w:w="6140" w:type="dxa"/>
            <w:vAlign w:val="bottom"/>
            <w:shd w:val="clear" w:color="auto" w:fill="CCEEFF"/>
          </w:tcPr>
          <w:p>
            <w:pPr>
              <w:spacing w:after="0"/>
              <w:rPr>
                <w:sz w:val="11"/>
                <w:szCs w:val="11"/>
                <w:color w:val="auto"/>
              </w:rPr>
            </w:pPr>
          </w:p>
        </w:tc>
        <w:tc>
          <w:tcPr>
            <w:tcW w:w="40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6140" w:type="dxa"/>
            <w:vAlign w:val="bottom"/>
            <w:tcBorders>
              <w:bottom w:val="single" w:sz="8" w:color="auto"/>
            </w:tcBorders>
            <w:shd w:val="clear" w:color="auto" w:fill="CCEEFF"/>
          </w:tcPr>
          <w:p>
            <w:pPr>
              <w:spacing w:after="0"/>
              <w:rPr>
                <w:sz w:val="14"/>
                <w:szCs w:val="14"/>
                <w:color w:val="auto"/>
              </w:rPr>
            </w:pPr>
          </w:p>
        </w:tc>
        <w:tc>
          <w:tcPr>
            <w:tcW w:w="40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6140" w:type="dxa"/>
            <w:vAlign w:val="bottom"/>
          </w:tcPr>
          <w:p>
            <w:pPr>
              <w:spacing w:after="0"/>
              <w:rPr>
                <w:sz w:val="14"/>
                <w:szCs w:val="14"/>
                <w:color w:val="auto"/>
              </w:rPr>
            </w:pPr>
          </w:p>
        </w:tc>
        <w:tc>
          <w:tcPr>
            <w:tcW w:w="40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Property, plant and equipment and right-of-use assets</w:t>
            </w:r>
          </w:p>
        </w:tc>
        <w:tc>
          <w:tcPr>
            <w:tcW w:w="40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140" w:type="dxa"/>
            <w:vAlign w:val="bottom"/>
          </w:tcPr>
          <w:p>
            <w:pPr>
              <w:ind w:left="20"/>
              <w:spacing w:after="0"/>
              <w:rPr>
                <w:sz w:val="20"/>
                <w:szCs w:val="20"/>
                <w:color w:val="auto"/>
              </w:rPr>
            </w:pPr>
            <w:r>
              <w:rPr>
                <w:rFonts w:ascii="Arial" w:cs="Arial" w:eastAsia="Arial" w:hAnsi="Arial"/>
                <w:sz w:val="13"/>
                <w:szCs w:val="13"/>
                <w:color w:val="auto"/>
              </w:rPr>
              <w:t>Ireland</w:t>
            </w:r>
          </w:p>
        </w:tc>
        <w:tc>
          <w:tcPr>
            <w:tcW w:w="4000" w:type="dxa"/>
            <w:vAlign w:val="bottom"/>
          </w:tcPr>
          <w:p>
            <w:pPr>
              <w:jc w:val="right"/>
              <w:ind w:right="336"/>
              <w:spacing w:after="0"/>
              <w:rPr>
                <w:sz w:val="20"/>
                <w:szCs w:val="20"/>
                <w:color w:val="auto"/>
              </w:rPr>
            </w:pPr>
            <w:r>
              <w:rPr>
                <w:rFonts w:ascii="Arial" w:cs="Arial" w:eastAsia="Arial" w:hAnsi="Arial"/>
                <w:sz w:val="13"/>
                <w:szCs w:val="13"/>
                <w:b w:val="1"/>
                <w:bCs w:val="1"/>
                <w:color w:val="auto"/>
              </w:rPr>
              <w:t>63,526</w:t>
            </w:r>
          </w:p>
        </w:tc>
        <w:tc>
          <w:tcPr>
            <w:tcW w:w="1140" w:type="dxa"/>
            <w:vAlign w:val="bottom"/>
          </w:tcPr>
          <w:p>
            <w:pPr>
              <w:jc w:val="right"/>
              <w:spacing w:after="0"/>
              <w:rPr>
                <w:sz w:val="20"/>
                <w:szCs w:val="20"/>
                <w:color w:val="auto"/>
              </w:rPr>
            </w:pPr>
            <w:r>
              <w:rPr>
                <w:rFonts w:ascii="Arial" w:cs="Arial" w:eastAsia="Arial" w:hAnsi="Arial"/>
                <w:sz w:val="13"/>
                <w:szCs w:val="13"/>
                <w:color w:val="auto"/>
              </w:rPr>
              <w:t>51,986</w:t>
            </w:r>
          </w:p>
        </w:tc>
      </w:tr>
      <w:tr>
        <w:trPr>
          <w:trHeight w:val="170"/>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40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90,260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85,876</w:t>
            </w:r>
          </w:p>
        </w:tc>
      </w:tr>
      <w:tr>
        <w:trPr>
          <w:trHeight w:val="170"/>
        </w:trPr>
        <w:tc>
          <w:tcPr>
            <w:tcW w:w="614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4000" w:type="dxa"/>
            <w:vAlign w:val="bottom"/>
          </w:tcPr>
          <w:p>
            <w:pPr>
              <w:jc w:val="right"/>
              <w:ind w:right="336"/>
              <w:spacing w:after="0"/>
              <w:rPr>
                <w:sz w:val="20"/>
                <w:szCs w:val="20"/>
                <w:color w:val="auto"/>
              </w:rPr>
            </w:pPr>
            <w:r>
              <w:rPr>
                <w:rFonts w:ascii="Arial" w:cs="Arial" w:eastAsia="Arial" w:hAnsi="Arial"/>
                <w:sz w:val="13"/>
                <w:szCs w:val="13"/>
                <w:b w:val="1"/>
                <w:bCs w:val="1"/>
                <w:color w:val="auto"/>
              </w:rPr>
              <w:t>112,328</w:t>
            </w:r>
          </w:p>
        </w:tc>
        <w:tc>
          <w:tcPr>
            <w:tcW w:w="1140" w:type="dxa"/>
            <w:vAlign w:val="bottom"/>
          </w:tcPr>
          <w:p>
            <w:pPr>
              <w:jc w:val="right"/>
              <w:spacing w:after="0"/>
              <w:rPr>
                <w:sz w:val="20"/>
                <w:szCs w:val="20"/>
                <w:color w:val="auto"/>
              </w:rPr>
            </w:pPr>
            <w:r>
              <w:rPr>
                <w:rFonts w:ascii="Arial" w:cs="Arial" w:eastAsia="Arial" w:hAnsi="Arial"/>
                <w:sz w:val="13"/>
                <w:szCs w:val="13"/>
                <w:color w:val="auto"/>
              </w:rPr>
              <w:t>114,464</w:t>
            </w:r>
          </w:p>
        </w:tc>
      </w:tr>
      <w:tr>
        <w:trPr>
          <w:trHeight w:val="170"/>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40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53,517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60,103</w:t>
            </w:r>
          </w:p>
        </w:tc>
      </w:tr>
      <w:tr>
        <w:trPr>
          <w:trHeight w:val="16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0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319,631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312,429</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Revenue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Revenue disaggregated by customer concentration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shd w:val="clear" w:color="auto" w:fill="CCEEFF"/>
          </w:tcPr>
          <w:p>
            <w:pPr>
              <w:spacing w:after="0"/>
              <w:rPr>
                <w:sz w:val="12"/>
                <w:szCs w:val="12"/>
                <w:color w:val="auto"/>
              </w:rPr>
            </w:pPr>
          </w:p>
        </w:tc>
        <w:tc>
          <w:tcPr>
            <w:tcW w:w="52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4880" w:type="dxa"/>
            <w:vAlign w:val="bottom"/>
            <w:shd w:val="clear" w:color="auto" w:fill="CCEEFF"/>
          </w:tcPr>
          <w:p>
            <w:pPr>
              <w:spacing w:after="0"/>
              <w:rPr>
                <w:sz w:val="11"/>
                <w:szCs w:val="11"/>
                <w:color w:val="auto"/>
              </w:rPr>
            </w:pPr>
          </w:p>
        </w:tc>
        <w:tc>
          <w:tcPr>
            <w:tcW w:w="52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4880" w:type="dxa"/>
            <w:vAlign w:val="bottom"/>
            <w:tcBorders>
              <w:bottom w:val="single" w:sz="8" w:color="auto"/>
            </w:tcBorders>
            <w:shd w:val="clear" w:color="auto" w:fill="CCEEFF"/>
          </w:tcPr>
          <w:p>
            <w:pPr>
              <w:spacing w:after="0"/>
              <w:rPr>
                <w:sz w:val="14"/>
                <w:szCs w:val="14"/>
                <w:color w:val="auto"/>
              </w:rPr>
            </w:pPr>
          </w:p>
        </w:tc>
        <w:tc>
          <w:tcPr>
            <w:tcW w:w="5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4880" w:type="dxa"/>
            <w:vAlign w:val="bottom"/>
          </w:tcPr>
          <w:p>
            <w:pPr>
              <w:spacing w:after="0"/>
              <w:rPr>
                <w:sz w:val="14"/>
                <w:szCs w:val="14"/>
                <w:color w:val="auto"/>
              </w:rPr>
            </w:pPr>
          </w:p>
        </w:tc>
        <w:tc>
          <w:tcPr>
            <w:tcW w:w="52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Top client</w:t>
            </w:r>
          </w:p>
        </w:tc>
        <w:tc>
          <w:tcPr>
            <w:tcW w:w="52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576,265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641,655</w:t>
            </w: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color w:val="auto"/>
              </w:rPr>
              <w:t>Clients 2-5</w:t>
            </w:r>
          </w:p>
        </w:tc>
        <w:tc>
          <w:tcPr>
            <w:tcW w:w="5240" w:type="dxa"/>
            <w:vAlign w:val="bottom"/>
          </w:tcPr>
          <w:p>
            <w:pPr>
              <w:jc w:val="right"/>
              <w:ind w:right="336"/>
              <w:spacing w:after="0"/>
              <w:rPr>
                <w:sz w:val="20"/>
                <w:szCs w:val="20"/>
                <w:color w:val="auto"/>
              </w:rPr>
            </w:pPr>
            <w:r>
              <w:rPr>
                <w:rFonts w:ascii="Arial" w:cs="Arial" w:eastAsia="Arial" w:hAnsi="Arial"/>
                <w:sz w:val="13"/>
                <w:szCs w:val="13"/>
                <w:b w:val="1"/>
                <w:bCs w:val="1"/>
                <w:color w:val="auto"/>
              </w:rPr>
              <w:t>1,469,978</w:t>
            </w:r>
          </w:p>
        </w:tc>
        <w:tc>
          <w:tcPr>
            <w:tcW w:w="1140" w:type="dxa"/>
            <w:vAlign w:val="bottom"/>
          </w:tcPr>
          <w:p>
            <w:pPr>
              <w:jc w:val="right"/>
              <w:spacing w:after="0"/>
              <w:rPr>
                <w:sz w:val="20"/>
                <w:szCs w:val="20"/>
                <w:color w:val="auto"/>
              </w:rPr>
            </w:pPr>
            <w:r>
              <w:rPr>
                <w:rFonts w:ascii="Arial" w:cs="Arial" w:eastAsia="Arial" w:hAnsi="Arial"/>
                <w:sz w:val="13"/>
                <w:szCs w:val="13"/>
                <w:color w:val="auto"/>
              </w:rPr>
              <w:t>1,421,972</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6-10</w:t>
            </w:r>
          </w:p>
        </w:tc>
        <w:tc>
          <w:tcPr>
            <w:tcW w:w="52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1,164,937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1,288,951</w:t>
            </w: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color w:val="auto"/>
              </w:rPr>
              <w:t>Clients 11-25</w:t>
            </w:r>
          </w:p>
        </w:tc>
        <w:tc>
          <w:tcPr>
            <w:tcW w:w="5240" w:type="dxa"/>
            <w:vAlign w:val="bottom"/>
          </w:tcPr>
          <w:p>
            <w:pPr>
              <w:jc w:val="right"/>
              <w:ind w:right="336"/>
              <w:spacing w:after="0"/>
              <w:rPr>
                <w:sz w:val="20"/>
                <w:szCs w:val="20"/>
                <w:color w:val="auto"/>
              </w:rPr>
            </w:pPr>
            <w:r>
              <w:rPr>
                <w:rFonts w:ascii="Arial" w:cs="Arial" w:eastAsia="Arial" w:hAnsi="Arial"/>
                <w:sz w:val="13"/>
                <w:szCs w:val="13"/>
                <w:b w:val="1"/>
                <w:bCs w:val="1"/>
                <w:color w:val="auto"/>
              </w:rPr>
              <w:t>2,072,282</w:t>
            </w:r>
          </w:p>
        </w:tc>
        <w:tc>
          <w:tcPr>
            <w:tcW w:w="1140" w:type="dxa"/>
            <w:vAlign w:val="bottom"/>
          </w:tcPr>
          <w:p>
            <w:pPr>
              <w:jc w:val="right"/>
              <w:spacing w:after="0"/>
              <w:rPr>
                <w:sz w:val="20"/>
                <w:szCs w:val="20"/>
                <w:color w:val="auto"/>
              </w:rPr>
            </w:pPr>
            <w:r>
              <w:rPr>
                <w:rFonts w:ascii="Arial" w:cs="Arial" w:eastAsia="Arial" w:hAnsi="Arial"/>
                <w:sz w:val="13"/>
                <w:szCs w:val="13"/>
                <w:color w:val="auto"/>
              </w:rPr>
              <w:t>1,759,121</w:t>
            </w:r>
          </w:p>
        </w:tc>
      </w:tr>
      <w:tr>
        <w:trPr>
          <w:trHeight w:val="170"/>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52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2,967,878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3,077,291</w:t>
            </w:r>
          </w:p>
        </w:tc>
      </w:tr>
      <w:tr>
        <w:trPr>
          <w:trHeight w:val="16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revenue</w:t>
            </w:r>
          </w:p>
        </w:tc>
        <w:tc>
          <w:tcPr>
            <w:tcW w:w="52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8,251,340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8,188,990</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was no revenue from individual customers greater than 10% of consolidated revenue in the respective years. Our customers have similar profiles and economic characteristics, and therefore have similar degrees of risk and growth opportunities.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280"/>
          </w:cols>
          <w:pgMar w:left="300" w:top="698" w:right="31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Finance income</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shd w:val="clear" w:color="auto" w:fill="CCEEFF"/>
          </w:tcPr>
          <w:p>
            <w:pPr>
              <w:spacing w:after="0"/>
              <w:rPr>
                <w:sz w:val="13"/>
                <w:szCs w:val="13"/>
                <w:color w:val="auto"/>
              </w:rPr>
            </w:pPr>
          </w:p>
        </w:tc>
        <w:tc>
          <w:tcPr>
            <w:tcW w:w="35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36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6360" w:type="dxa"/>
            <w:vAlign w:val="bottom"/>
          </w:tcPr>
          <w:p>
            <w:pPr>
              <w:spacing w:after="0"/>
              <w:rPr>
                <w:sz w:val="13"/>
                <w:szCs w:val="13"/>
                <w:color w:val="auto"/>
              </w:rPr>
            </w:pPr>
          </w:p>
        </w:tc>
        <w:tc>
          <w:tcPr>
            <w:tcW w:w="354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receivable</w:t>
            </w:r>
          </w:p>
        </w:tc>
        <w:tc>
          <w:tcPr>
            <w:tcW w:w="35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7,109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8,609</w:t>
            </w:r>
          </w:p>
        </w:tc>
      </w:tr>
      <w:tr>
        <w:trPr>
          <w:trHeight w:val="160"/>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finance income</w:t>
            </w:r>
          </w:p>
        </w:tc>
        <w:tc>
          <w:tcPr>
            <w:tcW w:w="35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7,109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8,609</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4"/>
        </w:trPr>
        <w:tc>
          <w:tcPr>
            <w:tcW w:w="6360" w:type="dxa"/>
            <w:vAlign w:val="bottom"/>
          </w:tcPr>
          <w:p>
            <w:pPr>
              <w:spacing w:after="0"/>
              <w:rPr>
                <w:sz w:val="20"/>
                <w:szCs w:val="20"/>
                <w:color w:val="auto"/>
              </w:rPr>
            </w:pPr>
            <w:r>
              <w:rPr>
                <w:rFonts w:ascii="Arial" w:cs="Arial" w:eastAsia="Arial" w:hAnsi="Arial"/>
                <w:sz w:val="13"/>
                <w:szCs w:val="13"/>
                <w:color w:val="auto"/>
              </w:rPr>
              <w:t>All of the above relate to items not at fair value through profit and loss.</w:t>
            </w:r>
          </w:p>
        </w:tc>
        <w:tc>
          <w:tcPr>
            <w:tcW w:w="3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36"/>
        </w:trPr>
        <w:tc>
          <w:tcPr>
            <w:tcW w:w="6360" w:type="dxa"/>
            <w:vAlign w:val="bottom"/>
          </w:tcPr>
          <w:p>
            <w:pPr>
              <w:spacing w:after="0"/>
              <w:rPr>
                <w:sz w:val="20"/>
                <w:szCs w:val="20"/>
                <w:color w:val="auto"/>
              </w:rPr>
            </w:pPr>
            <w:r>
              <w:rPr>
                <w:rFonts w:ascii="Arial" w:cs="Arial" w:eastAsia="Arial" w:hAnsi="Arial"/>
                <w:sz w:val="13"/>
                <w:szCs w:val="13"/>
                <w:b w:val="1"/>
                <w:bCs w:val="1"/>
                <w:color w:val="auto"/>
              </w:rPr>
              <w:t>5. Finance costs</w:t>
            </w:r>
          </w:p>
        </w:tc>
        <w:tc>
          <w:tcPr>
            <w:tcW w:w="3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6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7"/>
        </w:trPr>
        <w:tc>
          <w:tcPr>
            <w:tcW w:w="6360" w:type="dxa"/>
            <w:vAlign w:val="bottom"/>
            <w:shd w:val="clear" w:color="auto" w:fill="CCEEFF"/>
          </w:tcPr>
          <w:p>
            <w:pPr>
              <w:spacing w:after="0"/>
              <w:rPr>
                <w:sz w:val="11"/>
                <w:szCs w:val="11"/>
                <w:color w:val="auto"/>
              </w:rPr>
            </w:pPr>
          </w:p>
        </w:tc>
        <w:tc>
          <w:tcPr>
            <w:tcW w:w="354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636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6360" w:type="dxa"/>
            <w:vAlign w:val="bottom"/>
          </w:tcPr>
          <w:p>
            <w:pPr>
              <w:spacing w:after="0"/>
              <w:rPr>
                <w:sz w:val="13"/>
                <w:szCs w:val="13"/>
                <w:color w:val="auto"/>
              </w:rPr>
            </w:pPr>
          </w:p>
        </w:tc>
        <w:tc>
          <w:tcPr>
            <w:tcW w:w="354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 on drawn facilities</w:t>
            </w:r>
          </w:p>
        </w:tc>
        <w:tc>
          <w:tcPr>
            <w:tcW w:w="35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188,109</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206,198</w:t>
            </w:r>
          </w:p>
        </w:tc>
      </w:tr>
      <w:tr>
        <w:trPr>
          <w:trHeight w:val="170"/>
        </w:trPr>
        <w:tc>
          <w:tcPr>
            <w:tcW w:w="6360" w:type="dxa"/>
            <w:vAlign w:val="bottom"/>
          </w:tcPr>
          <w:p>
            <w:pPr>
              <w:ind w:left="20"/>
              <w:spacing w:after="0"/>
              <w:rPr>
                <w:sz w:val="20"/>
                <w:szCs w:val="20"/>
                <w:color w:val="auto"/>
              </w:rPr>
            </w:pPr>
            <w:r>
              <w:rPr>
                <w:rFonts w:ascii="Arial" w:cs="Arial" w:eastAsia="Arial" w:hAnsi="Arial"/>
                <w:sz w:val="13"/>
                <w:szCs w:val="13"/>
                <w:color w:val="auto"/>
              </w:rPr>
              <w:t>Interest on lease liabilities</w:t>
            </w:r>
          </w:p>
        </w:tc>
        <w:tc>
          <w:tcPr>
            <w:tcW w:w="3540" w:type="dxa"/>
            <w:vAlign w:val="bottom"/>
          </w:tcPr>
          <w:p>
            <w:pPr>
              <w:jc w:val="right"/>
              <w:ind w:right="316"/>
              <w:spacing w:after="0"/>
              <w:rPr>
                <w:sz w:val="20"/>
                <w:szCs w:val="20"/>
                <w:color w:val="auto"/>
              </w:rPr>
            </w:pPr>
            <w:r>
              <w:rPr>
                <w:rFonts w:ascii="Arial" w:cs="Arial" w:eastAsia="Arial" w:hAnsi="Arial"/>
                <w:sz w:val="13"/>
                <w:szCs w:val="13"/>
                <w:b w:val="1"/>
                <w:bCs w:val="1"/>
                <w:color w:val="auto"/>
              </w:rPr>
              <w:t>6,184</w:t>
            </w:r>
          </w:p>
        </w:tc>
        <w:tc>
          <w:tcPr>
            <w:tcW w:w="1120" w:type="dxa"/>
            <w:vAlign w:val="bottom"/>
          </w:tcPr>
          <w:p>
            <w:pPr>
              <w:jc w:val="right"/>
              <w:spacing w:after="0"/>
              <w:rPr>
                <w:sz w:val="20"/>
                <w:szCs w:val="20"/>
                <w:color w:val="auto"/>
              </w:rPr>
            </w:pPr>
            <w:r>
              <w:rPr>
                <w:rFonts w:ascii="Arial" w:cs="Arial" w:eastAsia="Arial" w:hAnsi="Arial"/>
                <w:sz w:val="13"/>
                <w:szCs w:val="13"/>
                <w:color w:val="auto"/>
              </w:rPr>
              <w:t>5,379</w:t>
            </w: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of merger related financing fees</w:t>
            </w:r>
          </w:p>
        </w:tc>
        <w:tc>
          <w:tcPr>
            <w:tcW w:w="35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5,980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23,533</w:t>
            </w:r>
          </w:p>
        </w:tc>
      </w:tr>
      <w:tr>
        <w:trPr>
          <w:trHeight w:val="170"/>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financing costs*</w:t>
            </w:r>
          </w:p>
        </w:tc>
        <w:tc>
          <w:tcPr>
            <w:tcW w:w="35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3,401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7,506</w:t>
            </w:r>
          </w:p>
        </w:tc>
      </w:tr>
      <w:tr>
        <w:trPr>
          <w:trHeight w:val="185"/>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finance expense</w:t>
            </w:r>
          </w:p>
        </w:tc>
        <w:tc>
          <w:tcPr>
            <w:tcW w:w="35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203,674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242,616</w:t>
            </w: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3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color w:val="auto"/>
        </w:rPr>
        <w:t>includes costs associated with the senior secured revolving loan facility.</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Company incurred interest costs from various financing arrangements during the years ended 31 December 2025 and 31 December 2024 as set out in the table above. These costs have been charged in the finance costs line of the Consolidated Statement of Profit and Loss. All of the above relate to items not at fair value through profit and loss.</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Profit before taxation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Profit before taxation is stated after charging the following:</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Auditor's remuneration</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For the year ended 31 December 2025, the Company’s statutory auditor was Ernst &amp; Young. The table below summarises the fees for professional services rendered by Ernst &amp; Young for the year ended 31 December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31 December 2025</w:t>
            </w:r>
          </w:p>
        </w:tc>
        <w:tc>
          <w:tcPr>
            <w:tcW w:w="880" w:type="dxa"/>
            <w:vAlign w:val="bottom"/>
            <w:tcBorders>
              <w:bottom w:val="single" w:sz="8" w:color="auto"/>
            </w:tcBorders>
            <w:shd w:val="clear" w:color="auto" w:fill="CCEEFF"/>
          </w:tcPr>
          <w:p>
            <w:pPr>
              <w:spacing w:after="0"/>
              <w:rPr>
                <w:sz w:val="14"/>
                <w:szCs w:val="14"/>
                <w:color w:val="auto"/>
              </w:rPr>
            </w:pPr>
          </w:p>
        </w:tc>
      </w:tr>
      <w:tr>
        <w:trPr>
          <w:trHeight w:val="160"/>
        </w:trPr>
        <w:tc>
          <w:tcPr>
            <w:tcW w:w="7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Statutory auditor</w:t>
            </w:r>
          </w:p>
        </w:tc>
        <w:tc>
          <w:tcPr>
            <w:tcW w:w="16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Affiliated firms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73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66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73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w:t>
            </w: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12,753</w:t>
            </w:r>
          </w:p>
        </w:tc>
        <w:tc>
          <w:tcPr>
            <w:tcW w:w="1660" w:type="dxa"/>
            <w:vAlign w:val="bottom"/>
          </w:tcPr>
          <w:p>
            <w:pPr>
              <w:jc w:val="right"/>
              <w:ind w:right="416"/>
              <w:spacing w:after="0"/>
              <w:rPr>
                <w:sz w:val="20"/>
                <w:szCs w:val="20"/>
                <w:color w:val="auto"/>
              </w:rPr>
            </w:pPr>
            <w:r>
              <w:rPr>
                <w:rFonts w:ascii="Arial" w:cs="Arial" w:eastAsia="Arial" w:hAnsi="Arial"/>
                <w:sz w:val="13"/>
                <w:szCs w:val="13"/>
                <w:color w:val="auto"/>
              </w:rPr>
              <w:t>370</w:t>
            </w:r>
          </w:p>
        </w:tc>
        <w:tc>
          <w:tcPr>
            <w:tcW w:w="880" w:type="dxa"/>
            <w:vAlign w:val="bottom"/>
          </w:tcPr>
          <w:p>
            <w:pPr>
              <w:jc w:val="right"/>
              <w:spacing w:after="0"/>
              <w:rPr>
                <w:sz w:val="20"/>
                <w:szCs w:val="20"/>
                <w:color w:val="auto"/>
              </w:rPr>
            </w:pPr>
            <w:r>
              <w:rPr>
                <w:rFonts w:ascii="Arial" w:cs="Arial" w:eastAsia="Arial" w:hAnsi="Arial"/>
                <w:sz w:val="13"/>
                <w:szCs w:val="13"/>
                <w:color w:val="auto"/>
              </w:rPr>
              <w:t>13,123</w:t>
            </w:r>
          </w:p>
        </w:tc>
      </w:tr>
      <w:tr>
        <w:trPr>
          <w:trHeight w:val="169"/>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Audit related fees</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7380" w:type="dxa"/>
            <w:vAlign w:val="bottom"/>
          </w:tcPr>
          <w:p>
            <w:pPr>
              <w:ind w:left="20"/>
              <w:spacing w:after="0"/>
              <w:rPr>
                <w:sz w:val="20"/>
                <w:szCs w:val="20"/>
                <w:color w:val="auto"/>
              </w:rPr>
            </w:pPr>
            <w:r>
              <w:rPr>
                <w:rFonts w:ascii="Arial" w:cs="Arial" w:eastAsia="Arial" w:hAnsi="Arial"/>
                <w:sz w:val="13"/>
                <w:szCs w:val="13"/>
                <w:color w:val="auto"/>
              </w:rPr>
              <w:t>Total audit and audit related fees</w:t>
            </w: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12,753</w:t>
            </w:r>
          </w:p>
        </w:tc>
        <w:tc>
          <w:tcPr>
            <w:tcW w:w="1660" w:type="dxa"/>
            <w:vAlign w:val="bottom"/>
          </w:tcPr>
          <w:p>
            <w:pPr>
              <w:jc w:val="right"/>
              <w:ind w:right="416"/>
              <w:spacing w:after="0"/>
              <w:rPr>
                <w:sz w:val="20"/>
                <w:szCs w:val="20"/>
                <w:color w:val="auto"/>
              </w:rPr>
            </w:pPr>
            <w:r>
              <w:rPr>
                <w:rFonts w:ascii="Arial" w:cs="Arial" w:eastAsia="Arial" w:hAnsi="Arial"/>
                <w:sz w:val="13"/>
                <w:szCs w:val="13"/>
                <w:color w:val="auto"/>
              </w:rPr>
              <w:t>370</w:t>
            </w:r>
          </w:p>
        </w:tc>
        <w:tc>
          <w:tcPr>
            <w:tcW w:w="880" w:type="dxa"/>
            <w:vAlign w:val="bottom"/>
          </w:tcPr>
          <w:p>
            <w:pPr>
              <w:jc w:val="right"/>
              <w:spacing w:after="0"/>
              <w:rPr>
                <w:sz w:val="20"/>
                <w:szCs w:val="20"/>
                <w:color w:val="auto"/>
              </w:rPr>
            </w:pPr>
            <w:r>
              <w:rPr>
                <w:rFonts w:ascii="Arial" w:cs="Arial" w:eastAsia="Arial" w:hAnsi="Arial"/>
                <w:sz w:val="13"/>
                <w:szCs w:val="13"/>
                <w:color w:val="auto"/>
              </w:rPr>
              <w:t>13,123</w:t>
            </w:r>
          </w:p>
        </w:tc>
      </w:tr>
      <w:tr>
        <w:trPr>
          <w:trHeight w:val="203"/>
        </w:trPr>
        <w:tc>
          <w:tcPr>
            <w:tcW w:w="7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70"/>
        </w:trPr>
        <w:tc>
          <w:tcPr>
            <w:tcW w:w="73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Tax fees </w:t>
            </w:r>
            <w:r>
              <w:rPr>
                <w:rFonts w:ascii="Arial" w:cs="Arial" w:eastAsia="Arial" w:hAnsi="Arial"/>
                <w:sz w:val="16"/>
                <w:szCs w:val="16"/>
                <w:color w:val="auto"/>
                <w:vertAlign w:val="superscript"/>
              </w:rPr>
              <w:t>(2)</w:t>
            </w: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660" w:type="dxa"/>
            <w:vAlign w:val="bottom"/>
          </w:tcPr>
          <w:p>
            <w:pPr>
              <w:jc w:val="right"/>
              <w:ind w:right="416"/>
              <w:spacing w:after="0"/>
              <w:rPr>
                <w:sz w:val="20"/>
                <w:szCs w:val="20"/>
                <w:color w:val="auto"/>
              </w:rPr>
            </w:pPr>
            <w:r>
              <w:rPr>
                <w:rFonts w:ascii="Arial" w:cs="Arial" w:eastAsia="Arial" w:hAnsi="Arial"/>
                <w:sz w:val="13"/>
                <w:szCs w:val="13"/>
                <w:color w:val="auto"/>
              </w:rPr>
              <w:t>603</w:t>
            </w:r>
          </w:p>
        </w:tc>
        <w:tc>
          <w:tcPr>
            <w:tcW w:w="880" w:type="dxa"/>
            <w:vAlign w:val="bottom"/>
          </w:tcPr>
          <w:p>
            <w:pPr>
              <w:jc w:val="right"/>
              <w:spacing w:after="0"/>
              <w:rPr>
                <w:sz w:val="20"/>
                <w:szCs w:val="20"/>
                <w:color w:val="auto"/>
              </w:rPr>
            </w:pPr>
            <w:r>
              <w:rPr>
                <w:rFonts w:ascii="Arial" w:cs="Arial" w:eastAsia="Arial" w:hAnsi="Arial"/>
                <w:sz w:val="13"/>
                <w:szCs w:val="13"/>
                <w:color w:val="auto"/>
              </w:rPr>
              <w:t>603</w:t>
            </w:r>
          </w:p>
        </w:tc>
      </w:tr>
      <w:tr>
        <w:trPr>
          <w:trHeight w:val="170"/>
        </w:trPr>
        <w:tc>
          <w:tcPr>
            <w:tcW w:w="7380" w:type="dxa"/>
            <w:vAlign w:val="bottom"/>
            <w:tcBorders>
              <w:bottom w:val="single" w:sz="8" w:color="auto"/>
            </w:tcBorders>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fees </w:t>
            </w:r>
            <w:r>
              <w:rPr>
                <w:rFonts w:ascii="Arial" w:cs="Arial" w:eastAsia="Arial" w:hAnsi="Arial"/>
                <w:sz w:val="16"/>
                <w:szCs w:val="16"/>
                <w:color w:val="auto"/>
                <w:vertAlign w:val="superscript"/>
              </w:rPr>
              <w:t>(3)</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41</w:t>
            </w: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0"/>
        </w:trPr>
        <w:tc>
          <w:tcPr>
            <w:tcW w:w="7380" w:type="dxa"/>
            <w:vAlign w:val="bottom"/>
          </w:tcPr>
          <w:p>
            <w:pPr>
              <w:ind w:left="20"/>
              <w:spacing w:after="0"/>
              <w:rPr>
                <w:sz w:val="20"/>
                <w:szCs w:val="20"/>
                <w:color w:val="auto"/>
              </w:rPr>
            </w:pPr>
            <w:r>
              <w:rPr>
                <w:rFonts w:ascii="Arial" w:cs="Arial" w:eastAsia="Arial" w:hAnsi="Arial"/>
                <w:sz w:val="13"/>
                <w:szCs w:val="13"/>
                <w:b w:val="1"/>
                <w:bCs w:val="1"/>
                <w:color w:val="auto"/>
              </w:rPr>
              <w:t>Total non-audit fees</w:t>
            </w: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41</w:t>
            </w:r>
          </w:p>
        </w:tc>
        <w:tc>
          <w:tcPr>
            <w:tcW w:w="1660" w:type="dxa"/>
            <w:vAlign w:val="bottom"/>
          </w:tcPr>
          <w:p>
            <w:pPr>
              <w:jc w:val="right"/>
              <w:ind w:right="416"/>
              <w:spacing w:after="0"/>
              <w:rPr>
                <w:sz w:val="20"/>
                <w:szCs w:val="20"/>
                <w:color w:val="auto"/>
              </w:rPr>
            </w:pPr>
            <w:r>
              <w:rPr>
                <w:rFonts w:ascii="Arial" w:cs="Arial" w:eastAsia="Arial" w:hAnsi="Arial"/>
                <w:sz w:val="13"/>
                <w:szCs w:val="13"/>
                <w:color w:val="auto"/>
              </w:rPr>
              <w:t>603</w:t>
            </w:r>
          </w:p>
        </w:tc>
        <w:tc>
          <w:tcPr>
            <w:tcW w:w="880" w:type="dxa"/>
            <w:vAlign w:val="bottom"/>
          </w:tcPr>
          <w:p>
            <w:pPr>
              <w:jc w:val="right"/>
              <w:spacing w:after="0"/>
              <w:rPr>
                <w:sz w:val="20"/>
                <w:szCs w:val="20"/>
                <w:color w:val="auto"/>
              </w:rPr>
            </w:pPr>
            <w:r>
              <w:rPr>
                <w:rFonts w:ascii="Arial" w:cs="Arial" w:eastAsia="Arial" w:hAnsi="Arial"/>
                <w:sz w:val="13"/>
                <w:szCs w:val="13"/>
                <w:color w:val="auto"/>
              </w:rPr>
              <w:t>644</w:t>
            </w:r>
          </w:p>
        </w:tc>
      </w:tr>
      <w:tr>
        <w:trPr>
          <w:trHeight w:val="202"/>
        </w:trPr>
        <w:tc>
          <w:tcPr>
            <w:tcW w:w="7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r>
      <w:tr>
        <w:trPr>
          <w:trHeight w:val="160"/>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fees</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12,794</w:t>
            </w:r>
          </w:p>
        </w:tc>
        <w:tc>
          <w:tcPr>
            <w:tcW w:w="16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973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13,767</w:t>
            </w: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60" w:hanging="191"/>
        <w:spacing w:after="0" w:line="261" w:lineRule="auto"/>
        <w:tabs>
          <w:tab w:leader="none" w:pos="254" w:val="left"/>
        </w:tabs>
        <w:numPr>
          <w:ilvl w:val="0"/>
          <w:numId w:val="50"/>
        </w:numPr>
        <w:rPr>
          <w:rFonts w:ascii="Arial" w:cs="Arial" w:eastAsia="Arial" w:hAnsi="Arial"/>
          <w:sz w:val="7"/>
          <w:szCs w:val="7"/>
          <w:i w:val="1"/>
          <w:iCs w:val="1"/>
          <w:color w:val="auto"/>
        </w:rPr>
      </w:pPr>
      <w:r>
        <w:rPr>
          <w:rFonts w:ascii="Arial" w:cs="Arial" w:eastAsia="Arial" w:hAnsi="Arial"/>
          <w:sz w:val="11"/>
          <w:szCs w:val="11"/>
          <w:i w:val="1"/>
          <w:iCs w:val="1"/>
          <w:color w:val="auto"/>
        </w:rPr>
        <w:t>Audit fees include annual audit and review fees in respect of certain quarterly review services for the Company and its subsidiaries. Of the above audit fee of $13.1 million, $4.2 million is expensed at 31 December 2025. The balance will be recorded in our Consolidated Statement of Profit and Loss for the year ended 31 December 2026 as incurred.</w:t>
      </w:r>
    </w:p>
    <w:p>
      <w:pPr>
        <w:ind w:left="260" w:hanging="191"/>
        <w:spacing w:after="0" w:line="189" w:lineRule="auto"/>
        <w:tabs>
          <w:tab w:leader="none" w:pos="260" w:val="left"/>
        </w:tabs>
        <w:numPr>
          <w:ilvl w:val="0"/>
          <w:numId w:val="5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Tax fees represent services across a number of areas including International tax advisory services, tax compliance and indirect tax advisory services and other ad hoc tax advisory and planning.</w:t>
      </w:r>
    </w:p>
    <w:p>
      <w:pPr>
        <w:ind w:left="260" w:hanging="191"/>
        <w:spacing w:after="0" w:line="192" w:lineRule="auto"/>
        <w:tabs>
          <w:tab w:leader="none" w:pos="260" w:val="left"/>
        </w:tabs>
        <w:numPr>
          <w:ilvl w:val="0"/>
          <w:numId w:val="50"/>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Other fees primarily consist of permissible services in relation to environment, social and governance reporting advice.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280"/>
          </w:cols>
          <w:pgMar w:left="300" w:top="698"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6. Profit before taxation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For the year ended 31 December 2024, the Company’s statutory auditor was KPMG. The table below summarises the fees for professional services rendered by KPMG for the year ended 31 December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2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31 December 2024</w:t>
            </w:r>
          </w:p>
        </w:tc>
        <w:tc>
          <w:tcPr>
            <w:tcW w:w="840" w:type="dxa"/>
            <w:vAlign w:val="bottom"/>
            <w:tcBorders>
              <w:bottom w:val="single" w:sz="8" w:color="auto"/>
            </w:tcBorders>
            <w:shd w:val="clear" w:color="auto" w:fill="CCEEFF"/>
          </w:tcPr>
          <w:p>
            <w:pPr>
              <w:spacing w:after="0"/>
              <w:rPr>
                <w:sz w:val="14"/>
                <w:szCs w:val="14"/>
                <w:color w:val="auto"/>
              </w:rPr>
            </w:pPr>
          </w:p>
        </w:tc>
      </w:tr>
      <w:tr>
        <w:trPr>
          <w:trHeight w:val="160"/>
        </w:trPr>
        <w:tc>
          <w:tcPr>
            <w:tcW w:w="7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Statutory auditor</w:t>
            </w:r>
          </w:p>
        </w:tc>
        <w:tc>
          <w:tcPr>
            <w:tcW w:w="16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Affiliated firms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74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68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74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w:t>
            </w: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3,103</w:t>
            </w: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59</w:t>
            </w:r>
          </w:p>
        </w:tc>
        <w:tc>
          <w:tcPr>
            <w:tcW w:w="840" w:type="dxa"/>
            <w:vAlign w:val="bottom"/>
          </w:tcPr>
          <w:p>
            <w:pPr>
              <w:jc w:val="right"/>
              <w:spacing w:after="0"/>
              <w:rPr>
                <w:sz w:val="20"/>
                <w:szCs w:val="20"/>
                <w:color w:val="auto"/>
              </w:rPr>
            </w:pPr>
            <w:r>
              <w:rPr>
                <w:rFonts w:ascii="Arial" w:cs="Arial" w:eastAsia="Arial" w:hAnsi="Arial"/>
                <w:sz w:val="13"/>
                <w:szCs w:val="13"/>
                <w:color w:val="auto"/>
              </w:rPr>
              <w:t>3,162</w:t>
            </w:r>
          </w:p>
        </w:tc>
      </w:tr>
      <w:tr>
        <w:trPr>
          <w:trHeight w:val="170"/>
        </w:trPr>
        <w:tc>
          <w:tcPr>
            <w:tcW w:w="74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assurance fees: audit related fees </w:t>
            </w:r>
            <w:r>
              <w:rPr>
                <w:rFonts w:ascii="Arial" w:cs="Arial" w:eastAsia="Arial" w:hAnsi="Arial"/>
                <w:sz w:val="16"/>
                <w:szCs w:val="16"/>
                <w:color w:val="auto"/>
                <w:vertAlign w:val="superscript"/>
              </w:rPr>
              <w:t>(2)</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822</w:t>
            </w:r>
          </w:p>
        </w:tc>
        <w:tc>
          <w:tcPr>
            <w:tcW w:w="16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180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r>
      <w:tr>
        <w:trPr>
          <w:trHeight w:val="169"/>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Non-audit fees: Tax compliance and the preparation of tax returns and refund claims</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404</w:t>
            </w:r>
          </w:p>
        </w:tc>
        <w:tc>
          <w:tcPr>
            <w:tcW w:w="16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352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756</w:t>
            </w:r>
          </w:p>
        </w:tc>
      </w:tr>
      <w:tr>
        <w:trPr>
          <w:trHeight w:val="16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audit, audit related and tax compliance fees</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4,329</w:t>
            </w:r>
          </w:p>
        </w:tc>
        <w:tc>
          <w:tcPr>
            <w:tcW w:w="16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591</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4,920</w:t>
            </w:r>
          </w:p>
        </w:tc>
      </w:tr>
      <w:tr>
        <w:trPr>
          <w:trHeight w:val="202"/>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70"/>
        </w:trPr>
        <w:tc>
          <w:tcPr>
            <w:tcW w:w="74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tax planning and consulting services </w:t>
            </w:r>
            <w:r>
              <w:rPr>
                <w:rFonts w:ascii="Arial" w:cs="Arial" w:eastAsia="Arial" w:hAnsi="Arial"/>
                <w:sz w:val="16"/>
                <w:szCs w:val="16"/>
                <w:color w:val="auto"/>
                <w:vertAlign w:val="superscript"/>
              </w:rPr>
              <w:t>(3)</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2,094</w:t>
            </w:r>
          </w:p>
        </w:tc>
        <w:tc>
          <w:tcPr>
            <w:tcW w:w="16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20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w:t>
            </w:r>
          </w:p>
        </w:tc>
      </w:tr>
      <w:tr>
        <w:trPr>
          <w:trHeight w:val="170"/>
        </w:trPr>
        <w:tc>
          <w:tcPr>
            <w:tcW w:w="74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Tax advice relating to integration of ICON and PRA </w:t>
            </w:r>
            <w:r>
              <w:rPr>
                <w:rFonts w:ascii="Arial" w:cs="Arial" w:eastAsia="Arial" w:hAnsi="Arial"/>
                <w:sz w:val="16"/>
                <w:szCs w:val="16"/>
                <w:color w:val="auto"/>
                <w:vertAlign w:val="superscript"/>
              </w:rPr>
              <w:t>(4)</w:t>
            </w: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1,036</w:t>
            </w: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1,036</w:t>
            </w:r>
          </w:p>
        </w:tc>
      </w:tr>
      <w:tr>
        <w:trPr>
          <w:trHeight w:val="170"/>
        </w:trPr>
        <w:tc>
          <w:tcPr>
            <w:tcW w:w="7420" w:type="dxa"/>
            <w:vAlign w:val="bottom"/>
            <w:tcBorders>
              <w:bottom w:val="single" w:sz="8" w:color="auto"/>
            </w:tcBorders>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fees </w:t>
            </w:r>
            <w:r>
              <w:rPr>
                <w:rFonts w:ascii="Arial" w:cs="Arial" w:eastAsia="Arial" w:hAnsi="Arial"/>
                <w:sz w:val="16"/>
                <w:szCs w:val="16"/>
                <w:color w:val="auto"/>
                <w:vertAlign w:val="superscript"/>
              </w:rPr>
              <w:t>(5)</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193</w:t>
            </w: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r>
      <w:tr>
        <w:trPr>
          <w:trHeight w:val="160"/>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Total non-audit service fee / tax advisory fees</w:t>
            </w: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3,323</w:t>
            </w: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20</w:t>
            </w:r>
          </w:p>
        </w:tc>
        <w:tc>
          <w:tcPr>
            <w:tcW w:w="840" w:type="dxa"/>
            <w:vAlign w:val="bottom"/>
          </w:tcPr>
          <w:p>
            <w:pPr>
              <w:jc w:val="right"/>
              <w:spacing w:after="0"/>
              <w:rPr>
                <w:sz w:val="20"/>
                <w:szCs w:val="20"/>
                <w:color w:val="auto"/>
              </w:rPr>
            </w:pPr>
            <w:r>
              <w:rPr>
                <w:rFonts w:ascii="Arial" w:cs="Arial" w:eastAsia="Arial" w:hAnsi="Arial"/>
                <w:sz w:val="13"/>
                <w:szCs w:val="13"/>
                <w:color w:val="auto"/>
              </w:rPr>
              <w:t>3,343</w:t>
            </w:r>
          </w:p>
        </w:tc>
      </w:tr>
      <w:tr>
        <w:trPr>
          <w:trHeight w:val="202"/>
        </w:trPr>
        <w:tc>
          <w:tcPr>
            <w:tcW w:w="7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r>
      <w:tr>
        <w:trPr>
          <w:trHeight w:val="16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fees</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7,652</w:t>
            </w:r>
          </w:p>
        </w:tc>
        <w:tc>
          <w:tcPr>
            <w:tcW w:w="16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611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8,263</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60" w:hanging="191"/>
        <w:spacing w:after="0"/>
        <w:tabs>
          <w:tab w:leader="none" w:pos="260" w:val="left"/>
        </w:tabs>
        <w:numPr>
          <w:ilvl w:val="0"/>
          <w:numId w:val="5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Audit fees include annual audit and quarterly review fees for ICON Plc.</w:t>
      </w:r>
    </w:p>
    <w:p>
      <w:pPr>
        <w:ind w:left="260" w:hanging="191"/>
        <w:spacing w:after="0" w:line="197" w:lineRule="auto"/>
        <w:tabs>
          <w:tab w:leader="none" w:pos="255" w:val="left"/>
        </w:tabs>
        <w:numPr>
          <w:ilvl w:val="0"/>
          <w:numId w:val="5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Audit related fees principally consist of fees for assurance and related services, such as financial due diligence services, fees for the audit of employee benefit plans, fees for pension reviews and audit fees of Company subsidiaries and services provided in connection with statutory and regulatory filings.</w:t>
      </w:r>
    </w:p>
    <w:p>
      <w:pPr>
        <w:ind w:left="260" w:hanging="191"/>
        <w:spacing w:after="0" w:line="205" w:lineRule="auto"/>
        <w:tabs>
          <w:tab w:leader="none" w:pos="260" w:val="left"/>
        </w:tabs>
        <w:numPr>
          <w:ilvl w:val="0"/>
          <w:numId w:val="51"/>
        </w:numPr>
        <w:rPr>
          <w:rFonts w:ascii="Arial" w:cs="Arial" w:eastAsia="Arial" w:hAnsi="Arial"/>
          <w:sz w:val="14"/>
          <w:szCs w:val="14"/>
          <w:i w:val="1"/>
          <w:iCs w:val="1"/>
          <w:color w:val="auto"/>
          <w:vertAlign w:val="superscript"/>
        </w:rPr>
      </w:pPr>
      <w:r>
        <w:rPr>
          <w:rFonts w:ascii="Arial" w:cs="Arial" w:eastAsia="Arial" w:hAnsi="Arial"/>
          <w:sz w:val="10"/>
          <w:szCs w:val="10"/>
          <w:i w:val="1"/>
          <w:iCs w:val="1"/>
          <w:color w:val="auto"/>
        </w:rPr>
        <w:t>Other tax planning and consulting services represent services across a number of areas including in relation to the Group's financing facilities and other ad hoc tax advisory and planning.</w:t>
      </w:r>
    </w:p>
    <w:p>
      <w:pPr>
        <w:ind w:left="260" w:hanging="191"/>
        <w:spacing w:after="0" w:line="205" w:lineRule="auto"/>
        <w:tabs>
          <w:tab w:leader="none" w:pos="260" w:val="left"/>
        </w:tabs>
        <w:numPr>
          <w:ilvl w:val="0"/>
          <w:numId w:val="51"/>
        </w:numPr>
        <w:rPr>
          <w:rFonts w:ascii="Arial" w:cs="Arial" w:eastAsia="Arial" w:hAnsi="Arial"/>
          <w:sz w:val="14"/>
          <w:szCs w:val="14"/>
          <w:i w:val="1"/>
          <w:iCs w:val="1"/>
          <w:color w:val="auto"/>
          <w:vertAlign w:val="superscript"/>
        </w:rPr>
      </w:pPr>
      <w:r>
        <w:rPr>
          <w:rFonts w:ascii="Arial" w:cs="Arial" w:eastAsia="Arial" w:hAnsi="Arial"/>
          <w:sz w:val="10"/>
          <w:szCs w:val="10"/>
          <w:i w:val="1"/>
          <w:iCs w:val="1"/>
          <w:color w:val="auto"/>
        </w:rPr>
        <w:t>Tax advice relating to the integration of ICON and PRA including integration of business activities and the elimination of legal entities.</w:t>
      </w:r>
    </w:p>
    <w:p>
      <w:pPr>
        <w:ind w:left="260" w:hanging="191"/>
        <w:spacing w:after="0" w:line="180" w:lineRule="auto"/>
        <w:tabs>
          <w:tab w:leader="none" w:pos="260" w:val="left"/>
        </w:tabs>
        <w:numPr>
          <w:ilvl w:val="0"/>
          <w:numId w:val="51"/>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Other fees primarily consist of permissible services in relation to environment, social and governance reporting advice.</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Not included in the above table are billed fees by KPMG for their restatement audits of the U.S. GAAP results for the years ended 31 December 2024 and 31 December 2023 included in the 20-F filing in an amount of $4.5 million. This amount will be recorded in our Consolidated Statement of Profit and Loss for the year ended 31 December 2026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pre-approves all audit and non-audit services provided to the Company by its auditors.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Depreciation and amortisation</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980" w:type="dxa"/>
            <w:vAlign w:val="bottom"/>
            <w:shd w:val="clear" w:color="auto" w:fill="CCEEFF"/>
          </w:tcPr>
          <w:p>
            <w:pPr>
              <w:spacing w:after="0"/>
              <w:rPr>
                <w:sz w:val="12"/>
                <w:szCs w:val="12"/>
                <w:color w:val="auto"/>
              </w:rPr>
            </w:pPr>
          </w:p>
        </w:tc>
        <w:tc>
          <w:tcPr>
            <w:tcW w:w="39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5980" w:type="dxa"/>
            <w:vAlign w:val="bottom"/>
            <w:shd w:val="clear" w:color="auto" w:fill="CCEEFF"/>
          </w:tcPr>
          <w:p>
            <w:pPr>
              <w:spacing w:after="0"/>
              <w:rPr>
                <w:sz w:val="11"/>
                <w:szCs w:val="11"/>
                <w:color w:val="auto"/>
              </w:rPr>
            </w:pPr>
          </w:p>
        </w:tc>
        <w:tc>
          <w:tcPr>
            <w:tcW w:w="396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98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980" w:type="dxa"/>
            <w:vAlign w:val="bottom"/>
          </w:tcPr>
          <w:p>
            <w:pPr>
              <w:spacing w:after="0"/>
              <w:rPr>
                <w:sz w:val="14"/>
                <w:szCs w:val="14"/>
                <w:color w:val="auto"/>
              </w:rPr>
            </w:pPr>
          </w:p>
        </w:tc>
        <w:tc>
          <w:tcPr>
            <w:tcW w:w="39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property, plant and equipment (Note 12)</w:t>
            </w:r>
          </w:p>
        </w:tc>
        <w:tc>
          <w:tcPr>
            <w:tcW w:w="39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52,882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47,780</w:t>
            </w: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Depreciation of right-of-use assets (Note 25)</w:t>
            </w:r>
          </w:p>
        </w:tc>
        <w:tc>
          <w:tcPr>
            <w:tcW w:w="3960" w:type="dxa"/>
            <w:vAlign w:val="bottom"/>
          </w:tcPr>
          <w:p>
            <w:pPr>
              <w:jc w:val="right"/>
              <w:ind w:right="316"/>
              <w:spacing w:after="0"/>
              <w:rPr>
                <w:sz w:val="20"/>
                <w:szCs w:val="20"/>
                <w:color w:val="auto"/>
              </w:rPr>
            </w:pPr>
            <w:r>
              <w:rPr>
                <w:rFonts w:ascii="Arial" w:cs="Arial" w:eastAsia="Arial" w:hAnsi="Arial"/>
                <w:sz w:val="13"/>
                <w:szCs w:val="13"/>
                <w:b w:val="1"/>
                <w:bCs w:val="1"/>
                <w:color w:val="auto"/>
              </w:rPr>
              <w:t>37,648</w:t>
            </w:r>
          </w:p>
        </w:tc>
        <w:tc>
          <w:tcPr>
            <w:tcW w:w="1140" w:type="dxa"/>
            <w:vAlign w:val="bottom"/>
          </w:tcPr>
          <w:p>
            <w:pPr>
              <w:jc w:val="right"/>
              <w:spacing w:after="0"/>
              <w:rPr>
                <w:sz w:val="20"/>
                <w:szCs w:val="20"/>
                <w:color w:val="auto"/>
              </w:rPr>
            </w:pPr>
            <w:r>
              <w:rPr>
                <w:rFonts w:ascii="Arial" w:cs="Arial" w:eastAsia="Arial" w:hAnsi="Arial"/>
                <w:sz w:val="13"/>
                <w:szCs w:val="13"/>
                <w:color w:val="auto"/>
              </w:rPr>
              <w:t>41,014</w:t>
            </w:r>
          </w:p>
        </w:tc>
      </w:tr>
      <w:tr>
        <w:trPr>
          <w:trHeight w:val="17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Amortisation of intangible assets (Note 13)</w:t>
            </w:r>
          </w:p>
        </w:tc>
        <w:tc>
          <w:tcPr>
            <w:tcW w:w="39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330,114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440,720</w:t>
            </w:r>
          </w:p>
        </w:tc>
      </w:tr>
      <w:tr>
        <w:trPr>
          <w:trHeight w:val="16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depreciation and amortisation</w:t>
            </w:r>
          </w:p>
        </w:tc>
        <w:tc>
          <w:tcPr>
            <w:tcW w:w="39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420,644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529,514</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280"/>
          </w:cols>
          <w:pgMar w:left="300" w:top="698"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6. Profit before taxation </w:t>
      </w:r>
      <w:r>
        <w:rPr>
          <w:rFonts w:ascii="Arial" w:cs="Arial" w:eastAsia="Arial" w:hAnsi="Arial"/>
          <w:sz w:val="13"/>
          <w:szCs w:val="13"/>
          <w:b w:val="1"/>
          <w:bCs w:val="1"/>
          <w:i w:val="1"/>
          <w:iCs w:val="1"/>
          <w:color w:val="auto"/>
        </w:rPr>
        <w:t>(continued)</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Directors’ remuneration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shd w:val="clear" w:color="auto" w:fill="CCEEFF"/>
          </w:tcPr>
          <w:p>
            <w:pPr>
              <w:spacing w:after="0"/>
              <w:rPr>
                <w:sz w:val="13"/>
                <w:szCs w:val="13"/>
                <w:color w:val="auto"/>
              </w:rPr>
            </w:pPr>
          </w:p>
        </w:tc>
        <w:tc>
          <w:tcPr>
            <w:tcW w:w="43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800" w:type="dxa"/>
            <w:vAlign w:val="bottom"/>
            <w:tcBorders>
              <w:bottom w:val="single" w:sz="8" w:color="auto"/>
            </w:tcBorders>
            <w:shd w:val="clear" w:color="auto" w:fill="CCEEFF"/>
          </w:tcPr>
          <w:p>
            <w:pPr>
              <w:spacing w:after="0"/>
              <w:rPr>
                <w:sz w:val="14"/>
                <w:szCs w:val="14"/>
                <w:color w:val="auto"/>
              </w:rPr>
            </w:pPr>
          </w:p>
        </w:tc>
        <w:tc>
          <w:tcPr>
            <w:tcW w:w="43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5800" w:type="dxa"/>
            <w:vAlign w:val="bottom"/>
          </w:tcPr>
          <w:p>
            <w:pPr>
              <w:spacing w:after="0"/>
              <w:rPr>
                <w:sz w:val="13"/>
                <w:szCs w:val="13"/>
                <w:color w:val="auto"/>
              </w:rPr>
            </w:pPr>
          </w:p>
        </w:tc>
        <w:tc>
          <w:tcPr>
            <w:tcW w:w="43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Emoluments</w:t>
            </w:r>
          </w:p>
        </w:tc>
        <w:tc>
          <w:tcPr>
            <w:tcW w:w="43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2,663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w:t>
            </w:r>
          </w:p>
        </w:tc>
      </w:tr>
      <w:tr>
        <w:trPr>
          <w:trHeight w:val="170"/>
        </w:trPr>
        <w:tc>
          <w:tcPr>
            <w:tcW w:w="580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Benefits under long-term incentive schemes </w:t>
            </w:r>
            <w:r>
              <w:rPr>
                <w:rFonts w:ascii="Arial" w:cs="Arial" w:eastAsia="Arial" w:hAnsi="Arial"/>
                <w:sz w:val="16"/>
                <w:szCs w:val="16"/>
                <w:color w:val="auto"/>
                <w:vertAlign w:val="superscript"/>
              </w:rPr>
              <w:t>(1)</w:t>
            </w:r>
          </w:p>
        </w:tc>
        <w:tc>
          <w:tcPr>
            <w:tcW w:w="4320" w:type="dxa"/>
            <w:vAlign w:val="bottom"/>
          </w:tcPr>
          <w:p>
            <w:pPr>
              <w:jc w:val="right"/>
              <w:ind w:right="336"/>
              <w:spacing w:after="0"/>
              <w:rPr>
                <w:sz w:val="20"/>
                <w:szCs w:val="20"/>
                <w:color w:val="auto"/>
              </w:rPr>
            </w:pPr>
            <w:r>
              <w:rPr>
                <w:rFonts w:ascii="Arial" w:cs="Arial" w:eastAsia="Arial" w:hAnsi="Arial"/>
                <w:sz w:val="13"/>
                <w:szCs w:val="13"/>
                <w:b w:val="1"/>
                <w:bCs w:val="1"/>
                <w:color w:val="auto"/>
              </w:rPr>
              <w:t>10,703</w:t>
            </w:r>
          </w:p>
        </w:tc>
        <w:tc>
          <w:tcPr>
            <w:tcW w:w="1140" w:type="dxa"/>
            <w:vAlign w:val="bottom"/>
          </w:tcPr>
          <w:p>
            <w:pPr>
              <w:jc w:val="right"/>
              <w:spacing w:after="0"/>
              <w:rPr>
                <w:sz w:val="20"/>
                <w:szCs w:val="20"/>
                <w:color w:val="auto"/>
              </w:rPr>
            </w:pPr>
            <w:r>
              <w:rPr>
                <w:rFonts w:ascii="Arial" w:cs="Arial" w:eastAsia="Arial" w:hAnsi="Arial"/>
                <w:sz w:val="13"/>
                <w:szCs w:val="13"/>
                <w:color w:val="auto"/>
              </w:rPr>
              <w:t>2,807</w:t>
            </w: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exercise of share options</w:t>
            </w:r>
          </w:p>
        </w:tc>
        <w:tc>
          <w:tcPr>
            <w:tcW w:w="43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801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4,873</w:t>
            </w: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Compensation for loss of office</w:t>
            </w:r>
          </w:p>
        </w:tc>
        <w:tc>
          <w:tcPr>
            <w:tcW w:w="4320" w:type="dxa"/>
            <w:vAlign w:val="bottom"/>
          </w:tcPr>
          <w:p>
            <w:pPr>
              <w:jc w:val="right"/>
              <w:ind w:right="336"/>
              <w:spacing w:after="0"/>
              <w:rPr>
                <w:sz w:val="20"/>
                <w:szCs w:val="20"/>
                <w:color w:val="auto"/>
              </w:rPr>
            </w:pPr>
            <w:r>
              <w:rPr>
                <w:rFonts w:ascii="Arial" w:cs="Arial" w:eastAsia="Arial" w:hAnsi="Arial"/>
                <w:sz w:val="13"/>
                <w:szCs w:val="13"/>
                <w:b w:val="1"/>
                <w:bCs w:val="1"/>
                <w:color w:val="auto"/>
              </w:rPr>
              <w:t>1,299</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800" w:type="dxa"/>
            <w:vAlign w:val="bottom"/>
            <w:tcBorders>
              <w:bottom w:val="single" w:sz="8" w:color="auto"/>
            </w:tcBorders>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Pension contributions (defined contribution) </w:t>
            </w:r>
            <w:r>
              <w:rPr>
                <w:rFonts w:ascii="Arial" w:cs="Arial" w:eastAsia="Arial" w:hAnsi="Arial"/>
                <w:sz w:val="16"/>
                <w:szCs w:val="16"/>
                <w:color w:val="auto"/>
                <w:vertAlign w:val="superscript"/>
              </w:rPr>
              <w:t>(2)</w:t>
            </w:r>
          </w:p>
        </w:tc>
        <w:tc>
          <w:tcPr>
            <w:tcW w:w="43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148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w:t>
            </w:r>
          </w:p>
        </w:tc>
      </w:tr>
    </w:tbl>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Directors' remuneration disclosures as required by Section 305 of the Companies Act are set out above. Further details regarding Directors’ shareholdings, share options and compensation are shown in Note 10 </w:t>
      </w:r>
      <w:r>
        <w:rPr>
          <w:rFonts w:ascii="Arial" w:cs="Arial" w:eastAsia="Arial" w:hAnsi="Arial"/>
          <w:sz w:val="13"/>
          <w:szCs w:val="13"/>
          <w:i w:val="1"/>
          <w:iCs w:val="1"/>
          <w:color w:val="auto"/>
        </w:rPr>
        <w:t>Payroll and related benefits</w:t>
      </w:r>
      <w:r>
        <w:rPr>
          <w:rFonts w:ascii="Arial" w:cs="Arial" w:eastAsia="Arial" w:hAnsi="Arial"/>
          <w:sz w:val="13"/>
          <w:szCs w:val="13"/>
          <w:color w:val="auto"/>
        </w:rPr>
        <w:t xml:space="preserve"> in Notes to the Consolidated Financial Statements </w:t>
      </w:r>
      <w:r>
        <w:rPr>
          <w:rFonts w:ascii="Arial" w:cs="Arial" w:eastAsia="Arial" w:hAnsi="Arial"/>
          <w:sz w:val="13"/>
          <w:szCs w:val="13"/>
          <w:i w:val="1"/>
          <w:iCs w:val="1"/>
          <w:color w:val="auto"/>
        </w:rPr>
        <w:t>.</w:t>
      </w:r>
    </w:p>
    <w:p>
      <w:pPr>
        <w:spacing w:after="0" w:line="157" w:lineRule="exact"/>
        <w:rPr>
          <w:sz w:val="20"/>
          <w:szCs w:val="20"/>
          <w:color w:val="auto"/>
        </w:rPr>
      </w:pPr>
    </w:p>
    <w:p>
      <w:pPr>
        <w:ind w:firstLine="5"/>
        <w:spacing w:after="0" w:line="227" w:lineRule="auto"/>
        <w:tabs>
          <w:tab w:leader="none" w:pos="140" w:val="left"/>
        </w:tabs>
        <w:numPr>
          <w:ilvl w:val="0"/>
          <w:numId w:val="52"/>
        </w:numPr>
        <w:rPr>
          <w:rFonts w:ascii="Arial" w:cs="Arial" w:eastAsia="Arial" w:hAnsi="Arial"/>
          <w:sz w:val="16"/>
          <w:szCs w:val="16"/>
          <w:color w:val="auto"/>
          <w:vertAlign w:val="superscript"/>
        </w:rPr>
      </w:pPr>
      <w:r>
        <w:rPr>
          <w:rFonts w:ascii="Arial" w:cs="Arial" w:eastAsia="Arial" w:hAnsi="Arial"/>
          <w:sz w:val="12"/>
          <w:szCs w:val="12"/>
          <w:color w:val="auto"/>
        </w:rPr>
        <w:t xml:space="preserve">Included in the benefits under long-term incentive scheme are amounts relating to Restricted Share Unit and Performance Share Unit entitlements, the calculation of which was based on the share-based payment charge calculated under IFRS 2 </w:t>
      </w:r>
      <w:r>
        <w:rPr>
          <w:rFonts w:ascii="Arial" w:cs="Arial" w:eastAsia="Arial" w:hAnsi="Arial"/>
          <w:sz w:val="12"/>
          <w:szCs w:val="12"/>
          <w:i w:val="1"/>
          <w:iCs w:val="1"/>
          <w:color w:val="auto"/>
        </w:rPr>
        <w:t>Share-Based Payments</w:t>
      </w:r>
      <w:r>
        <w:rPr>
          <w:rFonts w:ascii="Arial" w:cs="Arial" w:eastAsia="Arial" w:hAnsi="Arial"/>
          <w:sz w:val="12"/>
          <w:szCs w:val="12"/>
          <w:color w:val="auto"/>
        </w:rPr>
        <w:t>.</w:t>
      </w:r>
    </w:p>
    <w:p>
      <w:pPr>
        <w:spacing w:after="0" w:line="156" w:lineRule="exact"/>
        <w:rPr>
          <w:rFonts w:ascii="Arial" w:cs="Arial" w:eastAsia="Arial" w:hAnsi="Arial"/>
          <w:sz w:val="16"/>
          <w:szCs w:val="16"/>
          <w:color w:val="auto"/>
          <w:vertAlign w:val="superscript"/>
        </w:rPr>
      </w:pPr>
    </w:p>
    <w:p>
      <w:pPr>
        <w:ind w:left="140" w:hanging="135"/>
        <w:spacing w:after="0"/>
        <w:tabs>
          <w:tab w:leader="none" w:pos="140" w:val="left"/>
        </w:tabs>
        <w:numPr>
          <w:ilvl w:val="0"/>
          <w:numId w:val="52"/>
        </w:numPr>
        <w:rPr>
          <w:rFonts w:ascii="Arial" w:cs="Arial" w:eastAsia="Arial" w:hAnsi="Arial"/>
          <w:sz w:val="16"/>
          <w:szCs w:val="16"/>
          <w:color w:val="auto"/>
          <w:vertAlign w:val="superscript"/>
        </w:rPr>
      </w:pPr>
      <w:r>
        <w:rPr>
          <w:rFonts w:ascii="Arial" w:cs="Arial" w:eastAsia="Arial" w:hAnsi="Arial"/>
          <w:sz w:val="12"/>
          <w:szCs w:val="12"/>
          <w:color w:val="auto"/>
        </w:rPr>
        <w:t>Retirement benefits accrued to two Directors (2024: one Director) under a defined contribution scheme.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280"/>
          </w:cols>
          <w:pgMar w:left="300" w:top="698"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Income tax expense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the current and deferred tax expense for the years ended 31 December 2025 and 2024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shd w:val="clear" w:color="auto" w:fill="CCEEFF"/>
          </w:tcPr>
          <w:p>
            <w:pPr>
              <w:spacing w:after="0"/>
              <w:rPr>
                <w:sz w:val="13"/>
                <w:szCs w:val="13"/>
                <w:color w:val="auto"/>
              </w:rPr>
            </w:pPr>
          </w:p>
        </w:tc>
        <w:tc>
          <w:tcPr>
            <w:tcW w:w="6200" w:type="dxa"/>
            <w:vAlign w:val="bottom"/>
            <w:shd w:val="clear" w:color="auto" w:fill="CCEEFF"/>
          </w:tcPr>
          <w:p>
            <w:pPr>
              <w:spacing w:after="0"/>
              <w:rPr>
                <w:sz w:val="13"/>
                <w:szCs w:val="13"/>
                <w:color w:val="auto"/>
              </w:rPr>
            </w:pPr>
          </w:p>
        </w:tc>
        <w:tc>
          <w:tcPr>
            <w:tcW w:w="38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140" w:type="dxa"/>
            <w:vAlign w:val="bottom"/>
            <w:shd w:val="clear" w:color="auto" w:fill="CCEEFF"/>
          </w:tcPr>
          <w:p>
            <w:pPr>
              <w:spacing w:after="0"/>
              <w:rPr>
                <w:sz w:val="11"/>
                <w:szCs w:val="11"/>
                <w:color w:val="auto"/>
              </w:rPr>
            </w:pPr>
          </w:p>
        </w:tc>
        <w:tc>
          <w:tcPr>
            <w:tcW w:w="6200" w:type="dxa"/>
            <w:vAlign w:val="bottom"/>
            <w:shd w:val="clear" w:color="auto" w:fill="CCEEFF"/>
          </w:tcPr>
          <w:p>
            <w:pPr>
              <w:spacing w:after="0"/>
              <w:rPr>
                <w:sz w:val="11"/>
                <w:szCs w:val="11"/>
                <w:color w:val="auto"/>
              </w:rPr>
            </w:pPr>
          </w:p>
        </w:tc>
        <w:tc>
          <w:tcPr>
            <w:tcW w:w="38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140" w:type="dxa"/>
            <w:vAlign w:val="bottom"/>
            <w:tcBorders>
              <w:bottom w:val="single" w:sz="8" w:color="auto"/>
            </w:tcBorders>
            <w:shd w:val="clear" w:color="auto" w:fill="CCEEFF"/>
          </w:tcPr>
          <w:p>
            <w:pPr>
              <w:spacing w:after="0"/>
              <w:rPr>
                <w:sz w:val="14"/>
                <w:szCs w:val="14"/>
                <w:color w:val="auto"/>
              </w:rPr>
            </w:pPr>
          </w:p>
        </w:tc>
        <w:tc>
          <w:tcPr>
            <w:tcW w:w="6200" w:type="dxa"/>
            <w:vAlign w:val="bottom"/>
            <w:tcBorders>
              <w:bottom w:val="single" w:sz="8" w:color="auto"/>
            </w:tcBorders>
            <w:shd w:val="clear" w:color="auto" w:fill="CCEEFF"/>
          </w:tcPr>
          <w:p>
            <w:pPr>
              <w:spacing w:after="0"/>
              <w:rPr>
                <w:sz w:val="14"/>
                <w:szCs w:val="14"/>
                <w:color w:val="auto"/>
              </w:rPr>
            </w:pPr>
          </w:p>
        </w:tc>
        <w:tc>
          <w:tcPr>
            <w:tcW w:w="38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8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tax expense</w:t>
            </w:r>
          </w:p>
        </w:tc>
        <w:tc>
          <w:tcPr>
            <w:tcW w:w="3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8"/>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Current year</w:t>
            </w:r>
          </w:p>
        </w:tc>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1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Ireland</w:t>
            </w:r>
          </w:p>
        </w:tc>
        <w:tc>
          <w:tcPr>
            <w:tcW w:w="38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88,232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108,031</w:t>
            </w:r>
          </w:p>
        </w:tc>
      </w:tr>
      <w:tr>
        <w:trPr>
          <w:trHeight w:val="178"/>
        </w:trPr>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0" w:type="dxa"/>
            <w:vAlign w:val="bottom"/>
          </w:tcPr>
          <w:p>
            <w:pPr>
              <w:ind w:left="60"/>
              <w:spacing w:after="0"/>
              <w:rPr>
                <w:sz w:val="20"/>
                <w:szCs w:val="20"/>
                <w:color w:val="auto"/>
              </w:rPr>
            </w:pPr>
            <w:r>
              <w:rPr>
                <w:rFonts w:ascii="Arial" w:cs="Arial" w:eastAsia="Arial" w:hAnsi="Arial"/>
                <w:sz w:val="13"/>
                <w:szCs w:val="13"/>
                <w:color w:val="auto"/>
              </w:rPr>
              <w:t>Other</w:t>
            </w:r>
          </w:p>
        </w:tc>
        <w:tc>
          <w:tcPr>
            <w:tcW w:w="3800" w:type="dxa"/>
            <w:vAlign w:val="bottom"/>
          </w:tcPr>
          <w:p>
            <w:pPr>
              <w:jc w:val="right"/>
              <w:ind w:right="336"/>
              <w:spacing w:after="0"/>
              <w:rPr>
                <w:sz w:val="20"/>
                <w:szCs w:val="20"/>
                <w:color w:val="auto"/>
              </w:rPr>
            </w:pPr>
            <w:r>
              <w:rPr>
                <w:rFonts w:ascii="Arial" w:cs="Arial" w:eastAsia="Arial" w:hAnsi="Arial"/>
                <w:sz w:val="13"/>
                <w:szCs w:val="13"/>
                <w:b w:val="1"/>
                <w:bCs w:val="1"/>
                <w:color w:val="auto"/>
              </w:rPr>
              <w:t>93,006</w:t>
            </w:r>
          </w:p>
        </w:tc>
        <w:tc>
          <w:tcPr>
            <w:tcW w:w="1140" w:type="dxa"/>
            <w:vAlign w:val="bottom"/>
          </w:tcPr>
          <w:p>
            <w:pPr>
              <w:jc w:val="right"/>
              <w:spacing w:after="0"/>
              <w:rPr>
                <w:sz w:val="20"/>
                <w:szCs w:val="20"/>
                <w:color w:val="auto"/>
              </w:rPr>
            </w:pPr>
            <w:r>
              <w:rPr>
                <w:rFonts w:ascii="Arial" w:cs="Arial" w:eastAsia="Arial" w:hAnsi="Arial"/>
                <w:sz w:val="13"/>
                <w:szCs w:val="13"/>
                <w:color w:val="auto"/>
              </w:rPr>
              <w:t>52,912</w:t>
            </w:r>
          </w:p>
        </w:tc>
      </w:tr>
      <w:tr>
        <w:trPr>
          <w:trHeight w:val="24"/>
        </w:trPr>
        <w:tc>
          <w:tcPr>
            <w:tcW w:w="14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0"/>
        </w:trPr>
        <w:tc>
          <w:tcPr>
            <w:tcW w:w="140" w:type="dxa"/>
            <w:vAlign w:val="bottom"/>
            <w:shd w:val="clear" w:color="auto" w:fill="CCEEFF"/>
          </w:tcPr>
          <w:p>
            <w:pPr>
              <w:spacing w:after="0"/>
              <w:rPr>
                <w:sz w:val="13"/>
                <w:szCs w:val="13"/>
                <w:color w:val="auto"/>
              </w:rPr>
            </w:pPr>
          </w:p>
        </w:tc>
        <w:tc>
          <w:tcPr>
            <w:tcW w:w="6200" w:type="dxa"/>
            <w:vAlign w:val="bottom"/>
            <w:shd w:val="clear" w:color="auto" w:fill="CCEEFF"/>
          </w:tcPr>
          <w:p>
            <w:pPr>
              <w:spacing w:after="0"/>
              <w:rPr>
                <w:sz w:val="13"/>
                <w:szCs w:val="13"/>
                <w:color w:val="auto"/>
              </w:rPr>
            </w:pPr>
          </w:p>
        </w:tc>
        <w:tc>
          <w:tcPr>
            <w:tcW w:w="38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181,238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160,943</w:t>
            </w: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b w:val="1"/>
                <w:bCs w:val="1"/>
                <w:color w:val="auto"/>
              </w:rPr>
              <w:t>Deferred tax credit</w:t>
            </w:r>
          </w:p>
        </w:tc>
        <w:tc>
          <w:tcPr>
            <w:tcW w:w="3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Origination and reversal of temporary differences</w:t>
            </w:r>
          </w:p>
        </w:tc>
        <w:tc>
          <w:tcPr>
            <w:tcW w:w="38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(161,611)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(90,702)</w:t>
            </w:r>
          </w:p>
        </w:tc>
      </w:tr>
      <w:tr>
        <w:trPr>
          <w:trHeight w:val="202"/>
        </w:trPr>
        <w:tc>
          <w:tcPr>
            <w:tcW w:w="6340" w:type="dxa"/>
            <w:vAlign w:val="bottom"/>
            <w:gridSpan w:val="2"/>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(Over) / under provided in prior years</w:t>
            </w:r>
          </w:p>
        </w:tc>
        <w:tc>
          <w:tcPr>
            <w:tcW w:w="3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Current tax</w:t>
            </w:r>
          </w:p>
        </w:tc>
        <w:tc>
          <w:tcPr>
            <w:tcW w:w="3800" w:type="dxa"/>
            <w:vAlign w:val="bottom"/>
          </w:tcPr>
          <w:p>
            <w:pPr>
              <w:jc w:val="right"/>
              <w:ind w:right="316"/>
              <w:spacing w:after="0"/>
              <w:rPr>
                <w:sz w:val="20"/>
                <w:szCs w:val="20"/>
                <w:color w:val="auto"/>
              </w:rPr>
            </w:pPr>
            <w:r>
              <w:rPr>
                <w:rFonts w:ascii="Arial" w:cs="Arial" w:eastAsia="Arial" w:hAnsi="Arial"/>
                <w:sz w:val="13"/>
                <w:szCs w:val="13"/>
                <w:b w:val="1"/>
                <w:bCs w:val="1"/>
                <w:color w:val="auto"/>
              </w:rPr>
              <w:t>(30,154)</w:t>
            </w:r>
          </w:p>
        </w:tc>
        <w:tc>
          <w:tcPr>
            <w:tcW w:w="1140" w:type="dxa"/>
            <w:vAlign w:val="bottom"/>
          </w:tcPr>
          <w:p>
            <w:pPr>
              <w:jc w:val="right"/>
              <w:spacing w:after="0"/>
              <w:rPr>
                <w:sz w:val="20"/>
                <w:szCs w:val="20"/>
                <w:color w:val="auto"/>
              </w:rPr>
            </w:pPr>
            <w:r>
              <w:rPr>
                <w:rFonts w:ascii="Arial" w:cs="Arial" w:eastAsia="Arial" w:hAnsi="Arial"/>
                <w:sz w:val="13"/>
                <w:szCs w:val="13"/>
                <w:color w:val="auto"/>
              </w:rPr>
              <w:t>10,169</w:t>
            </w:r>
          </w:p>
        </w:tc>
      </w:tr>
      <w:tr>
        <w:trPr>
          <w:trHeight w:val="17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Deferred tax</w:t>
            </w:r>
          </w:p>
        </w:tc>
        <w:tc>
          <w:tcPr>
            <w:tcW w:w="38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27,002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(4,937)</w:t>
            </w:r>
          </w:p>
        </w:tc>
      </w:tr>
      <w:tr>
        <w:trPr>
          <w:trHeight w:val="160"/>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(Over) / under provided in prior years</w:t>
            </w:r>
          </w:p>
        </w:tc>
        <w:tc>
          <w:tcPr>
            <w:tcW w:w="3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(3,152)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5,232</w:t>
            </w:r>
          </w:p>
        </w:tc>
      </w:tr>
      <w:tr>
        <w:trPr>
          <w:trHeight w:val="16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income tax expense in profit and loss</w:t>
            </w:r>
          </w:p>
        </w:tc>
        <w:tc>
          <w:tcPr>
            <w:tcW w:w="38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16,475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75,473</w:t>
            </w:r>
          </w:p>
        </w:tc>
      </w:tr>
      <w:tr>
        <w:trPr>
          <w:trHeight w:val="107"/>
        </w:trPr>
        <w:tc>
          <w:tcPr>
            <w:tcW w:w="140" w:type="dxa"/>
            <w:vAlign w:val="bottom"/>
          </w:tcPr>
          <w:p>
            <w:pPr>
              <w:spacing w:after="0"/>
              <w:rPr>
                <w:sz w:val="9"/>
                <w:szCs w:val="9"/>
                <w:color w:val="auto"/>
              </w:rPr>
            </w:pPr>
          </w:p>
        </w:tc>
        <w:tc>
          <w:tcPr>
            <w:tcW w:w="62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Tax recognised directly in equity</w:t>
            </w:r>
          </w:p>
        </w:tc>
        <w:tc>
          <w:tcPr>
            <w:tcW w:w="3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Deferred tax recognised directly in equity</w:t>
            </w:r>
          </w:p>
        </w:tc>
        <w:tc>
          <w:tcPr>
            <w:tcW w:w="3800" w:type="dxa"/>
            <w:vAlign w:val="bottom"/>
          </w:tcPr>
          <w:p>
            <w:pPr>
              <w:jc w:val="right"/>
              <w:ind w:right="316"/>
              <w:spacing w:after="0"/>
              <w:rPr>
                <w:sz w:val="20"/>
                <w:szCs w:val="20"/>
                <w:color w:val="auto"/>
              </w:rPr>
            </w:pPr>
            <w:r>
              <w:rPr>
                <w:rFonts w:ascii="Arial" w:cs="Arial" w:eastAsia="Arial" w:hAnsi="Arial"/>
                <w:sz w:val="13"/>
                <w:szCs w:val="13"/>
                <w:b w:val="1"/>
                <w:bCs w:val="1"/>
                <w:color w:val="auto"/>
              </w:rPr>
              <w:t>(4,147)</w:t>
            </w:r>
          </w:p>
        </w:tc>
        <w:tc>
          <w:tcPr>
            <w:tcW w:w="1140" w:type="dxa"/>
            <w:vAlign w:val="bottom"/>
          </w:tcPr>
          <w:p>
            <w:pPr>
              <w:jc w:val="right"/>
              <w:spacing w:after="0"/>
              <w:rPr>
                <w:sz w:val="20"/>
                <w:szCs w:val="20"/>
                <w:color w:val="auto"/>
              </w:rPr>
            </w:pPr>
            <w:r>
              <w:rPr>
                <w:rFonts w:ascii="Arial" w:cs="Arial" w:eastAsia="Arial" w:hAnsi="Arial"/>
                <w:sz w:val="13"/>
                <w:szCs w:val="13"/>
                <w:color w:val="auto"/>
              </w:rPr>
              <w:t>13,971</w:t>
            </w:r>
          </w:p>
        </w:tc>
      </w:tr>
      <w:tr>
        <w:trPr>
          <w:trHeight w:val="17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Current tax recognised directly in equity</w:t>
            </w:r>
          </w:p>
        </w:tc>
        <w:tc>
          <w:tcPr>
            <w:tcW w:w="38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961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(3,596)</w:t>
            </w:r>
          </w:p>
        </w:tc>
      </w:tr>
      <w:tr>
        <w:trPr>
          <w:trHeight w:val="160"/>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tax recognised in equity</w:t>
            </w:r>
          </w:p>
        </w:tc>
        <w:tc>
          <w:tcPr>
            <w:tcW w:w="3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(3,186)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10,375</w:t>
            </w:r>
          </w:p>
        </w:tc>
      </w:tr>
      <w:tr>
        <w:trPr>
          <w:trHeight w:val="107"/>
        </w:trPr>
        <w:tc>
          <w:tcPr>
            <w:tcW w:w="140" w:type="dxa"/>
            <w:vAlign w:val="bottom"/>
            <w:shd w:val="clear" w:color="auto" w:fill="CCEEFF"/>
          </w:tcPr>
          <w:p>
            <w:pPr>
              <w:spacing w:after="0"/>
              <w:rPr>
                <w:sz w:val="9"/>
                <w:szCs w:val="9"/>
                <w:color w:val="auto"/>
              </w:rPr>
            </w:pPr>
          </w:p>
        </w:tc>
        <w:tc>
          <w:tcPr>
            <w:tcW w:w="6200" w:type="dxa"/>
            <w:vAlign w:val="bottom"/>
            <w:shd w:val="clear" w:color="auto" w:fill="CCEEFF"/>
          </w:tcPr>
          <w:p>
            <w:pPr>
              <w:spacing w:after="0"/>
              <w:rPr>
                <w:sz w:val="9"/>
                <w:szCs w:val="9"/>
                <w:color w:val="auto"/>
              </w:rPr>
            </w:pPr>
          </w:p>
        </w:tc>
        <w:tc>
          <w:tcPr>
            <w:tcW w:w="38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 recognised in other comprehensive income</w:t>
            </w:r>
          </w:p>
        </w:tc>
        <w:tc>
          <w:tcPr>
            <w:tcW w:w="3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Fair value of cash flow hedge</w:t>
            </w:r>
          </w:p>
        </w:tc>
        <w:tc>
          <w:tcPr>
            <w:tcW w:w="38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(346)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r>
      <w:tr>
        <w:trPr>
          <w:trHeight w:val="170"/>
        </w:trPr>
        <w:tc>
          <w:tcPr>
            <w:tcW w:w="6340" w:type="dxa"/>
            <w:vAlign w:val="bottom"/>
            <w:gridSpan w:val="2"/>
          </w:tcPr>
          <w:p>
            <w:pPr>
              <w:ind w:left="20"/>
              <w:spacing w:after="0"/>
              <w:rPr>
                <w:sz w:val="20"/>
                <w:szCs w:val="20"/>
                <w:color w:val="auto"/>
              </w:rPr>
            </w:pPr>
            <w:r>
              <w:rPr>
                <w:rFonts w:ascii="Arial" w:cs="Arial" w:eastAsia="Arial" w:hAnsi="Arial"/>
                <w:sz w:val="13"/>
                <w:szCs w:val="13"/>
                <w:color w:val="auto"/>
              </w:rPr>
              <w:t>Tax on currency impact on long-term funding</w:t>
            </w:r>
          </w:p>
        </w:tc>
        <w:tc>
          <w:tcPr>
            <w:tcW w:w="3800" w:type="dxa"/>
            <w:vAlign w:val="bottom"/>
          </w:tcPr>
          <w:p>
            <w:pPr>
              <w:jc w:val="right"/>
              <w:ind w:right="296"/>
              <w:spacing w:after="0"/>
              <w:rPr>
                <w:sz w:val="20"/>
                <w:szCs w:val="20"/>
                <w:color w:val="auto"/>
              </w:rPr>
            </w:pPr>
            <w:r>
              <w:rPr>
                <w:rFonts w:ascii="Arial" w:cs="Arial" w:eastAsia="Arial" w:hAnsi="Arial"/>
                <w:sz w:val="13"/>
                <w:szCs w:val="13"/>
                <w:b w:val="1"/>
                <w:bCs w:val="1"/>
                <w:color w:val="auto"/>
              </w:rPr>
              <w:t>(7,048)</w:t>
            </w:r>
          </w:p>
        </w:tc>
        <w:tc>
          <w:tcPr>
            <w:tcW w:w="1140" w:type="dxa"/>
            <w:vAlign w:val="bottom"/>
          </w:tcPr>
          <w:p>
            <w:pPr>
              <w:jc w:val="right"/>
              <w:spacing w:after="0"/>
              <w:rPr>
                <w:sz w:val="20"/>
                <w:szCs w:val="20"/>
                <w:color w:val="auto"/>
              </w:rPr>
            </w:pPr>
            <w:r>
              <w:rPr>
                <w:rFonts w:ascii="Arial" w:cs="Arial" w:eastAsia="Arial" w:hAnsi="Arial"/>
                <w:sz w:val="13"/>
                <w:szCs w:val="13"/>
                <w:color w:val="auto"/>
              </w:rPr>
              <w:t>1,728</w:t>
            </w:r>
          </w:p>
        </w:tc>
      </w:tr>
      <w:tr>
        <w:trPr>
          <w:trHeight w:val="170"/>
        </w:trPr>
        <w:tc>
          <w:tcPr>
            <w:tcW w:w="6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Tax impact of pension contributions</w:t>
            </w:r>
          </w:p>
        </w:tc>
        <w:tc>
          <w:tcPr>
            <w:tcW w:w="38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2,818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w:t>
            </w:r>
          </w:p>
        </w:tc>
      </w:tr>
      <w:tr>
        <w:trPr>
          <w:trHeight w:val="160"/>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income tax recognised in other comprehensive income</w:t>
            </w:r>
          </w:p>
        </w:tc>
        <w:tc>
          <w:tcPr>
            <w:tcW w:w="3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(4,576)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total tax expense of $16.5 million and $75.5 million for the years ended 31 December 2025 and 31 December 2024 respectively, reflects tax at standard rates on taxable profits in the jurisdictions in which the Group operates, foreign withholding tax and the availability of tax losses.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deferred tax credit of $161.6 million for the year ended 31 December 2025 and the deferred tax credit of $90.7 million for the year ended 31 December 2024, is mainly driven by an increase in Net Operating Loss carry forwards, the timing of tax deductions available relating to the Group’s share-based compensation schemes, the timing of certain intangible asset amortisation primarily on US acquisitions and the temporary differences associated with investments in foreign subsidiaries where the Company does not consider the earnings to be indefinitely reinvested.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280"/>
          </w:cols>
          <w:pgMar w:left="300" w:top="698"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expected tax expense, computed by applying the standard Irish tax rate to income before tax to the actual tax expense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shd w:val="clear" w:color="auto" w:fill="CCEEFF"/>
          </w:tcPr>
          <w:p>
            <w:pPr>
              <w:spacing w:after="0"/>
              <w:rPr>
                <w:sz w:val="13"/>
                <w:szCs w:val="13"/>
                <w:color w:val="auto"/>
              </w:rPr>
            </w:pPr>
          </w:p>
        </w:tc>
        <w:tc>
          <w:tcPr>
            <w:tcW w:w="48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5300" w:type="dxa"/>
            <w:vAlign w:val="bottom"/>
            <w:shd w:val="clear" w:color="auto" w:fill="CCEEFF"/>
          </w:tcPr>
          <w:p>
            <w:pPr>
              <w:spacing w:after="0"/>
              <w:rPr>
                <w:sz w:val="11"/>
                <w:szCs w:val="11"/>
                <w:color w:val="auto"/>
              </w:rPr>
            </w:pPr>
          </w:p>
        </w:tc>
        <w:tc>
          <w:tcPr>
            <w:tcW w:w="484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300" w:type="dxa"/>
            <w:vAlign w:val="bottom"/>
            <w:tcBorders>
              <w:bottom w:val="single" w:sz="8" w:color="auto"/>
            </w:tcBorders>
            <w:shd w:val="clear" w:color="auto" w:fill="CCEEFF"/>
          </w:tcPr>
          <w:p>
            <w:pPr>
              <w:spacing w:after="0"/>
              <w:rPr>
                <w:sz w:val="14"/>
                <w:szCs w:val="14"/>
                <w:color w:val="auto"/>
              </w:rPr>
            </w:pPr>
          </w:p>
        </w:tc>
        <w:tc>
          <w:tcPr>
            <w:tcW w:w="48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300" w:type="dxa"/>
            <w:vAlign w:val="bottom"/>
          </w:tcPr>
          <w:p>
            <w:pPr>
              <w:spacing w:after="0"/>
              <w:rPr>
                <w:sz w:val="14"/>
                <w:szCs w:val="14"/>
                <w:color w:val="auto"/>
              </w:rPr>
            </w:pPr>
          </w:p>
        </w:tc>
        <w:tc>
          <w:tcPr>
            <w:tcW w:w="484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Profit before tax</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230,513</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802,550</w:t>
            </w:r>
          </w:p>
        </w:tc>
      </w:tr>
      <w:tr>
        <w:trPr>
          <w:trHeight w:val="17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Irish standard tax rate</w:t>
            </w:r>
          </w:p>
        </w:tc>
        <w:tc>
          <w:tcPr>
            <w:tcW w:w="48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12.5 %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12.5 %</w:t>
            </w:r>
          </w:p>
        </w:tc>
      </w:tr>
      <w:tr>
        <w:trPr>
          <w:trHeight w:val="182"/>
        </w:trPr>
        <w:tc>
          <w:tcPr>
            <w:tcW w:w="5300" w:type="dxa"/>
            <w:vAlign w:val="bottom"/>
            <w:shd w:val="clear" w:color="auto" w:fill="CCEEFF"/>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Taxes at Irish standard tax rate</w:t>
            </w:r>
          </w:p>
        </w:tc>
        <w:tc>
          <w:tcPr>
            <w:tcW w:w="48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28,814</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100,319</w:t>
            </w:r>
          </w:p>
        </w:tc>
      </w:tr>
      <w:tr>
        <w:trPr>
          <w:trHeight w:val="182"/>
        </w:trPr>
        <w:tc>
          <w:tcPr>
            <w:tcW w:w="5300" w:type="dxa"/>
            <w:vAlign w:val="bottom"/>
            <w:shd w:val="clear" w:color="auto" w:fill="CCEEFF"/>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8"/>
        </w:trPr>
        <w:tc>
          <w:tcPr>
            <w:tcW w:w="5300" w:type="dxa"/>
            <w:vAlign w:val="bottom"/>
          </w:tcPr>
          <w:p>
            <w:pPr>
              <w:ind w:left="20"/>
              <w:spacing w:after="0"/>
              <w:rPr>
                <w:sz w:val="20"/>
                <w:szCs w:val="20"/>
                <w:color w:val="auto"/>
              </w:rPr>
            </w:pPr>
            <w:r>
              <w:rPr>
                <w:rFonts w:ascii="Arial" w:cs="Arial" w:eastAsia="Arial" w:hAnsi="Arial"/>
                <w:sz w:val="13"/>
                <w:szCs w:val="13"/>
                <w:color w:val="auto"/>
              </w:rPr>
              <w:t>(Over) / under provision in respect to prior years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(3,152)</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5,232</w:t>
            </w:r>
          </w:p>
        </w:tc>
      </w:tr>
      <w:tr>
        <w:trPr>
          <w:trHeight w:val="24"/>
        </w:trPr>
        <w:tc>
          <w:tcPr>
            <w:tcW w:w="5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and other income taxed at higher rates</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56,164</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44,912</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Rate differential from amortisation of intangible assets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(49,828)</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(48,240)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change in tax rates</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25,691</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Decrease in unrecognised tax benefits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(25,952)</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(61,679)</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Losses for which no benefit previously recognised</w:t>
            </w:r>
          </w:p>
        </w:tc>
        <w:tc>
          <w:tcPr>
            <w:tcW w:w="48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(474)</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(5,279)</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Research and development tax incentives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(4,153)</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(3,041)</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Impact of stock compensation</w:t>
            </w:r>
          </w:p>
        </w:tc>
        <w:tc>
          <w:tcPr>
            <w:tcW w:w="48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(8,851)</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1,733</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Investor tax credit on foreign subsidiaries earnings</w:t>
            </w:r>
          </w:p>
        </w:tc>
        <w:tc>
          <w:tcPr>
            <w:tcW w:w="4840" w:type="dxa"/>
            <w:vAlign w:val="bottom"/>
          </w:tcPr>
          <w:p>
            <w:pPr>
              <w:jc w:val="right"/>
              <w:ind w:right="496"/>
              <w:spacing w:after="0"/>
              <w:rPr>
                <w:sz w:val="20"/>
                <w:szCs w:val="20"/>
                <w:color w:val="auto"/>
              </w:rPr>
            </w:pPr>
            <w:r>
              <w:rPr>
                <w:rFonts w:ascii="Arial" w:cs="Arial" w:eastAsia="Arial" w:hAnsi="Arial"/>
                <w:sz w:val="13"/>
                <w:szCs w:val="13"/>
                <w:b w:val="1"/>
                <w:bCs w:val="1"/>
                <w:color w:val="auto"/>
              </w:rPr>
              <w:t>(30,496)</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(7,995)</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Global minimum tax</w:t>
            </w:r>
          </w:p>
        </w:tc>
        <w:tc>
          <w:tcPr>
            <w:tcW w:w="48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12,475</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16,719</w:t>
            </w:r>
          </w:p>
        </w:tc>
      </w:tr>
      <w:tr>
        <w:trPr>
          <w:trHeight w:val="170"/>
        </w:trPr>
        <w:tc>
          <w:tcPr>
            <w:tcW w:w="5300" w:type="dxa"/>
            <w:vAlign w:val="bottom"/>
          </w:tcPr>
          <w:p>
            <w:pPr>
              <w:ind w:left="20"/>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deductible impairment losses</w:t>
            </w:r>
          </w:p>
        </w:tc>
        <w:tc>
          <w:tcPr>
            <w:tcW w:w="4840" w:type="dxa"/>
            <w:vAlign w:val="bottom"/>
          </w:tcPr>
          <w:p>
            <w:pPr>
              <w:jc w:val="right"/>
              <w:ind w:right="536"/>
              <w:spacing w:after="0"/>
              <w:rPr>
                <w:sz w:val="20"/>
                <w:szCs w:val="20"/>
                <w:color w:val="auto"/>
              </w:rPr>
            </w:pPr>
            <w:r>
              <w:rPr>
                <w:rFonts w:ascii="Arial" w:cs="Arial" w:eastAsia="Arial" w:hAnsi="Arial"/>
                <w:sz w:val="13"/>
                <w:szCs w:val="13"/>
                <w:b w:val="1"/>
                <w:bCs w:val="1"/>
                <w:color w:val="auto"/>
              </w:rPr>
              <w:t>57,807</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8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(15,879)</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7,101</w:t>
            </w:r>
          </w:p>
        </w:tc>
      </w:tr>
      <w:tr>
        <w:trPr>
          <w:trHeight w:val="16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Tax expense on profit for the year</w:t>
            </w:r>
          </w:p>
        </w:tc>
        <w:tc>
          <w:tcPr>
            <w:tcW w:w="48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16,475</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75,473</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4"/>
        </w:trPr>
        <w:tc>
          <w:tcPr>
            <w:tcW w:w="5300" w:type="dxa"/>
            <w:vAlign w:val="bottom"/>
          </w:tcPr>
          <w:p>
            <w:pPr>
              <w:spacing w:after="0"/>
              <w:rPr>
                <w:sz w:val="20"/>
                <w:szCs w:val="20"/>
                <w:color w:val="auto"/>
              </w:rPr>
            </w:pPr>
            <w:r>
              <w:rPr>
                <w:rFonts w:ascii="Arial" w:cs="Arial" w:eastAsia="Arial" w:hAnsi="Arial"/>
                <w:sz w:val="13"/>
                <w:szCs w:val="13"/>
                <w:color w:val="auto"/>
              </w:rPr>
              <w:t>The net deferred tax asset at 31 December 2025 and 31 December 2024 was as follows:</w:t>
            </w:r>
          </w:p>
        </w:tc>
        <w:tc>
          <w:tcPr>
            <w:tcW w:w="4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5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27"/>
        </w:trPr>
        <w:tc>
          <w:tcPr>
            <w:tcW w:w="5300" w:type="dxa"/>
            <w:vAlign w:val="bottom"/>
            <w:shd w:val="clear" w:color="auto" w:fill="CCEEFF"/>
          </w:tcPr>
          <w:p>
            <w:pPr>
              <w:spacing w:after="0"/>
              <w:rPr>
                <w:sz w:val="11"/>
                <w:szCs w:val="11"/>
                <w:color w:val="auto"/>
              </w:rPr>
            </w:pPr>
          </w:p>
        </w:tc>
        <w:tc>
          <w:tcPr>
            <w:tcW w:w="48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27"/>
        </w:trPr>
        <w:tc>
          <w:tcPr>
            <w:tcW w:w="5300" w:type="dxa"/>
            <w:vAlign w:val="bottom"/>
            <w:shd w:val="clear" w:color="auto" w:fill="CCEEFF"/>
          </w:tcPr>
          <w:p>
            <w:pPr>
              <w:spacing w:after="0"/>
              <w:rPr>
                <w:sz w:val="11"/>
                <w:szCs w:val="11"/>
                <w:color w:val="auto"/>
              </w:rPr>
            </w:pPr>
          </w:p>
        </w:tc>
        <w:tc>
          <w:tcPr>
            <w:tcW w:w="48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300" w:type="dxa"/>
            <w:vAlign w:val="bottom"/>
            <w:tcBorders>
              <w:bottom w:val="single" w:sz="8" w:color="auto"/>
            </w:tcBorders>
            <w:shd w:val="clear" w:color="auto" w:fill="CCEEFF"/>
          </w:tcPr>
          <w:p>
            <w:pPr>
              <w:spacing w:after="0"/>
              <w:rPr>
                <w:sz w:val="14"/>
                <w:szCs w:val="14"/>
                <w:color w:val="auto"/>
              </w:rPr>
            </w:pPr>
          </w:p>
        </w:tc>
        <w:tc>
          <w:tcPr>
            <w:tcW w:w="48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300" w:type="dxa"/>
            <w:vAlign w:val="bottom"/>
          </w:tcPr>
          <w:p>
            <w:pPr>
              <w:spacing w:after="0"/>
              <w:rPr>
                <w:sz w:val="14"/>
                <w:szCs w:val="14"/>
                <w:color w:val="auto"/>
              </w:rPr>
            </w:pPr>
          </w:p>
        </w:tc>
        <w:tc>
          <w:tcPr>
            <w:tcW w:w="48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4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Net operating losses carried forward</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140,895</w:t>
            </w:r>
          </w:p>
        </w:tc>
        <w:tc>
          <w:tcPr>
            <w:tcW w:w="1140" w:type="dxa"/>
            <w:vAlign w:val="bottom"/>
          </w:tcPr>
          <w:p>
            <w:pPr>
              <w:jc w:val="right"/>
              <w:spacing w:after="0"/>
              <w:rPr>
                <w:sz w:val="20"/>
                <w:szCs w:val="20"/>
                <w:color w:val="auto"/>
              </w:rPr>
            </w:pPr>
            <w:r>
              <w:rPr>
                <w:rFonts w:ascii="Arial" w:cs="Arial" w:eastAsia="Arial" w:hAnsi="Arial"/>
                <w:sz w:val="13"/>
                <w:szCs w:val="13"/>
                <w:color w:val="auto"/>
              </w:rPr>
              <w:t>125,960</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48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82,356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78,417</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14,538</w:t>
            </w:r>
          </w:p>
        </w:tc>
        <w:tc>
          <w:tcPr>
            <w:tcW w:w="1140" w:type="dxa"/>
            <w:vAlign w:val="bottom"/>
          </w:tcPr>
          <w:p>
            <w:pPr>
              <w:jc w:val="right"/>
              <w:spacing w:after="0"/>
              <w:rPr>
                <w:sz w:val="20"/>
                <w:szCs w:val="20"/>
                <w:color w:val="auto"/>
              </w:rPr>
            </w:pPr>
            <w:r>
              <w:rPr>
                <w:rFonts w:ascii="Arial" w:cs="Arial" w:eastAsia="Arial" w:hAnsi="Arial"/>
                <w:sz w:val="13"/>
                <w:szCs w:val="13"/>
                <w:color w:val="auto"/>
              </w:rPr>
              <w:t>7,869</w:t>
            </w:r>
          </w:p>
        </w:tc>
      </w:tr>
      <w:tr>
        <w:trPr>
          <w:trHeight w:val="17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w:t>
            </w:r>
          </w:p>
        </w:tc>
        <w:tc>
          <w:tcPr>
            <w:tcW w:w="48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862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10,364</w:t>
            </w:r>
          </w:p>
        </w:tc>
      </w:tr>
      <w:tr>
        <w:trPr>
          <w:trHeight w:val="170"/>
        </w:trPr>
        <w:tc>
          <w:tcPr>
            <w:tcW w:w="530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34,935</w:t>
            </w:r>
          </w:p>
        </w:tc>
        <w:tc>
          <w:tcPr>
            <w:tcW w:w="1140" w:type="dxa"/>
            <w:vAlign w:val="bottom"/>
          </w:tcPr>
          <w:p>
            <w:pPr>
              <w:jc w:val="right"/>
              <w:spacing w:after="0"/>
              <w:rPr>
                <w:sz w:val="20"/>
                <w:szCs w:val="20"/>
                <w:color w:val="auto"/>
              </w:rPr>
            </w:pPr>
            <w:r>
              <w:rPr>
                <w:rFonts w:ascii="Arial" w:cs="Arial" w:eastAsia="Arial" w:hAnsi="Arial"/>
                <w:sz w:val="13"/>
                <w:szCs w:val="13"/>
                <w:color w:val="auto"/>
              </w:rPr>
              <w:t>24,355</w:t>
            </w:r>
          </w:p>
        </w:tc>
      </w:tr>
      <w:tr>
        <w:trPr>
          <w:trHeight w:val="17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8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7,832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14,358</w:t>
            </w:r>
          </w:p>
        </w:tc>
      </w:tr>
      <w:tr>
        <w:trPr>
          <w:trHeight w:val="160"/>
        </w:trPr>
        <w:tc>
          <w:tcPr>
            <w:tcW w:w="5300" w:type="dxa"/>
            <w:vAlign w:val="bottom"/>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4840" w:type="dxa"/>
            <w:vAlign w:val="bottom"/>
          </w:tcPr>
          <w:p>
            <w:pPr>
              <w:jc w:val="right"/>
              <w:ind w:right="336"/>
              <w:spacing w:after="0"/>
              <w:rPr>
                <w:sz w:val="20"/>
                <w:szCs w:val="20"/>
                <w:color w:val="auto"/>
              </w:rPr>
            </w:pPr>
            <w:r>
              <w:rPr>
                <w:rFonts w:ascii="Arial" w:cs="Arial" w:eastAsia="Arial" w:hAnsi="Arial"/>
                <w:sz w:val="13"/>
                <w:szCs w:val="13"/>
                <w:b w:val="1"/>
                <w:bCs w:val="1"/>
                <w:color w:val="auto"/>
              </w:rPr>
              <w:t>281,418</w:t>
            </w:r>
          </w:p>
        </w:tc>
        <w:tc>
          <w:tcPr>
            <w:tcW w:w="1140" w:type="dxa"/>
            <w:vAlign w:val="bottom"/>
          </w:tcPr>
          <w:p>
            <w:pPr>
              <w:jc w:val="right"/>
              <w:spacing w:after="0"/>
              <w:rPr>
                <w:sz w:val="20"/>
                <w:szCs w:val="20"/>
                <w:color w:val="auto"/>
              </w:rPr>
            </w:pPr>
            <w:r>
              <w:rPr>
                <w:rFonts w:ascii="Arial" w:cs="Arial" w:eastAsia="Arial" w:hAnsi="Arial"/>
                <w:sz w:val="13"/>
                <w:szCs w:val="13"/>
                <w:color w:val="auto"/>
              </w:rPr>
              <w:t>261,323</w:t>
            </w:r>
          </w:p>
        </w:tc>
      </w:tr>
      <w:tr>
        <w:trPr>
          <w:trHeight w:val="17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offset against deferred tax liabilities</w:t>
            </w:r>
          </w:p>
        </w:tc>
        <w:tc>
          <w:tcPr>
            <w:tcW w:w="48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(155,048)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(175,448)</w:t>
            </w:r>
          </w:p>
        </w:tc>
      </w:tr>
      <w:tr>
        <w:trPr>
          <w:trHeight w:val="16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Deferred tax asset disclosed on Consolidated Statement of Financial Position</w:t>
            </w:r>
          </w:p>
        </w:tc>
        <w:tc>
          <w:tcPr>
            <w:tcW w:w="4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126,370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85,875</w:t>
            </w:r>
          </w:p>
        </w:tc>
      </w:tr>
      <w:tr>
        <w:trPr>
          <w:trHeight w:val="763"/>
        </w:trPr>
        <w:tc>
          <w:tcPr>
            <w:tcW w:w="5300" w:type="dxa"/>
            <w:vAlign w:val="bottom"/>
          </w:tcPr>
          <w:p>
            <w:pPr>
              <w:spacing w:after="0"/>
              <w:rPr>
                <w:sz w:val="24"/>
                <w:szCs w:val="24"/>
                <w:color w:val="auto"/>
              </w:rPr>
            </w:pPr>
          </w:p>
        </w:tc>
        <w:tc>
          <w:tcPr>
            <w:tcW w:w="4840" w:type="dxa"/>
            <w:vAlign w:val="bottom"/>
          </w:tcPr>
          <w:p>
            <w:pPr>
              <w:jc w:val="right"/>
              <w:ind w:right="4356"/>
              <w:spacing w:after="0"/>
              <w:rPr>
                <w:sz w:val="20"/>
                <w:szCs w:val="20"/>
                <w:color w:val="auto"/>
              </w:rPr>
            </w:pPr>
            <w:r>
              <w:rPr>
                <w:rFonts w:ascii="Arial" w:cs="Arial" w:eastAsia="Arial" w:hAnsi="Arial"/>
                <w:sz w:val="13"/>
                <w:szCs w:val="13"/>
                <w:color w:val="auto"/>
              </w:rPr>
              <w:t>73</w:t>
            </w:r>
          </w:p>
        </w:tc>
        <w:tc>
          <w:tcPr>
            <w:tcW w:w="11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27"/>
        </w:trPr>
        <w:tc>
          <w:tcPr>
            <w:tcW w:w="5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2025</w:t>
            </w:r>
          </w:p>
        </w:tc>
        <w:tc>
          <w:tcPr>
            <w:tcW w:w="13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2024</w:t>
            </w:r>
          </w:p>
        </w:tc>
        <w:tc>
          <w:tcPr>
            <w:tcW w:w="0" w:type="dxa"/>
            <w:vAlign w:val="bottom"/>
          </w:tcPr>
          <w:p>
            <w:pPr>
              <w:spacing w:after="0"/>
              <w:rPr>
                <w:sz w:val="1"/>
                <w:szCs w:val="1"/>
                <w:color w:val="auto"/>
              </w:rPr>
            </w:pPr>
          </w:p>
        </w:tc>
      </w:tr>
      <w:tr>
        <w:trPr>
          <w:trHeight w:val="168"/>
        </w:trPr>
        <w:tc>
          <w:tcPr>
            <w:tcW w:w="58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(As Restated)</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2"/>
          </w:tcPr>
          <w:p>
            <w:pPr>
              <w:jc w:val="right"/>
              <w:ind w:right="156"/>
              <w:spacing w:after="0"/>
              <w:rPr>
                <w:sz w:val="20"/>
                <w:szCs w:val="20"/>
                <w:color w:val="auto"/>
              </w:rPr>
            </w:pPr>
            <w:r>
              <w:rPr>
                <w:rFonts w:ascii="Arial" w:cs="Arial" w:eastAsia="Arial" w:hAnsi="Arial"/>
                <w:sz w:val="13"/>
                <w:szCs w:val="13"/>
                <w:b w:val="1"/>
                <w:bCs w:val="1"/>
                <w:color w:val="auto"/>
              </w:rPr>
              <w:t>3,703</w:t>
            </w:r>
          </w:p>
        </w:tc>
        <w:tc>
          <w:tcPr>
            <w:tcW w:w="1300" w:type="dxa"/>
            <w:vAlign w:val="bottom"/>
          </w:tcPr>
          <w:p>
            <w:pPr>
              <w:jc w:val="right"/>
              <w:spacing w:after="0"/>
              <w:rPr>
                <w:sz w:val="20"/>
                <w:szCs w:val="20"/>
                <w:color w:val="auto"/>
              </w:rPr>
            </w:pPr>
            <w:r>
              <w:rPr>
                <w:rFonts w:ascii="Arial" w:cs="Arial" w:eastAsia="Arial" w:hAnsi="Arial"/>
                <w:sz w:val="13"/>
                <w:szCs w:val="13"/>
                <w:color w:val="auto"/>
              </w:rPr>
              <w:t>2,869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related assets</w:t>
            </w:r>
          </w:p>
        </w:tc>
        <w:tc>
          <w:tcPr>
            <w:tcW w:w="1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43,150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Other intangible assets</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2"/>
          </w:tcPr>
          <w:p>
            <w:pPr>
              <w:jc w:val="right"/>
              <w:ind w:right="156"/>
              <w:spacing w:after="0"/>
              <w:rPr>
                <w:sz w:val="20"/>
                <w:szCs w:val="20"/>
                <w:color w:val="auto"/>
              </w:rPr>
            </w:pPr>
            <w:r>
              <w:rPr>
                <w:rFonts w:ascii="Arial" w:cs="Arial" w:eastAsia="Arial" w:hAnsi="Arial"/>
                <w:sz w:val="13"/>
                <w:szCs w:val="13"/>
                <w:b w:val="1"/>
                <w:bCs w:val="1"/>
                <w:color w:val="auto"/>
              </w:rPr>
              <w:t>803,600</w:t>
            </w:r>
          </w:p>
        </w:tc>
        <w:tc>
          <w:tcPr>
            <w:tcW w:w="1300" w:type="dxa"/>
            <w:vAlign w:val="bottom"/>
          </w:tcPr>
          <w:p>
            <w:pPr>
              <w:jc w:val="right"/>
              <w:spacing w:after="0"/>
              <w:rPr>
                <w:sz w:val="20"/>
                <w:szCs w:val="20"/>
                <w:color w:val="auto"/>
              </w:rPr>
            </w:pPr>
            <w:r>
              <w:rPr>
                <w:rFonts w:ascii="Arial" w:cs="Arial" w:eastAsia="Arial" w:hAnsi="Arial"/>
                <w:sz w:val="13"/>
                <w:szCs w:val="13"/>
                <w:color w:val="auto"/>
              </w:rPr>
              <w:t>901,733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foreign subsidiaries</w:t>
            </w:r>
          </w:p>
        </w:tc>
        <w:tc>
          <w:tcPr>
            <w:tcW w:w="1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4,487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1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3"/>
                <w:szCs w:val="13"/>
                <w:b w:val="1"/>
                <w:bCs w:val="1"/>
                <w:color w:val="auto"/>
              </w:rPr>
              <w:t>13,078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taxation liabilities</w:t>
            </w:r>
          </w:p>
        </w:tc>
        <w:tc>
          <w:tcPr>
            <w:tcW w:w="14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868,018</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985,607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offset against deferred tax assets</w:t>
            </w:r>
          </w:p>
        </w:tc>
        <w:tc>
          <w:tcPr>
            <w:tcW w:w="1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3"/>
                <w:szCs w:val="13"/>
                <w:b w:val="1"/>
                <w:bCs w:val="1"/>
                <w:color w:val="auto"/>
              </w:rPr>
              <w:t>(155,048)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(175,448)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liability disclosed on Consolidated Statement of Financial Position</w:t>
            </w:r>
          </w:p>
        </w:tc>
        <w:tc>
          <w:tcPr>
            <w:tcW w:w="14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gridSpan w:val="2"/>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712,970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810,159</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1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3"/>
                <w:szCs w:val="13"/>
                <w:b w:val="1"/>
                <w:bCs w:val="1"/>
                <w:color w:val="auto"/>
              </w:rPr>
              <w:t>(586,600)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(724,284)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800" w:type="dxa"/>
            <w:vAlign w:val="bottom"/>
          </w:tcPr>
          <w:p>
            <w:pPr>
              <w:spacing w:after="0"/>
              <w:rPr>
                <w:sz w:val="20"/>
                <w:szCs w:val="20"/>
                <w:color w:val="auto"/>
              </w:rPr>
            </w:pPr>
            <w:r>
              <w:rPr>
                <w:rFonts w:ascii="Arial" w:cs="Arial" w:eastAsia="Arial" w:hAnsi="Arial"/>
                <w:sz w:val="13"/>
                <w:szCs w:val="13"/>
                <w:color w:val="auto"/>
              </w:rPr>
              <w:t>The movement in temporary differences during the year ended 31 December 2025 was as follows:</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580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 January 2025</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Recognised in</w:t>
            </w:r>
          </w:p>
        </w:tc>
        <w:tc>
          <w:tcPr>
            <w:tcW w:w="156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Recognised in Equity</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8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Income</w:t>
            </w:r>
          </w:p>
        </w:tc>
        <w:tc>
          <w:tcPr>
            <w:tcW w:w="1560" w:type="dxa"/>
            <w:vAlign w:val="bottom"/>
            <w:tcBorders>
              <w:bottom w:val="single" w:sz="8" w:color="auto"/>
            </w:tcBorders>
            <w:gridSpan w:val="2"/>
            <w:vMerge w:val="continue"/>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0" w:type="dxa"/>
            <w:vAlign w:val="bottom"/>
          </w:tcPr>
          <w:p>
            <w:pPr>
              <w:spacing w:after="0"/>
              <w:rPr>
                <w:sz w:val="13"/>
                <w:szCs w:val="13"/>
                <w:color w:val="auto"/>
              </w:rPr>
            </w:pPr>
          </w:p>
        </w:tc>
        <w:tc>
          <w:tcPr>
            <w:tcW w:w="144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56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1440" w:type="dxa"/>
            <w:vAlign w:val="bottom"/>
          </w:tcPr>
          <w:p>
            <w:pPr>
              <w:jc w:val="right"/>
              <w:ind w:right="236"/>
              <w:spacing w:after="0"/>
              <w:rPr>
                <w:sz w:val="20"/>
                <w:szCs w:val="20"/>
                <w:color w:val="auto"/>
              </w:rPr>
            </w:pPr>
            <w:r>
              <w:rPr>
                <w:rFonts w:ascii="Arial" w:cs="Arial" w:eastAsia="Arial" w:hAnsi="Arial"/>
                <w:sz w:val="13"/>
                <w:szCs w:val="13"/>
                <w:b w:val="1"/>
                <w:bCs w:val="1"/>
                <w:color w:val="auto"/>
              </w:rPr>
              <w:t>125,960</w:t>
            </w:r>
          </w:p>
        </w:tc>
        <w:tc>
          <w:tcPr>
            <w:tcW w:w="1160" w:type="dxa"/>
            <w:vAlign w:val="bottom"/>
          </w:tcPr>
          <w:p>
            <w:pPr>
              <w:jc w:val="right"/>
              <w:ind w:right="36"/>
              <w:spacing w:after="0"/>
              <w:rPr>
                <w:sz w:val="20"/>
                <w:szCs w:val="20"/>
                <w:color w:val="auto"/>
              </w:rPr>
            </w:pPr>
            <w:r>
              <w:rPr>
                <w:rFonts w:ascii="Arial" w:cs="Arial" w:eastAsia="Arial" w:hAnsi="Arial"/>
                <w:sz w:val="13"/>
                <w:szCs w:val="13"/>
                <w:color w:val="auto"/>
              </w:rPr>
              <w:t>14,935</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140,895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4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78,417</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3,939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82,356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1440" w:type="dxa"/>
            <w:vAlign w:val="bottom"/>
          </w:tcPr>
          <w:p>
            <w:pPr>
              <w:jc w:val="right"/>
              <w:ind w:right="236"/>
              <w:spacing w:after="0"/>
              <w:rPr>
                <w:sz w:val="20"/>
                <w:szCs w:val="20"/>
                <w:color w:val="auto"/>
              </w:rPr>
            </w:pPr>
            <w:r>
              <w:rPr>
                <w:rFonts w:ascii="Arial" w:cs="Arial" w:eastAsia="Arial" w:hAnsi="Arial"/>
                <w:sz w:val="13"/>
                <w:szCs w:val="13"/>
                <w:b w:val="1"/>
                <w:bCs w:val="1"/>
                <w:color w:val="auto"/>
              </w:rPr>
              <w:t>7,869</w:t>
            </w:r>
          </w:p>
        </w:tc>
        <w:tc>
          <w:tcPr>
            <w:tcW w:w="1160" w:type="dxa"/>
            <w:vAlign w:val="bottom"/>
          </w:tcPr>
          <w:p>
            <w:pPr>
              <w:jc w:val="right"/>
              <w:ind w:right="36"/>
              <w:spacing w:after="0"/>
              <w:rPr>
                <w:sz w:val="20"/>
                <w:szCs w:val="20"/>
                <w:color w:val="auto"/>
              </w:rPr>
            </w:pPr>
            <w:r>
              <w:rPr>
                <w:rFonts w:ascii="Arial" w:cs="Arial" w:eastAsia="Arial" w:hAnsi="Arial"/>
                <w:sz w:val="13"/>
                <w:szCs w:val="13"/>
                <w:color w:val="auto"/>
              </w:rPr>
              <w:t>6,669</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14,538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14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24,355</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6,433</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4,147</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34,935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Deferred revenue</w:t>
            </w:r>
          </w:p>
        </w:tc>
        <w:tc>
          <w:tcPr>
            <w:tcW w:w="1440" w:type="dxa"/>
            <w:vAlign w:val="bottom"/>
          </w:tcPr>
          <w:p>
            <w:pPr>
              <w:jc w:val="right"/>
              <w:ind w:right="236"/>
              <w:spacing w:after="0"/>
              <w:rPr>
                <w:sz w:val="20"/>
                <w:szCs w:val="20"/>
                <w:color w:val="auto"/>
              </w:rPr>
            </w:pPr>
            <w:r>
              <w:rPr>
                <w:rFonts w:ascii="Arial" w:cs="Arial" w:eastAsia="Arial" w:hAnsi="Arial"/>
                <w:sz w:val="13"/>
                <w:szCs w:val="13"/>
                <w:b w:val="1"/>
                <w:bCs w:val="1"/>
                <w:color w:val="auto"/>
              </w:rPr>
              <w:t>10,364</w:t>
            </w:r>
          </w:p>
        </w:tc>
        <w:tc>
          <w:tcPr>
            <w:tcW w:w="1160" w:type="dxa"/>
            <w:vAlign w:val="bottom"/>
          </w:tcPr>
          <w:p>
            <w:pPr>
              <w:jc w:val="right"/>
              <w:spacing w:after="0"/>
              <w:rPr>
                <w:sz w:val="20"/>
                <w:szCs w:val="20"/>
                <w:color w:val="auto"/>
              </w:rPr>
            </w:pPr>
            <w:r>
              <w:rPr>
                <w:rFonts w:ascii="Arial" w:cs="Arial" w:eastAsia="Arial" w:hAnsi="Arial"/>
                <w:sz w:val="13"/>
                <w:szCs w:val="13"/>
                <w:color w:val="auto"/>
              </w:rPr>
              <w:t>(9,502)</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862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14,358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7,832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4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261,323</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15,948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4,147</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281,418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8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14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2,869</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834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Goodwill and related assets</w:t>
            </w:r>
          </w:p>
        </w:tc>
        <w:tc>
          <w:tcPr>
            <w:tcW w:w="1440" w:type="dxa"/>
            <w:vAlign w:val="bottom"/>
          </w:tcPr>
          <w:p>
            <w:pPr>
              <w:jc w:val="right"/>
              <w:ind w:right="236"/>
              <w:spacing w:after="0"/>
              <w:rPr>
                <w:sz w:val="20"/>
                <w:szCs w:val="20"/>
                <w:color w:val="auto"/>
              </w:rPr>
            </w:pPr>
            <w:r>
              <w:rPr>
                <w:rFonts w:ascii="Arial" w:cs="Arial" w:eastAsia="Arial" w:hAnsi="Arial"/>
                <w:sz w:val="13"/>
                <w:szCs w:val="13"/>
                <w:b w:val="1"/>
                <w:bCs w:val="1"/>
                <w:color w:val="auto"/>
              </w:rPr>
              <w:t>43,390</w:t>
            </w:r>
          </w:p>
        </w:tc>
        <w:tc>
          <w:tcPr>
            <w:tcW w:w="1160" w:type="dxa"/>
            <w:vAlign w:val="bottom"/>
          </w:tcPr>
          <w:p>
            <w:pPr>
              <w:jc w:val="right"/>
              <w:spacing w:after="0"/>
              <w:rPr>
                <w:sz w:val="20"/>
                <w:szCs w:val="20"/>
                <w:color w:val="auto"/>
              </w:rPr>
            </w:pPr>
            <w:r>
              <w:rPr>
                <w:rFonts w:ascii="Arial" w:cs="Arial" w:eastAsia="Arial" w:hAnsi="Arial"/>
                <w:sz w:val="13"/>
                <w:szCs w:val="13"/>
                <w:color w:val="auto"/>
              </w:rPr>
              <w:t>(240)</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43,150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Foreign subsidiaries</w:t>
            </w: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34,983</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(30,496)</w:t>
            </w:r>
          </w:p>
        </w:tc>
        <w:tc>
          <w:tcPr>
            <w:tcW w:w="156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Other</w:t>
            </w:r>
          </w:p>
        </w:tc>
        <w:tc>
          <w:tcPr>
            <w:tcW w:w="1440" w:type="dxa"/>
            <w:vAlign w:val="bottom"/>
          </w:tcPr>
          <w:p>
            <w:pPr>
              <w:jc w:val="right"/>
              <w:ind w:right="236"/>
              <w:spacing w:after="0"/>
              <w:rPr>
                <w:sz w:val="20"/>
                <w:szCs w:val="20"/>
                <w:color w:val="auto"/>
              </w:rPr>
            </w:pPr>
            <w:r>
              <w:rPr>
                <w:rFonts w:ascii="Arial" w:cs="Arial" w:eastAsia="Arial" w:hAnsi="Arial"/>
                <w:sz w:val="13"/>
                <w:szCs w:val="13"/>
                <w:b w:val="1"/>
                <w:bCs w:val="1"/>
                <w:color w:val="auto"/>
              </w:rPr>
              <w:t>2,632</w:t>
            </w:r>
          </w:p>
        </w:tc>
        <w:tc>
          <w:tcPr>
            <w:tcW w:w="1160" w:type="dxa"/>
            <w:vAlign w:val="bottom"/>
          </w:tcPr>
          <w:p>
            <w:pPr>
              <w:jc w:val="right"/>
              <w:ind w:right="36"/>
              <w:spacing w:after="0"/>
              <w:rPr>
                <w:sz w:val="20"/>
                <w:szCs w:val="20"/>
                <w:color w:val="auto"/>
              </w:rPr>
            </w:pPr>
            <w:r>
              <w:rPr>
                <w:rFonts w:ascii="Arial" w:cs="Arial" w:eastAsia="Arial" w:hAnsi="Arial"/>
                <w:sz w:val="13"/>
                <w:szCs w:val="13"/>
                <w:color w:val="auto"/>
              </w:rPr>
              <w:t>9,374</w:t>
            </w:r>
          </w:p>
        </w:tc>
        <w:tc>
          <w:tcPr>
            <w:tcW w:w="1300" w:type="dxa"/>
            <w:vAlign w:val="bottom"/>
          </w:tcPr>
          <w:p>
            <w:pPr>
              <w:jc w:val="right"/>
              <w:spacing w:after="0"/>
              <w:rPr>
                <w:sz w:val="20"/>
                <w:szCs w:val="20"/>
                <w:color w:val="auto"/>
              </w:rPr>
            </w:pPr>
            <w:r>
              <w:rPr>
                <w:rFonts w:ascii="Arial" w:cs="Arial" w:eastAsia="Arial" w:hAnsi="Arial"/>
                <w:sz w:val="13"/>
                <w:szCs w:val="13"/>
                <w:color w:val="auto"/>
              </w:rPr>
              <w:t>1,072</w:t>
            </w:r>
          </w:p>
        </w:tc>
        <w:tc>
          <w:tcPr>
            <w:tcW w:w="260" w:type="dxa"/>
            <w:vAlign w:val="bottom"/>
          </w:tcPr>
          <w:p>
            <w:pPr>
              <w:jc w:val="right"/>
              <w:ind w:right="136"/>
              <w:spacing w:after="0"/>
              <w:rPr>
                <w:sz w:val="20"/>
                <w:szCs w:val="20"/>
                <w:color w:val="auto"/>
              </w:rPr>
            </w:pPr>
            <w:r>
              <w:rPr>
                <w:rFonts w:ascii="Arial" w:cs="Arial" w:eastAsia="Arial" w:hAnsi="Arial"/>
                <w:sz w:val="13"/>
                <w:szCs w:val="13"/>
                <w:color w:val="auto"/>
                <w:w w:val="78"/>
              </w:rPr>
              <w:t>*</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13,078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1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901,733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(98,133)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803,600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4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985,607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(118,661)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1,072</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868,018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14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(724,284)</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134,609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3,075</w:t>
            </w:r>
          </w:p>
        </w:tc>
        <w:tc>
          <w:tcPr>
            <w:tcW w:w="2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(586,600)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These adjustments relate to foreign currency translation on the deferred tax liabilities.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280"/>
          </w:cols>
          <w:pgMar w:left="300" w:top="698" w:right="3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2024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1 January</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Prior Year</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 January</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Recognised in</w:t>
            </w:r>
          </w:p>
        </w:tc>
        <w:tc>
          <w:tcPr>
            <w:tcW w:w="2460" w:type="dxa"/>
            <w:vAlign w:val="bottom"/>
            <w:gridSpan w:val="3"/>
            <w:shd w:val="clear" w:color="auto" w:fill="CCEEFF"/>
          </w:tcPr>
          <w:p>
            <w:pPr>
              <w:jc w:val="right"/>
              <w:ind w:right="263"/>
              <w:spacing w:after="0"/>
              <w:rPr>
                <w:sz w:val="20"/>
                <w:szCs w:val="20"/>
                <w:color w:val="auto"/>
              </w:rPr>
            </w:pPr>
            <w:r>
              <w:rPr>
                <w:rFonts w:ascii="Arial" w:cs="Arial" w:eastAsia="Arial" w:hAnsi="Arial"/>
                <w:sz w:val="13"/>
                <w:szCs w:val="13"/>
                <w:b w:val="1"/>
                <w:bCs w:val="1"/>
                <w:color w:val="auto"/>
              </w:rPr>
              <w:t>Acquired Recognised in Equity</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r>
      <w:tr>
        <w:trPr>
          <w:trHeight w:val="127"/>
        </w:trPr>
        <w:tc>
          <w:tcPr>
            <w:tcW w:w="246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2024</w:t>
            </w:r>
          </w:p>
        </w:tc>
        <w:tc>
          <w:tcPr>
            <w:tcW w:w="132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Restatements</w:t>
            </w:r>
          </w:p>
        </w:tc>
        <w:tc>
          <w:tcPr>
            <w:tcW w:w="1160" w:type="dxa"/>
            <w:vAlign w:val="bottom"/>
            <w:shd w:val="clear" w:color="auto" w:fill="CCEEFF"/>
          </w:tcPr>
          <w:p>
            <w:pPr>
              <w:jc w:val="right"/>
              <w:ind w:right="136"/>
              <w:spacing w:after="0" w:line="128" w:lineRule="exact"/>
              <w:rPr>
                <w:sz w:val="20"/>
                <w:szCs w:val="20"/>
                <w:color w:val="auto"/>
              </w:rPr>
            </w:pPr>
            <w:r>
              <w:rPr>
                <w:rFonts w:ascii="Arial" w:cs="Arial" w:eastAsia="Arial" w:hAnsi="Arial"/>
                <w:sz w:val="13"/>
                <w:szCs w:val="13"/>
                <w:b w:val="1"/>
                <w:bCs w:val="1"/>
                <w:color w:val="auto"/>
              </w:rPr>
              <w:t>2024</w:t>
            </w:r>
          </w:p>
        </w:tc>
        <w:tc>
          <w:tcPr>
            <w:tcW w:w="1360" w:type="dxa"/>
            <w:vAlign w:val="bottom"/>
            <w:shd w:val="clear" w:color="auto" w:fill="CCEEFF"/>
          </w:tcPr>
          <w:p>
            <w:pPr>
              <w:jc w:val="right"/>
              <w:ind w:right="216"/>
              <w:spacing w:after="0" w:line="128" w:lineRule="exact"/>
              <w:rPr>
                <w:sz w:val="20"/>
                <w:szCs w:val="20"/>
                <w:color w:val="auto"/>
              </w:rPr>
            </w:pPr>
            <w:r>
              <w:rPr>
                <w:rFonts w:ascii="Arial" w:cs="Arial" w:eastAsia="Arial" w:hAnsi="Arial"/>
                <w:sz w:val="13"/>
                <w:szCs w:val="13"/>
                <w:b w:val="1"/>
                <w:bCs w:val="1"/>
                <w:color w:val="auto"/>
              </w:rPr>
              <w:t>Income</w:t>
            </w:r>
          </w:p>
        </w:tc>
        <w:tc>
          <w:tcPr>
            <w:tcW w:w="1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2024</w:t>
            </w:r>
          </w:p>
        </w:tc>
      </w:tr>
      <w:tr>
        <w:trPr>
          <w:trHeight w:val="127"/>
        </w:trPr>
        <w:tc>
          <w:tcPr>
            <w:tcW w:w="246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(As</w:t>
            </w:r>
          </w:p>
        </w:tc>
        <w:tc>
          <w:tcPr>
            <w:tcW w:w="1320" w:type="dxa"/>
            <w:vAlign w:val="bottom"/>
            <w:shd w:val="clear" w:color="auto" w:fill="CCEEFF"/>
          </w:tcPr>
          <w:p>
            <w:pPr>
              <w:jc w:val="right"/>
              <w:ind w:right="96"/>
              <w:spacing w:after="0" w:line="128" w:lineRule="exact"/>
              <w:rPr>
                <w:sz w:val="20"/>
                <w:szCs w:val="20"/>
                <w:color w:val="auto"/>
              </w:rPr>
            </w:pPr>
            <w:r>
              <w:rPr>
                <w:rFonts w:ascii="Arial" w:cs="Arial" w:eastAsia="Arial" w:hAnsi="Arial"/>
                <w:sz w:val="13"/>
                <w:szCs w:val="13"/>
                <w:b w:val="1"/>
                <w:bCs w:val="1"/>
                <w:color w:val="auto"/>
              </w:rPr>
              <w:t>(Note 1)</w:t>
            </w:r>
          </w:p>
        </w:tc>
        <w:tc>
          <w:tcPr>
            <w:tcW w:w="1160" w:type="dxa"/>
            <w:vAlign w:val="bottom"/>
            <w:shd w:val="clear" w:color="auto" w:fill="CCEEFF"/>
          </w:tcPr>
          <w:p>
            <w:pPr>
              <w:jc w:val="right"/>
              <w:ind w:right="136"/>
              <w:spacing w:after="0" w:line="128" w:lineRule="exact"/>
              <w:rPr>
                <w:sz w:val="20"/>
                <w:szCs w:val="20"/>
                <w:color w:val="auto"/>
              </w:rPr>
            </w:pPr>
            <w:r>
              <w:rPr>
                <w:rFonts w:ascii="Arial" w:cs="Arial" w:eastAsia="Arial" w:hAnsi="Arial"/>
                <w:sz w:val="13"/>
                <w:szCs w:val="13"/>
                <w:b w:val="1"/>
                <w:bCs w:val="1"/>
                <w:color w:val="auto"/>
              </w:rPr>
              <w:t>(As Restated)</w:t>
            </w:r>
          </w:p>
        </w:tc>
        <w:tc>
          <w:tcPr>
            <w:tcW w:w="13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(As Restated)</w:t>
            </w:r>
          </w:p>
        </w:tc>
      </w:tr>
      <w:tr>
        <w:trPr>
          <w:trHeight w:val="170"/>
        </w:trPr>
        <w:tc>
          <w:tcPr>
            <w:tcW w:w="24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Reported)</w:t>
            </w:r>
          </w:p>
        </w:tc>
        <w:tc>
          <w:tcPr>
            <w:tcW w:w="1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r>
      <w:tr>
        <w:trPr>
          <w:trHeight w:val="160"/>
        </w:trPr>
        <w:tc>
          <w:tcPr>
            <w:tcW w:w="2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20" w:type="dxa"/>
            <w:vAlign w:val="bottom"/>
            <w:gridSpan w:val="2"/>
          </w:tcPr>
          <w:p>
            <w:pPr>
              <w:jc w:val="right"/>
              <w:ind w:right="263"/>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246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1360" w:type="dxa"/>
            <w:vAlign w:val="bottom"/>
          </w:tcPr>
          <w:p>
            <w:pPr>
              <w:jc w:val="right"/>
              <w:ind w:right="296"/>
              <w:spacing w:after="0"/>
              <w:rPr>
                <w:sz w:val="20"/>
                <w:szCs w:val="20"/>
                <w:color w:val="auto"/>
              </w:rPr>
            </w:pPr>
            <w:r>
              <w:rPr>
                <w:rFonts w:ascii="Arial" w:cs="Arial" w:eastAsia="Arial" w:hAnsi="Arial"/>
                <w:sz w:val="13"/>
                <w:szCs w:val="13"/>
                <w:b w:val="1"/>
                <w:bCs w:val="1"/>
                <w:color w:val="auto"/>
              </w:rPr>
              <w:t>81,362</w:t>
            </w:r>
          </w:p>
        </w:tc>
        <w:tc>
          <w:tcPr>
            <w:tcW w:w="1320" w:type="dxa"/>
            <w:vAlign w:val="bottom"/>
          </w:tcPr>
          <w:p>
            <w:pPr>
              <w:jc w:val="right"/>
              <w:ind w:right="136"/>
              <w:spacing w:after="0"/>
              <w:rPr>
                <w:sz w:val="20"/>
                <w:szCs w:val="20"/>
                <w:color w:val="auto"/>
              </w:rPr>
            </w:pPr>
            <w:r>
              <w:rPr>
                <w:rFonts w:ascii="Arial" w:cs="Arial" w:eastAsia="Arial" w:hAnsi="Arial"/>
                <w:sz w:val="13"/>
                <w:szCs w:val="13"/>
                <w:color w:val="auto"/>
              </w:rPr>
              <w:t>1,636</w:t>
            </w:r>
          </w:p>
        </w:tc>
        <w:tc>
          <w:tcPr>
            <w:tcW w:w="1160" w:type="dxa"/>
            <w:vAlign w:val="bottom"/>
          </w:tcPr>
          <w:p>
            <w:pPr>
              <w:jc w:val="right"/>
              <w:ind w:right="176"/>
              <w:spacing w:after="0"/>
              <w:rPr>
                <w:sz w:val="20"/>
                <w:szCs w:val="20"/>
                <w:color w:val="auto"/>
              </w:rPr>
            </w:pPr>
            <w:r>
              <w:rPr>
                <w:rFonts w:ascii="Arial" w:cs="Arial" w:eastAsia="Arial" w:hAnsi="Arial"/>
                <w:sz w:val="13"/>
                <w:szCs w:val="13"/>
                <w:b w:val="1"/>
                <w:bCs w:val="1"/>
                <w:color w:val="auto"/>
              </w:rPr>
              <w:t>82,998</w:t>
            </w:r>
          </w:p>
        </w:tc>
        <w:tc>
          <w:tcPr>
            <w:tcW w:w="1360" w:type="dxa"/>
            <w:vAlign w:val="bottom"/>
          </w:tcPr>
          <w:p>
            <w:pPr>
              <w:jc w:val="right"/>
              <w:ind w:right="256"/>
              <w:spacing w:after="0"/>
              <w:rPr>
                <w:sz w:val="20"/>
                <w:szCs w:val="20"/>
                <w:color w:val="auto"/>
              </w:rPr>
            </w:pPr>
            <w:r>
              <w:rPr>
                <w:rFonts w:ascii="Arial" w:cs="Arial" w:eastAsia="Arial" w:hAnsi="Arial"/>
                <w:sz w:val="13"/>
                <w:szCs w:val="13"/>
                <w:color w:val="auto"/>
              </w:rPr>
              <w:t>42,962</w:t>
            </w:r>
          </w:p>
        </w:tc>
        <w:tc>
          <w:tcPr>
            <w:tcW w:w="12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125,960</w:t>
            </w: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3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84,748</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84,748</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(6,331)</w:t>
            </w:r>
          </w:p>
        </w:tc>
        <w:tc>
          <w:tcPr>
            <w:tcW w:w="12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78,417</w:t>
            </w:r>
          </w:p>
        </w:tc>
      </w:tr>
      <w:tr>
        <w:trPr>
          <w:trHeight w:val="170"/>
        </w:trPr>
        <w:tc>
          <w:tcPr>
            <w:tcW w:w="24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1360" w:type="dxa"/>
            <w:vAlign w:val="bottom"/>
          </w:tcPr>
          <w:p>
            <w:pPr>
              <w:jc w:val="right"/>
              <w:ind w:right="296"/>
              <w:spacing w:after="0"/>
              <w:rPr>
                <w:sz w:val="20"/>
                <w:szCs w:val="20"/>
                <w:color w:val="auto"/>
              </w:rPr>
            </w:pPr>
            <w:r>
              <w:rPr>
                <w:rFonts w:ascii="Arial" w:cs="Arial" w:eastAsia="Arial" w:hAnsi="Arial"/>
                <w:sz w:val="13"/>
                <w:szCs w:val="13"/>
                <w:b w:val="1"/>
                <w:bCs w:val="1"/>
                <w:color w:val="auto"/>
              </w:rPr>
              <w:t>9,082</w:t>
            </w:r>
          </w:p>
        </w:tc>
        <w:tc>
          <w:tcPr>
            <w:tcW w:w="13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6"/>
              <w:spacing w:after="0"/>
              <w:rPr>
                <w:sz w:val="20"/>
                <w:szCs w:val="20"/>
                <w:color w:val="auto"/>
              </w:rPr>
            </w:pPr>
            <w:r>
              <w:rPr>
                <w:rFonts w:ascii="Arial" w:cs="Arial" w:eastAsia="Arial" w:hAnsi="Arial"/>
                <w:sz w:val="13"/>
                <w:szCs w:val="13"/>
                <w:b w:val="1"/>
                <w:bCs w:val="1"/>
                <w:color w:val="auto"/>
              </w:rPr>
              <w:t>9,082</w:t>
            </w:r>
          </w:p>
        </w:tc>
        <w:tc>
          <w:tcPr>
            <w:tcW w:w="1360" w:type="dxa"/>
            <w:vAlign w:val="bottom"/>
          </w:tcPr>
          <w:p>
            <w:pPr>
              <w:jc w:val="right"/>
              <w:ind w:right="216"/>
              <w:spacing w:after="0"/>
              <w:rPr>
                <w:sz w:val="20"/>
                <w:szCs w:val="20"/>
                <w:color w:val="auto"/>
              </w:rPr>
            </w:pPr>
            <w:r>
              <w:rPr>
                <w:rFonts w:ascii="Arial" w:cs="Arial" w:eastAsia="Arial" w:hAnsi="Arial"/>
                <w:sz w:val="13"/>
                <w:szCs w:val="13"/>
                <w:color w:val="auto"/>
              </w:rPr>
              <w:t>(1,213)</w:t>
            </w:r>
          </w:p>
        </w:tc>
        <w:tc>
          <w:tcPr>
            <w:tcW w:w="12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7,869</w:t>
            </w: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13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49,530</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49,530</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(11,204)</w:t>
            </w:r>
          </w:p>
        </w:tc>
        <w:tc>
          <w:tcPr>
            <w:tcW w:w="12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(13,971)</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24,355</w:t>
            </w:r>
          </w:p>
        </w:tc>
      </w:tr>
      <w:tr>
        <w:trPr>
          <w:trHeight w:val="170"/>
        </w:trPr>
        <w:tc>
          <w:tcPr>
            <w:tcW w:w="2460" w:type="dxa"/>
            <w:vAlign w:val="bottom"/>
          </w:tcPr>
          <w:p>
            <w:pPr>
              <w:ind w:left="20"/>
              <w:spacing w:after="0"/>
              <w:rPr>
                <w:sz w:val="20"/>
                <w:szCs w:val="20"/>
                <w:color w:val="auto"/>
              </w:rPr>
            </w:pPr>
            <w:r>
              <w:rPr>
                <w:rFonts w:ascii="Arial" w:cs="Arial" w:eastAsia="Arial" w:hAnsi="Arial"/>
                <w:sz w:val="13"/>
                <w:szCs w:val="13"/>
                <w:color w:val="auto"/>
              </w:rPr>
              <w:t>Deferred revenue</w:t>
            </w:r>
          </w:p>
        </w:tc>
        <w:tc>
          <w:tcPr>
            <w:tcW w:w="1360" w:type="dxa"/>
            <w:vAlign w:val="bottom"/>
          </w:tcPr>
          <w:p>
            <w:pPr>
              <w:jc w:val="right"/>
              <w:ind w:right="296"/>
              <w:spacing w:after="0"/>
              <w:rPr>
                <w:sz w:val="20"/>
                <w:szCs w:val="20"/>
                <w:color w:val="auto"/>
              </w:rPr>
            </w:pPr>
            <w:r>
              <w:rPr>
                <w:rFonts w:ascii="Arial" w:cs="Arial" w:eastAsia="Arial" w:hAnsi="Arial"/>
                <w:sz w:val="13"/>
                <w:szCs w:val="13"/>
                <w:b w:val="1"/>
                <w:bCs w:val="1"/>
                <w:color w:val="auto"/>
              </w:rPr>
              <w:t>23,748</w:t>
            </w:r>
          </w:p>
        </w:tc>
        <w:tc>
          <w:tcPr>
            <w:tcW w:w="13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6"/>
              <w:spacing w:after="0"/>
              <w:rPr>
                <w:sz w:val="20"/>
                <w:szCs w:val="20"/>
                <w:color w:val="auto"/>
              </w:rPr>
            </w:pPr>
            <w:r>
              <w:rPr>
                <w:rFonts w:ascii="Arial" w:cs="Arial" w:eastAsia="Arial" w:hAnsi="Arial"/>
                <w:sz w:val="13"/>
                <w:szCs w:val="13"/>
                <w:b w:val="1"/>
                <w:bCs w:val="1"/>
                <w:color w:val="auto"/>
              </w:rPr>
              <w:t>23,748</w:t>
            </w:r>
          </w:p>
        </w:tc>
        <w:tc>
          <w:tcPr>
            <w:tcW w:w="1360" w:type="dxa"/>
            <w:vAlign w:val="bottom"/>
          </w:tcPr>
          <w:p>
            <w:pPr>
              <w:jc w:val="right"/>
              <w:ind w:right="216"/>
              <w:spacing w:after="0"/>
              <w:rPr>
                <w:sz w:val="20"/>
                <w:szCs w:val="20"/>
                <w:color w:val="auto"/>
              </w:rPr>
            </w:pPr>
            <w:r>
              <w:rPr>
                <w:rFonts w:ascii="Arial" w:cs="Arial" w:eastAsia="Arial" w:hAnsi="Arial"/>
                <w:sz w:val="13"/>
                <w:szCs w:val="13"/>
                <w:color w:val="auto"/>
              </w:rPr>
              <w:t>(13,384)</w:t>
            </w:r>
          </w:p>
        </w:tc>
        <w:tc>
          <w:tcPr>
            <w:tcW w:w="12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10,364</w:t>
            </w:r>
          </w:p>
        </w:tc>
      </w:tr>
      <w:tr>
        <w:trPr>
          <w:trHeight w:val="170"/>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3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15,433</w:t>
            </w: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(2,443)</w:t>
            </w:r>
          </w:p>
        </w:tc>
        <w:tc>
          <w:tcPr>
            <w:tcW w:w="11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12,990</w:t>
            </w:r>
          </w:p>
        </w:tc>
        <w:tc>
          <w:tcPr>
            <w:tcW w:w="13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1,368</w:t>
            </w:r>
          </w:p>
        </w:tc>
        <w:tc>
          <w:tcPr>
            <w:tcW w:w="12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14,358</w:t>
            </w:r>
          </w:p>
        </w:tc>
      </w:tr>
      <w:tr>
        <w:trPr>
          <w:trHeight w:val="160"/>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263,903</w:t>
            </w: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(807)</w:t>
            </w: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263,096</w:t>
            </w: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12,198</w:t>
            </w: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(13,971)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261,323</w:t>
            </w:r>
          </w:p>
        </w:tc>
      </w:tr>
      <w:tr>
        <w:trPr>
          <w:trHeight w:val="182"/>
        </w:trPr>
        <w:tc>
          <w:tcPr>
            <w:tcW w:w="24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0"/>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13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7,547</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7,547</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(4,678)</w:t>
            </w:r>
          </w:p>
        </w:tc>
        <w:tc>
          <w:tcPr>
            <w:tcW w:w="12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2,869</w:t>
            </w:r>
          </w:p>
        </w:tc>
      </w:tr>
      <w:tr>
        <w:trPr>
          <w:trHeight w:val="170"/>
        </w:trPr>
        <w:tc>
          <w:tcPr>
            <w:tcW w:w="2460" w:type="dxa"/>
            <w:vAlign w:val="bottom"/>
          </w:tcPr>
          <w:p>
            <w:pPr>
              <w:ind w:left="20"/>
              <w:spacing w:after="0"/>
              <w:rPr>
                <w:sz w:val="20"/>
                <w:szCs w:val="20"/>
                <w:color w:val="auto"/>
              </w:rPr>
            </w:pPr>
            <w:r>
              <w:rPr>
                <w:rFonts w:ascii="Arial" w:cs="Arial" w:eastAsia="Arial" w:hAnsi="Arial"/>
                <w:sz w:val="13"/>
                <w:szCs w:val="13"/>
                <w:color w:val="auto"/>
              </w:rPr>
              <w:t>Goodwill and related assets</w:t>
            </w:r>
          </w:p>
        </w:tc>
        <w:tc>
          <w:tcPr>
            <w:tcW w:w="1360" w:type="dxa"/>
            <w:vAlign w:val="bottom"/>
          </w:tcPr>
          <w:p>
            <w:pPr>
              <w:jc w:val="right"/>
              <w:ind w:right="296"/>
              <w:spacing w:after="0"/>
              <w:rPr>
                <w:sz w:val="20"/>
                <w:szCs w:val="20"/>
                <w:color w:val="auto"/>
              </w:rPr>
            </w:pPr>
            <w:r>
              <w:rPr>
                <w:rFonts w:ascii="Arial" w:cs="Arial" w:eastAsia="Arial" w:hAnsi="Arial"/>
                <w:sz w:val="13"/>
                <w:szCs w:val="13"/>
                <w:b w:val="1"/>
                <w:bCs w:val="1"/>
                <w:color w:val="auto"/>
              </w:rPr>
              <w:t>39,014</w:t>
            </w:r>
          </w:p>
        </w:tc>
        <w:tc>
          <w:tcPr>
            <w:tcW w:w="13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6"/>
              <w:spacing w:after="0"/>
              <w:rPr>
                <w:sz w:val="20"/>
                <w:szCs w:val="20"/>
                <w:color w:val="auto"/>
              </w:rPr>
            </w:pPr>
            <w:r>
              <w:rPr>
                <w:rFonts w:ascii="Arial" w:cs="Arial" w:eastAsia="Arial" w:hAnsi="Arial"/>
                <w:sz w:val="13"/>
                <w:szCs w:val="13"/>
                <w:b w:val="1"/>
                <w:bCs w:val="1"/>
                <w:color w:val="auto"/>
              </w:rPr>
              <w:t>39,014</w:t>
            </w:r>
          </w:p>
        </w:tc>
        <w:tc>
          <w:tcPr>
            <w:tcW w:w="1360" w:type="dxa"/>
            <w:vAlign w:val="bottom"/>
          </w:tcPr>
          <w:p>
            <w:pPr>
              <w:jc w:val="right"/>
              <w:ind w:right="256"/>
              <w:spacing w:after="0"/>
              <w:rPr>
                <w:sz w:val="20"/>
                <w:szCs w:val="20"/>
                <w:color w:val="auto"/>
              </w:rPr>
            </w:pPr>
            <w:r>
              <w:rPr>
                <w:rFonts w:ascii="Arial" w:cs="Arial" w:eastAsia="Arial" w:hAnsi="Arial"/>
                <w:sz w:val="13"/>
                <w:szCs w:val="13"/>
                <w:color w:val="auto"/>
              </w:rPr>
              <w:t>4,376</w:t>
            </w:r>
          </w:p>
        </w:tc>
        <w:tc>
          <w:tcPr>
            <w:tcW w:w="12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43,390</w:t>
            </w: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Foreign subsidiaries</w:t>
            </w:r>
          </w:p>
        </w:tc>
        <w:tc>
          <w:tcPr>
            <w:tcW w:w="13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52,408</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52,408</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(17,425)</w:t>
            </w:r>
          </w:p>
        </w:tc>
        <w:tc>
          <w:tcPr>
            <w:tcW w:w="12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34,983</w:t>
            </w:r>
          </w:p>
        </w:tc>
      </w:tr>
      <w:tr>
        <w:trPr>
          <w:trHeight w:val="170"/>
        </w:trPr>
        <w:tc>
          <w:tcPr>
            <w:tcW w:w="2460" w:type="dxa"/>
            <w:vAlign w:val="bottom"/>
          </w:tcPr>
          <w:p>
            <w:pPr>
              <w:ind w:left="20"/>
              <w:spacing w:after="0"/>
              <w:rPr>
                <w:sz w:val="20"/>
                <w:szCs w:val="20"/>
                <w:color w:val="auto"/>
              </w:rPr>
            </w:pPr>
            <w:r>
              <w:rPr>
                <w:rFonts w:ascii="Arial" w:cs="Arial" w:eastAsia="Arial" w:hAnsi="Arial"/>
                <w:sz w:val="13"/>
                <w:szCs w:val="13"/>
                <w:color w:val="auto"/>
              </w:rPr>
              <w:t>Other</w:t>
            </w:r>
          </w:p>
        </w:tc>
        <w:tc>
          <w:tcPr>
            <w:tcW w:w="1360" w:type="dxa"/>
            <w:vAlign w:val="bottom"/>
          </w:tcPr>
          <w:p>
            <w:pPr>
              <w:jc w:val="right"/>
              <w:ind w:right="296"/>
              <w:spacing w:after="0"/>
              <w:rPr>
                <w:sz w:val="20"/>
                <w:szCs w:val="20"/>
                <w:color w:val="auto"/>
              </w:rPr>
            </w:pPr>
            <w:r>
              <w:rPr>
                <w:rFonts w:ascii="Arial" w:cs="Arial" w:eastAsia="Arial" w:hAnsi="Arial"/>
                <w:sz w:val="13"/>
                <w:szCs w:val="13"/>
                <w:b w:val="1"/>
                <w:bCs w:val="1"/>
                <w:color w:val="auto"/>
              </w:rPr>
              <w:t>7,985</w:t>
            </w: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(792)</w:t>
            </w:r>
          </w:p>
        </w:tc>
        <w:tc>
          <w:tcPr>
            <w:tcW w:w="1160" w:type="dxa"/>
            <w:vAlign w:val="bottom"/>
          </w:tcPr>
          <w:p>
            <w:pPr>
              <w:jc w:val="right"/>
              <w:ind w:right="176"/>
              <w:spacing w:after="0"/>
              <w:rPr>
                <w:sz w:val="20"/>
                <w:szCs w:val="20"/>
                <w:color w:val="auto"/>
              </w:rPr>
            </w:pPr>
            <w:r>
              <w:rPr>
                <w:rFonts w:ascii="Arial" w:cs="Arial" w:eastAsia="Arial" w:hAnsi="Arial"/>
                <w:sz w:val="13"/>
                <w:szCs w:val="13"/>
                <w:b w:val="1"/>
                <w:bCs w:val="1"/>
                <w:color w:val="auto"/>
              </w:rPr>
              <w:t>7,193</w:t>
            </w:r>
          </w:p>
        </w:tc>
        <w:tc>
          <w:tcPr>
            <w:tcW w:w="1360" w:type="dxa"/>
            <w:vAlign w:val="bottom"/>
          </w:tcPr>
          <w:p>
            <w:pPr>
              <w:jc w:val="right"/>
              <w:ind w:right="216"/>
              <w:spacing w:after="0"/>
              <w:rPr>
                <w:sz w:val="20"/>
                <w:szCs w:val="20"/>
                <w:color w:val="auto"/>
              </w:rPr>
            </w:pPr>
            <w:r>
              <w:rPr>
                <w:rFonts w:ascii="Arial" w:cs="Arial" w:eastAsia="Arial" w:hAnsi="Arial"/>
                <w:sz w:val="13"/>
                <w:szCs w:val="13"/>
                <w:color w:val="auto"/>
              </w:rPr>
              <w:t>(6,400)</w:t>
            </w:r>
          </w:p>
        </w:tc>
        <w:tc>
          <w:tcPr>
            <w:tcW w:w="12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1,839</w:t>
            </w:r>
          </w:p>
        </w:tc>
        <w:tc>
          <w:tcPr>
            <w:tcW w:w="340" w:type="dxa"/>
            <w:vAlign w:val="bottom"/>
          </w:tcPr>
          <w:p>
            <w:pPr>
              <w:jc w:val="right"/>
              <w:ind w:right="263"/>
              <w:spacing w:after="0"/>
              <w:rPr>
                <w:sz w:val="20"/>
                <w:szCs w:val="20"/>
                <w:color w:val="auto"/>
              </w:rPr>
            </w:pPr>
            <w:r>
              <w:rPr>
                <w:rFonts w:ascii="Arial" w:cs="Arial" w:eastAsia="Arial" w:hAnsi="Arial"/>
                <w:sz w:val="7"/>
                <w:szCs w:val="7"/>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2,632</w:t>
            </w:r>
          </w:p>
        </w:tc>
      </w:tr>
      <w:tr>
        <w:trPr>
          <w:trHeight w:val="170"/>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13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950,055</w:t>
            </w:r>
          </w:p>
        </w:tc>
        <w:tc>
          <w:tcPr>
            <w:tcW w:w="1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950,055</w:t>
            </w:r>
          </w:p>
        </w:tc>
        <w:tc>
          <w:tcPr>
            <w:tcW w:w="1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(59,314)</w:t>
            </w:r>
          </w:p>
        </w:tc>
        <w:tc>
          <w:tcPr>
            <w:tcW w:w="12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10,992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901,733</w:t>
            </w:r>
          </w:p>
        </w:tc>
      </w:tr>
      <w:tr>
        <w:trPr>
          <w:trHeight w:val="160"/>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1,057,009</w:t>
            </w: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(792)</w:t>
            </w: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1,056,217</w:t>
            </w:r>
          </w:p>
        </w:tc>
        <w:tc>
          <w:tcPr>
            <w:tcW w:w="1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(83,441)</w:t>
            </w: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10,992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1,839</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985,607</w:t>
            </w:r>
          </w:p>
        </w:tc>
      </w:tr>
      <w:tr>
        <w:trPr>
          <w:trHeight w:val="185"/>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13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(793,106)</w:t>
            </w: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(15)</w:t>
            </w:r>
          </w:p>
        </w:tc>
        <w:tc>
          <w:tcPr>
            <w:tcW w:w="1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(793,121)</w:t>
            </w:r>
          </w:p>
        </w:tc>
        <w:tc>
          <w:tcPr>
            <w:tcW w:w="13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95,639</w:t>
            </w:r>
          </w:p>
        </w:tc>
        <w:tc>
          <w:tcPr>
            <w:tcW w:w="12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(10,992)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(15,810)</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(724,284)</w:t>
            </w:r>
          </w:p>
        </w:tc>
      </w:tr>
      <w:tr>
        <w:trPr>
          <w:trHeight w:val="20"/>
        </w:trPr>
        <w:tc>
          <w:tcPr>
            <w:tcW w:w="2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These adjustments relate to foreign currency translation on the deferred tax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relating to the following net operating losses have not been recognised to the extent that it is considered unlikely that a benefit will be received in the future.</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At 31 December 2025, non-US subsidiaries had operating loss carry-forwards for income tax purposes that may be carried forward indefinitely, available to offset against future taxable income, if any, of approximately $45.3 million (31 December 2024: $42.4 million). At 31 December 2025, those subsidiaries also had additional operating loss carryforwards of $1.8 million which are due to expire between 2026 and 2045. In addition, at 31 December 2025 those subsidiaries had tax credit carryforwards for income tax purposes that may be carried forward for up to 18 years, available to offset against future tax liabilities, if any, of $4.9 million.</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total, the Company has unrecognised deferred tax assets of $44.5 million at 31 December 2025 and $39.0 million at 31 December 2024. The Company has not recognised these remaining deferred tax assets because it believes that it is probable that the losses and other deferred tax assets will not be utilised given their history of operating losses.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liabilities</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has recognised a deferred tax liability of $4.5 million (31 December 2024: $35.0 million) for investments in foreign subsidiaries where the Company does not consider the earnings to be indefinitely reinvested. For the deferred tax liability not recognised in respect of temporary differences related to investments in foreign subsidiaries which are considered to be indefinitely reinvested, it is not practicable to calculate the exact unrecognised deferred tax liability, however, it is not expected to be material as Ireland has implemented a participation exemption in respect of distributions from foreign subsidiaries in EEA/treaty countries, in addition to the foreign tax credit regime at the statutory tax rate in the jurisdiction of the subsidiary, so that no material tax liability would be expected to arise in Ireland in the event these earnings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280"/>
          </w:cols>
          <w:pgMar w:left="300" w:top="698"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Income tax expense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were ever remitted. In addition, withholding taxes applicable to remittances from foreign subsidiaries would not be expected to be material given Ireland’s tax treaty network and the EU parent subsidiary directive.</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Group is subject to the global minimum tax under Pillar Two legislation. The tax is payable in Ireland, France and other Group jurisdictions, relating to lower tax rates and certain incentives received in these countries. The Group recognised a current tax expense of $12.5 million related to global minimum tax (2024: $16.7 million).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Group has applied a temporary mandatory relief from deferred tax accounting for the impacts of the global minimum tax and accounts for it as a current tax when it is incurred.</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Earnings per share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for basic and diluted net earnings per share for the years ended 31 December 2025 and 31 December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 2025</w:t>
            </w:r>
          </w:p>
        </w:tc>
        <w:tc>
          <w:tcPr>
            <w:tcW w:w="1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31 December 2024</w:t>
            </w:r>
          </w:p>
        </w:tc>
        <w:tc>
          <w:tcPr>
            <w:tcW w:w="1000" w:type="dxa"/>
            <w:vAlign w:val="bottom"/>
            <w:shd w:val="clear" w:color="auto" w:fill="CCEEFF"/>
          </w:tcPr>
          <w:p>
            <w:pPr>
              <w:spacing w:after="0"/>
              <w:rPr>
                <w:sz w:val="13"/>
                <w:szCs w:val="13"/>
                <w:color w:val="auto"/>
              </w:rPr>
            </w:pPr>
          </w:p>
        </w:tc>
      </w:tr>
      <w:tr>
        <w:trPr>
          <w:trHeight w:val="168"/>
        </w:trPr>
        <w:tc>
          <w:tcPr>
            <w:tcW w:w="35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(As Restated)</w:t>
            </w:r>
          </w:p>
        </w:tc>
        <w:tc>
          <w:tcPr>
            <w:tcW w:w="1000" w:type="dxa"/>
            <w:vAlign w:val="bottom"/>
            <w:tcBorders>
              <w:bottom w:val="single" w:sz="8" w:color="auto"/>
            </w:tcBorders>
            <w:shd w:val="clear" w:color="auto" w:fill="CCEEFF"/>
          </w:tcPr>
          <w:p>
            <w:pPr>
              <w:spacing w:after="0"/>
              <w:rPr>
                <w:sz w:val="14"/>
                <w:szCs w:val="14"/>
                <w:color w:val="auto"/>
              </w:rPr>
            </w:pPr>
          </w:p>
        </w:tc>
      </w:tr>
      <w:tr>
        <w:trPr>
          <w:trHeight w:val="119"/>
        </w:trPr>
        <w:tc>
          <w:tcPr>
            <w:tcW w:w="3520" w:type="dxa"/>
            <w:vAlign w:val="bottom"/>
          </w:tcPr>
          <w:p>
            <w:pPr>
              <w:spacing w:after="0"/>
              <w:rPr>
                <w:sz w:val="10"/>
                <w:szCs w:val="10"/>
                <w:color w:val="auto"/>
              </w:rPr>
            </w:pPr>
          </w:p>
        </w:tc>
        <w:tc>
          <w:tcPr>
            <w:tcW w:w="1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Pre-exceptional</w:t>
            </w:r>
          </w:p>
        </w:tc>
        <w:tc>
          <w:tcPr>
            <w:tcW w:w="1540" w:type="dxa"/>
            <w:vAlign w:val="bottom"/>
          </w:tcPr>
          <w:p>
            <w:pPr>
              <w:jc w:val="right"/>
              <w:ind w:right="276"/>
              <w:spacing w:after="0" w:line="119" w:lineRule="exact"/>
              <w:rPr>
                <w:sz w:val="20"/>
                <w:szCs w:val="20"/>
                <w:color w:val="auto"/>
              </w:rPr>
            </w:pPr>
            <w:r>
              <w:rPr>
                <w:rFonts w:ascii="Arial" w:cs="Arial" w:eastAsia="Arial" w:hAnsi="Arial"/>
                <w:sz w:val="13"/>
                <w:szCs w:val="13"/>
                <w:b w:val="1"/>
                <w:bCs w:val="1"/>
                <w:color w:val="auto"/>
              </w:rPr>
              <w:t>Exceptional</w:t>
            </w:r>
          </w:p>
        </w:tc>
        <w:tc>
          <w:tcPr>
            <w:tcW w:w="118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Total</w:t>
            </w:r>
          </w:p>
        </w:tc>
        <w:tc>
          <w:tcPr>
            <w:tcW w:w="1140" w:type="dxa"/>
            <w:vAlign w:val="bottom"/>
          </w:tcPr>
          <w:p>
            <w:pPr>
              <w:jc w:val="right"/>
              <w:spacing w:after="0" w:line="119" w:lineRule="exact"/>
              <w:rPr>
                <w:sz w:val="20"/>
                <w:szCs w:val="20"/>
                <w:color w:val="auto"/>
              </w:rPr>
            </w:pPr>
            <w:r>
              <w:rPr>
                <w:rFonts w:ascii="Arial" w:cs="Arial" w:eastAsia="Arial" w:hAnsi="Arial"/>
                <w:sz w:val="13"/>
                <w:szCs w:val="13"/>
                <w:color w:val="auto"/>
              </w:rPr>
              <w:t>Pre-exceptional</w:t>
            </w:r>
          </w:p>
        </w:tc>
        <w:tc>
          <w:tcPr>
            <w:tcW w:w="1520" w:type="dxa"/>
            <w:vAlign w:val="bottom"/>
          </w:tcPr>
          <w:p>
            <w:pPr>
              <w:jc w:val="right"/>
              <w:ind w:right="276"/>
              <w:spacing w:after="0" w:line="119" w:lineRule="exact"/>
              <w:rPr>
                <w:sz w:val="20"/>
                <w:szCs w:val="20"/>
                <w:color w:val="auto"/>
              </w:rPr>
            </w:pPr>
            <w:r>
              <w:rPr>
                <w:rFonts w:ascii="Arial" w:cs="Arial" w:eastAsia="Arial" w:hAnsi="Arial"/>
                <w:sz w:val="13"/>
                <w:szCs w:val="13"/>
                <w:color w:val="auto"/>
              </w:rPr>
              <w:t>Exceptional</w:t>
            </w:r>
          </w:p>
        </w:tc>
        <w:tc>
          <w:tcPr>
            <w:tcW w:w="1000" w:type="dxa"/>
            <w:vAlign w:val="bottom"/>
          </w:tcPr>
          <w:p>
            <w:pPr>
              <w:jc w:val="right"/>
              <w:spacing w:after="0" w:line="119" w:lineRule="exact"/>
              <w:rPr>
                <w:sz w:val="20"/>
                <w:szCs w:val="20"/>
                <w:color w:val="auto"/>
              </w:rPr>
            </w:pPr>
            <w:r>
              <w:rPr>
                <w:rFonts w:ascii="Arial" w:cs="Arial" w:eastAsia="Arial" w:hAnsi="Arial"/>
                <w:sz w:val="13"/>
                <w:szCs w:val="13"/>
                <w:color w:val="auto"/>
              </w:rPr>
              <w:t>Total</w:t>
            </w:r>
          </w:p>
        </w:tc>
      </w:tr>
      <w:tr>
        <w:trPr>
          <w:trHeight w:val="170"/>
        </w:trPr>
        <w:tc>
          <w:tcPr>
            <w:tcW w:w="35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(Note 9)</w:t>
            </w:r>
          </w:p>
        </w:tc>
        <w:tc>
          <w:tcPr>
            <w:tcW w:w="1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(Note 9)</w:t>
            </w:r>
          </w:p>
        </w:tc>
        <w:tc>
          <w:tcPr>
            <w:tcW w:w="1000" w:type="dxa"/>
            <w:vAlign w:val="bottom"/>
            <w:tcBorders>
              <w:bottom w:val="single" w:sz="8" w:color="auto"/>
            </w:tcBorders>
          </w:tcPr>
          <w:p>
            <w:pPr>
              <w:spacing w:after="0"/>
              <w:rPr>
                <w:sz w:val="14"/>
                <w:szCs w:val="14"/>
                <w:color w:val="auto"/>
              </w:rPr>
            </w:pPr>
          </w:p>
        </w:tc>
      </w:tr>
      <w:tr>
        <w:trPr>
          <w:trHeight w:val="160"/>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 ($'000)</w:t>
            </w:r>
          </w:p>
        </w:tc>
        <w:tc>
          <w:tcPr>
            <w:tcW w:w="13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0"/>
        </w:trPr>
        <w:tc>
          <w:tcPr>
            <w:tcW w:w="3520" w:type="dxa"/>
            <w:vAlign w:val="bottom"/>
          </w:tcPr>
          <w:p>
            <w:pPr>
              <w:ind w:left="100"/>
              <w:spacing w:after="0"/>
              <w:rPr>
                <w:sz w:val="20"/>
                <w:szCs w:val="20"/>
                <w:color w:val="auto"/>
              </w:rPr>
            </w:pPr>
            <w:r>
              <w:rPr>
                <w:rFonts w:ascii="Arial" w:cs="Arial" w:eastAsia="Arial" w:hAnsi="Arial"/>
                <w:sz w:val="13"/>
                <w:szCs w:val="13"/>
                <w:color w:val="auto"/>
              </w:rPr>
              <w:t>Profit attributable to equity holders</w:t>
            </w:r>
          </w:p>
        </w:tc>
        <w:tc>
          <w:tcPr>
            <w:tcW w:w="1360" w:type="dxa"/>
            <w:vAlign w:val="bottom"/>
          </w:tcPr>
          <w:p>
            <w:pPr>
              <w:jc w:val="right"/>
              <w:ind w:right="36"/>
              <w:spacing w:after="0"/>
              <w:rPr>
                <w:sz w:val="20"/>
                <w:szCs w:val="20"/>
                <w:color w:val="auto"/>
              </w:rPr>
            </w:pPr>
            <w:r>
              <w:rPr>
                <w:rFonts w:ascii="Arial" w:cs="Arial" w:eastAsia="Arial" w:hAnsi="Arial"/>
                <w:sz w:val="13"/>
                <w:szCs w:val="13"/>
                <w:b w:val="1"/>
                <w:bCs w:val="1"/>
                <w:color w:val="auto"/>
              </w:rPr>
              <w:t>757,499</w:t>
            </w:r>
          </w:p>
        </w:tc>
        <w:tc>
          <w:tcPr>
            <w:tcW w:w="1540" w:type="dxa"/>
            <w:vAlign w:val="bottom"/>
          </w:tcPr>
          <w:p>
            <w:pPr>
              <w:jc w:val="right"/>
              <w:ind w:right="256"/>
              <w:spacing w:after="0"/>
              <w:rPr>
                <w:sz w:val="20"/>
                <w:szCs w:val="20"/>
                <w:color w:val="auto"/>
              </w:rPr>
            </w:pPr>
            <w:r>
              <w:rPr>
                <w:rFonts w:ascii="Arial" w:cs="Arial" w:eastAsia="Arial" w:hAnsi="Arial"/>
                <w:sz w:val="13"/>
                <w:szCs w:val="13"/>
                <w:b w:val="1"/>
                <w:bCs w:val="1"/>
                <w:color w:val="auto"/>
              </w:rPr>
              <w:t>(543,461)</w:t>
            </w:r>
          </w:p>
        </w:tc>
        <w:tc>
          <w:tcPr>
            <w:tcW w:w="1180" w:type="dxa"/>
            <w:vAlign w:val="bottom"/>
          </w:tcPr>
          <w:p>
            <w:pPr>
              <w:jc w:val="right"/>
              <w:ind w:right="176"/>
              <w:spacing w:after="0"/>
              <w:rPr>
                <w:sz w:val="20"/>
                <w:szCs w:val="20"/>
                <w:color w:val="auto"/>
              </w:rPr>
            </w:pPr>
            <w:r>
              <w:rPr>
                <w:rFonts w:ascii="Arial" w:cs="Arial" w:eastAsia="Arial" w:hAnsi="Arial"/>
                <w:sz w:val="13"/>
                <w:szCs w:val="13"/>
                <w:b w:val="1"/>
                <w:bCs w:val="1"/>
                <w:color w:val="auto"/>
              </w:rPr>
              <w:t>214,038</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827,498</w:t>
            </w:r>
          </w:p>
        </w:tc>
        <w:tc>
          <w:tcPr>
            <w:tcW w:w="1520" w:type="dxa"/>
            <w:vAlign w:val="bottom"/>
          </w:tcPr>
          <w:p>
            <w:pPr>
              <w:jc w:val="right"/>
              <w:ind w:right="236"/>
              <w:spacing w:after="0"/>
              <w:rPr>
                <w:sz w:val="20"/>
                <w:szCs w:val="20"/>
                <w:color w:val="auto"/>
              </w:rPr>
            </w:pPr>
            <w:r>
              <w:rPr>
                <w:rFonts w:ascii="Arial" w:cs="Arial" w:eastAsia="Arial" w:hAnsi="Arial"/>
                <w:sz w:val="13"/>
                <w:szCs w:val="13"/>
                <w:color w:val="auto"/>
              </w:rPr>
              <w:t>(100,421)</w:t>
            </w:r>
          </w:p>
        </w:tc>
        <w:tc>
          <w:tcPr>
            <w:tcW w:w="1000" w:type="dxa"/>
            <w:vAlign w:val="bottom"/>
          </w:tcPr>
          <w:p>
            <w:pPr>
              <w:jc w:val="right"/>
              <w:spacing w:after="0"/>
              <w:rPr>
                <w:sz w:val="20"/>
                <w:szCs w:val="20"/>
                <w:color w:val="auto"/>
              </w:rPr>
            </w:pPr>
            <w:r>
              <w:rPr>
                <w:rFonts w:ascii="Arial" w:cs="Arial" w:eastAsia="Arial" w:hAnsi="Arial"/>
                <w:sz w:val="13"/>
                <w:szCs w:val="13"/>
                <w:color w:val="auto"/>
              </w:rPr>
              <w:t>727,077</w:t>
            </w:r>
          </w:p>
        </w:tc>
      </w:tr>
      <w:tr>
        <w:trPr>
          <w:trHeight w:val="202"/>
        </w:trPr>
        <w:tc>
          <w:tcPr>
            <w:tcW w:w="3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0"/>
        </w:trPr>
        <w:tc>
          <w:tcPr>
            <w:tcW w:w="3520" w:type="dxa"/>
            <w:vAlign w:val="bottom"/>
          </w:tcPr>
          <w:p>
            <w:pPr>
              <w:ind w:left="20"/>
              <w:spacing w:after="0"/>
              <w:rPr>
                <w:sz w:val="20"/>
                <w:szCs w:val="20"/>
                <w:color w:val="auto"/>
              </w:rPr>
            </w:pPr>
            <w:r>
              <w:rPr>
                <w:rFonts w:ascii="Arial" w:cs="Arial" w:eastAsia="Arial" w:hAnsi="Arial"/>
                <w:sz w:val="13"/>
                <w:szCs w:val="13"/>
                <w:b w:val="1"/>
                <w:bCs w:val="1"/>
                <w:color w:val="auto"/>
              </w:rPr>
              <w:t>Denominator (Number of shares)</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Basic weighted average ordinary shares outstanding</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78,423,675</w:t>
            </w:r>
          </w:p>
        </w:tc>
        <w:tc>
          <w:tcPr>
            <w:tcW w:w="15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78,423,675</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78,423,675</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82,482,764</w:t>
            </w:r>
          </w:p>
        </w:tc>
        <w:tc>
          <w:tcPr>
            <w:tcW w:w="15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82,482,764</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82,482,764</w:t>
            </w:r>
          </w:p>
        </w:tc>
      </w:tr>
      <w:tr>
        <w:trPr>
          <w:trHeight w:val="170"/>
        </w:trPr>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Effect of dilutive potential ordinary shares</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663,345</w:t>
            </w:r>
          </w:p>
        </w:tc>
        <w:tc>
          <w:tcPr>
            <w:tcW w:w="15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663,345</w:t>
            </w: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663,345</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574,357</w:t>
            </w: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574,357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574,357</w:t>
            </w:r>
          </w:p>
        </w:tc>
      </w:tr>
      <w:tr>
        <w:trPr>
          <w:trHeight w:val="160"/>
        </w:trPr>
        <w:tc>
          <w:tcPr>
            <w:tcW w:w="35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Diluted weighted average ordinary shares outstanding</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79,087,020</w:t>
            </w:r>
          </w:p>
        </w:tc>
        <w:tc>
          <w:tcPr>
            <w:tcW w:w="15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79,087,020</w:t>
            </w:r>
          </w:p>
        </w:tc>
        <w:tc>
          <w:tcPr>
            <w:tcW w:w="11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79,087,020</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83,057,121</w:t>
            </w:r>
          </w:p>
        </w:tc>
        <w:tc>
          <w:tcPr>
            <w:tcW w:w="1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83,057,121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83,057,121</w:t>
            </w:r>
          </w:p>
        </w:tc>
      </w:tr>
      <w:tr>
        <w:trPr>
          <w:trHeight w:val="182"/>
        </w:trPr>
        <w:tc>
          <w:tcPr>
            <w:tcW w:w="3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0"/>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 ($ per share)</w:t>
            </w:r>
          </w:p>
        </w:tc>
        <w:tc>
          <w:tcPr>
            <w:tcW w:w="13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0"/>
        </w:trPr>
        <w:tc>
          <w:tcPr>
            <w:tcW w:w="3520" w:type="dxa"/>
            <w:vAlign w:val="bottom"/>
          </w:tcPr>
          <w:p>
            <w:pPr>
              <w:ind w:left="100"/>
              <w:spacing w:after="0"/>
              <w:rPr>
                <w:sz w:val="20"/>
                <w:szCs w:val="20"/>
                <w:color w:val="auto"/>
              </w:rPr>
            </w:pPr>
            <w:r>
              <w:rPr>
                <w:rFonts w:ascii="Arial" w:cs="Arial" w:eastAsia="Arial" w:hAnsi="Arial"/>
                <w:sz w:val="13"/>
                <w:szCs w:val="13"/>
                <w:color w:val="auto"/>
              </w:rPr>
              <w:t>Basic earnings per ordinary share</w:t>
            </w:r>
          </w:p>
        </w:tc>
        <w:tc>
          <w:tcPr>
            <w:tcW w:w="1360" w:type="dxa"/>
            <w:vAlign w:val="bottom"/>
          </w:tcPr>
          <w:p>
            <w:pPr>
              <w:jc w:val="right"/>
              <w:ind w:right="36"/>
              <w:spacing w:after="0"/>
              <w:rPr>
                <w:sz w:val="20"/>
                <w:szCs w:val="20"/>
                <w:color w:val="auto"/>
              </w:rPr>
            </w:pPr>
            <w:r>
              <w:rPr>
                <w:rFonts w:ascii="Arial" w:cs="Arial" w:eastAsia="Arial" w:hAnsi="Arial"/>
                <w:sz w:val="13"/>
                <w:szCs w:val="13"/>
                <w:b w:val="1"/>
                <w:bCs w:val="1"/>
                <w:color w:val="auto"/>
              </w:rPr>
              <w:t>9.66</w:t>
            </w:r>
          </w:p>
        </w:tc>
        <w:tc>
          <w:tcPr>
            <w:tcW w:w="1540" w:type="dxa"/>
            <w:vAlign w:val="bottom"/>
          </w:tcPr>
          <w:p>
            <w:pPr>
              <w:jc w:val="right"/>
              <w:ind w:right="256"/>
              <w:spacing w:after="0"/>
              <w:rPr>
                <w:sz w:val="20"/>
                <w:szCs w:val="20"/>
                <w:color w:val="auto"/>
              </w:rPr>
            </w:pPr>
            <w:r>
              <w:rPr>
                <w:rFonts w:ascii="Arial" w:cs="Arial" w:eastAsia="Arial" w:hAnsi="Arial"/>
                <w:sz w:val="13"/>
                <w:szCs w:val="13"/>
                <w:b w:val="1"/>
                <w:bCs w:val="1"/>
                <w:color w:val="auto"/>
              </w:rPr>
              <w:t>(6.93)</w:t>
            </w:r>
          </w:p>
        </w:tc>
        <w:tc>
          <w:tcPr>
            <w:tcW w:w="1180" w:type="dxa"/>
            <w:vAlign w:val="bottom"/>
          </w:tcPr>
          <w:p>
            <w:pPr>
              <w:jc w:val="right"/>
              <w:ind w:right="176"/>
              <w:spacing w:after="0"/>
              <w:rPr>
                <w:sz w:val="20"/>
                <w:szCs w:val="20"/>
                <w:color w:val="auto"/>
              </w:rPr>
            </w:pPr>
            <w:r>
              <w:rPr>
                <w:rFonts w:ascii="Arial" w:cs="Arial" w:eastAsia="Arial" w:hAnsi="Arial"/>
                <w:sz w:val="13"/>
                <w:szCs w:val="13"/>
                <w:b w:val="1"/>
                <w:bCs w:val="1"/>
                <w:color w:val="auto"/>
              </w:rPr>
              <w:t>2.73</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10.03</w:t>
            </w:r>
          </w:p>
        </w:tc>
        <w:tc>
          <w:tcPr>
            <w:tcW w:w="1520" w:type="dxa"/>
            <w:vAlign w:val="bottom"/>
          </w:tcPr>
          <w:p>
            <w:pPr>
              <w:jc w:val="right"/>
              <w:ind w:right="236"/>
              <w:spacing w:after="0"/>
              <w:rPr>
                <w:sz w:val="20"/>
                <w:szCs w:val="20"/>
                <w:color w:val="auto"/>
              </w:rPr>
            </w:pPr>
            <w:r>
              <w:rPr>
                <w:rFonts w:ascii="Arial" w:cs="Arial" w:eastAsia="Arial" w:hAnsi="Arial"/>
                <w:sz w:val="13"/>
                <w:szCs w:val="13"/>
                <w:color w:val="auto"/>
              </w:rPr>
              <w:t>(1.22)</w:t>
            </w:r>
          </w:p>
        </w:tc>
        <w:tc>
          <w:tcPr>
            <w:tcW w:w="1000" w:type="dxa"/>
            <w:vAlign w:val="bottom"/>
          </w:tcPr>
          <w:p>
            <w:pPr>
              <w:jc w:val="right"/>
              <w:spacing w:after="0"/>
              <w:rPr>
                <w:sz w:val="20"/>
                <w:szCs w:val="20"/>
                <w:color w:val="auto"/>
              </w:rPr>
            </w:pPr>
            <w:r>
              <w:rPr>
                <w:rFonts w:ascii="Arial" w:cs="Arial" w:eastAsia="Arial" w:hAnsi="Arial"/>
                <w:sz w:val="13"/>
                <w:szCs w:val="13"/>
                <w:color w:val="auto"/>
              </w:rPr>
              <w:t>8.81</w:t>
            </w:r>
          </w:p>
        </w:tc>
      </w:tr>
      <w:tr>
        <w:trPr>
          <w:trHeight w:val="170"/>
        </w:trPr>
        <w:tc>
          <w:tcPr>
            <w:tcW w:w="35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Diluted earnings per ordinary share</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9.58</w:t>
            </w:r>
          </w:p>
        </w:tc>
        <w:tc>
          <w:tcPr>
            <w:tcW w:w="15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(6.87)</w:t>
            </w:r>
          </w:p>
        </w:tc>
        <w:tc>
          <w:tcPr>
            <w:tcW w:w="11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2.71</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9.96</w:t>
            </w:r>
          </w:p>
        </w:tc>
        <w:tc>
          <w:tcPr>
            <w:tcW w:w="15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390,158 anti-dilutive potential shares at 31 December 2025 (31 December 2024: 58,996) comprised of 344,697 options (31 December 2024: 58,996) and 45,461 RSUs</w:t>
      </w:r>
    </w:p>
    <w:p>
      <w:pPr>
        <w:spacing w:after="0"/>
        <w:rPr>
          <w:sz w:val="20"/>
          <w:szCs w:val="20"/>
          <w:color w:val="auto"/>
        </w:rPr>
      </w:pPr>
      <w:r>
        <w:rPr>
          <w:rFonts w:ascii="Arial" w:cs="Arial" w:eastAsia="Arial" w:hAnsi="Arial"/>
          <w:sz w:val="13"/>
          <w:szCs w:val="13"/>
          <w:color w:val="auto"/>
        </w:rPr>
        <w:t>(31 December 2024: nil).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280"/>
          </w:cols>
          <w:pgMar w:left="300" w:top="698"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Exceptional items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Exceptional items are comprised of transaction and integration related, restructuring charges, goodwill impairment, impairment of non-financial assets, provision for onerous contracts, and the corresponding income tax credit in relation to the exceptional items.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Borders>
              <w:bottom w:val="single" w:sz="8" w:color="auto"/>
            </w:tcBorders>
            <w:shd w:val="clear" w:color="auto" w:fill="CCEEFF"/>
          </w:tcPr>
          <w:p>
            <w:pPr>
              <w:spacing w:after="0"/>
              <w:rPr>
                <w:sz w:val="14"/>
                <w:szCs w:val="14"/>
                <w:color w:val="auto"/>
              </w:rPr>
            </w:pPr>
          </w:p>
        </w:tc>
        <w:tc>
          <w:tcPr>
            <w:tcW w:w="29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2024</w:t>
            </w:r>
          </w:p>
        </w:tc>
        <w:tc>
          <w:tcPr>
            <w:tcW w:w="20" w:type="dxa"/>
            <w:vAlign w:val="bottom"/>
          </w:tcPr>
          <w:p>
            <w:pPr>
              <w:spacing w:after="0"/>
              <w:rPr>
                <w:sz w:val="14"/>
                <w:szCs w:val="14"/>
                <w:color w:val="auto"/>
              </w:rPr>
            </w:pPr>
          </w:p>
        </w:tc>
      </w:tr>
      <w:tr>
        <w:trPr>
          <w:trHeight w:val="160"/>
        </w:trPr>
        <w:tc>
          <w:tcPr>
            <w:tcW w:w="7060" w:type="dxa"/>
            <w:vAlign w:val="bottom"/>
          </w:tcPr>
          <w:p>
            <w:pPr>
              <w:spacing w:after="0"/>
              <w:rPr>
                <w:sz w:val="13"/>
                <w:szCs w:val="13"/>
                <w:color w:val="auto"/>
              </w:rPr>
            </w:pPr>
          </w:p>
        </w:tc>
        <w:tc>
          <w:tcPr>
            <w:tcW w:w="29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c>
          <w:tcPr>
            <w:tcW w:w="20" w:type="dxa"/>
            <w:vAlign w:val="bottom"/>
          </w:tcPr>
          <w:p>
            <w:pPr>
              <w:spacing w:after="0"/>
              <w:rPr>
                <w:sz w:val="13"/>
                <w:szCs w:val="13"/>
                <w:color w:val="auto"/>
              </w:rPr>
            </w:pPr>
          </w:p>
        </w:tc>
      </w:tr>
      <w:tr>
        <w:trPr>
          <w:trHeight w:val="170"/>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and integration related</w:t>
            </w:r>
          </w:p>
        </w:tc>
        <w:tc>
          <w:tcPr>
            <w:tcW w:w="29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25,269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29,574</w:t>
            </w:r>
          </w:p>
        </w:tc>
        <w:tc>
          <w:tcPr>
            <w:tcW w:w="20" w:type="dxa"/>
            <w:vAlign w:val="bottom"/>
          </w:tcPr>
          <w:p>
            <w:pPr>
              <w:spacing w:after="0"/>
              <w:rPr>
                <w:sz w:val="14"/>
                <w:szCs w:val="14"/>
                <w:color w:val="auto"/>
              </w:rPr>
            </w:pPr>
          </w:p>
        </w:tc>
      </w:tr>
      <w:tr>
        <w:trPr>
          <w:trHeight w:val="170"/>
        </w:trPr>
        <w:tc>
          <w:tcPr>
            <w:tcW w:w="7060" w:type="dxa"/>
            <w:vAlign w:val="bottom"/>
          </w:tcPr>
          <w:p>
            <w:pPr>
              <w:ind w:left="20"/>
              <w:spacing w:after="0"/>
              <w:rPr>
                <w:sz w:val="20"/>
                <w:szCs w:val="20"/>
                <w:color w:val="auto"/>
              </w:rPr>
            </w:pPr>
            <w:r>
              <w:rPr>
                <w:rFonts w:ascii="Arial" w:cs="Arial" w:eastAsia="Arial" w:hAnsi="Arial"/>
                <w:sz w:val="13"/>
                <w:szCs w:val="13"/>
                <w:color w:val="auto"/>
              </w:rPr>
              <w:t>Restructuring charges</w:t>
            </w:r>
          </w:p>
        </w:tc>
        <w:tc>
          <w:tcPr>
            <w:tcW w:w="2900" w:type="dxa"/>
            <w:vAlign w:val="bottom"/>
          </w:tcPr>
          <w:p>
            <w:pPr>
              <w:jc w:val="right"/>
              <w:ind w:right="176"/>
              <w:spacing w:after="0"/>
              <w:rPr>
                <w:sz w:val="20"/>
                <w:szCs w:val="20"/>
                <w:color w:val="auto"/>
              </w:rPr>
            </w:pPr>
            <w:r>
              <w:rPr>
                <w:rFonts w:ascii="Arial" w:cs="Arial" w:eastAsia="Arial" w:hAnsi="Arial"/>
                <w:sz w:val="13"/>
                <w:szCs w:val="13"/>
                <w:b w:val="1"/>
                <w:bCs w:val="1"/>
                <w:color w:val="auto"/>
              </w:rPr>
              <w:t>79,069</w:t>
            </w:r>
          </w:p>
        </w:tc>
        <w:tc>
          <w:tcPr>
            <w:tcW w:w="1300" w:type="dxa"/>
            <w:vAlign w:val="bottom"/>
          </w:tcPr>
          <w:p>
            <w:pPr>
              <w:jc w:val="right"/>
              <w:spacing w:after="0"/>
              <w:rPr>
                <w:sz w:val="20"/>
                <w:szCs w:val="20"/>
                <w:color w:val="auto"/>
              </w:rPr>
            </w:pPr>
            <w:r>
              <w:rPr>
                <w:rFonts w:ascii="Arial" w:cs="Arial" w:eastAsia="Arial" w:hAnsi="Arial"/>
                <w:sz w:val="13"/>
                <w:szCs w:val="13"/>
                <w:color w:val="auto"/>
              </w:rPr>
              <w:t>92,123</w:t>
            </w:r>
          </w:p>
        </w:tc>
        <w:tc>
          <w:tcPr>
            <w:tcW w:w="20" w:type="dxa"/>
            <w:vAlign w:val="bottom"/>
          </w:tcPr>
          <w:p>
            <w:pPr>
              <w:spacing w:after="0"/>
              <w:rPr>
                <w:sz w:val="14"/>
                <w:szCs w:val="14"/>
                <w:color w:val="auto"/>
              </w:rPr>
            </w:pPr>
          </w:p>
        </w:tc>
      </w:tr>
      <w:tr>
        <w:trPr>
          <w:trHeight w:val="170"/>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impairment</w:t>
            </w:r>
          </w:p>
        </w:tc>
        <w:tc>
          <w:tcPr>
            <w:tcW w:w="29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367,587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060" w:type="dxa"/>
            <w:vAlign w:val="bottom"/>
          </w:tcPr>
          <w:p>
            <w:pPr>
              <w:ind w:left="20"/>
              <w:spacing w:after="0"/>
              <w:rPr>
                <w:sz w:val="20"/>
                <w:szCs w:val="20"/>
                <w:color w:val="auto"/>
              </w:rPr>
            </w:pPr>
            <w:r>
              <w:rPr>
                <w:rFonts w:ascii="Arial" w:cs="Arial" w:eastAsia="Arial" w:hAnsi="Arial"/>
                <w:sz w:val="13"/>
                <w:szCs w:val="13"/>
                <w:color w:val="auto"/>
              </w:rPr>
              <w:t>Provision for onerous contracts</w:t>
            </w:r>
          </w:p>
        </w:tc>
        <w:tc>
          <w:tcPr>
            <w:tcW w:w="2900" w:type="dxa"/>
            <w:vAlign w:val="bottom"/>
          </w:tcPr>
          <w:p>
            <w:pPr>
              <w:jc w:val="right"/>
              <w:ind w:right="176"/>
              <w:spacing w:after="0"/>
              <w:rPr>
                <w:sz w:val="20"/>
                <w:szCs w:val="20"/>
                <w:color w:val="auto"/>
              </w:rPr>
            </w:pPr>
            <w:r>
              <w:rPr>
                <w:rFonts w:ascii="Arial" w:cs="Arial" w:eastAsia="Arial" w:hAnsi="Arial"/>
                <w:sz w:val="13"/>
                <w:szCs w:val="13"/>
                <w:b w:val="1"/>
                <w:bCs w:val="1"/>
                <w:color w:val="auto"/>
              </w:rPr>
              <w:t>12,000</w:t>
            </w:r>
          </w:p>
        </w:tc>
        <w:tc>
          <w:tcPr>
            <w:tcW w:w="1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70"/>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Impairment of non-financial assets</w:t>
            </w:r>
          </w:p>
        </w:tc>
        <w:tc>
          <w:tcPr>
            <w:tcW w:w="29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101,027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0"/>
        </w:trPr>
        <w:tc>
          <w:tcPr>
            <w:tcW w:w="7060" w:type="dxa"/>
            <w:vAlign w:val="bottom"/>
          </w:tcPr>
          <w:p>
            <w:pPr>
              <w:ind w:left="20"/>
              <w:spacing w:after="0"/>
              <w:rPr>
                <w:sz w:val="20"/>
                <w:szCs w:val="20"/>
                <w:color w:val="auto"/>
              </w:rPr>
            </w:pPr>
            <w:r>
              <w:rPr>
                <w:rFonts w:ascii="Arial" w:cs="Arial" w:eastAsia="Arial" w:hAnsi="Arial"/>
                <w:sz w:val="13"/>
                <w:szCs w:val="13"/>
                <w:color w:val="auto"/>
              </w:rPr>
              <w:t>Other operating expenses</w:t>
            </w:r>
          </w:p>
        </w:tc>
        <w:tc>
          <w:tcPr>
            <w:tcW w:w="2900" w:type="dxa"/>
            <w:vAlign w:val="bottom"/>
          </w:tcPr>
          <w:p>
            <w:pPr>
              <w:jc w:val="right"/>
              <w:ind w:right="176"/>
              <w:spacing w:after="0"/>
              <w:rPr>
                <w:sz w:val="20"/>
                <w:szCs w:val="20"/>
                <w:color w:val="auto"/>
              </w:rPr>
            </w:pPr>
            <w:r>
              <w:rPr>
                <w:rFonts w:ascii="Arial" w:cs="Arial" w:eastAsia="Arial" w:hAnsi="Arial"/>
                <w:sz w:val="13"/>
                <w:szCs w:val="13"/>
                <w:b w:val="1"/>
                <w:bCs w:val="1"/>
                <w:color w:val="auto"/>
              </w:rPr>
              <w:t>584,952</w:t>
            </w:r>
          </w:p>
        </w:tc>
        <w:tc>
          <w:tcPr>
            <w:tcW w:w="1300" w:type="dxa"/>
            <w:vAlign w:val="bottom"/>
          </w:tcPr>
          <w:p>
            <w:pPr>
              <w:jc w:val="right"/>
              <w:spacing w:after="0"/>
              <w:rPr>
                <w:sz w:val="20"/>
                <w:szCs w:val="20"/>
                <w:color w:val="auto"/>
              </w:rPr>
            </w:pPr>
            <w:r>
              <w:rPr>
                <w:rFonts w:ascii="Arial" w:cs="Arial" w:eastAsia="Arial" w:hAnsi="Arial"/>
                <w:sz w:val="13"/>
                <w:szCs w:val="13"/>
                <w:color w:val="auto"/>
              </w:rPr>
              <w:t>121,697</w:t>
            </w:r>
          </w:p>
        </w:tc>
        <w:tc>
          <w:tcPr>
            <w:tcW w:w="20" w:type="dxa"/>
            <w:vAlign w:val="bottom"/>
          </w:tcPr>
          <w:p>
            <w:pPr>
              <w:spacing w:after="0"/>
              <w:rPr>
                <w:sz w:val="13"/>
                <w:szCs w:val="13"/>
                <w:color w:val="auto"/>
              </w:rPr>
            </w:pPr>
          </w:p>
        </w:tc>
      </w:tr>
      <w:tr>
        <w:trPr>
          <w:trHeight w:val="170"/>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 credit</w:t>
            </w:r>
          </w:p>
        </w:tc>
        <w:tc>
          <w:tcPr>
            <w:tcW w:w="29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(41,491)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(21,276)</w:t>
            </w:r>
          </w:p>
        </w:tc>
        <w:tc>
          <w:tcPr>
            <w:tcW w:w="20" w:type="dxa"/>
            <w:vAlign w:val="bottom"/>
          </w:tcPr>
          <w:p>
            <w:pPr>
              <w:spacing w:after="0"/>
              <w:rPr>
                <w:sz w:val="14"/>
                <w:szCs w:val="14"/>
                <w:color w:val="auto"/>
              </w:rPr>
            </w:pPr>
          </w:p>
        </w:tc>
      </w:tr>
      <w:tr>
        <w:trPr>
          <w:trHeight w:val="16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Exceptional items (net)</w:t>
            </w:r>
          </w:p>
        </w:tc>
        <w:tc>
          <w:tcPr>
            <w:tcW w:w="29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543,461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100,421</w:t>
            </w:r>
          </w:p>
        </w:tc>
        <w:tc>
          <w:tcPr>
            <w:tcW w:w="20" w:type="dxa"/>
            <w:vAlign w:val="bottom"/>
          </w:tcPr>
          <w:p>
            <w:pPr>
              <w:spacing w:after="0"/>
              <w:rPr>
                <w:sz w:val="13"/>
                <w:szCs w:val="13"/>
                <w:color w:val="auto"/>
              </w:rPr>
            </w:pP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7060" w:type="dxa"/>
            <w:vAlign w:val="bottom"/>
          </w:tcPr>
          <w:p>
            <w:pPr>
              <w:spacing w:after="0"/>
              <w:rPr>
                <w:sz w:val="20"/>
                <w:szCs w:val="20"/>
                <w:color w:val="auto"/>
              </w:rPr>
            </w:pPr>
            <w:r>
              <w:rPr>
                <w:rFonts w:ascii="Arial" w:cs="Arial" w:eastAsia="Arial" w:hAnsi="Arial"/>
                <w:sz w:val="13"/>
                <w:szCs w:val="13"/>
                <w:color w:val="auto"/>
              </w:rPr>
              <w:t>The Group had the following provision balance as at 31 December 2025 and 31 December 2024:</w:t>
            </w:r>
          </w:p>
        </w:tc>
        <w:tc>
          <w:tcPr>
            <w:tcW w:w="2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7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127"/>
        </w:trPr>
        <w:tc>
          <w:tcPr>
            <w:tcW w:w="7060" w:type="dxa"/>
            <w:vAlign w:val="bottom"/>
            <w:shd w:val="clear" w:color="auto" w:fill="CCEEFF"/>
          </w:tcPr>
          <w:p>
            <w:pPr>
              <w:spacing w:after="0"/>
              <w:rPr>
                <w:sz w:val="11"/>
                <w:szCs w:val="11"/>
                <w:color w:val="auto"/>
              </w:rPr>
            </w:pPr>
          </w:p>
        </w:tc>
        <w:tc>
          <w:tcPr>
            <w:tcW w:w="290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31 December</w:t>
            </w:r>
          </w:p>
        </w:tc>
        <w:tc>
          <w:tcPr>
            <w:tcW w:w="13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7060" w:type="dxa"/>
            <w:vAlign w:val="bottom"/>
            <w:tcBorders>
              <w:bottom w:val="single" w:sz="8" w:color="auto"/>
            </w:tcBorders>
            <w:shd w:val="clear" w:color="auto" w:fill="CCEEFF"/>
          </w:tcPr>
          <w:p>
            <w:pPr>
              <w:spacing w:after="0"/>
              <w:rPr>
                <w:sz w:val="14"/>
                <w:szCs w:val="14"/>
                <w:color w:val="auto"/>
              </w:rPr>
            </w:pPr>
          </w:p>
        </w:tc>
        <w:tc>
          <w:tcPr>
            <w:tcW w:w="29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2025</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2024</w:t>
            </w:r>
          </w:p>
        </w:tc>
      </w:tr>
      <w:tr>
        <w:trPr>
          <w:trHeight w:val="160"/>
        </w:trPr>
        <w:tc>
          <w:tcPr>
            <w:tcW w:w="7060" w:type="dxa"/>
            <w:vAlign w:val="bottom"/>
          </w:tcPr>
          <w:p>
            <w:pPr>
              <w:spacing w:after="0"/>
              <w:rPr>
                <w:sz w:val="13"/>
                <w:szCs w:val="13"/>
                <w:color w:val="auto"/>
              </w:rPr>
            </w:pPr>
          </w:p>
        </w:tc>
        <w:tc>
          <w:tcPr>
            <w:tcW w:w="290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9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provisions</w:t>
            </w:r>
          </w:p>
        </w:tc>
        <w:tc>
          <w:tcPr>
            <w:tcW w:w="29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r>
      <w:tr>
        <w:trPr>
          <w:trHeight w:val="169"/>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Restructuring provision</w:t>
            </w:r>
          </w:p>
        </w:tc>
        <w:tc>
          <w:tcPr>
            <w:tcW w:w="29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2,142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2,354</w:t>
            </w:r>
          </w:p>
        </w:tc>
        <w:tc>
          <w:tcPr>
            <w:tcW w:w="20" w:type="dxa"/>
            <w:vAlign w:val="bottom"/>
            <w:tcBorders>
              <w:bottom w:val="single" w:sz="8" w:color="auto"/>
            </w:tcBorders>
          </w:tcPr>
          <w:p>
            <w:pPr>
              <w:spacing w:after="0"/>
              <w:rPr>
                <w:sz w:val="14"/>
                <w:szCs w:val="14"/>
                <w:color w:val="auto"/>
              </w:rPr>
            </w:pP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8"/>
        </w:trPr>
        <w:tc>
          <w:tcPr>
            <w:tcW w:w="70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0"/>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provisions</w:t>
            </w:r>
          </w:p>
        </w:tc>
        <w:tc>
          <w:tcPr>
            <w:tcW w:w="2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7060" w:type="dxa"/>
            <w:vAlign w:val="bottom"/>
          </w:tcPr>
          <w:p>
            <w:pPr>
              <w:ind w:left="20"/>
              <w:spacing w:after="0"/>
              <w:rPr>
                <w:sz w:val="20"/>
                <w:szCs w:val="20"/>
                <w:color w:val="auto"/>
              </w:rPr>
            </w:pPr>
            <w:r>
              <w:rPr>
                <w:rFonts w:ascii="Arial" w:cs="Arial" w:eastAsia="Arial" w:hAnsi="Arial"/>
                <w:sz w:val="13"/>
                <w:szCs w:val="13"/>
                <w:color w:val="auto"/>
              </w:rPr>
              <w:t>Restructuring provision</w:t>
            </w:r>
          </w:p>
        </w:tc>
        <w:tc>
          <w:tcPr>
            <w:tcW w:w="2900" w:type="dxa"/>
            <w:vAlign w:val="bottom"/>
          </w:tcPr>
          <w:p>
            <w:pPr>
              <w:jc w:val="right"/>
              <w:ind w:right="156"/>
              <w:spacing w:after="0"/>
              <w:rPr>
                <w:sz w:val="20"/>
                <w:szCs w:val="20"/>
                <w:color w:val="auto"/>
              </w:rPr>
            </w:pPr>
            <w:r>
              <w:rPr>
                <w:rFonts w:ascii="Arial" w:cs="Arial" w:eastAsia="Arial" w:hAnsi="Arial"/>
                <w:sz w:val="13"/>
                <w:szCs w:val="13"/>
                <w:b w:val="1"/>
                <w:bCs w:val="1"/>
                <w:color w:val="auto"/>
              </w:rPr>
              <w:t>10,383</w:t>
            </w:r>
          </w:p>
        </w:tc>
        <w:tc>
          <w:tcPr>
            <w:tcW w:w="1300" w:type="dxa"/>
            <w:vAlign w:val="bottom"/>
          </w:tcPr>
          <w:p>
            <w:pPr>
              <w:jc w:val="right"/>
              <w:spacing w:after="0"/>
              <w:rPr>
                <w:sz w:val="20"/>
                <w:szCs w:val="20"/>
                <w:color w:val="auto"/>
              </w:rPr>
            </w:pPr>
            <w:r>
              <w:rPr>
                <w:rFonts w:ascii="Arial" w:cs="Arial" w:eastAsia="Arial" w:hAnsi="Arial"/>
                <w:sz w:val="13"/>
                <w:szCs w:val="13"/>
                <w:color w:val="auto"/>
              </w:rPr>
              <w:t>29,120</w:t>
            </w:r>
          </w:p>
        </w:tc>
        <w:tc>
          <w:tcPr>
            <w:tcW w:w="20" w:type="dxa"/>
            <w:vAlign w:val="bottom"/>
          </w:tcPr>
          <w:p>
            <w:pPr>
              <w:spacing w:after="0"/>
              <w:rPr>
                <w:sz w:val="14"/>
                <w:szCs w:val="14"/>
                <w:color w:val="auto"/>
              </w:rPr>
            </w:pPr>
          </w:p>
        </w:tc>
      </w:tr>
      <w:tr>
        <w:trPr>
          <w:trHeight w:val="170"/>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Onerous provision</w:t>
            </w:r>
          </w:p>
        </w:tc>
        <w:tc>
          <w:tcPr>
            <w:tcW w:w="29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12,000</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16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29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22,383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29,120</w:t>
            </w:r>
          </w:p>
        </w:tc>
        <w:tc>
          <w:tcPr>
            <w:tcW w:w="20" w:type="dxa"/>
            <w:vAlign w:val="bottom"/>
            <w:tcBorders>
              <w:bottom w:val="single" w:sz="8" w:color="auto"/>
            </w:tcBorders>
          </w:tcPr>
          <w:p>
            <w:pPr>
              <w:spacing w:after="0"/>
              <w:rPr>
                <w:sz w:val="13"/>
                <w:szCs w:val="13"/>
                <w:color w:val="auto"/>
              </w:rPr>
            </w:pP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 related</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In the years ended 31 December 2025 and 31 December 2024, the Company incurred $25.3 million and $29.6 million, respectively, of transaction and integration related costs which are expensed as incurred within the “Other operating expenses” line item of the Consolidated Statement of Profit and Loss. The costs consist of advisory costs, professional fees, legal costs, ongoing business combination and integration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 charges</w:t>
      </w:r>
    </w:p>
    <w:p>
      <w:pPr>
        <w:spacing w:after="0" w:line="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 restructuring charge of $79.1 million was recognised during the year ended 31 December 2025 (2024: $92.1 million) under a restructuring plan adopted following a review of operations and are included within the “Other operating expenses” line item of the Consolidated Statement of Profit and Loss.</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The restructuring programme is aimed at realigning the Group's workforce as well as reviewing its global footprint and optimising its locations to best fit the requirements of the Group. The restructuring plan reflects a workforce reduction of $74.6 million (31 December 2024: $74.5 million) and an office consolidation programme to optimise the Company's office footprint of $4.5 million (31 December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2024: $17.6 million) being the impairment of operating right-of-use assets of $3.7 million (31 December 2024: $13.8 million), the impairment of related property plant and equipment of $nil</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(31 December 2024: $1.9 million) and onerous contract costs of $0.8 million (31 December 2024: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280"/>
          </w:cols>
          <w:pgMar w:left="300" w:top="698"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9. Exceptional items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Borders>
              <w:bottom w:val="single" w:sz="8" w:color="auto"/>
            </w:tcBorders>
            <w:shd w:val="clear" w:color="auto" w:fill="CCEEFF"/>
          </w:tcPr>
          <w:p>
            <w:pPr>
              <w:spacing w:after="0"/>
              <w:rPr>
                <w:sz w:val="14"/>
                <w:szCs w:val="14"/>
                <w:color w:val="auto"/>
              </w:rPr>
            </w:pPr>
          </w:p>
        </w:tc>
        <w:tc>
          <w:tcPr>
            <w:tcW w:w="4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2024</w:t>
            </w:r>
          </w:p>
        </w:tc>
      </w:tr>
      <w:tr>
        <w:trPr>
          <w:trHeight w:val="160"/>
        </w:trPr>
        <w:tc>
          <w:tcPr>
            <w:tcW w:w="5240" w:type="dxa"/>
            <w:vAlign w:val="bottom"/>
          </w:tcPr>
          <w:p>
            <w:pPr>
              <w:spacing w:after="0"/>
              <w:rPr>
                <w:sz w:val="13"/>
                <w:szCs w:val="13"/>
                <w:color w:val="auto"/>
              </w:rPr>
            </w:pPr>
          </w:p>
        </w:tc>
        <w:tc>
          <w:tcPr>
            <w:tcW w:w="47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liability</w:t>
            </w:r>
          </w:p>
        </w:tc>
        <w:tc>
          <w:tcPr>
            <w:tcW w:w="47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31,474</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6,999</w:t>
            </w:r>
          </w:p>
        </w:tc>
      </w:tr>
      <w:tr>
        <w:trPr>
          <w:trHeight w:val="170"/>
        </w:trPr>
        <w:tc>
          <w:tcPr>
            <w:tcW w:w="5240" w:type="dxa"/>
            <w:vAlign w:val="bottom"/>
          </w:tcPr>
          <w:p>
            <w:pPr>
              <w:ind w:left="20"/>
              <w:spacing w:after="0"/>
              <w:rPr>
                <w:sz w:val="20"/>
                <w:szCs w:val="20"/>
                <w:color w:val="auto"/>
              </w:rPr>
            </w:pPr>
            <w:r>
              <w:rPr>
                <w:rFonts w:ascii="Arial" w:cs="Arial" w:eastAsia="Arial" w:hAnsi="Arial"/>
                <w:sz w:val="13"/>
                <w:szCs w:val="13"/>
                <w:color w:val="auto"/>
              </w:rPr>
              <w:t>Additional charges in the year*</w:t>
            </w:r>
          </w:p>
        </w:tc>
        <w:tc>
          <w:tcPr>
            <w:tcW w:w="4760" w:type="dxa"/>
            <w:vAlign w:val="bottom"/>
          </w:tcPr>
          <w:p>
            <w:pPr>
              <w:jc w:val="right"/>
              <w:ind w:right="156"/>
              <w:spacing w:after="0"/>
              <w:rPr>
                <w:sz w:val="20"/>
                <w:szCs w:val="20"/>
                <w:color w:val="auto"/>
              </w:rPr>
            </w:pPr>
            <w:r>
              <w:rPr>
                <w:rFonts w:ascii="Arial" w:cs="Arial" w:eastAsia="Arial" w:hAnsi="Arial"/>
                <w:sz w:val="13"/>
                <w:szCs w:val="13"/>
                <w:b w:val="1"/>
                <w:bCs w:val="1"/>
                <w:color w:val="auto"/>
              </w:rPr>
              <w:t>75,386</w:t>
            </w:r>
          </w:p>
        </w:tc>
        <w:tc>
          <w:tcPr>
            <w:tcW w:w="1260" w:type="dxa"/>
            <w:vAlign w:val="bottom"/>
          </w:tcPr>
          <w:p>
            <w:pPr>
              <w:jc w:val="right"/>
              <w:spacing w:after="0"/>
              <w:rPr>
                <w:sz w:val="20"/>
                <w:szCs w:val="20"/>
                <w:color w:val="auto"/>
              </w:rPr>
            </w:pPr>
            <w:r>
              <w:rPr>
                <w:rFonts w:ascii="Arial" w:cs="Arial" w:eastAsia="Arial" w:hAnsi="Arial"/>
                <w:sz w:val="13"/>
                <w:szCs w:val="13"/>
                <w:color w:val="auto"/>
              </w:rPr>
              <w:t>76,392</w:t>
            </w:r>
          </w:p>
        </w:tc>
      </w:tr>
      <w:tr>
        <w:trPr>
          <w:trHeight w:val="17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Utilisation</w:t>
            </w:r>
          </w:p>
        </w:tc>
        <w:tc>
          <w:tcPr>
            <w:tcW w:w="4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(94,335)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(51,917)</w:t>
            </w:r>
          </w:p>
        </w:tc>
      </w:tr>
      <w:tr>
        <w:trPr>
          <w:trHeight w:val="16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Ending liability</w:t>
            </w:r>
          </w:p>
        </w:tc>
        <w:tc>
          <w:tcPr>
            <w:tcW w:w="4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12,525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31,474</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*The charge for the year ended 31 December 2025 reflects the workforce reduction of $74.6 million (31 December 2024: $74.5 million) and onerous contract costs of $0.8 million (31 December 2024:</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$1.9 million).</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The closing provision of $12.5 million (31 December 2024: $31.5 million) reflects: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(1) $9.1 million (31 December 2024: $27.7 million) of personnel related liabilities as a result of the workforce reduction; all of which have been classified within Current Liabilities - Provisions,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and</w:t>
      </w:r>
    </w:p>
    <w:p>
      <w:pPr>
        <w:spacing w:after="0" w:line="178" w:lineRule="exact"/>
        <w:rPr>
          <w:sz w:val="20"/>
          <w:szCs w:val="20"/>
          <w:color w:val="auto"/>
        </w:rPr>
      </w:pPr>
    </w:p>
    <w:p>
      <w:pPr>
        <w:ind w:firstLine="514"/>
        <w:spacing w:after="0" w:line="266" w:lineRule="auto"/>
        <w:tabs>
          <w:tab w:leader="none" w:pos="702" w:val="left"/>
        </w:tabs>
        <w:numPr>
          <w:ilvl w:val="0"/>
          <w:numId w:val="53"/>
        </w:numPr>
        <w:rPr>
          <w:rFonts w:ascii="Arial" w:cs="Arial" w:eastAsia="Arial" w:hAnsi="Arial"/>
          <w:sz w:val="13"/>
          <w:szCs w:val="13"/>
          <w:color w:val="auto"/>
        </w:rPr>
      </w:pPr>
      <w:r>
        <w:rPr>
          <w:rFonts w:ascii="Arial" w:cs="Arial" w:eastAsia="Arial" w:hAnsi="Arial"/>
          <w:sz w:val="13"/>
          <w:szCs w:val="13"/>
          <w:color w:val="auto"/>
        </w:rPr>
        <w:t>$3.4 million (31 December 2024: $3.8 million) of facilities related liabilities of which $1.3 million (31 December 2024: $1.4 million) is classified within Current Liabilities - Provisions and $2.1 million (31 December 2024: $2.4 million) is classified within Non-Current Liabilities - Provisions.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Goodwill impairment, Provision for onerous contracts &amp; Impairment of non-financial assets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During 2025, an impairment indicator was identified specific to the Group's Data Solutions reporting unit that indicated the carrying amount of the Data Solutions reporting unit may not be recoverable.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This indicator related to the Group’s revised expectations on the future performance of the reporting unit considering specific external market participant factors.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As a result, the Group,</w:t>
      </w:r>
    </w:p>
    <w:p>
      <w:pPr>
        <w:spacing w:after="0" w:line="190" w:lineRule="exact"/>
        <w:rPr>
          <w:sz w:val="20"/>
          <w:szCs w:val="20"/>
          <w:color w:val="auto"/>
        </w:rPr>
      </w:pPr>
    </w:p>
    <w:p>
      <w:pPr>
        <w:ind w:firstLine="514"/>
        <w:spacing w:after="0" w:line="249" w:lineRule="auto"/>
        <w:tabs>
          <w:tab w:leader="none" w:pos="701" w:val="left"/>
        </w:tabs>
        <w:numPr>
          <w:ilvl w:val="0"/>
          <w:numId w:val="54"/>
        </w:numPr>
        <w:rPr>
          <w:rFonts w:ascii="Arial" w:cs="Arial" w:eastAsia="Arial" w:hAnsi="Arial"/>
          <w:sz w:val="13"/>
          <w:szCs w:val="13"/>
          <w:color w:val="auto"/>
        </w:rPr>
      </w:pPr>
      <w:r>
        <w:rPr>
          <w:rFonts w:ascii="Arial" w:cs="Arial" w:eastAsia="Arial" w:hAnsi="Arial"/>
          <w:sz w:val="13"/>
          <w:szCs w:val="13"/>
          <w:color w:val="auto"/>
        </w:rPr>
        <w:t xml:space="preserve">recorded a goodwill impairment charge of $367.6 million, being the entire balance of goodwill attributed to the Data Solutions reporting unit (31 December 2024: $nil) (see Note 13 </w:t>
      </w:r>
      <w:r>
        <w:rPr>
          <w:rFonts w:ascii="Arial" w:cs="Arial" w:eastAsia="Arial" w:hAnsi="Arial"/>
          <w:sz w:val="13"/>
          <w:szCs w:val="13"/>
          <w:i w:val="1"/>
          <w:iCs w:val="1"/>
          <w:color w:val="auto"/>
        </w:rPr>
        <w:t>Goodwill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intangible assets </w:t>
      </w:r>
      <w:r>
        <w:rPr>
          <w:rFonts w:ascii="Arial" w:cs="Arial" w:eastAsia="Arial" w:hAnsi="Arial"/>
          <w:sz w:val="13"/>
          <w:szCs w:val="13"/>
          <w:color w:val="auto"/>
        </w:rPr>
        <w:t>in Notes to the Consolidated Financial Statements);</w:t>
      </w:r>
    </w:p>
    <w:p>
      <w:pPr>
        <w:spacing w:after="0" w:line="167" w:lineRule="exact"/>
        <w:rPr>
          <w:rFonts w:ascii="Arial" w:cs="Arial" w:eastAsia="Arial" w:hAnsi="Arial"/>
          <w:sz w:val="13"/>
          <w:szCs w:val="13"/>
          <w:color w:val="auto"/>
        </w:rPr>
      </w:pPr>
    </w:p>
    <w:p>
      <w:pPr>
        <w:ind w:left="700" w:hanging="186"/>
        <w:spacing w:after="0"/>
        <w:tabs>
          <w:tab w:leader="none" w:pos="7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recognised an onerous contract provision in the amount of $12.0 million (31 December 2024: $nil); and</w:t>
      </w:r>
    </w:p>
    <w:p>
      <w:pPr>
        <w:spacing w:after="0" w:line="190" w:lineRule="exact"/>
        <w:rPr>
          <w:rFonts w:ascii="Arial" w:cs="Arial" w:eastAsia="Arial" w:hAnsi="Arial"/>
          <w:sz w:val="13"/>
          <w:szCs w:val="13"/>
          <w:color w:val="auto"/>
        </w:rPr>
      </w:pPr>
    </w:p>
    <w:p>
      <w:pPr>
        <w:ind w:firstLine="514"/>
        <w:spacing w:after="0" w:line="266" w:lineRule="auto"/>
        <w:tabs>
          <w:tab w:leader="none" w:pos="705" w:val="left"/>
        </w:tabs>
        <w:numPr>
          <w:ilvl w:val="0"/>
          <w:numId w:val="54"/>
        </w:numPr>
        <w:rPr>
          <w:rFonts w:ascii="Arial" w:cs="Arial" w:eastAsia="Arial" w:hAnsi="Arial"/>
          <w:sz w:val="13"/>
          <w:szCs w:val="13"/>
          <w:color w:val="auto"/>
        </w:rPr>
      </w:pPr>
      <w:r>
        <w:rPr>
          <w:rFonts w:ascii="Arial" w:cs="Arial" w:eastAsia="Arial" w:hAnsi="Arial"/>
          <w:sz w:val="13"/>
          <w:szCs w:val="13"/>
          <w:color w:val="auto"/>
        </w:rPr>
        <w:t xml:space="preserve">recognised an non financial asset impairment charge of $101.0 million (31 December 2024: $nil) (see Note 12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&amp; Note 13 </w:t>
      </w:r>
      <w:r>
        <w:rPr>
          <w:rFonts w:ascii="Arial" w:cs="Arial" w:eastAsia="Arial" w:hAnsi="Arial"/>
          <w:sz w:val="13"/>
          <w:szCs w:val="13"/>
          <w:i w:val="1"/>
          <w:iCs w:val="1"/>
          <w:color w:val="auto"/>
        </w:rPr>
        <w:t>Goodwill and intangible assets</w:t>
      </w:r>
      <w:r>
        <w:rPr>
          <w:rFonts w:ascii="Arial" w:cs="Arial" w:eastAsia="Arial" w:hAnsi="Arial"/>
          <w:sz w:val="13"/>
          <w:szCs w:val="13"/>
          <w:color w:val="auto"/>
        </w:rPr>
        <w:t xml:space="preserve"> in Notes to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These amounts are included within the “Other operating expenses” line item of the Consolidated Statement of Profit and Loss.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 credit</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income tax credit in the year, in relation to the above exceptional items, amounted to a credit of $41.5 million (31 December 2024: $21.3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280"/>
          </w:cols>
          <w:pgMar w:left="300" w:top="698" w:right="3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Payroll and related benefits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60" w:type="dxa"/>
            <w:vAlign w:val="bottom"/>
          </w:tcPr>
          <w:p>
            <w:pPr>
              <w:spacing w:after="0"/>
              <w:rPr>
                <w:sz w:val="20"/>
                <w:szCs w:val="20"/>
                <w:color w:val="auto"/>
              </w:rPr>
            </w:pPr>
            <w:r>
              <w:rPr>
                <w:rFonts w:ascii="Arial" w:cs="Arial" w:eastAsia="Arial" w:hAnsi="Arial"/>
                <w:sz w:val="13"/>
                <w:szCs w:val="13"/>
                <w:i w:val="1"/>
                <w:iCs w:val="1"/>
                <w:color w:val="auto"/>
              </w:rPr>
              <w:t>Payroll costs</w:t>
            </w: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3"/>
                <w:szCs w:val="13"/>
                <w:color w:val="auto"/>
                <w:w w:val="99"/>
              </w:rPr>
              <w:t>The aggregate payroll costs of employees of the Group for the year ended 31 December 2025 and 31 December 2024 were as follows:</w:t>
            </w: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5"/>
        </w:trPr>
        <w:tc>
          <w:tcPr>
            <w:tcW w:w="7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0"/>
        </w:trPr>
        <w:tc>
          <w:tcPr>
            <w:tcW w:w="77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2024</w:t>
            </w:r>
          </w:p>
        </w:tc>
      </w:tr>
      <w:tr>
        <w:trPr>
          <w:trHeight w:val="160"/>
        </w:trPr>
        <w:tc>
          <w:tcPr>
            <w:tcW w:w="7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Wages and salaries</w:t>
            </w:r>
          </w:p>
        </w:tc>
        <w:tc>
          <w:tcPr>
            <w:tcW w:w="7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2,841,006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2,985,991</w:t>
            </w:r>
          </w:p>
        </w:tc>
      </w:tr>
      <w:tr>
        <w:trPr>
          <w:trHeight w:val="170"/>
        </w:trPr>
        <w:tc>
          <w:tcPr>
            <w:tcW w:w="7760" w:type="dxa"/>
            <w:vAlign w:val="bottom"/>
          </w:tcPr>
          <w:p>
            <w:pPr>
              <w:ind w:left="20"/>
              <w:spacing w:after="0"/>
              <w:rPr>
                <w:sz w:val="20"/>
                <w:szCs w:val="20"/>
                <w:color w:val="auto"/>
              </w:rPr>
            </w:pPr>
            <w:r>
              <w:rPr>
                <w:rFonts w:ascii="Arial" w:cs="Arial" w:eastAsia="Arial" w:hAnsi="Arial"/>
                <w:sz w:val="13"/>
                <w:szCs w:val="13"/>
                <w:color w:val="auto"/>
              </w:rPr>
              <w:t>Social welfare costs</w:t>
            </w:r>
          </w:p>
        </w:tc>
        <w:tc>
          <w:tcPr>
            <w:tcW w:w="72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554,185</w:t>
            </w:r>
          </w:p>
        </w:tc>
        <w:tc>
          <w:tcPr>
            <w:tcW w:w="1300" w:type="dxa"/>
            <w:vAlign w:val="bottom"/>
          </w:tcPr>
          <w:p>
            <w:pPr>
              <w:jc w:val="right"/>
              <w:spacing w:after="0"/>
              <w:rPr>
                <w:sz w:val="20"/>
                <w:szCs w:val="20"/>
                <w:color w:val="auto"/>
              </w:rPr>
            </w:pPr>
            <w:r>
              <w:rPr>
                <w:rFonts w:ascii="Arial" w:cs="Arial" w:eastAsia="Arial" w:hAnsi="Arial"/>
                <w:sz w:val="13"/>
                <w:szCs w:val="13"/>
                <w:color w:val="auto"/>
              </w:rPr>
              <w:t>547,550</w:t>
            </w:r>
          </w:p>
        </w:tc>
      </w:tr>
      <w:tr>
        <w:trPr>
          <w:trHeight w:val="170"/>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costs</w:t>
            </w:r>
          </w:p>
        </w:tc>
        <w:tc>
          <w:tcPr>
            <w:tcW w:w="7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129,897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123,771</w:t>
            </w:r>
          </w:p>
        </w:tc>
      </w:tr>
      <w:tr>
        <w:trPr>
          <w:trHeight w:val="170"/>
        </w:trPr>
        <w:tc>
          <w:tcPr>
            <w:tcW w:w="7760" w:type="dxa"/>
            <w:vAlign w:val="bottom"/>
          </w:tcPr>
          <w:p>
            <w:pPr>
              <w:ind w:left="20"/>
              <w:spacing w:after="0"/>
              <w:rPr>
                <w:sz w:val="20"/>
                <w:szCs w:val="20"/>
                <w:color w:val="auto"/>
              </w:rPr>
            </w:pPr>
            <w:r>
              <w:rPr>
                <w:rFonts w:ascii="Arial" w:cs="Arial" w:eastAsia="Arial" w:hAnsi="Arial"/>
                <w:sz w:val="13"/>
                <w:szCs w:val="13"/>
                <w:color w:val="auto"/>
              </w:rPr>
              <w:t>Termination benefits</w:t>
            </w:r>
          </w:p>
        </w:tc>
        <w:tc>
          <w:tcPr>
            <w:tcW w:w="720" w:type="dxa"/>
            <w:vAlign w:val="bottom"/>
          </w:tcPr>
          <w:p>
            <w:pPr>
              <w:jc w:val="right"/>
              <w:ind w:right="416"/>
              <w:spacing w:after="0"/>
              <w:rPr>
                <w:sz w:val="20"/>
                <w:szCs w:val="20"/>
                <w:color w:val="auto"/>
              </w:rPr>
            </w:pPr>
            <w:r>
              <w:rPr>
                <w:rFonts w:ascii="Arial" w:cs="Arial" w:eastAsia="Arial" w:hAnsi="Arial"/>
                <w:sz w:val="13"/>
                <w:szCs w:val="13"/>
                <w:i w:val="1"/>
                <w:iCs w:val="1"/>
                <w:color w:val="auto"/>
              </w:rPr>
              <w:t>9</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74,544</w:t>
            </w:r>
          </w:p>
        </w:tc>
        <w:tc>
          <w:tcPr>
            <w:tcW w:w="1300" w:type="dxa"/>
            <w:vAlign w:val="bottom"/>
          </w:tcPr>
          <w:p>
            <w:pPr>
              <w:jc w:val="right"/>
              <w:spacing w:after="0"/>
              <w:rPr>
                <w:sz w:val="20"/>
                <w:szCs w:val="20"/>
                <w:color w:val="auto"/>
              </w:rPr>
            </w:pPr>
            <w:r>
              <w:rPr>
                <w:rFonts w:ascii="Arial" w:cs="Arial" w:eastAsia="Arial" w:hAnsi="Arial"/>
                <w:sz w:val="13"/>
                <w:szCs w:val="13"/>
                <w:color w:val="auto"/>
              </w:rPr>
              <w:t>74,517</w:t>
            </w:r>
          </w:p>
        </w:tc>
      </w:tr>
      <w:tr>
        <w:trPr>
          <w:trHeight w:val="170"/>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7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i w:val="1"/>
                <w:iCs w:val="1"/>
                <w:color w:val="auto"/>
              </w:rPr>
              <w:t>11</w:t>
            </w: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110,235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46,108</w:t>
            </w:r>
          </w:p>
        </w:tc>
      </w:tr>
      <w:tr>
        <w:trPr>
          <w:trHeight w:val="160"/>
        </w:trPr>
        <w:tc>
          <w:tcPr>
            <w:tcW w:w="7760" w:type="dxa"/>
            <w:vAlign w:val="bottom"/>
          </w:tcPr>
          <w:p>
            <w:pPr>
              <w:ind w:left="20"/>
              <w:spacing w:after="0"/>
              <w:rPr>
                <w:sz w:val="20"/>
                <w:szCs w:val="20"/>
                <w:color w:val="auto"/>
              </w:rPr>
            </w:pPr>
            <w:r>
              <w:rPr>
                <w:rFonts w:ascii="Arial" w:cs="Arial" w:eastAsia="Arial" w:hAnsi="Arial"/>
                <w:sz w:val="13"/>
                <w:szCs w:val="13"/>
                <w:b w:val="1"/>
                <w:bCs w:val="1"/>
                <w:color w:val="auto"/>
              </w:rPr>
              <w:t>Total charge to income</w:t>
            </w:r>
          </w:p>
        </w:tc>
        <w:tc>
          <w:tcPr>
            <w:tcW w:w="720" w:type="dxa"/>
            <w:vAlign w:val="bottom"/>
          </w:tcPr>
          <w:p>
            <w:pPr>
              <w:spacing w:after="0"/>
              <w:rPr>
                <w:sz w:val="13"/>
                <w:szCs w:val="13"/>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3,709,867</w:t>
            </w:r>
          </w:p>
        </w:tc>
        <w:tc>
          <w:tcPr>
            <w:tcW w:w="1300" w:type="dxa"/>
            <w:vAlign w:val="bottom"/>
          </w:tcPr>
          <w:p>
            <w:pPr>
              <w:jc w:val="right"/>
              <w:spacing w:after="0"/>
              <w:rPr>
                <w:sz w:val="20"/>
                <w:szCs w:val="20"/>
                <w:color w:val="auto"/>
              </w:rPr>
            </w:pPr>
            <w:r>
              <w:rPr>
                <w:rFonts w:ascii="Arial" w:cs="Arial" w:eastAsia="Arial" w:hAnsi="Arial"/>
                <w:sz w:val="13"/>
                <w:szCs w:val="13"/>
                <w:color w:val="auto"/>
              </w:rPr>
              <w:t>3,777,937</w:t>
            </w:r>
          </w:p>
        </w:tc>
      </w:tr>
      <w:tr>
        <w:trPr>
          <w:trHeight w:val="170"/>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Re-measurement of defined benefit liability</w:t>
            </w:r>
          </w:p>
        </w:tc>
        <w:tc>
          <w:tcPr>
            <w:tcW w:w="7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(4,684)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6,338</w:t>
            </w:r>
          </w:p>
        </w:tc>
      </w:tr>
      <w:tr>
        <w:trPr>
          <w:trHeight w:val="16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payroll and related benefit costs</w:t>
            </w:r>
          </w:p>
        </w:tc>
        <w:tc>
          <w:tcPr>
            <w:tcW w:w="7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3,705,183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3,784,275</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Average employee numbers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average number of employees, including executive Directors, employed by the Group during the year ended 31 December 2025 and 31 December 2024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Borders>
              <w:bottom w:val="single" w:sz="8" w:color="auto"/>
            </w:tcBorders>
            <w:shd w:val="clear" w:color="auto" w:fill="CCEEFF"/>
          </w:tcPr>
          <w:p>
            <w:pPr>
              <w:spacing w:after="0"/>
              <w:rPr>
                <w:sz w:val="14"/>
                <w:szCs w:val="14"/>
                <w:color w:val="auto"/>
              </w:rPr>
            </w:pPr>
          </w:p>
        </w:tc>
        <w:tc>
          <w:tcPr>
            <w:tcW w:w="5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2024</w:t>
            </w:r>
          </w:p>
        </w:tc>
      </w:tr>
      <w:tr>
        <w:trPr>
          <w:trHeight w:val="169"/>
        </w:trPr>
        <w:tc>
          <w:tcPr>
            <w:tcW w:w="4820" w:type="dxa"/>
            <w:vAlign w:val="bottom"/>
          </w:tcPr>
          <w:p>
            <w:pPr>
              <w:ind w:left="20"/>
              <w:spacing w:after="0"/>
              <w:rPr>
                <w:sz w:val="20"/>
                <w:szCs w:val="20"/>
                <w:color w:val="auto"/>
              </w:rPr>
            </w:pPr>
            <w:r>
              <w:rPr>
                <w:rFonts w:ascii="Arial" w:cs="Arial" w:eastAsia="Arial" w:hAnsi="Arial"/>
                <w:sz w:val="13"/>
                <w:szCs w:val="13"/>
                <w:color w:val="auto"/>
              </w:rPr>
              <w:t>Marketing</w:t>
            </w:r>
          </w:p>
        </w:tc>
        <w:tc>
          <w:tcPr>
            <w:tcW w:w="5160" w:type="dxa"/>
            <w:vAlign w:val="bottom"/>
          </w:tcPr>
          <w:p>
            <w:pPr>
              <w:jc w:val="right"/>
              <w:ind w:right="176"/>
              <w:spacing w:after="0"/>
              <w:rPr>
                <w:sz w:val="20"/>
                <w:szCs w:val="20"/>
                <w:color w:val="auto"/>
              </w:rPr>
            </w:pPr>
            <w:r>
              <w:rPr>
                <w:rFonts w:ascii="Arial" w:cs="Arial" w:eastAsia="Arial" w:hAnsi="Arial"/>
                <w:sz w:val="13"/>
                <w:szCs w:val="13"/>
                <w:b w:val="1"/>
                <w:bCs w:val="1"/>
                <w:color w:val="auto"/>
              </w:rPr>
              <w:t>549</w:t>
            </w:r>
          </w:p>
        </w:tc>
        <w:tc>
          <w:tcPr>
            <w:tcW w:w="1300" w:type="dxa"/>
            <w:vAlign w:val="bottom"/>
          </w:tcPr>
          <w:p>
            <w:pPr>
              <w:jc w:val="right"/>
              <w:spacing w:after="0"/>
              <w:rPr>
                <w:sz w:val="20"/>
                <w:szCs w:val="20"/>
                <w:color w:val="auto"/>
              </w:rPr>
            </w:pPr>
            <w:r>
              <w:rPr>
                <w:rFonts w:ascii="Arial" w:cs="Arial" w:eastAsia="Arial" w:hAnsi="Arial"/>
                <w:sz w:val="13"/>
                <w:szCs w:val="13"/>
                <w:color w:val="auto"/>
              </w:rPr>
              <w:t>559</w:t>
            </w:r>
          </w:p>
        </w:tc>
      </w:tr>
      <w:tr>
        <w:trPr>
          <w:trHeight w:val="24"/>
        </w:trPr>
        <w:tc>
          <w:tcPr>
            <w:tcW w:w="4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0"/>
        </w:trPr>
        <w:tc>
          <w:tcPr>
            <w:tcW w:w="4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Administration</w:t>
            </w:r>
          </w:p>
        </w:tc>
        <w:tc>
          <w:tcPr>
            <w:tcW w:w="51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3,501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3,681</w:t>
            </w:r>
          </w:p>
        </w:tc>
      </w:tr>
      <w:tr>
        <w:trPr>
          <w:trHeight w:val="170"/>
        </w:trPr>
        <w:tc>
          <w:tcPr>
            <w:tcW w:w="4820" w:type="dxa"/>
            <w:vAlign w:val="bottom"/>
          </w:tcPr>
          <w:p>
            <w:pPr>
              <w:ind w:left="20"/>
              <w:spacing w:after="0"/>
              <w:rPr>
                <w:sz w:val="20"/>
                <w:szCs w:val="20"/>
                <w:color w:val="auto"/>
              </w:rPr>
            </w:pPr>
            <w:r>
              <w:rPr>
                <w:rFonts w:ascii="Arial" w:cs="Arial" w:eastAsia="Arial" w:hAnsi="Arial"/>
                <w:sz w:val="13"/>
                <w:szCs w:val="13"/>
                <w:color w:val="auto"/>
              </w:rPr>
              <w:t>Clinical research</w:t>
            </w:r>
          </w:p>
        </w:tc>
        <w:tc>
          <w:tcPr>
            <w:tcW w:w="5160" w:type="dxa"/>
            <w:vAlign w:val="bottom"/>
          </w:tcPr>
          <w:p>
            <w:pPr>
              <w:jc w:val="right"/>
              <w:ind w:right="176"/>
              <w:spacing w:after="0"/>
              <w:rPr>
                <w:sz w:val="20"/>
                <w:szCs w:val="20"/>
                <w:color w:val="auto"/>
              </w:rPr>
            </w:pPr>
            <w:r>
              <w:rPr>
                <w:rFonts w:ascii="Arial" w:cs="Arial" w:eastAsia="Arial" w:hAnsi="Arial"/>
                <w:sz w:val="13"/>
                <w:szCs w:val="13"/>
                <w:b w:val="1"/>
                <w:bCs w:val="1"/>
                <w:color w:val="auto"/>
              </w:rPr>
              <w:t>32,752</w:t>
            </w:r>
          </w:p>
        </w:tc>
        <w:tc>
          <w:tcPr>
            <w:tcW w:w="1300" w:type="dxa"/>
            <w:vAlign w:val="bottom"/>
          </w:tcPr>
          <w:p>
            <w:pPr>
              <w:jc w:val="right"/>
              <w:spacing w:after="0"/>
              <w:rPr>
                <w:sz w:val="20"/>
                <w:szCs w:val="20"/>
                <w:color w:val="auto"/>
              </w:rPr>
            </w:pPr>
            <w:r>
              <w:rPr>
                <w:rFonts w:ascii="Arial" w:cs="Arial" w:eastAsia="Arial" w:hAnsi="Arial"/>
                <w:sz w:val="13"/>
                <w:szCs w:val="13"/>
                <w:color w:val="auto"/>
              </w:rPr>
              <w:t>33,582</w:t>
            </w:r>
          </w:p>
        </w:tc>
      </w:tr>
      <w:tr>
        <w:trPr>
          <w:trHeight w:val="17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Laboratory</w:t>
            </w:r>
          </w:p>
        </w:tc>
        <w:tc>
          <w:tcPr>
            <w:tcW w:w="51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3,170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3,038</w:t>
            </w:r>
          </w:p>
        </w:tc>
      </w:tr>
      <w:tr>
        <w:trPr>
          <w:trHeight w:val="16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1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39,972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40,860</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280"/>
          </w:cols>
          <w:pgMar w:left="300" w:top="698" w:right="31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Remuneration policy</w:t>
      </w:r>
    </w:p>
    <w:p>
      <w:pPr>
        <w:spacing w:after="0" w:line="188" w:lineRule="exact"/>
        <w:rPr>
          <w:sz w:val="20"/>
          <w:szCs w:val="20"/>
          <w:color w:val="auto"/>
        </w:rPr>
      </w:pPr>
    </w:p>
    <w:p>
      <w:pPr>
        <w:jc w:val="both"/>
        <w:spacing w:after="0" w:line="153" w:lineRule="exact"/>
        <w:rPr>
          <w:sz w:val="20"/>
          <w:szCs w:val="20"/>
          <w:color w:val="auto"/>
        </w:rPr>
      </w:pPr>
      <w:r>
        <w:rPr>
          <w:rFonts w:ascii="Arial" w:cs="Arial" w:eastAsia="Arial" w:hAnsi="Arial"/>
          <w:sz w:val="13"/>
          <w:szCs w:val="13"/>
          <w:color w:val="auto"/>
        </w:rPr>
        <w:t>The Compensation and Organisation Committee oversees our compensation programmes and is responsible for approving compensation for our executive officers and non-executive directors. The Committee seeks to achieve the following goals with the Company’s executive compensation programmes: to attract, motivate and retain key executives and to reward executives for value creation. In discharging its responsibilities, the Committee reviews and considers market practices, pay</w:t>
      </w:r>
      <w:r>
        <w:rPr>
          <w:rFonts w:ascii="MS PGothic" w:cs="MS PGothic" w:eastAsia="MS PGothic" w:hAnsi="MS PGothic"/>
          <w:sz w:val="13"/>
          <w:szCs w:val="13"/>
          <w:color w:val="auto"/>
        </w:rPr>
        <w:t>‑</w:t>
      </w:r>
      <w:r>
        <w:rPr>
          <w:rFonts w:ascii="Arial" w:cs="Arial" w:eastAsia="Arial" w:hAnsi="Arial"/>
          <w:sz w:val="13"/>
          <w:szCs w:val="13"/>
          <w:color w:val="auto"/>
        </w:rPr>
        <w:t>for</w:t>
      </w:r>
      <w:r>
        <w:rPr>
          <w:rFonts w:ascii="MS PGothic" w:cs="MS PGothic" w:eastAsia="MS PGothic" w:hAnsi="MS PGothic"/>
          <w:sz w:val="13"/>
          <w:szCs w:val="13"/>
          <w:color w:val="auto"/>
        </w:rPr>
        <w:t>‑</w:t>
      </w:r>
      <w:r>
        <w:rPr>
          <w:rFonts w:ascii="Arial" w:cs="Arial" w:eastAsia="Arial" w:hAnsi="Arial"/>
          <w:sz w:val="13"/>
          <w:szCs w:val="13"/>
          <w:color w:val="auto"/>
        </w:rPr>
        <w:t>performance alignment, internal equity and the long</w:t>
      </w:r>
      <w:r>
        <w:rPr>
          <w:rFonts w:ascii="MS PGothic" w:cs="MS PGothic" w:eastAsia="MS PGothic" w:hAnsi="MS PGothic"/>
          <w:sz w:val="13"/>
          <w:szCs w:val="13"/>
          <w:color w:val="auto"/>
        </w:rPr>
        <w:t>‑</w:t>
      </w:r>
      <w:r>
        <w:rPr>
          <w:rFonts w:ascii="Arial" w:cs="Arial" w:eastAsia="Arial" w:hAnsi="Arial"/>
          <w:sz w:val="13"/>
          <w:szCs w:val="13"/>
          <w:color w:val="auto"/>
        </w:rPr>
        <w:t>term interests of the Company, its shareholders and other stakeholders.</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 and the CEO makes recommendations to the Committee regarding the performance assessment and the compensation package of the other key executives. Base salary, bonus awards and Directors’ fees were determined by the Compensation and Organisation Committee in U.S. dollars, euro or British pound sterling.</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Non-Executive Directors’ remuneration</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Non-Executive Directors are remunerated by way of directors’ fees and are also eligible for participation in the share equity incentive schemes. During 2025, each Non-Executive Director (excluding the Board Chairman) was paid an annual retainer of $100,000 and additional fees for Board Committee service. Director fees are denominated in U.S. dollars. Directors who elect to receive their fees in euros are paid using a fixed U.S. dollar–euro exchange rate determined annually.</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Mr. Murray’s Executive Chairman term expired on 12 May 2018 and he transitioned to the Non-Executive Director role of Chair. During the prior year and up until 1 April 2025, the arrangement with the Chair provided for payment of €330,000 annually. With effect from 1 April 2025, this payment changed and was re-denominated to $400,000 annually.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Mr. Rónán Murphy was appointed as Lead Independent Director with effect from 1 January 2019 and receives an additional annual fee of $40,000 for this role.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Non-Executive Directors are not eligible for performance related bonuses and no pension contributions are made on their behalf. The Compensation and Organisation Committee sets Non-Executive Directors' remuneration.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Directors’ and Key Executive Officers’ remuneration</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Total cash compensation comprised of a base salary and a bonus incentive. The Committee targets total cash compensation with regard to healthcare /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incentives for executive officers range between 85% and 135% of salary, based on Group and individual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 bonus was awarded to Mr. Barry Balfe, Chief Executive Officer, Mr. Nigel Clerkin, Chief Financial Officer, or Dr. Steve Cutler, former Chief Executive Officer for the year ended 31 December 2025.</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This was approved by the Compensation and Organisation Committee.</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and value is determined by the Committee and the number of units granted is determined based on the closing price of the Company's shares 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awards granted to each participant are determined by the Committee at the start of each year based on peer group data, advice from independent compensation consultants, and Committee judgment.</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2025, Performance Share Units (“PSUs”) which were awarded in 2022, subject to vesting, vested for Dr. Steve Cutler, former Chief Executive Officer, in the amount of 4,648 from a potential grant of 21,130. The percentage vested reflects service and the Company's achievements of diluted non-GAAP specified EPS targets over the three year period from 2022 - 2024.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280"/>
          </w:cols>
          <w:pgMar w:left="300" w:top="698"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7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During 2025, Performance Share Units (“PSUs”) which were awarded in 2022, subject to vesting, vested for Mr. Barry Balfe, then Chief Operating Officer, in the amount of 735 from a potential grant of 1,671. The percentage vested reflects service and the Company's achievements of diluted non-GAAP specified EPS targets over the three year period from 2022 - 2024. Subsequent to the year end, Performance Share Units (“PSUs”) which were awarded in 2023, subject to vesting, for Mr. Barry Balfe, Chief Executive Officer, did not vest from a potential grant of 2,053. The awards did not vest as the diluted non-GAAP specified EPS targets over the three year period from 2023 - 2025 were not achieved.</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Statements of Profit and Loss.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Recovery of Erroneously Awarded Compensation</w:t>
      </w:r>
    </w:p>
    <w:p>
      <w:pPr>
        <w:spacing w:after="0" w:line="159" w:lineRule="exact"/>
        <w:rPr>
          <w:sz w:val="20"/>
          <w:szCs w:val="20"/>
          <w:color w:val="auto"/>
        </w:rPr>
      </w:pPr>
    </w:p>
    <w:p>
      <w:pPr>
        <w:jc w:val="both"/>
        <w:spacing w:after="0" w:line="156" w:lineRule="exact"/>
        <w:rPr>
          <w:sz w:val="20"/>
          <w:szCs w:val="20"/>
          <w:color w:val="auto"/>
        </w:rPr>
      </w:pPr>
      <w:r>
        <w:rPr>
          <w:rFonts w:ascii="Arial" w:cs="Arial" w:eastAsia="Arial" w:hAnsi="Arial"/>
          <w:sz w:val="13"/>
          <w:szCs w:val="13"/>
          <w:color w:val="auto"/>
        </w:rPr>
        <w:t>Our Clawback Policy applies to incentive</w:t>
      </w:r>
      <w:r>
        <w:rPr>
          <w:rFonts w:ascii="MS PGothic" w:cs="MS PGothic" w:eastAsia="MS PGothic" w:hAnsi="MS PGothic"/>
          <w:sz w:val="13"/>
          <w:szCs w:val="13"/>
          <w:color w:val="auto"/>
        </w:rPr>
        <w:t>‑</w:t>
      </w:r>
      <w:r>
        <w:rPr>
          <w:rFonts w:ascii="Arial" w:cs="Arial" w:eastAsia="Arial" w:hAnsi="Arial"/>
          <w:sz w:val="13"/>
          <w:szCs w:val="13"/>
          <w:color w:val="auto"/>
        </w:rPr>
        <w:t>based compensation that is based on the attainment of financial reporting measures and that is received by current or former executive officers on or after 2 October 2023, the effective date of the Clawback Policy. On 27 April 2026, the Company’s Audit Committee concluded that a restatement was required. The aggregate dollar amount of erroneously awarded compensation attributed to the Restatement has not yet been determined. The Compensation and Organisation Committee is reviewing and evaluating whether any incentive</w:t>
      </w:r>
      <w:r>
        <w:rPr>
          <w:rFonts w:ascii="MS PGothic" w:cs="MS PGothic" w:eastAsia="MS PGothic" w:hAnsi="MS PGothic"/>
          <w:sz w:val="13"/>
          <w:szCs w:val="13"/>
          <w:color w:val="auto"/>
        </w:rPr>
        <w:t>‑</w:t>
      </w:r>
      <w:r>
        <w:rPr>
          <w:rFonts w:ascii="Arial" w:cs="Arial" w:eastAsia="Arial" w:hAnsi="Arial"/>
          <w:sz w:val="13"/>
          <w:szCs w:val="13"/>
          <w:color w:val="auto"/>
        </w:rPr>
        <w:t>based compensation received by current or former executive officers covered by the Clawback Policy during the relevant recovery periods was erroneously awarded as a result of the incorrect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Directors’ interests</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Directors, Executive Officers and Company Secretary have the following interests, all of which are beneficial, in the shares and share options of the Company or other Group companies at 31 December 2025 and 31 December 2024 (or date of appointment if later):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shd w:val="clear" w:color="auto" w:fill="CCEEFF"/>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22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Interest at</w:t>
            </w:r>
          </w:p>
        </w:tc>
        <w:tc>
          <w:tcPr>
            <w:tcW w:w="68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Interest at</w:t>
            </w:r>
          </w:p>
        </w:tc>
        <w:tc>
          <w:tcPr>
            <w:tcW w:w="60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2025</w:t>
            </w: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31 December 2024</w:t>
            </w:r>
          </w:p>
        </w:tc>
        <w:tc>
          <w:tcPr>
            <w:tcW w:w="600" w:type="dxa"/>
            <w:vAlign w:val="bottom"/>
            <w:tcBorders>
              <w:bottom w:val="single" w:sz="8" w:color="auto"/>
            </w:tcBorders>
          </w:tcPr>
          <w:p>
            <w:pPr>
              <w:spacing w:after="0"/>
              <w:rPr>
                <w:sz w:val="14"/>
                <w:szCs w:val="14"/>
                <w:color w:val="auto"/>
              </w:rPr>
            </w:pPr>
          </w:p>
        </w:tc>
      </w:tr>
      <w:tr>
        <w:trPr>
          <w:trHeight w:val="160"/>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b w:val="1"/>
                <w:bCs w:val="1"/>
                <w:color w:val="auto"/>
              </w:rPr>
              <w:t>Name of company and description of shares</w:t>
            </w:r>
          </w:p>
        </w:tc>
        <w:tc>
          <w:tcPr>
            <w:tcW w:w="22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Number of shares</w:t>
            </w: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Options</w:t>
            </w:r>
          </w:p>
        </w:tc>
        <w:tc>
          <w:tcPr>
            <w:tcW w:w="174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3"/>
                <w:szCs w:val="13"/>
                <w:color w:val="auto"/>
              </w:rPr>
              <w:t>Number of shares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Options</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Ciaran Murray</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20,452</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20,000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2060" w:type="dxa"/>
            <w:vAlign w:val="bottom"/>
          </w:tcPr>
          <w:p>
            <w:pPr>
              <w:ind w:left="20"/>
              <w:spacing w:after="0" w:line="161" w:lineRule="exact"/>
              <w:rPr>
                <w:sz w:val="20"/>
                <w:szCs w:val="20"/>
                <w:color w:val="auto"/>
              </w:rPr>
            </w:pPr>
            <w:r>
              <w:rPr>
                <w:rFonts w:ascii="Arial" w:cs="Arial" w:eastAsia="Arial" w:hAnsi="Arial"/>
                <w:sz w:val="13"/>
                <w:szCs w:val="13"/>
                <w:color w:val="auto"/>
              </w:rPr>
              <w:t xml:space="preserve">Barry Balfe </w:t>
            </w:r>
            <w:r>
              <w:rPr>
                <w:rFonts w:ascii="Arial" w:cs="Arial" w:eastAsia="Arial" w:hAnsi="Arial"/>
                <w:sz w:val="16"/>
                <w:szCs w:val="16"/>
                <w:color w:val="auto"/>
                <w:vertAlign w:val="superscript"/>
              </w:rPr>
              <w:t>(1)</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0"/>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1,428</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31,144</w:t>
            </w:r>
          </w:p>
        </w:tc>
        <w:tc>
          <w:tcPr>
            <w:tcW w:w="1740" w:type="dxa"/>
            <w:vAlign w:val="bottom"/>
            <w:tcBorders>
              <w:bottom w:val="single" w:sz="8" w:color="auto"/>
            </w:tcBorders>
            <w:shd w:val="clear" w:color="auto" w:fill="CCEEFF"/>
          </w:tcPr>
          <w:p>
            <w:pPr>
              <w:jc w:val="right"/>
              <w:ind w:right="578"/>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7"/>
                <w:szCs w:val="7"/>
                <w:color w:val="auto"/>
              </w:rPr>
              <w:t xml:space="preserve"> (1)</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3"/>
                <w:szCs w:val="13"/>
                <w:color w:val="auto"/>
                <w:w w:val="99"/>
              </w:rPr>
              <w:t xml:space="preserve">15,816 </w:t>
            </w:r>
            <w:r>
              <w:rPr>
                <w:rFonts w:ascii="Arial" w:cs="Arial" w:eastAsia="Arial" w:hAnsi="Arial"/>
                <w:sz w:val="16"/>
                <w:szCs w:val="16"/>
                <w:color w:val="auto"/>
                <w:w w:val="99"/>
                <w:vertAlign w:val="superscript"/>
              </w:rPr>
              <w:t>(1)</w:t>
            </w:r>
          </w:p>
        </w:tc>
      </w:tr>
      <w:tr>
        <w:trPr>
          <w:trHeight w:val="191"/>
        </w:trPr>
        <w:tc>
          <w:tcPr>
            <w:tcW w:w="2060" w:type="dxa"/>
            <w:vAlign w:val="bottom"/>
          </w:tcPr>
          <w:p>
            <w:pPr>
              <w:ind w:left="20"/>
              <w:spacing w:after="0"/>
              <w:rPr>
                <w:sz w:val="20"/>
                <w:szCs w:val="20"/>
                <w:color w:val="auto"/>
              </w:rPr>
            </w:pPr>
            <w:r>
              <w:rPr>
                <w:rFonts w:ascii="Arial" w:cs="Arial" w:eastAsia="Arial" w:hAnsi="Arial"/>
                <w:sz w:val="13"/>
                <w:szCs w:val="13"/>
                <w:color w:val="auto"/>
              </w:rPr>
              <w:t>Nigel Clerkin</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3,855</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9,241</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2,956</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5,005</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2,596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8,084</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287,657</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5,005</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427,297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12,698</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79,278</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293,813</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44,128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239,822</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Eugene McCague</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2,920</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3,255</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2,560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3,255</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Julie O'Neill</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2,698</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2,367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Dr. Linda Grais</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5,271</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4,911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Anne Whitaker</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206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3980" w:type="dxa"/>
            <w:vAlign w:val="bottom"/>
          </w:tcPr>
          <w:p>
            <w:pPr>
              <w:ind w:left="780"/>
              <w:spacing w:after="0"/>
              <w:rPr>
                <w:sz w:val="20"/>
                <w:szCs w:val="20"/>
                <w:color w:val="auto"/>
              </w:rPr>
            </w:pPr>
            <w:r>
              <w:rPr>
                <w:rFonts w:ascii="Arial" w:cs="Arial" w:eastAsia="Arial" w:hAnsi="Arial"/>
                <w:sz w:val="13"/>
                <w:szCs w:val="13"/>
                <w:color w:val="auto"/>
              </w:rPr>
              <w:t>ICON plc</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22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4,055</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25,974</w:t>
            </w:r>
          </w:p>
        </w:tc>
        <w:tc>
          <w:tcPr>
            <w:tcW w:w="174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3"/>
                <w:szCs w:val="13"/>
                <w:color w:val="auto"/>
              </w:rPr>
              <w:t>3,000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18,445</w:t>
            </w:r>
          </w:p>
        </w:tc>
      </w:tr>
    </w:tbl>
    <w:p>
      <w:pPr>
        <w:spacing w:after="0" w:line="68" w:lineRule="exact"/>
        <w:rPr>
          <w:sz w:val="20"/>
          <w:szCs w:val="20"/>
          <w:color w:val="auto"/>
        </w:rPr>
      </w:pPr>
    </w:p>
    <w:p>
      <w:pPr>
        <w:ind w:left="200" w:hanging="195"/>
        <w:spacing w:after="0" w:line="221" w:lineRule="auto"/>
        <w:tabs>
          <w:tab w:leader="none" w:pos="181" w:val="left"/>
        </w:tabs>
        <w:numPr>
          <w:ilvl w:val="0"/>
          <w:numId w:val="55"/>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Mr. Barry Balfe was appointed Chief Operating Officer effective 1 January 2025 and then Chief Executive Officer effective 1 October 2025. The ordinary shares and share options disclosed above as at 31 December 2025 are unchanged from those outstanding on the date of Mr. Barry Balfe’s appointment to the Board of Directors on 3 September 2025.</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280"/>
          </w:cols>
          <w:pgMar w:left="300" w:top="698" w:right="31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Further details regarding the above share options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5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No. of</w:t>
            </w:r>
          </w:p>
        </w:tc>
        <w:tc>
          <w:tcPr>
            <w:tcW w:w="184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Exercise price</w:t>
            </w:r>
          </w:p>
        </w:tc>
        <w:tc>
          <w:tcPr>
            <w:tcW w:w="228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Grant date</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Expiry date</w:t>
            </w:r>
          </w:p>
        </w:tc>
        <w:tc>
          <w:tcPr>
            <w:tcW w:w="0" w:type="dxa"/>
            <w:vAlign w:val="bottom"/>
          </w:tcPr>
          <w:p>
            <w:pPr>
              <w:spacing w:after="0"/>
              <w:rPr>
                <w:sz w:val="1"/>
                <w:szCs w:val="1"/>
                <w:color w:val="auto"/>
              </w:rPr>
            </w:pPr>
          </w:p>
        </w:tc>
      </w:tr>
      <w:tr>
        <w:trPr>
          <w:trHeight w:val="170"/>
        </w:trPr>
        <w:tc>
          <w:tcPr>
            <w:tcW w:w="302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shd w:val="clear" w:color="auto" w:fill="CCEEFF"/>
          </w:tcPr>
          <w:p>
            <w:pPr>
              <w:jc w:val="right"/>
              <w:ind w:right="156"/>
              <w:spacing w:after="0" w:line="170" w:lineRule="exact"/>
              <w:rPr>
                <w:sz w:val="20"/>
                <w:szCs w:val="20"/>
                <w:color w:val="auto"/>
              </w:rPr>
            </w:pPr>
            <w:r>
              <w:rPr>
                <w:rFonts w:ascii="Arial" w:cs="Arial" w:eastAsia="Arial" w:hAnsi="Arial"/>
                <w:sz w:val="13"/>
                <w:szCs w:val="13"/>
                <w:b w:val="1"/>
                <w:bCs w:val="1"/>
                <w:color w:val="auto"/>
              </w:rPr>
              <w:t xml:space="preserve">Options </w:t>
            </w:r>
            <w:r>
              <w:rPr>
                <w:rFonts w:ascii="Arial" w:cs="Arial" w:eastAsia="Arial" w:hAnsi="Arial"/>
                <w:sz w:val="16"/>
                <w:szCs w:val="16"/>
                <w:b w:val="1"/>
                <w:bCs w:val="1"/>
                <w:color w:val="auto"/>
                <w:vertAlign w:val="superscript"/>
              </w:rPr>
              <w:t>(1)</w:t>
            </w:r>
          </w:p>
        </w:tc>
        <w:tc>
          <w:tcPr>
            <w:tcW w:w="18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20" w:type="dxa"/>
            <w:vAlign w:val="bottom"/>
          </w:tcPr>
          <w:p>
            <w:pPr>
              <w:ind w:left="20"/>
              <w:spacing w:after="0"/>
              <w:rPr>
                <w:sz w:val="20"/>
                <w:szCs w:val="20"/>
                <w:color w:val="auto"/>
              </w:rPr>
            </w:pPr>
            <w:r>
              <w:rPr>
                <w:rFonts w:ascii="Arial" w:cs="Arial" w:eastAsia="Arial" w:hAnsi="Arial"/>
                <w:sz w:val="13"/>
                <w:szCs w:val="13"/>
                <w:color w:val="auto"/>
              </w:rPr>
              <w:t>Barry Balfe</w:t>
            </w:r>
          </w:p>
        </w:tc>
        <w:tc>
          <w:tcPr>
            <w:tcW w:w="2580" w:type="dxa"/>
            <w:vAlign w:val="bottom"/>
          </w:tcPr>
          <w:p>
            <w:pPr>
              <w:jc w:val="right"/>
              <w:ind w:right="196"/>
              <w:spacing w:after="0"/>
              <w:rPr>
                <w:sz w:val="20"/>
                <w:szCs w:val="20"/>
                <w:color w:val="auto"/>
              </w:rPr>
            </w:pPr>
            <w:r>
              <w:rPr>
                <w:rFonts w:ascii="Arial" w:cs="Arial" w:eastAsia="Arial" w:hAnsi="Arial"/>
                <w:sz w:val="13"/>
                <w:szCs w:val="13"/>
                <w:color w:val="auto"/>
              </w:rPr>
              <w:t>886</w:t>
            </w:r>
          </w:p>
        </w:tc>
        <w:tc>
          <w:tcPr>
            <w:tcW w:w="1840" w:type="dxa"/>
            <w:vAlign w:val="bottom"/>
          </w:tcPr>
          <w:p>
            <w:pPr>
              <w:jc w:val="right"/>
              <w:ind w:right="716"/>
              <w:spacing w:after="0"/>
              <w:rPr>
                <w:sz w:val="20"/>
                <w:szCs w:val="20"/>
                <w:color w:val="auto"/>
              </w:rPr>
            </w:pPr>
            <w:r>
              <w:rPr>
                <w:rFonts w:ascii="Arial" w:cs="Arial" w:eastAsia="Arial" w:hAnsi="Arial"/>
                <w:sz w:val="13"/>
                <w:szCs w:val="13"/>
                <w:color w:val="auto"/>
              </w:rPr>
              <w:t>$159.33</w:t>
            </w:r>
          </w:p>
        </w:tc>
        <w:tc>
          <w:tcPr>
            <w:tcW w:w="2280" w:type="dxa"/>
            <w:vAlign w:val="bottom"/>
          </w:tcPr>
          <w:p>
            <w:pPr>
              <w:jc w:val="right"/>
              <w:ind w:right="696"/>
              <w:spacing w:after="0"/>
              <w:rPr>
                <w:sz w:val="20"/>
                <w:szCs w:val="20"/>
                <w:color w:val="auto"/>
              </w:rPr>
            </w:pPr>
            <w:r>
              <w:rPr>
                <w:rFonts w:ascii="Arial" w:cs="Arial" w:eastAsia="Arial" w:hAnsi="Arial"/>
                <w:sz w:val="13"/>
                <w:szCs w:val="13"/>
                <w:color w:val="auto"/>
              </w:rPr>
              <w:t>3 March 2020</w:t>
            </w:r>
          </w:p>
        </w:tc>
        <w:tc>
          <w:tcPr>
            <w:tcW w:w="1540" w:type="dxa"/>
            <w:vAlign w:val="bottom"/>
          </w:tcPr>
          <w:p>
            <w:pPr>
              <w:jc w:val="right"/>
              <w:spacing w:after="0"/>
              <w:rPr>
                <w:sz w:val="20"/>
                <w:szCs w:val="20"/>
                <w:color w:val="auto"/>
              </w:rPr>
            </w:pPr>
            <w:r>
              <w:rPr>
                <w:rFonts w:ascii="Arial" w:cs="Arial" w:eastAsia="Arial" w:hAnsi="Arial"/>
                <w:sz w:val="13"/>
                <w:szCs w:val="13"/>
                <w:color w:val="auto"/>
              </w:rPr>
              <w:t>3 March 2028</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14"/>
                <w:szCs w:val="14"/>
                <w:color w:val="auto"/>
              </w:rPr>
            </w:pPr>
          </w:p>
        </w:tc>
        <w:tc>
          <w:tcPr>
            <w:tcW w:w="25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2,131</w:t>
            </w:r>
          </w:p>
        </w:tc>
        <w:tc>
          <w:tcPr>
            <w:tcW w:w="184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$174.96</w:t>
            </w:r>
          </w:p>
        </w:tc>
        <w:tc>
          <w:tcPr>
            <w:tcW w:w="228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3 March 2021</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2029</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580" w:type="dxa"/>
            <w:vAlign w:val="bottom"/>
          </w:tcPr>
          <w:p>
            <w:pPr>
              <w:jc w:val="right"/>
              <w:ind w:right="196"/>
              <w:spacing w:after="0"/>
              <w:rPr>
                <w:sz w:val="20"/>
                <w:szCs w:val="20"/>
                <w:color w:val="auto"/>
              </w:rPr>
            </w:pPr>
            <w:r>
              <w:rPr>
                <w:rFonts w:ascii="Arial" w:cs="Arial" w:eastAsia="Arial" w:hAnsi="Arial"/>
                <w:sz w:val="13"/>
                <w:szCs w:val="13"/>
                <w:color w:val="auto"/>
              </w:rPr>
              <w:t>3,405</w:t>
            </w:r>
          </w:p>
        </w:tc>
        <w:tc>
          <w:tcPr>
            <w:tcW w:w="1840" w:type="dxa"/>
            <w:vAlign w:val="bottom"/>
          </w:tcPr>
          <w:p>
            <w:pPr>
              <w:jc w:val="right"/>
              <w:ind w:right="716"/>
              <w:spacing w:after="0"/>
              <w:rPr>
                <w:sz w:val="20"/>
                <w:szCs w:val="20"/>
                <w:color w:val="auto"/>
              </w:rPr>
            </w:pPr>
            <w:r>
              <w:rPr>
                <w:rFonts w:ascii="Arial" w:cs="Arial" w:eastAsia="Arial" w:hAnsi="Arial"/>
                <w:sz w:val="13"/>
                <w:szCs w:val="13"/>
                <w:color w:val="auto"/>
              </w:rPr>
              <w:t>$231.68</w:t>
            </w:r>
          </w:p>
        </w:tc>
        <w:tc>
          <w:tcPr>
            <w:tcW w:w="2280" w:type="dxa"/>
            <w:vAlign w:val="bottom"/>
          </w:tcPr>
          <w:p>
            <w:pPr>
              <w:jc w:val="right"/>
              <w:ind w:right="696"/>
              <w:spacing w:after="0"/>
              <w:rPr>
                <w:sz w:val="20"/>
                <w:szCs w:val="20"/>
                <w:color w:val="auto"/>
              </w:rPr>
            </w:pPr>
            <w:r>
              <w:rPr>
                <w:rFonts w:ascii="Arial" w:cs="Arial" w:eastAsia="Arial" w:hAnsi="Arial"/>
                <w:sz w:val="13"/>
                <w:szCs w:val="13"/>
                <w:color w:val="auto"/>
              </w:rPr>
              <w:t>3 March 2022</w:t>
            </w:r>
          </w:p>
        </w:tc>
        <w:tc>
          <w:tcPr>
            <w:tcW w:w="1540" w:type="dxa"/>
            <w:vAlign w:val="bottom"/>
          </w:tcPr>
          <w:p>
            <w:pPr>
              <w:jc w:val="right"/>
              <w:spacing w:after="0"/>
              <w:rPr>
                <w:sz w:val="20"/>
                <w:szCs w:val="20"/>
                <w:color w:val="auto"/>
              </w:rPr>
            </w:pPr>
            <w:r>
              <w:rPr>
                <w:rFonts w:ascii="Arial" w:cs="Arial" w:eastAsia="Arial" w:hAnsi="Arial"/>
                <w:sz w:val="13"/>
                <w:szCs w:val="13"/>
                <w:color w:val="auto"/>
              </w:rPr>
              <w:t>3 March 2030</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14"/>
                <w:szCs w:val="14"/>
                <w:color w:val="auto"/>
              </w:rPr>
            </w:pPr>
          </w:p>
        </w:tc>
        <w:tc>
          <w:tcPr>
            <w:tcW w:w="25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4,480</w:t>
            </w:r>
          </w:p>
        </w:tc>
        <w:tc>
          <w:tcPr>
            <w:tcW w:w="184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$233.88</w:t>
            </w:r>
          </w:p>
        </w:tc>
        <w:tc>
          <w:tcPr>
            <w:tcW w:w="228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3 March 2023</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2031</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580" w:type="dxa"/>
            <w:vAlign w:val="bottom"/>
          </w:tcPr>
          <w:p>
            <w:pPr>
              <w:jc w:val="right"/>
              <w:ind w:right="196"/>
              <w:spacing w:after="0"/>
              <w:rPr>
                <w:sz w:val="20"/>
                <w:szCs w:val="20"/>
                <w:color w:val="auto"/>
              </w:rPr>
            </w:pPr>
            <w:r>
              <w:rPr>
                <w:rFonts w:ascii="Arial" w:cs="Arial" w:eastAsia="Arial" w:hAnsi="Arial"/>
                <w:sz w:val="13"/>
                <w:szCs w:val="13"/>
                <w:color w:val="auto"/>
              </w:rPr>
              <w:t>4,914</w:t>
            </w:r>
          </w:p>
        </w:tc>
        <w:tc>
          <w:tcPr>
            <w:tcW w:w="1840" w:type="dxa"/>
            <w:vAlign w:val="bottom"/>
          </w:tcPr>
          <w:p>
            <w:pPr>
              <w:jc w:val="right"/>
              <w:ind w:right="716"/>
              <w:spacing w:after="0"/>
              <w:rPr>
                <w:sz w:val="20"/>
                <w:szCs w:val="20"/>
                <w:color w:val="auto"/>
              </w:rPr>
            </w:pPr>
            <w:r>
              <w:rPr>
                <w:rFonts w:ascii="Arial" w:cs="Arial" w:eastAsia="Arial" w:hAnsi="Arial"/>
                <w:sz w:val="13"/>
                <w:szCs w:val="13"/>
                <w:color w:val="auto"/>
              </w:rPr>
              <w:t>$325.51</w:t>
            </w:r>
          </w:p>
        </w:tc>
        <w:tc>
          <w:tcPr>
            <w:tcW w:w="2280" w:type="dxa"/>
            <w:vAlign w:val="bottom"/>
          </w:tcPr>
          <w:p>
            <w:pPr>
              <w:jc w:val="right"/>
              <w:ind w:right="696"/>
              <w:spacing w:after="0"/>
              <w:rPr>
                <w:sz w:val="20"/>
                <w:szCs w:val="20"/>
                <w:color w:val="auto"/>
              </w:rPr>
            </w:pPr>
            <w:r>
              <w:rPr>
                <w:rFonts w:ascii="Arial" w:cs="Arial" w:eastAsia="Arial" w:hAnsi="Arial"/>
                <w:sz w:val="13"/>
                <w:szCs w:val="13"/>
                <w:color w:val="auto"/>
              </w:rPr>
              <w:t>3 March 2024</w:t>
            </w:r>
          </w:p>
        </w:tc>
        <w:tc>
          <w:tcPr>
            <w:tcW w:w="1540" w:type="dxa"/>
            <w:vAlign w:val="bottom"/>
          </w:tcPr>
          <w:p>
            <w:pPr>
              <w:jc w:val="right"/>
              <w:spacing w:after="0"/>
              <w:rPr>
                <w:sz w:val="20"/>
                <w:szCs w:val="20"/>
                <w:color w:val="auto"/>
              </w:rPr>
            </w:pPr>
            <w:r>
              <w:rPr>
                <w:rFonts w:ascii="Arial" w:cs="Arial" w:eastAsia="Arial" w:hAnsi="Arial"/>
                <w:sz w:val="13"/>
                <w:szCs w:val="13"/>
                <w:color w:val="auto"/>
              </w:rPr>
              <w:t>3 March 2032</w:t>
            </w:r>
          </w:p>
        </w:tc>
        <w:tc>
          <w:tcPr>
            <w:tcW w:w="0" w:type="dxa"/>
            <w:vAlign w:val="bottom"/>
          </w:tcPr>
          <w:p>
            <w:pPr>
              <w:spacing w:after="0"/>
              <w:rPr>
                <w:sz w:val="1"/>
                <w:szCs w:val="1"/>
                <w:color w:val="auto"/>
              </w:rPr>
            </w:pPr>
          </w:p>
        </w:tc>
      </w:tr>
      <w:tr>
        <w:trPr>
          <w:trHeight w:val="170"/>
        </w:trPr>
        <w:tc>
          <w:tcPr>
            <w:tcW w:w="302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15,328</w:t>
            </w:r>
          </w:p>
        </w:tc>
        <w:tc>
          <w:tcPr>
            <w:tcW w:w="184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$185.18</w:t>
            </w:r>
          </w:p>
        </w:tc>
        <w:tc>
          <w:tcPr>
            <w:tcW w:w="22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6 March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 March 2033</w:t>
            </w:r>
          </w:p>
        </w:tc>
        <w:tc>
          <w:tcPr>
            <w:tcW w:w="0" w:type="dxa"/>
            <w:vAlign w:val="bottom"/>
          </w:tcPr>
          <w:p>
            <w:pPr>
              <w:spacing w:after="0"/>
              <w:rPr>
                <w:sz w:val="1"/>
                <w:szCs w:val="1"/>
                <w:color w:val="auto"/>
              </w:rPr>
            </w:pPr>
          </w:p>
        </w:tc>
      </w:tr>
      <w:tr>
        <w:trPr>
          <w:trHeight w:val="16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Nigel Clerkin</w:t>
            </w:r>
          </w:p>
        </w:tc>
        <w:tc>
          <w:tcPr>
            <w:tcW w:w="25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9,241</w:t>
            </w:r>
          </w:p>
        </w:tc>
        <w:tc>
          <w:tcPr>
            <w:tcW w:w="18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$185.18</w:t>
            </w:r>
          </w:p>
        </w:tc>
        <w:tc>
          <w:tcPr>
            <w:tcW w:w="228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6 March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 March 2033</w:t>
            </w:r>
          </w:p>
        </w:tc>
        <w:tc>
          <w:tcPr>
            <w:tcW w:w="0" w:type="dxa"/>
            <w:vAlign w:val="bottom"/>
          </w:tcPr>
          <w:p>
            <w:pPr>
              <w:spacing w:after="0"/>
              <w:rPr>
                <w:sz w:val="1"/>
                <w:szCs w:val="1"/>
                <w:color w:val="auto"/>
              </w:rPr>
            </w:pPr>
          </w:p>
        </w:tc>
      </w:tr>
      <w:tr>
        <w:trPr>
          <w:trHeight w:val="165"/>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25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184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3"/>
                <w:szCs w:val="13"/>
                <w:color w:val="auto"/>
              </w:rPr>
              <w:t>$125.74</w:t>
            </w:r>
          </w:p>
        </w:tc>
        <w:tc>
          <w:tcPr>
            <w:tcW w:w="22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101"/>
        </w:trPr>
        <w:tc>
          <w:tcPr>
            <w:tcW w:w="302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Dr. John Climax</w:t>
            </w:r>
          </w:p>
        </w:tc>
        <w:tc>
          <w:tcPr>
            <w:tcW w:w="258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3"/>
                <w:szCs w:val="13"/>
                <w:color w:val="auto"/>
              </w:rPr>
              <w:t>5,005</w:t>
            </w:r>
          </w:p>
        </w:tc>
        <w:tc>
          <w:tcPr>
            <w:tcW w:w="1840" w:type="dxa"/>
            <w:vAlign w:val="bottom"/>
            <w:tcBorders>
              <w:top w:val="single" w:sz="8" w:color="auto"/>
            </w:tcBorders>
            <w:vMerge w:val="restart"/>
          </w:tcPr>
          <w:p>
            <w:pPr>
              <w:jc w:val="right"/>
              <w:ind w:right="716"/>
              <w:spacing w:after="0"/>
              <w:rPr>
                <w:sz w:val="20"/>
                <w:szCs w:val="20"/>
                <w:color w:val="auto"/>
              </w:rPr>
            </w:pPr>
            <w:r>
              <w:rPr>
                <w:rFonts w:ascii="Arial" w:cs="Arial" w:eastAsia="Arial" w:hAnsi="Arial"/>
                <w:sz w:val="13"/>
                <w:szCs w:val="13"/>
                <w:color w:val="auto"/>
              </w:rPr>
              <w:t>$125.74</w:t>
            </w:r>
          </w:p>
        </w:tc>
        <w:tc>
          <w:tcPr>
            <w:tcW w:w="2280" w:type="dxa"/>
            <w:vAlign w:val="bottom"/>
            <w:tcBorders>
              <w:top w:val="single" w:sz="8" w:color="auto"/>
            </w:tcBorders>
            <w:vMerge w:val="restart"/>
          </w:tcPr>
          <w:p>
            <w:pPr>
              <w:jc w:val="right"/>
              <w:ind w:right="696"/>
              <w:spacing w:after="0"/>
              <w:rPr>
                <w:sz w:val="20"/>
                <w:szCs w:val="20"/>
                <w:color w:val="auto"/>
              </w:rPr>
            </w:pPr>
            <w:r>
              <w:rPr>
                <w:rFonts w:ascii="Arial" w:cs="Arial" w:eastAsia="Arial" w:hAnsi="Arial"/>
                <w:sz w:val="13"/>
                <w:szCs w:val="13"/>
                <w:color w:val="auto"/>
              </w:rPr>
              <w:t>18 May 2018</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60"/>
        </w:trPr>
        <w:tc>
          <w:tcPr>
            <w:tcW w:w="3020" w:type="dxa"/>
            <w:vAlign w:val="bottom"/>
            <w:tcBorders>
              <w:bottom w:val="single" w:sz="8" w:color="auto"/>
            </w:tcBorders>
            <w:vMerge w:val="continue"/>
          </w:tcPr>
          <w:p>
            <w:pPr>
              <w:spacing w:after="0"/>
              <w:rPr>
                <w:sz w:val="5"/>
                <w:szCs w:val="5"/>
                <w:color w:val="auto"/>
              </w:rPr>
            </w:pPr>
          </w:p>
        </w:tc>
        <w:tc>
          <w:tcPr>
            <w:tcW w:w="2580" w:type="dxa"/>
            <w:vAlign w:val="bottom"/>
            <w:tcBorders>
              <w:bottom w:val="single" w:sz="8" w:color="auto"/>
            </w:tcBorders>
            <w:vMerge w:val="continue"/>
          </w:tcPr>
          <w:p>
            <w:pPr>
              <w:spacing w:after="0"/>
              <w:rPr>
                <w:sz w:val="5"/>
                <w:szCs w:val="5"/>
                <w:color w:val="auto"/>
              </w:rPr>
            </w:pPr>
          </w:p>
        </w:tc>
        <w:tc>
          <w:tcPr>
            <w:tcW w:w="1840" w:type="dxa"/>
            <w:vAlign w:val="bottom"/>
            <w:tcBorders>
              <w:bottom w:val="single" w:sz="8" w:color="auto"/>
            </w:tcBorders>
            <w:vMerge w:val="continue"/>
          </w:tcPr>
          <w:p>
            <w:pPr>
              <w:spacing w:after="0"/>
              <w:rPr>
                <w:sz w:val="5"/>
                <w:szCs w:val="5"/>
                <w:color w:val="auto"/>
              </w:rPr>
            </w:pPr>
          </w:p>
        </w:tc>
        <w:tc>
          <w:tcPr>
            <w:tcW w:w="2280" w:type="dxa"/>
            <w:vAlign w:val="bottom"/>
            <w:tcBorders>
              <w:bottom w:val="single" w:sz="8" w:color="auto"/>
            </w:tcBorders>
            <w:vMerge w:val="continue"/>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25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29,613</w:t>
            </w:r>
          </w:p>
        </w:tc>
        <w:tc>
          <w:tcPr>
            <w:tcW w:w="184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$115.11</w:t>
            </w:r>
          </w:p>
        </w:tc>
        <w:tc>
          <w:tcPr>
            <w:tcW w:w="228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3 March 2018</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2026</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580" w:type="dxa"/>
            <w:vAlign w:val="bottom"/>
          </w:tcPr>
          <w:p>
            <w:pPr>
              <w:jc w:val="right"/>
              <w:ind w:right="196"/>
              <w:spacing w:after="0"/>
              <w:rPr>
                <w:sz w:val="20"/>
                <w:szCs w:val="20"/>
                <w:color w:val="auto"/>
              </w:rPr>
            </w:pPr>
            <w:r>
              <w:rPr>
                <w:rFonts w:ascii="Arial" w:cs="Arial" w:eastAsia="Arial" w:hAnsi="Arial"/>
                <w:sz w:val="13"/>
                <w:szCs w:val="13"/>
                <w:color w:val="auto"/>
              </w:rPr>
              <w:t>32,272</w:t>
            </w:r>
          </w:p>
        </w:tc>
        <w:tc>
          <w:tcPr>
            <w:tcW w:w="1840" w:type="dxa"/>
            <w:vAlign w:val="bottom"/>
          </w:tcPr>
          <w:p>
            <w:pPr>
              <w:jc w:val="right"/>
              <w:ind w:right="716"/>
              <w:spacing w:after="0"/>
              <w:rPr>
                <w:sz w:val="20"/>
                <w:szCs w:val="20"/>
                <w:color w:val="auto"/>
              </w:rPr>
            </w:pPr>
            <w:r>
              <w:rPr>
                <w:rFonts w:ascii="Arial" w:cs="Arial" w:eastAsia="Arial" w:hAnsi="Arial"/>
                <w:sz w:val="13"/>
                <w:szCs w:val="13"/>
                <w:color w:val="auto"/>
              </w:rPr>
              <w:t>$140.38</w:t>
            </w:r>
          </w:p>
        </w:tc>
        <w:tc>
          <w:tcPr>
            <w:tcW w:w="2280" w:type="dxa"/>
            <w:vAlign w:val="bottom"/>
          </w:tcPr>
          <w:p>
            <w:pPr>
              <w:jc w:val="right"/>
              <w:ind w:right="696"/>
              <w:spacing w:after="0"/>
              <w:rPr>
                <w:sz w:val="20"/>
                <w:szCs w:val="20"/>
                <w:color w:val="auto"/>
              </w:rPr>
            </w:pPr>
            <w:r>
              <w:rPr>
                <w:rFonts w:ascii="Arial" w:cs="Arial" w:eastAsia="Arial" w:hAnsi="Arial"/>
                <w:sz w:val="13"/>
                <w:szCs w:val="13"/>
                <w:color w:val="auto"/>
              </w:rPr>
              <w:t>3 March 2019</w:t>
            </w:r>
          </w:p>
        </w:tc>
        <w:tc>
          <w:tcPr>
            <w:tcW w:w="1540" w:type="dxa"/>
            <w:vAlign w:val="bottom"/>
          </w:tcPr>
          <w:p>
            <w:pPr>
              <w:jc w:val="right"/>
              <w:spacing w:after="0"/>
              <w:rPr>
                <w:sz w:val="20"/>
                <w:szCs w:val="20"/>
                <w:color w:val="auto"/>
              </w:rPr>
            </w:pPr>
            <w:r>
              <w:rPr>
                <w:rFonts w:ascii="Arial" w:cs="Arial" w:eastAsia="Arial" w:hAnsi="Arial"/>
                <w:sz w:val="13"/>
                <w:szCs w:val="13"/>
                <w:color w:val="auto"/>
              </w:rPr>
              <w:t>3 March 2027</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14"/>
                <w:szCs w:val="14"/>
                <w:color w:val="auto"/>
              </w:rPr>
            </w:pPr>
          </w:p>
        </w:tc>
        <w:tc>
          <w:tcPr>
            <w:tcW w:w="25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42,386</w:t>
            </w:r>
          </w:p>
        </w:tc>
        <w:tc>
          <w:tcPr>
            <w:tcW w:w="184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$159.33</w:t>
            </w:r>
          </w:p>
        </w:tc>
        <w:tc>
          <w:tcPr>
            <w:tcW w:w="228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3 March 2020</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2028</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580" w:type="dxa"/>
            <w:vAlign w:val="bottom"/>
          </w:tcPr>
          <w:p>
            <w:pPr>
              <w:jc w:val="right"/>
              <w:ind w:right="196"/>
              <w:spacing w:after="0"/>
              <w:rPr>
                <w:sz w:val="20"/>
                <w:szCs w:val="20"/>
                <w:color w:val="auto"/>
              </w:rPr>
            </w:pPr>
            <w:r>
              <w:rPr>
                <w:rFonts w:ascii="Arial" w:cs="Arial" w:eastAsia="Arial" w:hAnsi="Arial"/>
                <w:sz w:val="13"/>
                <w:szCs w:val="13"/>
                <w:color w:val="auto"/>
              </w:rPr>
              <w:t>37,461</w:t>
            </w:r>
          </w:p>
        </w:tc>
        <w:tc>
          <w:tcPr>
            <w:tcW w:w="1840" w:type="dxa"/>
            <w:vAlign w:val="bottom"/>
          </w:tcPr>
          <w:p>
            <w:pPr>
              <w:jc w:val="right"/>
              <w:ind w:right="716"/>
              <w:spacing w:after="0"/>
              <w:rPr>
                <w:sz w:val="20"/>
                <w:szCs w:val="20"/>
                <w:color w:val="auto"/>
              </w:rPr>
            </w:pPr>
            <w:r>
              <w:rPr>
                <w:rFonts w:ascii="Arial" w:cs="Arial" w:eastAsia="Arial" w:hAnsi="Arial"/>
                <w:sz w:val="13"/>
                <w:szCs w:val="13"/>
                <w:color w:val="auto"/>
              </w:rPr>
              <w:t>$174.96</w:t>
            </w:r>
          </w:p>
        </w:tc>
        <w:tc>
          <w:tcPr>
            <w:tcW w:w="2280" w:type="dxa"/>
            <w:vAlign w:val="bottom"/>
          </w:tcPr>
          <w:p>
            <w:pPr>
              <w:jc w:val="right"/>
              <w:ind w:right="696"/>
              <w:spacing w:after="0"/>
              <w:rPr>
                <w:sz w:val="20"/>
                <w:szCs w:val="20"/>
                <w:color w:val="auto"/>
              </w:rPr>
            </w:pPr>
            <w:r>
              <w:rPr>
                <w:rFonts w:ascii="Arial" w:cs="Arial" w:eastAsia="Arial" w:hAnsi="Arial"/>
                <w:sz w:val="13"/>
                <w:szCs w:val="13"/>
                <w:color w:val="auto"/>
              </w:rPr>
              <w:t>3 March 2021</w:t>
            </w:r>
          </w:p>
        </w:tc>
        <w:tc>
          <w:tcPr>
            <w:tcW w:w="1540" w:type="dxa"/>
            <w:vAlign w:val="bottom"/>
          </w:tcPr>
          <w:p>
            <w:pPr>
              <w:jc w:val="right"/>
              <w:spacing w:after="0"/>
              <w:rPr>
                <w:sz w:val="20"/>
                <w:szCs w:val="20"/>
                <w:color w:val="auto"/>
              </w:rPr>
            </w:pPr>
            <w:r>
              <w:rPr>
                <w:rFonts w:ascii="Arial" w:cs="Arial" w:eastAsia="Arial" w:hAnsi="Arial"/>
                <w:sz w:val="13"/>
                <w:szCs w:val="13"/>
                <w:color w:val="auto"/>
              </w:rPr>
              <w:t>3 March 2029</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14"/>
                <w:szCs w:val="14"/>
                <w:color w:val="auto"/>
              </w:rPr>
            </w:pPr>
          </w:p>
        </w:tc>
        <w:tc>
          <w:tcPr>
            <w:tcW w:w="25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35,869</w:t>
            </w:r>
          </w:p>
        </w:tc>
        <w:tc>
          <w:tcPr>
            <w:tcW w:w="184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$231.68</w:t>
            </w:r>
          </w:p>
        </w:tc>
        <w:tc>
          <w:tcPr>
            <w:tcW w:w="228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3 March 2022</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2030</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580" w:type="dxa"/>
            <w:vAlign w:val="bottom"/>
          </w:tcPr>
          <w:p>
            <w:pPr>
              <w:jc w:val="right"/>
              <w:ind w:right="196"/>
              <w:spacing w:after="0"/>
              <w:rPr>
                <w:sz w:val="20"/>
                <w:szCs w:val="20"/>
                <w:color w:val="auto"/>
              </w:rPr>
            </w:pPr>
            <w:r>
              <w:rPr>
                <w:rFonts w:ascii="Arial" w:cs="Arial" w:eastAsia="Arial" w:hAnsi="Arial"/>
                <w:sz w:val="13"/>
                <w:szCs w:val="13"/>
                <w:color w:val="auto"/>
              </w:rPr>
              <w:t>29,116</w:t>
            </w:r>
          </w:p>
        </w:tc>
        <w:tc>
          <w:tcPr>
            <w:tcW w:w="1840" w:type="dxa"/>
            <w:vAlign w:val="bottom"/>
          </w:tcPr>
          <w:p>
            <w:pPr>
              <w:jc w:val="right"/>
              <w:ind w:right="716"/>
              <w:spacing w:after="0"/>
              <w:rPr>
                <w:sz w:val="20"/>
                <w:szCs w:val="20"/>
                <w:color w:val="auto"/>
              </w:rPr>
            </w:pPr>
            <w:r>
              <w:rPr>
                <w:rFonts w:ascii="Arial" w:cs="Arial" w:eastAsia="Arial" w:hAnsi="Arial"/>
                <w:sz w:val="13"/>
                <w:szCs w:val="13"/>
                <w:color w:val="auto"/>
              </w:rPr>
              <w:t>$233.88</w:t>
            </w:r>
          </w:p>
        </w:tc>
        <w:tc>
          <w:tcPr>
            <w:tcW w:w="2280" w:type="dxa"/>
            <w:vAlign w:val="bottom"/>
          </w:tcPr>
          <w:p>
            <w:pPr>
              <w:jc w:val="right"/>
              <w:ind w:right="696"/>
              <w:spacing w:after="0"/>
              <w:rPr>
                <w:sz w:val="20"/>
                <w:szCs w:val="20"/>
                <w:color w:val="auto"/>
              </w:rPr>
            </w:pPr>
            <w:r>
              <w:rPr>
                <w:rFonts w:ascii="Arial" w:cs="Arial" w:eastAsia="Arial" w:hAnsi="Arial"/>
                <w:sz w:val="13"/>
                <w:szCs w:val="13"/>
                <w:color w:val="auto"/>
              </w:rPr>
              <w:t>3 March 2023</w:t>
            </w:r>
          </w:p>
        </w:tc>
        <w:tc>
          <w:tcPr>
            <w:tcW w:w="1540" w:type="dxa"/>
            <w:vAlign w:val="bottom"/>
          </w:tcPr>
          <w:p>
            <w:pPr>
              <w:jc w:val="right"/>
              <w:spacing w:after="0"/>
              <w:rPr>
                <w:sz w:val="20"/>
                <w:szCs w:val="20"/>
                <w:color w:val="auto"/>
              </w:rPr>
            </w:pPr>
            <w:r>
              <w:rPr>
                <w:rFonts w:ascii="Arial" w:cs="Arial" w:eastAsia="Arial" w:hAnsi="Arial"/>
                <w:sz w:val="13"/>
                <w:szCs w:val="13"/>
                <w:color w:val="auto"/>
              </w:rPr>
              <w:t>3 March 2031</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14"/>
                <w:szCs w:val="14"/>
                <w:color w:val="auto"/>
              </w:rPr>
            </w:pPr>
          </w:p>
        </w:tc>
        <w:tc>
          <w:tcPr>
            <w:tcW w:w="25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30,321</w:t>
            </w:r>
          </w:p>
        </w:tc>
        <w:tc>
          <w:tcPr>
            <w:tcW w:w="184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$325.51</w:t>
            </w:r>
          </w:p>
        </w:tc>
        <w:tc>
          <w:tcPr>
            <w:tcW w:w="228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3 March 2024</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2032</w:t>
            </w:r>
          </w:p>
        </w:tc>
        <w:tc>
          <w:tcPr>
            <w:tcW w:w="0" w:type="dxa"/>
            <w:vAlign w:val="bottom"/>
          </w:tcPr>
          <w:p>
            <w:pPr>
              <w:spacing w:after="0"/>
              <w:rPr>
                <w:sz w:val="1"/>
                <w:szCs w:val="1"/>
                <w:color w:val="auto"/>
              </w:rPr>
            </w:pPr>
          </w:p>
        </w:tc>
      </w:tr>
      <w:tr>
        <w:trPr>
          <w:trHeight w:val="169"/>
        </w:trPr>
        <w:tc>
          <w:tcPr>
            <w:tcW w:w="30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56,775</w:t>
            </w:r>
          </w:p>
        </w:tc>
        <w:tc>
          <w:tcPr>
            <w:tcW w:w="18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$185.18</w:t>
            </w:r>
          </w:p>
        </w:tc>
        <w:tc>
          <w:tcPr>
            <w:tcW w:w="228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6 March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 March 2033</w:t>
            </w:r>
          </w:p>
        </w:tc>
        <w:tc>
          <w:tcPr>
            <w:tcW w:w="0" w:type="dxa"/>
            <w:vAlign w:val="bottom"/>
          </w:tcPr>
          <w:p>
            <w:pPr>
              <w:spacing w:after="0"/>
              <w:rPr>
                <w:sz w:val="1"/>
                <w:szCs w:val="1"/>
                <w:color w:val="auto"/>
              </w:rPr>
            </w:pPr>
          </w:p>
        </w:tc>
      </w:tr>
      <w:tr>
        <w:trPr>
          <w:trHeight w:val="165"/>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25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3"/>
                <w:szCs w:val="13"/>
                <w:color w:val="auto"/>
              </w:rPr>
              <w:t>3,255</w:t>
            </w:r>
          </w:p>
        </w:tc>
        <w:tc>
          <w:tcPr>
            <w:tcW w:w="184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3"/>
                <w:szCs w:val="13"/>
                <w:color w:val="auto"/>
              </w:rPr>
              <w:t>$125.74</w:t>
            </w:r>
          </w:p>
        </w:tc>
        <w:tc>
          <w:tcPr>
            <w:tcW w:w="22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160"/>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Diarmaid Cunningham</w:t>
            </w:r>
          </w:p>
        </w:tc>
        <w:tc>
          <w:tcPr>
            <w:tcW w:w="258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color w:val="auto"/>
              </w:rPr>
              <w:t>1,149</w:t>
            </w:r>
          </w:p>
        </w:tc>
        <w:tc>
          <w:tcPr>
            <w:tcW w:w="1840" w:type="dxa"/>
            <w:vAlign w:val="bottom"/>
            <w:tcBorders>
              <w:top w:val="single" w:sz="8" w:color="auto"/>
            </w:tcBorders>
          </w:tcPr>
          <w:p>
            <w:pPr>
              <w:jc w:val="right"/>
              <w:ind w:right="716"/>
              <w:spacing w:after="0"/>
              <w:rPr>
                <w:sz w:val="20"/>
                <w:szCs w:val="20"/>
                <w:color w:val="auto"/>
              </w:rPr>
            </w:pPr>
            <w:r>
              <w:rPr>
                <w:rFonts w:ascii="Arial" w:cs="Arial" w:eastAsia="Arial" w:hAnsi="Arial"/>
                <w:sz w:val="13"/>
                <w:szCs w:val="13"/>
                <w:color w:val="auto"/>
              </w:rPr>
              <w:t>$159.33</w:t>
            </w:r>
          </w:p>
        </w:tc>
        <w:tc>
          <w:tcPr>
            <w:tcW w:w="2280" w:type="dxa"/>
            <w:vAlign w:val="bottom"/>
            <w:tcBorders>
              <w:top w:val="single" w:sz="8" w:color="auto"/>
            </w:tcBorders>
          </w:tcPr>
          <w:p>
            <w:pPr>
              <w:jc w:val="right"/>
              <w:ind w:right="696"/>
              <w:spacing w:after="0"/>
              <w:rPr>
                <w:sz w:val="20"/>
                <w:szCs w:val="20"/>
                <w:color w:val="auto"/>
              </w:rPr>
            </w:pPr>
            <w:r>
              <w:rPr>
                <w:rFonts w:ascii="Arial" w:cs="Arial" w:eastAsia="Arial" w:hAnsi="Arial"/>
                <w:sz w:val="13"/>
                <w:szCs w:val="13"/>
                <w:color w:val="auto"/>
              </w:rPr>
              <w:t>3 March 2020</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 March 2028</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14"/>
                <w:szCs w:val="14"/>
                <w:color w:val="auto"/>
              </w:rPr>
            </w:pPr>
          </w:p>
        </w:tc>
        <w:tc>
          <w:tcPr>
            <w:tcW w:w="25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2,213</w:t>
            </w:r>
          </w:p>
        </w:tc>
        <w:tc>
          <w:tcPr>
            <w:tcW w:w="184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$174.96</w:t>
            </w:r>
          </w:p>
        </w:tc>
        <w:tc>
          <w:tcPr>
            <w:tcW w:w="228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3 March 2021</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2029</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580" w:type="dxa"/>
            <w:vAlign w:val="bottom"/>
          </w:tcPr>
          <w:p>
            <w:pPr>
              <w:jc w:val="right"/>
              <w:ind w:right="196"/>
              <w:spacing w:after="0"/>
              <w:rPr>
                <w:sz w:val="20"/>
                <w:szCs w:val="20"/>
                <w:color w:val="auto"/>
              </w:rPr>
            </w:pPr>
            <w:r>
              <w:rPr>
                <w:rFonts w:ascii="Arial" w:cs="Arial" w:eastAsia="Arial" w:hAnsi="Arial"/>
                <w:sz w:val="13"/>
                <w:szCs w:val="13"/>
                <w:color w:val="auto"/>
              </w:rPr>
              <w:t>6,194</w:t>
            </w:r>
          </w:p>
        </w:tc>
        <w:tc>
          <w:tcPr>
            <w:tcW w:w="1840" w:type="dxa"/>
            <w:vAlign w:val="bottom"/>
          </w:tcPr>
          <w:p>
            <w:pPr>
              <w:jc w:val="right"/>
              <w:ind w:right="716"/>
              <w:spacing w:after="0"/>
              <w:rPr>
                <w:sz w:val="20"/>
                <w:szCs w:val="20"/>
                <w:color w:val="auto"/>
              </w:rPr>
            </w:pPr>
            <w:r>
              <w:rPr>
                <w:rFonts w:ascii="Arial" w:cs="Arial" w:eastAsia="Arial" w:hAnsi="Arial"/>
                <w:sz w:val="13"/>
                <w:szCs w:val="13"/>
                <w:color w:val="auto"/>
              </w:rPr>
              <w:t>$231.68</w:t>
            </w:r>
          </w:p>
        </w:tc>
        <w:tc>
          <w:tcPr>
            <w:tcW w:w="2280" w:type="dxa"/>
            <w:vAlign w:val="bottom"/>
          </w:tcPr>
          <w:p>
            <w:pPr>
              <w:jc w:val="right"/>
              <w:ind w:right="696"/>
              <w:spacing w:after="0"/>
              <w:rPr>
                <w:sz w:val="20"/>
                <w:szCs w:val="20"/>
                <w:color w:val="auto"/>
              </w:rPr>
            </w:pPr>
            <w:r>
              <w:rPr>
                <w:rFonts w:ascii="Arial" w:cs="Arial" w:eastAsia="Arial" w:hAnsi="Arial"/>
                <w:sz w:val="13"/>
                <w:szCs w:val="13"/>
                <w:color w:val="auto"/>
              </w:rPr>
              <w:t>3 March 2022</w:t>
            </w:r>
          </w:p>
        </w:tc>
        <w:tc>
          <w:tcPr>
            <w:tcW w:w="1540" w:type="dxa"/>
            <w:vAlign w:val="bottom"/>
          </w:tcPr>
          <w:p>
            <w:pPr>
              <w:jc w:val="right"/>
              <w:spacing w:after="0"/>
              <w:rPr>
                <w:sz w:val="20"/>
                <w:szCs w:val="20"/>
                <w:color w:val="auto"/>
              </w:rPr>
            </w:pPr>
            <w:r>
              <w:rPr>
                <w:rFonts w:ascii="Arial" w:cs="Arial" w:eastAsia="Arial" w:hAnsi="Arial"/>
                <w:sz w:val="13"/>
                <w:szCs w:val="13"/>
                <w:color w:val="auto"/>
              </w:rPr>
              <w:t>3 March 2030</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14"/>
                <w:szCs w:val="14"/>
                <w:color w:val="auto"/>
              </w:rPr>
            </w:pPr>
          </w:p>
        </w:tc>
        <w:tc>
          <w:tcPr>
            <w:tcW w:w="25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4,865</w:t>
            </w:r>
          </w:p>
        </w:tc>
        <w:tc>
          <w:tcPr>
            <w:tcW w:w="184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$233.88</w:t>
            </w:r>
          </w:p>
        </w:tc>
        <w:tc>
          <w:tcPr>
            <w:tcW w:w="228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3 March 2023</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2031</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580" w:type="dxa"/>
            <w:vAlign w:val="bottom"/>
          </w:tcPr>
          <w:p>
            <w:pPr>
              <w:jc w:val="right"/>
              <w:ind w:right="196"/>
              <w:spacing w:after="0"/>
              <w:rPr>
                <w:sz w:val="20"/>
                <w:szCs w:val="20"/>
                <w:color w:val="auto"/>
              </w:rPr>
            </w:pPr>
            <w:r>
              <w:rPr>
                <w:rFonts w:ascii="Arial" w:cs="Arial" w:eastAsia="Arial" w:hAnsi="Arial"/>
                <w:sz w:val="13"/>
                <w:szCs w:val="13"/>
                <w:color w:val="auto"/>
              </w:rPr>
              <w:t>4,024</w:t>
            </w:r>
          </w:p>
        </w:tc>
        <w:tc>
          <w:tcPr>
            <w:tcW w:w="1840" w:type="dxa"/>
            <w:vAlign w:val="bottom"/>
          </w:tcPr>
          <w:p>
            <w:pPr>
              <w:jc w:val="right"/>
              <w:ind w:right="716"/>
              <w:spacing w:after="0"/>
              <w:rPr>
                <w:sz w:val="20"/>
                <w:szCs w:val="20"/>
                <w:color w:val="auto"/>
              </w:rPr>
            </w:pPr>
            <w:r>
              <w:rPr>
                <w:rFonts w:ascii="Arial" w:cs="Arial" w:eastAsia="Arial" w:hAnsi="Arial"/>
                <w:sz w:val="13"/>
                <w:szCs w:val="13"/>
                <w:color w:val="auto"/>
              </w:rPr>
              <w:t>$325.51</w:t>
            </w:r>
          </w:p>
        </w:tc>
        <w:tc>
          <w:tcPr>
            <w:tcW w:w="2280" w:type="dxa"/>
            <w:vAlign w:val="bottom"/>
          </w:tcPr>
          <w:p>
            <w:pPr>
              <w:jc w:val="right"/>
              <w:ind w:right="696"/>
              <w:spacing w:after="0"/>
              <w:rPr>
                <w:sz w:val="20"/>
                <w:szCs w:val="20"/>
                <w:color w:val="auto"/>
              </w:rPr>
            </w:pPr>
            <w:r>
              <w:rPr>
                <w:rFonts w:ascii="Arial" w:cs="Arial" w:eastAsia="Arial" w:hAnsi="Arial"/>
                <w:sz w:val="13"/>
                <w:szCs w:val="13"/>
                <w:color w:val="auto"/>
              </w:rPr>
              <w:t>3 March 2024</w:t>
            </w:r>
          </w:p>
        </w:tc>
        <w:tc>
          <w:tcPr>
            <w:tcW w:w="1540" w:type="dxa"/>
            <w:vAlign w:val="bottom"/>
          </w:tcPr>
          <w:p>
            <w:pPr>
              <w:jc w:val="right"/>
              <w:spacing w:after="0"/>
              <w:rPr>
                <w:sz w:val="20"/>
                <w:szCs w:val="20"/>
                <w:color w:val="auto"/>
              </w:rPr>
            </w:pPr>
            <w:r>
              <w:rPr>
                <w:rFonts w:ascii="Arial" w:cs="Arial" w:eastAsia="Arial" w:hAnsi="Arial"/>
                <w:sz w:val="13"/>
                <w:szCs w:val="13"/>
                <w:color w:val="auto"/>
              </w:rPr>
              <w:t>3 March 2032</w:t>
            </w:r>
          </w:p>
        </w:tc>
        <w:tc>
          <w:tcPr>
            <w:tcW w:w="0" w:type="dxa"/>
            <w:vAlign w:val="bottom"/>
          </w:tcPr>
          <w:p>
            <w:pPr>
              <w:spacing w:after="0"/>
              <w:rPr>
                <w:sz w:val="1"/>
                <w:szCs w:val="1"/>
                <w:color w:val="auto"/>
              </w:rPr>
            </w:pPr>
          </w:p>
        </w:tc>
      </w:tr>
      <w:tr>
        <w:trPr>
          <w:trHeight w:val="170"/>
        </w:trPr>
        <w:tc>
          <w:tcPr>
            <w:tcW w:w="302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7,529</w:t>
            </w:r>
          </w:p>
        </w:tc>
        <w:tc>
          <w:tcPr>
            <w:tcW w:w="184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$185.18</w:t>
            </w:r>
          </w:p>
        </w:tc>
        <w:tc>
          <w:tcPr>
            <w:tcW w:w="22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6 March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 March 2033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0" w:hanging="175"/>
        <w:spacing w:after="0"/>
        <w:tabs>
          <w:tab w:leader="none" w:pos="180" w:val="left"/>
        </w:tabs>
        <w:numPr>
          <w:ilvl w:val="0"/>
          <w:numId w:val="56"/>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The title of securities covered by all of the above options are non-qualified.</w:t>
      </w:r>
    </w:p>
    <w:p>
      <w:pPr>
        <w:spacing w:after="0" w:line="169" w:lineRule="exact"/>
        <w:rPr>
          <w:rFonts w:ascii="Arial" w:cs="Arial" w:eastAsia="Arial" w:hAnsi="Arial"/>
          <w:sz w:val="15"/>
          <w:szCs w:val="15"/>
          <w:i w:val="1"/>
          <w:iCs w:val="1"/>
          <w:color w:val="auto"/>
          <w:vertAlign w:val="superscript"/>
        </w:rPr>
      </w:pPr>
    </w:p>
    <w:p>
      <w:pPr>
        <w:ind w:left="200" w:hanging="195"/>
        <w:spacing w:after="0" w:line="303" w:lineRule="auto"/>
        <w:tabs>
          <w:tab w:leader="none" w:pos="181" w:val="left"/>
        </w:tabs>
        <w:numPr>
          <w:ilvl w:val="0"/>
          <w:numId w:val="56"/>
        </w:numPr>
        <w:rPr>
          <w:rFonts w:ascii="Arial" w:cs="Arial" w:eastAsia="Arial" w:hAnsi="Arial"/>
          <w:sz w:val="7"/>
          <w:szCs w:val="7"/>
          <w:i w:val="1"/>
          <w:iCs w:val="1"/>
          <w:color w:val="auto"/>
        </w:rPr>
      </w:pPr>
      <w:r>
        <w:rPr>
          <w:rFonts w:ascii="Arial" w:cs="Arial" w:eastAsia="Arial" w:hAnsi="Arial"/>
          <w:sz w:val="11"/>
          <w:szCs w:val="11"/>
          <w:i w:val="1"/>
          <w:iCs w:val="1"/>
          <w:color w:val="auto"/>
        </w:rPr>
        <w:t>These share options were scheduled to expire on May 18, 2026. Pursuant to an amendment to the Consultants Share Option Plan 2008, the exercise period for these options was extended to permit exercise for up to 30 open trading window days in accordance with the terms of the amended plan.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280"/>
          </w:cols>
          <w:pgMar w:left="300" w:top="698" w:right="31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The Directors, Executive Officer and Company Secretary held the following Restricted Share Units (“RSUs”) and Performance Share Units (“PSUs”) awards as at 31 December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54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RSUs</w:t>
            </w:r>
          </w:p>
        </w:tc>
        <w:tc>
          <w:tcPr>
            <w:tcW w:w="174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Award date</w:t>
            </w:r>
          </w:p>
        </w:tc>
        <w:tc>
          <w:tcPr>
            <w:tcW w:w="168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Arial" w:cs="Arial" w:eastAsia="Arial" w:hAnsi="Arial"/>
                <w:sz w:val="13"/>
                <w:szCs w:val="13"/>
                <w:b w:val="1"/>
                <w:bCs w:val="1"/>
                <w:color w:val="auto"/>
              </w:rPr>
              <w:t>Vesting Date</w:t>
            </w:r>
          </w:p>
        </w:tc>
        <w:tc>
          <w:tcPr>
            <w:tcW w:w="1240" w:type="dxa"/>
            <w:vAlign w:val="bottom"/>
            <w:tcBorders>
              <w:top w:val="single" w:sz="8" w:color="auto"/>
              <w:bottom w:val="single" w:sz="8" w:color="auto"/>
            </w:tcBorders>
            <w:shd w:val="clear" w:color="auto" w:fill="CCEEFF"/>
          </w:tcPr>
          <w:p>
            <w:pPr>
              <w:jc w:val="center"/>
              <w:ind w:right="96"/>
              <w:spacing w:after="0"/>
              <w:rPr>
                <w:sz w:val="20"/>
                <w:szCs w:val="20"/>
                <w:color w:val="auto"/>
              </w:rPr>
            </w:pPr>
            <w:r>
              <w:rPr>
                <w:rFonts w:ascii="Arial" w:cs="Arial" w:eastAsia="Arial" w:hAnsi="Arial"/>
                <w:sz w:val="13"/>
                <w:szCs w:val="13"/>
                <w:b w:val="1"/>
                <w:bCs w:val="1"/>
                <w:color w:val="auto"/>
                <w:w w:val="93"/>
              </w:rPr>
              <w:t>PSUs</w:t>
            </w:r>
            <w:r>
              <w:rPr>
                <w:rFonts w:ascii="Arial" w:cs="Arial" w:eastAsia="Arial" w:hAnsi="Arial"/>
                <w:sz w:val="16"/>
                <w:szCs w:val="16"/>
                <w:b w:val="1"/>
                <w:bCs w:val="1"/>
                <w:color w:val="auto"/>
                <w:w w:val="93"/>
                <w:vertAlign w:val="superscript"/>
              </w:rPr>
              <w:t>(1)</w:t>
            </w:r>
          </w:p>
        </w:tc>
        <w:tc>
          <w:tcPr>
            <w:tcW w:w="174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Award Date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Vesting date</w:t>
            </w:r>
          </w:p>
        </w:tc>
        <w:tc>
          <w:tcPr>
            <w:tcW w:w="0" w:type="dxa"/>
            <w:vAlign w:val="bottom"/>
          </w:tcPr>
          <w:p>
            <w:pPr>
              <w:spacing w:after="0"/>
              <w:rPr>
                <w:sz w:val="1"/>
                <w:szCs w:val="1"/>
                <w:color w:val="auto"/>
              </w:rPr>
            </w:pPr>
          </w:p>
        </w:tc>
      </w:tr>
      <w:tr>
        <w:trPr>
          <w:trHeight w:val="100"/>
        </w:trPr>
        <w:tc>
          <w:tcPr>
            <w:tcW w:w="2040" w:type="dxa"/>
            <w:vAlign w:val="bottom"/>
            <w:vMerge w:val="restart"/>
          </w:tcPr>
          <w:p>
            <w:pPr>
              <w:ind w:left="20"/>
              <w:spacing w:after="0"/>
              <w:rPr>
                <w:sz w:val="20"/>
                <w:szCs w:val="20"/>
                <w:color w:val="auto"/>
              </w:rPr>
            </w:pPr>
            <w:r>
              <w:rPr>
                <w:rFonts w:ascii="Arial" w:cs="Arial" w:eastAsia="Arial" w:hAnsi="Arial"/>
                <w:sz w:val="13"/>
                <w:szCs w:val="13"/>
                <w:color w:val="auto"/>
              </w:rPr>
              <w:t>Ciaran Murray</w:t>
            </w:r>
          </w:p>
        </w:tc>
        <w:tc>
          <w:tcPr>
            <w:tcW w:w="1540" w:type="dxa"/>
            <w:vAlign w:val="bottom"/>
            <w:vMerge w:val="restart"/>
          </w:tcPr>
          <w:p>
            <w:pPr>
              <w:jc w:val="right"/>
              <w:ind w:right="376"/>
              <w:spacing w:after="0"/>
              <w:rPr>
                <w:sz w:val="20"/>
                <w:szCs w:val="20"/>
                <w:color w:val="auto"/>
              </w:rPr>
            </w:pPr>
            <w:r>
              <w:rPr>
                <w:rFonts w:ascii="Arial" w:cs="Arial" w:eastAsia="Arial" w:hAnsi="Arial"/>
                <w:sz w:val="13"/>
                <w:szCs w:val="13"/>
                <w:color w:val="auto"/>
              </w:rPr>
              <w:t>2,677</w:t>
            </w:r>
          </w:p>
        </w:tc>
        <w:tc>
          <w:tcPr>
            <w:tcW w:w="1740" w:type="dxa"/>
            <w:vAlign w:val="bottom"/>
            <w:vMerge w:val="restart"/>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vMerge w:val="continue"/>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740" w:type="dxa"/>
            <w:vAlign w:val="bottom"/>
            <w:tcBorders>
              <w:bottom w:val="single" w:sz="8" w:color="auto"/>
            </w:tcBorders>
            <w:vMerge w:val="continue"/>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Barry Balfe</w:t>
            </w:r>
          </w:p>
        </w:tc>
        <w:tc>
          <w:tcPr>
            <w:tcW w:w="1540" w:type="dxa"/>
            <w:vAlign w:val="bottom"/>
            <w:vMerge w:val="restart"/>
            <w:shd w:val="clear" w:color="auto" w:fill="CCEEFF"/>
          </w:tcPr>
          <w:p>
            <w:pPr>
              <w:jc w:val="right"/>
              <w:ind w:right="376"/>
              <w:spacing w:after="0"/>
              <w:rPr>
                <w:sz w:val="20"/>
                <w:szCs w:val="20"/>
                <w:color w:val="auto"/>
              </w:rPr>
            </w:pPr>
            <w:r>
              <w:rPr>
                <w:rFonts w:ascii="Arial" w:cs="Arial" w:eastAsia="Arial" w:hAnsi="Arial"/>
                <w:sz w:val="13"/>
                <w:szCs w:val="13"/>
                <w:color w:val="auto"/>
              </w:rPr>
              <w:t>587</w:t>
            </w:r>
          </w:p>
        </w:tc>
        <w:tc>
          <w:tcPr>
            <w:tcW w:w="1740" w:type="dxa"/>
            <w:vAlign w:val="bottom"/>
            <w:vMerge w:val="restart"/>
            <w:shd w:val="clear" w:color="auto" w:fill="CCEEFF"/>
          </w:tcPr>
          <w:p>
            <w:pPr>
              <w:jc w:val="right"/>
              <w:ind w:right="316"/>
              <w:spacing w:after="0"/>
              <w:rPr>
                <w:sz w:val="20"/>
                <w:szCs w:val="20"/>
                <w:color w:val="auto"/>
              </w:rPr>
            </w:pPr>
            <w:r>
              <w:rPr>
                <w:rFonts w:ascii="Arial" w:cs="Arial" w:eastAsia="Arial" w:hAnsi="Arial"/>
                <w:sz w:val="13"/>
                <w:szCs w:val="13"/>
                <w:color w:val="auto"/>
              </w:rPr>
              <w:t>3 March 2023</w:t>
            </w:r>
          </w:p>
        </w:tc>
        <w:tc>
          <w:tcPr>
            <w:tcW w:w="1680" w:type="dxa"/>
            <w:vAlign w:val="bottom"/>
            <w:vMerge w:val="restart"/>
            <w:shd w:val="clear" w:color="auto" w:fill="CCEEFF"/>
          </w:tcPr>
          <w:p>
            <w:pPr>
              <w:jc w:val="right"/>
              <w:ind w:right="282"/>
              <w:spacing w:after="0"/>
              <w:rPr>
                <w:sz w:val="20"/>
                <w:szCs w:val="20"/>
                <w:color w:val="auto"/>
              </w:rPr>
            </w:pPr>
            <w:r>
              <w:rPr>
                <w:rFonts w:ascii="Arial" w:cs="Arial" w:eastAsia="Arial" w:hAnsi="Arial"/>
                <w:sz w:val="13"/>
                <w:szCs w:val="13"/>
                <w:color w:val="auto"/>
              </w:rPr>
              <w:t>3 March 2026</w:t>
            </w:r>
          </w:p>
        </w:tc>
        <w:tc>
          <w:tcPr>
            <w:tcW w:w="1240" w:type="dxa"/>
            <w:vAlign w:val="bottom"/>
            <w:vMerge w:val="restart"/>
            <w:shd w:val="clear" w:color="auto" w:fill="CCEEFF"/>
          </w:tcPr>
          <w:p>
            <w:pPr>
              <w:jc w:val="center"/>
              <w:ind w:right="56"/>
              <w:spacing w:after="0"/>
              <w:rPr>
                <w:sz w:val="20"/>
                <w:szCs w:val="20"/>
                <w:color w:val="auto"/>
              </w:rPr>
            </w:pPr>
            <w:r>
              <w:rPr>
                <w:rFonts w:ascii="Arial" w:cs="Arial" w:eastAsia="Arial" w:hAnsi="Arial"/>
                <w:sz w:val="13"/>
                <w:szCs w:val="13"/>
                <w:color w:val="auto"/>
                <w:w w:val="98"/>
              </w:rPr>
              <w:t>2,053</w:t>
            </w:r>
          </w:p>
        </w:tc>
        <w:tc>
          <w:tcPr>
            <w:tcW w:w="1740" w:type="dxa"/>
            <w:vAlign w:val="bottom"/>
            <w:vMerge w:val="restart"/>
            <w:shd w:val="clear" w:color="auto" w:fill="CCEEFF"/>
          </w:tcPr>
          <w:p>
            <w:pPr>
              <w:jc w:val="right"/>
              <w:ind w:right="4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61"/>
        </w:trPr>
        <w:tc>
          <w:tcPr>
            <w:tcW w:w="20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499</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3 March 2026</w:t>
            </w:r>
          </w:p>
        </w:tc>
        <w:tc>
          <w:tcPr>
            <w:tcW w:w="1240" w:type="dxa"/>
            <w:vAlign w:val="bottom"/>
          </w:tcPr>
          <w:p>
            <w:pPr>
              <w:jc w:val="center"/>
              <w:ind w:right="56"/>
              <w:spacing w:after="0"/>
              <w:rPr>
                <w:sz w:val="20"/>
                <w:szCs w:val="20"/>
                <w:color w:val="auto"/>
              </w:rPr>
            </w:pPr>
            <w:r>
              <w:rPr>
                <w:rFonts w:ascii="Arial" w:cs="Arial" w:eastAsia="Arial" w:hAnsi="Arial"/>
                <w:sz w:val="13"/>
                <w:szCs w:val="13"/>
                <w:color w:val="auto"/>
                <w:w w:val="98"/>
              </w:rPr>
              <w:t>1,747</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2024</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2027</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1,523</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 March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6 March 2026</w:t>
            </w:r>
          </w:p>
        </w:tc>
        <w:tc>
          <w:tcPr>
            <w:tcW w:w="1240" w:type="dxa"/>
            <w:vAlign w:val="bottom"/>
            <w:shd w:val="clear" w:color="auto" w:fill="CCEEFF"/>
          </w:tcPr>
          <w:p>
            <w:pPr>
              <w:jc w:val="center"/>
              <w:ind w:right="56"/>
              <w:spacing w:after="0"/>
              <w:rPr>
                <w:sz w:val="20"/>
                <w:szCs w:val="20"/>
                <w:color w:val="auto"/>
              </w:rPr>
            </w:pPr>
            <w:r>
              <w:rPr>
                <w:rFonts w:ascii="Arial" w:cs="Arial" w:eastAsia="Arial" w:hAnsi="Arial"/>
                <w:sz w:val="13"/>
                <w:szCs w:val="13"/>
                <w:color w:val="auto"/>
                <w:w w:val="98"/>
              </w:rPr>
              <w:t>5,332</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6 March 2025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 March 2028</w:t>
            </w: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3,849</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6 March 2026</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728</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7 August 2023</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7 August 2026</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9,662</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31 October 2025</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31 October 2026</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500</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3 March 2027</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1,664</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3 March 2027</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1,523</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 March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6 March 2027</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3,849</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6 March 2027</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9,662</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31 October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31 October 2027</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1,524</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6 March 2025</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6 March 2028</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3,850</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6 March 2028</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9,662</w:t>
            </w:r>
          </w:p>
        </w:tc>
        <w:tc>
          <w:tcPr>
            <w:tcW w:w="17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31 October 2025</w:t>
            </w:r>
          </w:p>
        </w:tc>
        <w:tc>
          <w:tcPr>
            <w:tcW w:w="168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color w:val="auto"/>
              </w:rPr>
              <w:t>31 October 2028</w:t>
            </w:r>
          </w:p>
        </w:tc>
        <w:tc>
          <w:tcPr>
            <w:tcW w:w="1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0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Nigel Clerkin</w:t>
            </w:r>
          </w:p>
        </w:tc>
        <w:tc>
          <w:tcPr>
            <w:tcW w:w="1540" w:type="dxa"/>
            <w:vAlign w:val="bottom"/>
            <w:vMerge w:val="restart"/>
            <w:shd w:val="clear" w:color="auto" w:fill="CCEEFF"/>
          </w:tcPr>
          <w:p>
            <w:pPr>
              <w:jc w:val="right"/>
              <w:ind w:right="376"/>
              <w:spacing w:after="0"/>
              <w:rPr>
                <w:sz w:val="20"/>
                <w:szCs w:val="20"/>
                <w:color w:val="auto"/>
              </w:rPr>
            </w:pPr>
            <w:r>
              <w:rPr>
                <w:rFonts w:ascii="Arial" w:cs="Arial" w:eastAsia="Arial" w:hAnsi="Arial"/>
                <w:sz w:val="13"/>
                <w:szCs w:val="13"/>
                <w:color w:val="auto"/>
              </w:rPr>
              <w:t>918</w:t>
            </w:r>
          </w:p>
        </w:tc>
        <w:tc>
          <w:tcPr>
            <w:tcW w:w="1740" w:type="dxa"/>
            <w:vAlign w:val="bottom"/>
            <w:vMerge w:val="restart"/>
            <w:shd w:val="clear" w:color="auto" w:fill="CCEEFF"/>
          </w:tcPr>
          <w:p>
            <w:pPr>
              <w:jc w:val="right"/>
              <w:ind w:right="316"/>
              <w:spacing w:after="0"/>
              <w:rPr>
                <w:sz w:val="20"/>
                <w:szCs w:val="20"/>
                <w:color w:val="auto"/>
              </w:rPr>
            </w:pPr>
            <w:r>
              <w:rPr>
                <w:rFonts w:ascii="Arial" w:cs="Arial" w:eastAsia="Arial" w:hAnsi="Arial"/>
                <w:sz w:val="13"/>
                <w:szCs w:val="13"/>
                <w:color w:val="auto"/>
              </w:rPr>
              <w:t>6 March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vMerge w:val="restart"/>
            <w:shd w:val="clear" w:color="auto" w:fill="CCEEFF"/>
          </w:tcPr>
          <w:p>
            <w:pPr>
              <w:jc w:val="center"/>
              <w:ind w:right="56"/>
              <w:spacing w:after="0"/>
              <w:rPr>
                <w:sz w:val="20"/>
                <w:szCs w:val="20"/>
                <w:color w:val="auto"/>
              </w:rPr>
            </w:pPr>
            <w:r>
              <w:rPr>
                <w:rFonts w:ascii="Arial" w:cs="Arial" w:eastAsia="Arial" w:hAnsi="Arial"/>
                <w:sz w:val="13"/>
                <w:szCs w:val="13"/>
                <w:color w:val="auto"/>
                <w:w w:val="98"/>
              </w:rPr>
              <w:t>3,214</w:t>
            </w:r>
          </w:p>
        </w:tc>
        <w:tc>
          <w:tcPr>
            <w:tcW w:w="1740" w:type="dxa"/>
            <w:vAlign w:val="bottom"/>
            <w:vMerge w:val="restart"/>
            <w:shd w:val="clear" w:color="auto" w:fill="CCEEFF"/>
          </w:tcPr>
          <w:p>
            <w:pPr>
              <w:jc w:val="right"/>
              <w:ind w:right="436"/>
              <w:spacing w:after="0"/>
              <w:rPr>
                <w:sz w:val="20"/>
                <w:szCs w:val="20"/>
                <w:color w:val="auto"/>
              </w:rPr>
            </w:pPr>
            <w:r>
              <w:rPr>
                <w:rFonts w:ascii="Arial" w:cs="Arial" w:eastAsia="Arial" w:hAnsi="Arial"/>
                <w:sz w:val="13"/>
                <w:szCs w:val="13"/>
                <w:color w:val="auto"/>
              </w:rPr>
              <w:t>6 March 2025</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 March 2028</w:t>
            </w:r>
          </w:p>
        </w:tc>
        <w:tc>
          <w:tcPr>
            <w:tcW w:w="0" w:type="dxa"/>
            <w:vAlign w:val="bottom"/>
          </w:tcPr>
          <w:p>
            <w:pPr>
              <w:spacing w:after="0"/>
              <w:rPr>
                <w:sz w:val="1"/>
                <w:szCs w:val="1"/>
                <w:color w:val="auto"/>
              </w:rPr>
            </w:pPr>
          </w:p>
        </w:tc>
      </w:tr>
      <w:tr>
        <w:trPr>
          <w:trHeight w:val="61"/>
        </w:trPr>
        <w:tc>
          <w:tcPr>
            <w:tcW w:w="20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40" w:type="dxa"/>
            <w:vAlign w:val="bottom"/>
          </w:tcPr>
          <w:p>
            <w:pPr>
              <w:spacing w:after="0"/>
              <w:rPr>
                <w:sz w:val="9"/>
                <w:szCs w:val="9"/>
                <w:color w:val="auto"/>
              </w:rPr>
            </w:pPr>
          </w:p>
        </w:tc>
        <w:tc>
          <w:tcPr>
            <w:tcW w:w="1540" w:type="dxa"/>
            <w:vAlign w:val="bottom"/>
            <w:vMerge w:val="restart"/>
          </w:tcPr>
          <w:p>
            <w:pPr>
              <w:jc w:val="right"/>
              <w:ind w:right="376"/>
              <w:spacing w:after="0"/>
              <w:rPr>
                <w:sz w:val="20"/>
                <w:szCs w:val="20"/>
                <w:color w:val="auto"/>
              </w:rPr>
            </w:pPr>
            <w:r>
              <w:rPr>
                <w:rFonts w:ascii="Arial" w:cs="Arial" w:eastAsia="Arial" w:hAnsi="Arial"/>
                <w:sz w:val="13"/>
                <w:szCs w:val="13"/>
                <w:color w:val="auto"/>
              </w:rPr>
              <w:t>3,375</w:t>
            </w:r>
          </w:p>
        </w:tc>
        <w:tc>
          <w:tcPr>
            <w:tcW w:w="1740" w:type="dxa"/>
            <w:vAlign w:val="bottom"/>
            <w:vMerge w:val="restart"/>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2,778</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31 October 2024</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31 October 2026</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918</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6 March 2025</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6 March 2027</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3,375</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6 March 2027</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2,780</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31 October 2024</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31 October 2027</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919</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 March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6 March 2028</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3,377</w:t>
            </w:r>
          </w:p>
        </w:tc>
        <w:tc>
          <w:tcPr>
            <w:tcW w:w="17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color w:val="auto"/>
              </w:rPr>
              <w:t>6 March 2028</w:t>
            </w:r>
          </w:p>
        </w:tc>
        <w:tc>
          <w:tcPr>
            <w:tcW w:w="1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154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3"/>
                <w:szCs w:val="13"/>
                <w:color w:val="auto"/>
              </w:rPr>
              <w:t>1,732</w:t>
            </w:r>
          </w:p>
        </w:tc>
        <w:tc>
          <w:tcPr>
            <w:tcW w:w="174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4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Dr. John Climax</w:t>
            </w:r>
          </w:p>
        </w:tc>
        <w:tc>
          <w:tcPr>
            <w:tcW w:w="15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3"/>
                <w:szCs w:val="13"/>
                <w:color w:val="auto"/>
              </w:rPr>
              <w:t>1,732</w:t>
            </w:r>
          </w:p>
        </w:tc>
        <w:tc>
          <w:tcPr>
            <w:tcW w:w="1740" w:type="dxa"/>
            <w:vAlign w:val="bottom"/>
            <w:tcBorders>
              <w:top w:val="single" w:sz="8" w:color="auto"/>
            </w:tcBorders>
            <w:vMerge w:val="restart"/>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Borders>
              <w:top w:val="single" w:sz="8" w:color="auto"/>
            </w:tcBorders>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tcBorders>
              <w:top w:val="single" w:sz="8" w:color="auto"/>
            </w:tcBorders>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vMerge w:val="continue"/>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740" w:type="dxa"/>
            <w:vAlign w:val="bottom"/>
            <w:tcBorders>
              <w:bottom w:val="single" w:sz="8" w:color="auto"/>
            </w:tcBorders>
            <w:vMerge w:val="continue"/>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154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3"/>
                <w:szCs w:val="13"/>
                <w:color w:val="auto"/>
              </w:rPr>
              <w:t>1,732</w:t>
            </w:r>
          </w:p>
        </w:tc>
        <w:tc>
          <w:tcPr>
            <w:tcW w:w="174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4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Julie O'Neill</w:t>
            </w:r>
          </w:p>
        </w:tc>
        <w:tc>
          <w:tcPr>
            <w:tcW w:w="15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3"/>
                <w:szCs w:val="13"/>
                <w:color w:val="auto"/>
              </w:rPr>
              <w:t>1,732</w:t>
            </w:r>
          </w:p>
        </w:tc>
        <w:tc>
          <w:tcPr>
            <w:tcW w:w="1740" w:type="dxa"/>
            <w:vAlign w:val="bottom"/>
            <w:tcBorders>
              <w:top w:val="single" w:sz="8" w:color="auto"/>
            </w:tcBorders>
            <w:vMerge w:val="restart"/>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Borders>
              <w:top w:val="single" w:sz="8" w:color="auto"/>
            </w:tcBorders>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tcBorders>
              <w:top w:val="single" w:sz="8" w:color="auto"/>
            </w:tcBorders>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vMerge w:val="continue"/>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740" w:type="dxa"/>
            <w:vAlign w:val="bottom"/>
            <w:tcBorders>
              <w:bottom w:val="single" w:sz="8" w:color="auto"/>
            </w:tcBorders>
            <w:vMerge w:val="continue"/>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154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3"/>
                <w:szCs w:val="13"/>
                <w:color w:val="auto"/>
              </w:rPr>
              <w:t>1,732</w:t>
            </w:r>
          </w:p>
        </w:tc>
        <w:tc>
          <w:tcPr>
            <w:tcW w:w="174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4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Anne Whitaker</w:t>
            </w:r>
          </w:p>
        </w:tc>
        <w:tc>
          <w:tcPr>
            <w:tcW w:w="15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3"/>
                <w:szCs w:val="13"/>
                <w:color w:val="auto"/>
              </w:rPr>
              <w:t>1,732</w:t>
            </w:r>
          </w:p>
        </w:tc>
        <w:tc>
          <w:tcPr>
            <w:tcW w:w="1740" w:type="dxa"/>
            <w:vAlign w:val="bottom"/>
            <w:tcBorders>
              <w:top w:val="single" w:sz="8" w:color="auto"/>
            </w:tcBorders>
            <w:vMerge w:val="restart"/>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Borders>
              <w:top w:val="single" w:sz="8" w:color="auto"/>
            </w:tcBorders>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tcBorders>
              <w:top w:val="single" w:sz="8" w:color="auto"/>
            </w:tcBorders>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vMerge w:val="continue"/>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740" w:type="dxa"/>
            <w:vAlign w:val="bottom"/>
            <w:tcBorders>
              <w:bottom w:val="single" w:sz="8" w:color="auto"/>
            </w:tcBorders>
            <w:vMerge w:val="continue"/>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1540" w:type="dxa"/>
            <w:vAlign w:val="bottom"/>
            <w:vMerge w:val="restart"/>
            <w:shd w:val="clear" w:color="auto" w:fill="CCEEFF"/>
          </w:tcPr>
          <w:p>
            <w:pPr>
              <w:jc w:val="right"/>
              <w:ind w:right="376"/>
              <w:spacing w:after="0"/>
              <w:rPr>
                <w:sz w:val="20"/>
                <w:szCs w:val="20"/>
                <w:color w:val="auto"/>
              </w:rPr>
            </w:pPr>
            <w:r>
              <w:rPr>
                <w:rFonts w:ascii="Arial" w:cs="Arial" w:eastAsia="Arial" w:hAnsi="Arial"/>
                <w:sz w:val="13"/>
                <w:szCs w:val="13"/>
                <w:color w:val="auto"/>
              </w:rPr>
              <w:t>510</w:t>
            </w:r>
          </w:p>
        </w:tc>
        <w:tc>
          <w:tcPr>
            <w:tcW w:w="1740" w:type="dxa"/>
            <w:vAlign w:val="bottom"/>
            <w:vMerge w:val="restart"/>
            <w:shd w:val="clear" w:color="auto" w:fill="CCEEFF"/>
          </w:tcPr>
          <w:p>
            <w:pPr>
              <w:jc w:val="right"/>
              <w:ind w:right="316"/>
              <w:spacing w:after="0"/>
              <w:rPr>
                <w:sz w:val="20"/>
                <w:szCs w:val="20"/>
                <w:color w:val="auto"/>
              </w:rPr>
            </w:pPr>
            <w:r>
              <w:rPr>
                <w:rFonts w:ascii="Arial" w:cs="Arial" w:eastAsia="Arial" w:hAnsi="Arial"/>
                <w:sz w:val="13"/>
                <w:szCs w:val="13"/>
                <w:color w:val="auto"/>
              </w:rPr>
              <w:t>3 March 2023</w:t>
            </w:r>
          </w:p>
        </w:tc>
        <w:tc>
          <w:tcPr>
            <w:tcW w:w="1680" w:type="dxa"/>
            <w:vAlign w:val="bottom"/>
            <w:vMerge w:val="restart"/>
            <w:shd w:val="clear" w:color="auto" w:fill="CCEEFF"/>
          </w:tcPr>
          <w:p>
            <w:pPr>
              <w:jc w:val="right"/>
              <w:ind w:right="282"/>
              <w:spacing w:after="0"/>
              <w:rPr>
                <w:sz w:val="20"/>
                <w:szCs w:val="20"/>
                <w:color w:val="auto"/>
              </w:rPr>
            </w:pPr>
            <w:r>
              <w:rPr>
                <w:rFonts w:ascii="Arial" w:cs="Arial" w:eastAsia="Arial" w:hAnsi="Arial"/>
                <w:sz w:val="13"/>
                <w:szCs w:val="13"/>
                <w:color w:val="auto"/>
              </w:rPr>
              <w:t>3 March 2026</w:t>
            </w:r>
          </w:p>
        </w:tc>
        <w:tc>
          <w:tcPr>
            <w:tcW w:w="1240" w:type="dxa"/>
            <w:vAlign w:val="bottom"/>
            <w:vMerge w:val="restart"/>
            <w:shd w:val="clear" w:color="auto" w:fill="CCEEFF"/>
          </w:tcPr>
          <w:p>
            <w:pPr>
              <w:jc w:val="center"/>
              <w:ind w:right="56"/>
              <w:spacing w:after="0"/>
              <w:rPr>
                <w:sz w:val="20"/>
                <w:szCs w:val="20"/>
                <w:color w:val="auto"/>
              </w:rPr>
            </w:pPr>
            <w:r>
              <w:rPr>
                <w:rFonts w:ascii="Arial" w:cs="Arial" w:eastAsia="Arial" w:hAnsi="Arial"/>
                <w:sz w:val="13"/>
                <w:szCs w:val="13"/>
                <w:color w:val="auto"/>
                <w:w w:val="98"/>
              </w:rPr>
              <w:t>1,783</w:t>
            </w:r>
          </w:p>
        </w:tc>
        <w:tc>
          <w:tcPr>
            <w:tcW w:w="1740" w:type="dxa"/>
            <w:vAlign w:val="bottom"/>
            <w:vMerge w:val="restart"/>
            <w:shd w:val="clear" w:color="auto" w:fill="CCEEFF"/>
          </w:tcPr>
          <w:p>
            <w:pPr>
              <w:jc w:val="right"/>
              <w:ind w:right="4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61"/>
        </w:trPr>
        <w:tc>
          <w:tcPr>
            <w:tcW w:w="20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408</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3 March 2026</w:t>
            </w:r>
          </w:p>
        </w:tc>
        <w:tc>
          <w:tcPr>
            <w:tcW w:w="1240" w:type="dxa"/>
            <w:vAlign w:val="bottom"/>
          </w:tcPr>
          <w:p>
            <w:pPr>
              <w:jc w:val="center"/>
              <w:ind w:right="56"/>
              <w:spacing w:after="0"/>
              <w:rPr>
                <w:sz w:val="20"/>
                <w:szCs w:val="20"/>
                <w:color w:val="auto"/>
              </w:rPr>
            </w:pPr>
            <w:r>
              <w:rPr>
                <w:rFonts w:ascii="Arial" w:cs="Arial" w:eastAsia="Arial" w:hAnsi="Arial"/>
                <w:sz w:val="13"/>
                <w:szCs w:val="13"/>
                <w:color w:val="auto"/>
                <w:w w:val="98"/>
              </w:rPr>
              <w:t>1,431</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2024</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2027</w:t>
            </w:r>
          </w:p>
        </w:tc>
        <w:tc>
          <w:tcPr>
            <w:tcW w:w="0" w:type="dxa"/>
            <w:vAlign w:val="bottom"/>
          </w:tcPr>
          <w:p>
            <w:pPr>
              <w:spacing w:after="0"/>
              <w:rPr>
                <w:sz w:val="1"/>
                <w:szCs w:val="1"/>
                <w:color w:val="auto"/>
              </w:rPr>
            </w:pPr>
          </w:p>
        </w:tc>
      </w:tr>
      <w:tr>
        <w:trPr>
          <w:trHeight w:val="110"/>
        </w:trPr>
        <w:tc>
          <w:tcPr>
            <w:tcW w:w="2040" w:type="dxa"/>
            <w:vAlign w:val="bottom"/>
            <w:shd w:val="clear" w:color="auto" w:fill="CCEEFF"/>
          </w:tcPr>
          <w:p>
            <w:pPr>
              <w:spacing w:after="0"/>
              <w:rPr>
                <w:sz w:val="9"/>
                <w:szCs w:val="9"/>
                <w:color w:val="auto"/>
              </w:rPr>
            </w:pPr>
          </w:p>
        </w:tc>
        <w:tc>
          <w:tcPr>
            <w:tcW w:w="1540" w:type="dxa"/>
            <w:vAlign w:val="bottom"/>
            <w:vMerge w:val="restart"/>
            <w:shd w:val="clear" w:color="auto" w:fill="CCEEFF"/>
          </w:tcPr>
          <w:p>
            <w:pPr>
              <w:jc w:val="right"/>
              <w:ind w:right="376"/>
              <w:spacing w:after="0"/>
              <w:rPr>
                <w:sz w:val="20"/>
                <w:szCs w:val="20"/>
                <w:color w:val="auto"/>
              </w:rPr>
            </w:pPr>
            <w:r>
              <w:rPr>
                <w:rFonts w:ascii="Arial" w:cs="Arial" w:eastAsia="Arial" w:hAnsi="Arial"/>
                <w:sz w:val="13"/>
                <w:szCs w:val="13"/>
                <w:color w:val="auto"/>
              </w:rPr>
              <w:t>748</w:t>
            </w:r>
          </w:p>
        </w:tc>
        <w:tc>
          <w:tcPr>
            <w:tcW w:w="1740" w:type="dxa"/>
            <w:vAlign w:val="bottom"/>
            <w:vMerge w:val="restart"/>
            <w:shd w:val="clear" w:color="auto" w:fill="CCEEFF"/>
          </w:tcPr>
          <w:p>
            <w:pPr>
              <w:jc w:val="right"/>
              <w:ind w:right="316"/>
              <w:spacing w:after="0"/>
              <w:rPr>
                <w:sz w:val="20"/>
                <w:szCs w:val="20"/>
                <w:color w:val="auto"/>
              </w:rPr>
            </w:pPr>
            <w:r>
              <w:rPr>
                <w:rFonts w:ascii="Arial" w:cs="Arial" w:eastAsia="Arial" w:hAnsi="Arial"/>
                <w:sz w:val="13"/>
                <w:szCs w:val="13"/>
                <w:color w:val="auto"/>
              </w:rPr>
              <w:t>6 March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vMerge w:val="restart"/>
            <w:shd w:val="clear" w:color="auto" w:fill="CCEEFF"/>
          </w:tcPr>
          <w:p>
            <w:pPr>
              <w:jc w:val="center"/>
              <w:ind w:right="56"/>
              <w:spacing w:after="0"/>
              <w:rPr>
                <w:sz w:val="20"/>
                <w:szCs w:val="20"/>
                <w:color w:val="auto"/>
              </w:rPr>
            </w:pPr>
            <w:r>
              <w:rPr>
                <w:rFonts w:ascii="Arial" w:cs="Arial" w:eastAsia="Arial" w:hAnsi="Arial"/>
                <w:sz w:val="13"/>
                <w:szCs w:val="13"/>
                <w:color w:val="auto"/>
                <w:w w:val="98"/>
              </w:rPr>
              <w:t>2,619</w:t>
            </w:r>
          </w:p>
        </w:tc>
        <w:tc>
          <w:tcPr>
            <w:tcW w:w="1740" w:type="dxa"/>
            <w:vAlign w:val="bottom"/>
            <w:vMerge w:val="restart"/>
            <w:shd w:val="clear" w:color="auto" w:fill="CCEEFF"/>
          </w:tcPr>
          <w:p>
            <w:pPr>
              <w:jc w:val="right"/>
              <w:ind w:right="436"/>
              <w:spacing w:after="0"/>
              <w:rPr>
                <w:sz w:val="20"/>
                <w:szCs w:val="20"/>
                <w:color w:val="auto"/>
              </w:rPr>
            </w:pPr>
            <w:r>
              <w:rPr>
                <w:rFonts w:ascii="Arial" w:cs="Arial" w:eastAsia="Arial" w:hAnsi="Arial"/>
                <w:sz w:val="13"/>
                <w:szCs w:val="13"/>
                <w:color w:val="auto"/>
              </w:rPr>
              <w:t>6 March 2025</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 March 2028</w:t>
            </w:r>
          </w:p>
        </w:tc>
        <w:tc>
          <w:tcPr>
            <w:tcW w:w="0" w:type="dxa"/>
            <w:vAlign w:val="bottom"/>
          </w:tcPr>
          <w:p>
            <w:pPr>
              <w:spacing w:after="0"/>
              <w:rPr>
                <w:sz w:val="1"/>
                <w:szCs w:val="1"/>
                <w:color w:val="auto"/>
              </w:rPr>
            </w:pPr>
          </w:p>
        </w:tc>
      </w:tr>
      <w:tr>
        <w:trPr>
          <w:trHeight w:val="61"/>
        </w:trPr>
        <w:tc>
          <w:tcPr>
            <w:tcW w:w="20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40" w:type="dxa"/>
            <w:vAlign w:val="bottom"/>
          </w:tcPr>
          <w:p>
            <w:pPr>
              <w:spacing w:after="0"/>
              <w:rPr>
                <w:sz w:val="9"/>
                <w:szCs w:val="9"/>
                <w:color w:val="auto"/>
              </w:rPr>
            </w:pPr>
          </w:p>
        </w:tc>
        <w:tc>
          <w:tcPr>
            <w:tcW w:w="1540" w:type="dxa"/>
            <w:vAlign w:val="bottom"/>
            <w:vMerge w:val="restart"/>
          </w:tcPr>
          <w:p>
            <w:pPr>
              <w:jc w:val="right"/>
              <w:ind w:right="376"/>
              <w:spacing w:after="0"/>
              <w:rPr>
                <w:sz w:val="20"/>
                <w:szCs w:val="20"/>
                <w:color w:val="auto"/>
              </w:rPr>
            </w:pPr>
            <w:r>
              <w:rPr>
                <w:rFonts w:ascii="Arial" w:cs="Arial" w:eastAsia="Arial" w:hAnsi="Arial"/>
                <w:sz w:val="13"/>
                <w:szCs w:val="13"/>
                <w:color w:val="auto"/>
              </w:rPr>
              <w:t>3,025</w:t>
            </w:r>
          </w:p>
        </w:tc>
        <w:tc>
          <w:tcPr>
            <w:tcW w:w="1740" w:type="dxa"/>
            <w:vAlign w:val="bottom"/>
            <w:vMerge w:val="restart"/>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Pr>
          <w:p>
            <w:pPr>
              <w:jc w:val="right"/>
              <w:ind w:right="282"/>
              <w:spacing w:after="0"/>
              <w:rPr>
                <w:sz w:val="20"/>
                <w:szCs w:val="20"/>
                <w:color w:val="auto"/>
              </w:rPr>
            </w:pPr>
            <w:r>
              <w:rPr>
                <w:rFonts w:ascii="Arial" w:cs="Arial" w:eastAsia="Arial" w:hAnsi="Arial"/>
                <w:sz w:val="8"/>
                <w:szCs w:val="8"/>
                <w:color w:val="auto"/>
              </w:rPr>
              <w:t>(3)</w:t>
            </w:r>
          </w:p>
        </w:tc>
        <w:tc>
          <w:tcPr>
            <w:tcW w:w="12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410</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3 March 2027</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1,635</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3 March 2024</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3 March 2027</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748</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 March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6 March 2027</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3,025</w:t>
            </w:r>
          </w:p>
        </w:tc>
        <w:tc>
          <w:tcPr>
            <w:tcW w:w="1740" w:type="dxa"/>
            <w:vAlign w:val="bottom"/>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Pr>
          <w:p>
            <w:pPr>
              <w:jc w:val="right"/>
              <w:ind w:right="282"/>
              <w:spacing w:after="0"/>
              <w:rPr>
                <w:sz w:val="20"/>
                <w:szCs w:val="20"/>
                <w:color w:val="auto"/>
              </w:rPr>
            </w:pPr>
            <w:r>
              <w:rPr>
                <w:rFonts w:ascii="Arial" w:cs="Arial" w:eastAsia="Arial" w:hAnsi="Arial"/>
                <w:sz w:val="13"/>
                <w:szCs w:val="13"/>
                <w:color w:val="auto"/>
              </w:rPr>
              <w:t>6 March 2027</w:t>
            </w: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749</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 March 2025</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3"/>
                <w:szCs w:val="13"/>
                <w:color w:val="auto"/>
              </w:rPr>
              <w:t>6 March 2028</w:t>
            </w:r>
          </w:p>
        </w:tc>
        <w:tc>
          <w:tcPr>
            <w:tcW w:w="1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3,026</w:t>
            </w:r>
          </w:p>
        </w:tc>
        <w:tc>
          <w:tcPr>
            <w:tcW w:w="17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22 May 2025</w:t>
            </w:r>
          </w:p>
        </w:tc>
        <w:tc>
          <w:tcPr>
            <w:tcW w:w="168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color w:val="auto"/>
              </w:rPr>
              <w:t>6 March 2028</w:t>
            </w:r>
          </w:p>
        </w:tc>
        <w:tc>
          <w:tcPr>
            <w:tcW w:w="1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200" w:hanging="195"/>
        <w:spacing w:after="0" w:line="233" w:lineRule="auto"/>
        <w:tabs>
          <w:tab w:leader="none" w:pos="203" w:val="left"/>
        </w:tabs>
        <w:numPr>
          <w:ilvl w:val="0"/>
          <w:numId w:val="57"/>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 xml:space="preserve">Of </w:t>
      </w:r>
      <w:r>
        <w:rPr>
          <w:rFonts w:ascii="Arial" w:cs="Arial" w:eastAsia="Arial" w:hAnsi="Arial"/>
          <w:sz w:val="11"/>
          <w:szCs w:val="11"/>
          <w:i w:val="1"/>
          <w:iCs w:val="1"/>
          <w:color w:val="auto"/>
        </w:rPr>
        <w:t>the issued PSUs, performance conditions will determine how many vest. If performance targets are exceeded, additional PSUs will be issued and will vest in accordance with the terms of the relevant PSU award. The</w:t>
      </w:r>
      <w:r>
        <w:rPr>
          <w:rFonts w:ascii="Arial" w:cs="Arial" w:eastAsia="Arial" w:hAnsi="Arial"/>
          <w:sz w:val="13"/>
          <w:szCs w:val="13"/>
          <w:i w:val="1"/>
          <w:iCs w:val="1"/>
          <w:color w:val="auto"/>
        </w:rPr>
        <w:t xml:space="preserve"> </w:t>
      </w:r>
      <w:r>
        <w:rPr>
          <w:rFonts w:ascii="Arial" w:cs="Arial" w:eastAsia="Arial" w:hAnsi="Arial"/>
          <w:sz w:val="11"/>
          <w:szCs w:val="11"/>
          <w:i w:val="1"/>
          <w:iCs w:val="1"/>
          <w:color w:val="auto"/>
        </w:rPr>
        <w:t>PSUs vest based on service and specified EPS targets over the periods 2023 – 2025, 2024 – 2026 and 2025 - 2027. Depending on the actual amount of diluted EPS from 2023 to 2027, as at 31 December 2025, up to a maximum of 18,179 additional PSUs could also be granted to Mr. Barry Balfe, Mr. Nigel Clerkin and Mr. Diarmaid Cunningham.</w:t>
      </w:r>
    </w:p>
    <w:p>
      <w:pPr>
        <w:spacing w:after="0" w:line="171" w:lineRule="exact"/>
        <w:rPr>
          <w:rFonts w:ascii="Arial" w:cs="Arial" w:eastAsia="Arial" w:hAnsi="Arial"/>
          <w:sz w:val="17"/>
          <w:szCs w:val="17"/>
          <w:i w:val="1"/>
          <w:iCs w:val="1"/>
          <w:color w:val="auto"/>
          <w:vertAlign w:val="superscript"/>
        </w:rPr>
      </w:pPr>
    </w:p>
    <w:p>
      <w:pPr>
        <w:ind w:left="200" w:hanging="195"/>
        <w:spacing w:after="0" w:line="303" w:lineRule="auto"/>
        <w:tabs>
          <w:tab w:leader="none" w:pos="191" w:val="left"/>
        </w:tabs>
        <w:numPr>
          <w:ilvl w:val="0"/>
          <w:numId w:val="57"/>
        </w:numPr>
        <w:rPr>
          <w:rFonts w:ascii="Arial" w:cs="Arial" w:eastAsia="Arial" w:hAnsi="Arial"/>
          <w:sz w:val="7"/>
          <w:szCs w:val="7"/>
          <w:i w:val="1"/>
          <w:iCs w:val="1"/>
          <w:color w:val="auto"/>
        </w:rPr>
      </w:pPr>
      <w:r>
        <w:rPr>
          <w:rFonts w:ascii="Arial" w:cs="Arial" w:eastAsia="Arial" w:hAnsi="Arial"/>
          <w:sz w:val="11"/>
          <w:szCs w:val="11"/>
          <w:i w:val="1"/>
          <w:iCs w:val="1"/>
          <w:color w:val="auto"/>
        </w:rPr>
        <w:t>These PSUs, which were awarded in 2023, were scheduled to vest 3 March 2026. However, subsequent to the year end, these PSUs did not vest, as the diluted non-GAAP specified EPS targets over the three year period from 2023 - 2025 were not achieved.</w:t>
      </w:r>
    </w:p>
    <w:p>
      <w:pPr>
        <w:spacing w:after="0" w:line="112" w:lineRule="exact"/>
        <w:rPr>
          <w:rFonts w:ascii="Arial" w:cs="Arial" w:eastAsia="Arial" w:hAnsi="Arial"/>
          <w:sz w:val="7"/>
          <w:szCs w:val="7"/>
          <w:i w:val="1"/>
          <w:iCs w:val="1"/>
          <w:color w:val="auto"/>
        </w:rPr>
      </w:pPr>
    </w:p>
    <w:p>
      <w:pPr>
        <w:ind w:left="180" w:hanging="175"/>
        <w:spacing w:after="0"/>
        <w:tabs>
          <w:tab w:leader="none" w:pos="180" w:val="left"/>
        </w:tabs>
        <w:numPr>
          <w:ilvl w:val="0"/>
          <w:numId w:val="57"/>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These RSUs were granted on 6 March 2025 / 22 May 2025 and are scheduled to vest on the first trading day of the next open trading window, in accordance with the Share Trading Policy.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280"/>
          </w:cols>
          <w:pgMar w:left="300" w:top="698" w:right="31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Details of transactions entered into by the Directors, Executive Officers and Company Secretary in shares and share options of the Company during the year ended 31 December 2025 were as follows: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options exercised and sold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8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Number of Share Options</w:t>
            </w:r>
          </w:p>
        </w:tc>
        <w:tc>
          <w:tcPr>
            <w:tcW w:w="2280" w:type="dxa"/>
            <w:vAlign w:val="bottom"/>
            <w:shd w:val="clear" w:color="auto" w:fill="CCEEFF"/>
          </w:tcPr>
          <w:p>
            <w:pPr>
              <w:jc w:val="center"/>
              <w:ind w:left="276"/>
              <w:spacing w:after="0"/>
              <w:rPr>
                <w:sz w:val="20"/>
                <w:szCs w:val="20"/>
                <w:color w:val="auto"/>
              </w:rPr>
            </w:pPr>
            <w:r>
              <w:rPr>
                <w:rFonts w:ascii="Arial" w:cs="Arial" w:eastAsia="Arial" w:hAnsi="Arial"/>
                <w:sz w:val="13"/>
                <w:szCs w:val="13"/>
                <w:b w:val="1"/>
                <w:bCs w:val="1"/>
                <w:color w:val="auto"/>
                <w:w w:val="97"/>
              </w:rPr>
              <w:t>Average</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Average</w:t>
            </w:r>
          </w:p>
        </w:tc>
      </w:tr>
      <w:tr>
        <w:trPr>
          <w:trHeight w:val="159"/>
        </w:trPr>
        <w:tc>
          <w:tcPr>
            <w:tcW w:w="384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2280" w:type="dxa"/>
            <w:vAlign w:val="bottom"/>
            <w:shd w:val="clear" w:color="auto" w:fill="CCEEFF"/>
          </w:tcPr>
          <w:p>
            <w:pPr>
              <w:jc w:val="center"/>
              <w:ind w:left="256"/>
              <w:spacing w:after="0"/>
              <w:rPr>
                <w:sz w:val="20"/>
                <w:szCs w:val="20"/>
                <w:color w:val="auto"/>
              </w:rPr>
            </w:pPr>
            <w:r>
              <w:rPr>
                <w:rFonts w:ascii="Arial" w:cs="Arial" w:eastAsia="Arial" w:hAnsi="Arial"/>
                <w:sz w:val="13"/>
                <w:szCs w:val="13"/>
                <w:b w:val="1"/>
                <w:bCs w:val="1"/>
                <w:color w:val="auto"/>
                <w:w w:val="97"/>
              </w:rPr>
              <w:t>Exercise</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Sales</w:t>
            </w:r>
          </w:p>
        </w:tc>
      </w:tr>
      <w:tr>
        <w:trPr>
          <w:trHeight w:val="182"/>
        </w:trPr>
        <w:tc>
          <w:tcPr>
            <w:tcW w:w="3840" w:type="dxa"/>
            <w:vAlign w:val="bottom"/>
            <w:tcBorders>
              <w:bottom w:val="single" w:sz="8" w:color="auto"/>
            </w:tcBorders>
            <w:shd w:val="clear" w:color="auto" w:fill="CCEEFF"/>
          </w:tcPr>
          <w:p>
            <w:pPr>
              <w:spacing w:after="0"/>
              <w:rPr>
                <w:sz w:val="15"/>
                <w:szCs w:val="15"/>
                <w:color w:val="auto"/>
              </w:rPr>
            </w:pPr>
          </w:p>
        </w:tc>
        <w:tc>
          <w:tcPr>
            <w:tcW w:w="3840" w:type="dxa"/>
            <w:vAlign w:val="bottom"/>
            <w:tcBorders>
              <w:bottom w:val="single" w:sz="8" w:color="auto"/>
            </w:tcBorders>
            <w:shd w:val="clear" w:color="auto" w:fill="CCEEFF"/>
          </w:tcPr>
          <w:p>
            <w:pPr>
              <w:spacing w:after="0"/>
              <w:rPr>
                <w:sz w:val="15"/>
                <w:szCs w:val="15"/>
                <w:color w:val="auto"/>
              </w:rPr>
            </w:pPr>
          </w:p>
        </w:tc>
        <w:tc>
          <w:tcPr>
            <w:tcW w:w="228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price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68"/>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38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3,079</w:t>
            </w:r>
          </w:p>
        </w:tc>
        <w:tc>
          <w:tcPr>
            <w:tcW w:w="228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color w:val="auto"/>
                <w:w w:val="95"/>
              </w:rPr>
              <w:t>$90.03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$158.56</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John Climax</w:t>
            </w:r>
          </w:p>
        </w:tc>
        <w:tc>
          <w:tcPr>
            <w:tcW w:w="38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7,693</w:t>
            </w:r>
          </w:p>
        </w:tc>
        <w:tc>
          <w:tcPr>
            <w:tcW w:w="2280" w:type="dxa"/>
            <w:vAlign w:val="bottom"/>
            <w:tcBorders>
              <w:bottom w:val="single" w:sz="8" w:color="auto"/>
            </w:tcBorders>
            <w:shd w:val="clear" w:color="auto" w:fill="CCEEFF"/>
          </w:tcPr>
          <w:p>
            <w:pPr>
              <w:jc w:val="center"/>
              <w:ind w:left="316"/>
              <w:spacing w:after="0"/>
              <w:rPr>
                <w:sz w:val="20"/>
                <w:szCs w:val="20"/>
                <w:color w:val="auto"/>
              </w:rPr>
            </w:pPr>
            <w:r>
              <w:rPr>
                <w:rFonts w:ascii="Arial" w:cs="Arial" w:eastAsia="Arial" w:hAnsi="Arial"/>
                <w:sz w:val="13"/>
                <w:szCs w:val="13"/>
                <w:color w:val="auto"/>
                <w:w w:val="95"/>
              </w:rPr>
              <w:t>$90.03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$130.04</w:t>
            </w:r>
          </w:p>
        </w:tc>
      </w:tr>
      <w:tr>
        <w:trPr>
          <w:trHeight w:val="418"/>
        </w:trPr>
        <w:tc>
          <w:tcPr>
            <w:tcW w:w="3840" w:type="dxa"/>
            <w:vAlign w:val="bottom"/>
          </w:tcPr>
          <w:p>
            <w:pPr>
              <w:spacing w:after="0"/>
              <w:rPr>
                <w:sz w:val="20"/>
                <w:szCs w:val="20"/>
                <w:color w:val="auto"/>
              </w:rPr>
            </w:pPr>
            <w:r>
              <w:rPr>
                <w:rFonts w:ascii="Arial" w:cs="Arial" w:eastAsia="Arial" w:hAnsi="Arial"/>
                <w:sz w:val="13"/>
                <w:szCs w:val="13"/>
                <w:b w:val="1"/>
                <w:bCs w:val="1"/>
                <w:color w:val="auto"/>
              </w:rPr>
              <w:t>Share options exercised and held</w:t>
            </w:r>
          </w:p>
        </w:tc>
        <w:tc>
          <w:tcPr>
            <w:tcW w:w="3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b w:val="1"/>
                <w:bCs w:val="1"/>
                <w:color w:val="auto"/>
              </w:rPr>
              <w:t>Name</w:t>
            </w:r>
          </w:p>
        </w:tc>
        <w:tc>
          <w:tcPr>
            <w:tcW w:w="3840" w:type="dxa"/>
            <w:vAlign w:val="bottom"/>
            <w:shd w:val="clear" w:color="auto" w:fill="CCEEFF"/>
          </w:tcPr>
          <w:p>
            <w:pPr>
              <w:spacing w:after="0"/>
              <w:rPr>
                <w:sz w:val="11"/>
                <w:szCs w:val="11"/>
                <w:color w:val="auto"/>
              </w:rPr>
            </w:pPr>
          </w:p>
        </w:tc>
        <w:tc>
          <w:tcPr>
            <w:tcW w:w="2280" w:type="dxa"/>
            <w:vAlign w:val="bottom"/>
            <w:shd w:val="clear" w:color="auto" w:fill="CCEEFF"/>
          </w:tcPr>
          <w:p>
            <w:pPr>
              <w:jc w:val="right"/>
              <w:ind w:right="636"/>
              <w:spacing w:after="0" w:line="136" w:lineRule="exact"/>
              <w:rPr>
                <w:sz w:val="20"/>
                <w:szCs w:val="20"/>
                <w:color w:val="auto"/>
              </w:rPr>
            </w:pPr>
            <w:r>
              <w:rPr>
                <w:rFonts w:ascii="Arial" w:cs="Arial" w:eastAsia="Arial" w:hAnsi="Arial"/>
                <w:sz w:val="13"/>
                <w:szCs w:val="13"/>
                <w:b w:val="1"/>
                <w:bCs w:val="1"/>
                <w:color w:val="auto"/>
              </w:rPr>
              <w:t>Number of Shares</w:t>
            </w:r>
          </w:p>
        </w:tc>
        <w:tc>
          <w:tcPr>
            <w:tcW w:w="13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Average</w:t>
            </w:r>
          </w:p>
        </w:tc>
      </w:tr>
      <w:tr>
        <w:trPr>
          <w:trHeight w:val="127"/>
        </w:trPr>
        <w:tc>
          <w:tcPr>
            <w:tcW w:w="3840" w:type="dxa"/>
            <w:vAlign w:val="bottom"/>
            <w:shd w:val="clear" w:color="auto" w:fill="CCEEFF"/>
          </w:tcPr>
          <w:p>
            <w:pPr>
              <w:spacing w:after="0"/>
              <w:rPr>
                <w:sz w:val="11"/>
                <w:szCs w:val="11"/>
                <w:color w:val="auto"/>
              </w:rPr>
            </w:pPr>
          </w:p>
        </w:tc>
        <w:tc>
          <w:tcPr>
            <w:tcW w:w="3840" w:type="dxa"/>
            <w:vAlign w:val="bottom"/>
            <w:shd w:val="clear" w:color="auto" w:fill="CCEEFF"/>
          </w:tcPr>
          <w:p>
            <w:pPr>
              <w:spacing w:after="0"/>
              <w:rPr>
                <w:sz w:val="11"/>
                <w:szCs w:val="11"/>
                <w:color w:val="auto"/>
              </w:rPr>
            </w:pPr>
          </w:p>
        </w:tc>
        <w:tc>
          <w:tcPr>
            <w:tcW w:w="2280" w:type="dxa"/>
            <w:vAlign w:val="bottom"/>
            <w:shd w:val="clear" w:color="auto" w:fill="CCEEFF"/>
          </w:tcPr>
          <w:p>
            <w:pPr>
              <w:jc w:val="right"/>
              <w:ind w:right="636"/>
              <w:spacing w:after="0" w:line="128" w:lineRule="exact"/>
              <w:rPr>
                <w:sz w:val="20"/>
                <w:szCs w:val="20"/>
                <w:color w:val="auto"/>
              </w:rPr>
            </w:pPr>
            <w:r>
              <w:rPr>
                <w:rFonts w:ascii="Arial" w:cs="Arial" w:eastAsia="Arial" w:hAnsi="Arial"/>
                <w:sz w:val="13"/>
                <w:szCs w:val="13"/>
                <w:b w:val="1"/>
                <w:bCs w:val="1"/>
                <w:color w:val="auto"/>
              </w:rPr>
              <w:t>Options</w:t>
            </w:r>
          </w:p>
        </w:tc>
        <w:tc>
          <w:tcPr>
            <w:tcW w:w="13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Exercise</w:t>
            </w:r>
          </w:p>
        </w:tc>
      </w:tr>
      <w:tr>
        <w:trPr>
          <w:trHeight w:val="170"/>
        </w:trPr>
        <w:tc>
          <w:tcPr>
            <w:tcW w:w="3840" w:type="dxa"/>
            <w:vAlign w:val="bottom"/>
            <w:tcBorders>
              <w:bottom w:val="single" w:sz="8" w:color="auto"/>
            </w:tcBorders>
            <w:shd w:val="clear" w:color="auto" w:fill="CCEEFF"/>
          </w:tcPr>
          <w:p>
            <w:pPr>
              <w:spacing w:after="0"/>
              <w:rPr>
                <w:sz w:val="14"/>
                <w:szCs w:val="14"/>
                <w:color w:val="auto"/>
              </w:rPr>
            </w:pPr>
          </w:p>
        </w:tc>
        <w:tc>
          <w:tcPr>
            <w:tcW w:w="38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2,784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$83.47</w:t>
            </w:r>
          </w:p>
        </w:tc>
      </w:tr>
      <w:tr>
        <w:trPr>
          <w:trHeight w:val="407"/>
        </w:trPr>
        <w:tc>
          <w:tcPr>
            <w:tcW w:w="3840" w:type="dxa"/>
            <w:vAlign w:val="bottom"/>
          </w:tcPr>
          <w:p>
            <w:pPr>
              <w:spacing w:after="0"/>
              <w:rPr>
                <w:sz w:val="20"/>
                <w:szCs w:val="20"/>
                <w:color w:val="auto"/>
              </w:rPr>
            </w:pPr>
            <w:r>
              <w:rPr>
                <w:rFonts w:ascii="Arial" w:cs="Arial" w:eastAsia="Arial" w:hAnsi="Arial"/>
                <w:sz w:val="13"/>
                <w:szCs w:val="13"/>
                <w:b w:val="1"/>
                <w:bCs w:val="1"/>
                <w:color w:val="auto"/>
              </w:rPr>
              <w:t>RSUs and PSUs vested</w:t>
            </w:r>
          </w:p>
        </w:tc>
        <w:tc>
          <w:tcPr>
            <w:tcW w:w="3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b w:val="1"/>
                <w:bCs w:val="1"/>
                <w:color w:val="auto"/>
              </w:rPr>
              <w:t>Name</w:t>
            </w:r>
          </w:p>
        </w:tc>
        <w:tc>
          <w:tcPr>
            <w:tcW w:w="3840" w:type="dxa"/>
            <w:vAlign w:val="bottom"/>
            <w:shd w:val="clear" w:color="auto" w:fill="CCEEFF"/>
          </w:tcPr>
          <w:p>
            <w:pPr>
              <w:spacing w:after="0"/>
              <w:rPr>
                <w:sz w:val="11"/>
                <w:szCs w:val="11"/>
                <w:color w:val="auto"/>
              </w:rPr>
            </w:pPr>
          </w:p>
        </w:tc>
        <w:tc>
          <w:tcPr>
            <w:tcW w:w="2280" w:type="dxa"/>
            <w:vAlign w:val="bottom"/>
            <w:shd w:val="clear" w:color="auto" w:fill="CCEEFF"/>
          </w:tcPr>
          <w:p>
            <w:pPr>
              <w:jc w:val="center"/>
              <w:ind w:left="256"/>
              <w:spacing w:after="0" w:line="136" w:lineRule="exact"/>
              <w:rPr>
                <w:sz w:val="20"/>
                <w:szCs w:val="20"/>
                <w:color w:val="auto"/>
              </w:rPr>
            </w:pPr>
            <w:r>
              <w:rPr>
                <w:rFonts w:ascii="Arial" w:cs="Arial" w:eastAsia="Arial" w:hAnsi="Arial"/>
                <w:sz w:val="13"/>
                <w:szCs w:val="13"/>
                <w:b w:val="1"/>
                <w:bCs w:val="1"/>
                <w:color w:val="auto"/>
                <w:w w:val="97"/>
              </w:rPr>
              <w:t>Number</w:t>
            </w:r>
          </w:p>
        </w:tc>
        <w:tc>
          <w:tcPr>
            <w:tcW w:w="13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Average</w:t>
            </w:r>
          </w:p>
        </w:tc>
      </w:tr>
      <w:tr>
        <w:trPr>
          <w:trHeight w:val="127"/>
        </w:trPr>
        <w:tc>
          <w:tcPr>
            <w:tcW w:w="3840" w:type="dxa"/>
            <w:vAlign w:val="bottom"/>
            <w:shd w:val="clear" w:color="auto" w:fill="CCEEFF"/>
          </w:tcPr>
          <w:p>
            <w:pPr>
              <w:spacing w:after="0"/>
              <w:rPr>
                <w:sz w:val="11"/>
                <w:szCs w:val="11"/>
                <w:color w:val="auto"/>
              </w:rPr>
            </w:pPr>
          </w:p>
        </w:tc>
        <w:tc>
          <w:tcPr>
            <w:tcW w:w="3840" w:type="dxa"/>
            <w:vAlign w:val="bottom"/>
            <w:shd w:val="clear" w:color="auto" w:fill="CCEEFF"/>
          </w:tcPr>
          <w:p>
            <w:pPr>
              <w:spacing w:after="0"/>
              <w:rPr>
                <w:sz w:val="11"/>
                <w:szCs w:val="11"/>
                <w:color w:val="auto"/>
              </w:rPr>
            </w:pPr>
          </w:p>
        </w:tc>
        <w:tc>
          <w:tcPr>
            <w:tcW w:w="2280" w:type="dxa"/>
            <w:vAlign w:val="bottom"/>
            <w:shd w:val="clear" w:color="auto" w:fill="CCEEFF"/>
          </w:tcPr>
          <w:p>
            <w:pPr>
              <w:jc w:val="center"/>
              <w:ind w:left="236"/>
              <w:spacing w:after="0" w:line="128" w:lineRule="exact"/>
              <w:rPr>
                <w:sz w:val="20"/>
                <w:szCs w:val="20"/>
                <w:color w:val="auto"/>
              </w:rPr>
            </w:pPr>
            <w:r>
              <w:rPr>
                <w:rFonts w:ascii="Arial" w:cs="Arial" w:eastAsia="Arial" w:hAnsi="Arial"/>
                <w:sz w:val="13"/>
                <w:szCs w:val="13"/>
                <w:b w:val="1"/>
                <w:bCs w:val="1"/>
                <w:color w:val="auto"/>
                <w:w w:val="97"/>
              </w:rPr>
              <w:t>of Shares</w:t>
            </w:r>
          </w:p>
        </w:tc>
        <w:tc>
          <w:tcPr>
            <w:tcW w:w="13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Vest</w:t>
            </w:r>
          </w:p>
        </w:tc>
      </w:tr>
      <w:tr>
        <w:trPr>
          <w:trHeight w:val="170"/>
        </w:trPr>
        <w:tc>
          <w:tcPr>
            <w:tcW w:w="3840" w:type="dxa"/>
            <w:vAlign w:val="bottom"/>
            <w:tcBorders>
              <w:bottom w:val="single" w:sz="8" w:color="auto"/>
            </w:tcBorders>
            <w:shd w:val="clear" w:color="auto" w:fill="CCEEFF"/>
          </w:tcPr>
          <w:p>
            <w:pPr>
              <w:spacing w:after="0"/>
              <w:rPr>
                <w:sz w:val="14"/>
                <w:szCs w:val="14"/>
                <w:color w:val="auto"/>
              </w:rPr>
            </w:pPr>
          </w:p>
        </w:tc>
        <w:tc>
          <w:tcPr>
            <w:tcW w:w="38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946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$126.99</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Barry Balfe</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3,025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$178.33</w:t>
            </w:r>
          </w:p>
        </w:tc>
      </w:tr>
      <w:tr>
        <w:trPr>
          <w:trHeight w:val="16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Nigel Clerkin</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2,778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$171.82</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694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$126.99</w:t>
            </w:r>
          </w:p>
        </w:tc>
      </w:tr>
      <w:tr>
        <w:trPr>
          <w:trHeight w:val="16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694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$126.99</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56,763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$190.49</w:t>
            </w:r>
          </w:p>
        </w:tc>
      </w:tr>
      <w:tr>
        <w:trPr>
          <w:trHeight w:val="16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694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$126.99</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694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$126.99</w:t>
            </w:r>
          </w:p>
        </w:tc>
      </w:tr>
      <w:tr>
        <w:trPr>
          <w:trHeight w:val="16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Linda Grais</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694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$126.99</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2,240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$184.81</w:t>
            </w:r>
          </w:p>
        </w:tc>
      </w:tr>
      <w:tr>
        <w:trPr>
          <w:trHeight w:val="418"/>
        </w:trPr>
        <w:tc>
          <w:tcPr>
            <w:tcW w:w="3840" w:type="dxa"/>
            <w:vAlign w:val="bottom"/>
          </w:tcPr>
          <w:p>
            <w:pPr>
              <w:spacing w:after="0"/>
              <w:rPr>
                <w:sz w:val="20"/>
                <w:szCs w:val="20"/>
                <w:color w:val="auto"/>
              </w:rPr>
            </w:pPr>
            <w:r>
              <w:rPr>
                <w:rFonts w:ascii="Arial" w:cs="Arial" w:eastAsia="Arial" w:hAnsi="Arial"/>
                <w:sz w:val="13"/>
                <w:szCs w:val="13"/>
                <w:b w:val="1"/>
                <w:bCs w:val="1"/>
                <w:color w:val="auto"/>
              </w:rPr>
              <w:t>Shares purchased</w:t>
            </w:r>
          </w:p>
        </w:tc>
        <w:tc>
          <w:tcPr>
            <w:tcW w:w="3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b w:val="1"/>
                <w:bCs w:val="1"/>
                <w:color w:val="auto"/>
              </w:rPr>
              <w:t>Name</w:t>
            </w:r>
          </w:p>
        </w:tc>
        <w:tc>
          <w:tcPr>
            <w:tcW w:w="3840" w:type="dxa"/>
            <w:vAlign w:val="bottom"/>
            <w:shd w:val="clear" w:color="auto" w:fill="CCEEFF"/>
          </w:tcPr>
          <w:p>
            <w:pPr>
              <w:spacing w:after="0"/>
              <w:rPr>
                <w:sz w:val="11"/>
                <w:szCs w:val="11"/>
                <w:color w:val="auto"/>
              </w:rPr>
            </w:pPr>
          </w:p>
        </w:tc>
        <w:tc>
          <w:tcPr>
            <w:tcW w:w="2280" w:type="dxa"/>
            <w:vAlign w:val="bottom"/>
            <w:shd w:val="clear" w:color="auto" w:fill="CCEEFF"/>
          </w:tcPr>
          <w:p>
            <w:pPr>
              <w:jc w:val="center"/>
              <w:ind w:left="256"/>
              <w:spacing w:after="0" w:line="136" w:lineRule="exact"/>
              <w:rPr>
                <w:sz w:val="20"/>
                <w:szCs w:val="20"/>
                <w:color w:val="auto"/>
              </w:rPr>
            </w:pPr>
            <w:r>
              <w:rPr>
                <w:rFonts w:ascii="Arial" w:cs="Arial" w:eastAsia="Arial" w:hAnsi="Arial"/>
                <w:sz w:val="13"/>
                <w:szCs w:val="13"/>
                <w:b w:val="1"/>
                <w:bCs w:val="1"/>
                <w:color w:val="auto"/>
                <w:w w:val="97"/>
              </w:rPr>
              <w:t>Number</w:t>
            </w:r>
          </w:p>
        </w:tc>
        <w:tc>
          <w:tcPr>
            <w:tcW w:w="13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Average</w:t>
            </w:r>
          </w:p>
        </w:tc>
      </w:tr>
      <w:tr>
        <w:trPr>
          <w:trHeight w:val="127"/>
        </w:trPr>
        <w:tc>
          <w:tcPr>
            <w:tcW w:w="3840" w:type="dxa"/>
            <w:vAlign w:val="bottom"/>
            <w:shd w:val="clear" w:color="auto" w:fill="CCEEFF"/>
          </w:tcPr>
          <w:p>
            <w:pPr>
              <w:spacing w:after="0"/>
              <w:rPr>
                <w:sz w:val="11"/>
                <w:szCs w:val="11"/>
                <w:color w:val="auto"/>
              </w:rPr>
            </w:pPr>
          </w:p>
        </w:tc>
        <w:tc>
          <w:tcPr>
            <w:tcW w:w="3840" w:type="dxa"/>
            <w:vAlign w:val="bottom"/>
            <w:shd w:val="clear" w:color="auto" w:fill="CCEEFF"/>
          </w:tcPr>
          <w:p>
            <w:pPr>
              <w:spacing w:after="0"/>
              <w:rPr>
                <w:sz w:val="11"/>
                <w:szCs w:val="11"/>
                <w:color w:val="auto"/>
              </w:rPr>
            </w:pPr>
          </w:p>
        </w:tc>
        <w:tc>
          <w:tcPr>
            <w:tcW w:w="2280" w:type="dxa"/>
            <w:vAlign w:val="bottom"/>
            <w:shd w:val="clear" w:color="auto" w:fill="CCEEFF"/>
          </w:tcPr>
          <w:p>
            <w:pPr>
              <w:jc w:val="center"/>
              <w:ind w:left="236"/>
              <w:spacing w:after="0" w:line="128" w:lineRule="exact"/>
              <w:rPr>
                <w:sz w:val="20"/>
                <w:szCs w:val="20"/>
                <w:color w:val="auto"/>
              </w:rPr>
            </w:pPr>
            <w:r>
              <w:rPr>
                <w:rFonts w:ascii="Arial" w:cs="Arial" w:eastAsia="Arial" w:hAnsi="Arial"/>
                <w:sz w:val="13"/>
                <w:szCs w:val="13"/>
                <w:b w:val="1"/>
                <w:bCs w:val="1"/>
                <w:color w:val="auto"/>
                <w:w w:val="97"/>
              </w:rPr>
              <w:t>of Shares</w:t>
            </w:r>
          </w:p>
        </w:tc>
        <w:tc>
          <w:tcPr>
            <w:tcW w:w="13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Purchase</w:t>
            </w:r>
          </w:p>
        </w:tc>
      </w:tr>
      <w:tr>
        <w:trPr>
          <w:trHeight w:val="170"/>
        </w:trPr>
        <w:tc>
          <w:tcPr>
            <w:tcW w:w="3840" w:type="dxa"/>
            <w:vAlign w:val="bottom"/>
            <w:tcBorders>
              <w:bottom w:val="single" w:sz="8" w:color="auto"/>
            </w:tcBorders>
            <w:shd w:val="clear" w:color="auto" w:fill="CCEEFF"/>
          </w:tcPr>
          <w:p>
            <w:pPr>
              <w:spacing w:after="0"/>
              <w:rPr>
                <w:sz w:val="14"/>
                <w:szCs w:val="14"/>
                <w:color w:val="auto"/>
              </w:rPr>
            </w:pPr>
          </w:p>
        </w:tc>
        <w:tc>
          <w:tcPr>
            <w:tcW w:w="38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Nigel Clerkin</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2,550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$131.06</w:t>
            </w:r>
          </w:p>
        </w:tc>
      </w:tr>
      <w:tr>
        <w:trPr>
          <w:trHeight w:val="407"/>
        </w:trPr>
        <w:tc>
          <w:tcPr>
            <w:tcW w:w="3840" w:type="dxa"/>
            <w:vAlign w:val="bottom"/>
          </w:tcPr>
          <w:p>
            <w:pPr>
              <w:spacing w:after="0"/>
              <w:rPr>
                <w:sz w:val="20"/>
                <w:szCs w:val="20"/>
                <w:color w:val="auto"/>
              </w:rPr>
            </w:pPr>
            <w:r>
              <w:rPr>
                <w:rFonts w:ascii="Arial" w:cs="Arial" w:eastAsia="Arial" w:hAnsi="Arial"/>
                <w:sz w:val="13"/>
                <w:szCs w:val="13"/>
                <w:b w:val="1"/>
                <w:bCs w:val="1"/>
                <w:color w:val="auto"/>
              </w:rPr>
              <w:t>Shares sold</w:t>
            </w:r>
          </w:p>
        </w:tc>
        <w:tc>
          <w:tcPr>
            <w:tcW w:w="3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b w:val="1"/>
                <w:bCs w:val="1"/>
                <w:color w:val="auto"/>
              </w:rPr>
              <w:t>Name</w:t>
            </w:r>
          </w:p>
        </w:tc>
        <w:tc>
          <w:tcPr>
            <w:tcW w:w="3840" w:type="dxa"/>
            <w:vAlign w:val="bottom"/>
            <w:shd w:val="clear" w:color="auto" w:fill="CCEEFF"/>
          </w:tcPr>
          <w:p>
            <w:pPr>
              <w:spacing w:after="0"/>
              <w:rPr>
                <w:sz w:val="11"/>
                <w:szCs w:val="11"/>
                <w:color w:val="auto"/>
              </w:rPr>
            </w:pPr>
          </w:p>
        </w:tc>
        <w:tc>
          <w:tcPr>
            <w:tcW w:w="2280" w:type="dxa"/>
            <w:vAlign w:val="bottom"/>
            <w:shd w:val="clear" w:color="auto" w:fill="CCEEFF"/>
          </w:tcPr>
          <w:p>
            <w:pPr>
              <w:jc w:val="center"/>
              <w:ind w:left="256"/>
              <w:spacing w:after="0" w:line="136" w:lineRule="exact"/>
              <w:rPr>
                <w:sz w:val="20"/>
                <w:szCs w:val="20"/>
                <w:color w:val="auto"/>
              </w:rPr>
            </w:pPr>
            <w:r>
              <w:rPr>
                <w:rFonts w:ascii="Arial" w:cs="Arial" w:eastAsia="Arial" w:hAnsi="Arial"/>
                <w:sz w:val="13"/>
                <w:szCs w:val="13"/>
                <w:b w:val="1"/>
                <w:bCs w:val="1"/>
                <w:color w:val="auto"/>
                <w:w w:val="97"/>
              </w:rPr>
              <w:t>Number</w:t>
            </w:r>
          </w:p>
        </w:tc>
        <w:tc>
          <w:tcPr>
            <w:tcW w:w="13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Average</w:t>
            </w:r>
          </w:p>
        </w:tc>
      </w:tr>
      <w:tr>
        <w:trPr>
          <w:trHeight w:val="127"/>
        </w:trPr>
        <w:tc>
          <w:tcPr>
            <w:tcW w:w="3840" w:type="dxa"/>
            <w:vAlign w:val="bottom"/>
            <w:shd w:val="clear" w:color="auto" w:fill="CCEEFF"/>
          </w:tcPr>
          <w:p>
            <w:pPr>
              <w:spacing w:after="0"/>
              <w:rPr>
                <w:sz w:val="11"/>
                <w:szCs w:val="11"/>
                <w:color w:val="auto"/>
              </w:rPr>
            </w:pPr>
          </w:p>
        </w:tc>
        <w:tc>
          <w:tcPr>
            <w:tcW w:w="3840" w:type="dxa"/>
            <w:vAlign w:val="bottom"/>
            <w:shd w:val="clear" w:color="auto" w:fill="CCEEFF"/>
          </w:tcPr>
          <w:p>
            <w:pPr>
              <w:spacing w:after="0"/>
              <w:rPr>
                <w:sz w:val="11"/>
                <w:szCs w:val="11"/>
                <w:color w:val="auto"/>
              </w:rPr>
            </w:pPr>
          </w:p>
        </w:tc>
        <w:tc>
          <w:tcPr>
            <w:tcW w:w="2280" w:type="dxa"/>
            <w:vAlign w:val="bottom"/>
            <w:shd w:val="clear" w:color="auto" w:fill="CCEEFF"/>
          </w:tcPr>
          <w:p>
            <w:pPr>
              <w:jc w:val="center"/>
              <w:ind w:left="236"/>
              <w:spacing w:after="0" w:line="128" w:lineRule="exact"/>
              <w:rPr>
                <w:sz w:val="20"/>
                <w:szCs w:val="20"/>
                <w:color w:val="auto"/>
              </w:rPr>
            </w:pPr>
            <w:r>
              <w:rPr>
                <w:rFonts w:ascii="Arial" w:cs="Arial" w:eastAsia="Arial" w:hAnsi="Arial"/>
                <w:sz w:val="13"/>
                <w:szCs w:val="13"/>
                <w:b w:val="1"/>
                <w:bCs w:val="1"/>
                <w:color w:val="auto"/>
                <w:w w:val="97"/>
              </w:rPr>
              <w:t>of Shares</w:t>
            </w:r>
          </w:p>
        </w:tc>
        <w:tc>
          <w:tcPr>
            <w:tcW w:w="13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Sales</w:t>
            </w:r>
          </w:p>
        </w:tc>
      </w:tr>
      <w:tr>
        <w:trPr>
          <w:trHeight w:val="170"/>
        </w:trPr>
        <w:tc>
          <w:tcPr>
            <w:tcW w:w="3840" w:type="dxa"/>
            <w:vAlign w:val="bottom"/>
            <w:tcBorders>
              <w:bottom w:val="single" w:sz="8" w:color="auto"/>
            </w:tcBorders>
            <w:shd w:val="clear" w:color="auto" w:fill="CCEEFF"/>
          </w:tcPr>
          <w:p>
            <w:pPr>
              <w:spacing w:after="0"/>
              <w:rPr>
                <w:sz w:val="14"/>
                <w:szCs w:val="14"/>
                <w:color w:val="auto"/>
              </w:rPr>
            </w:pPr>
          </w:p>
        </w:tc>
        <w:tc>
          <w:tcPr>
            <w:tcW w:w="38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494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$126.90</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Barry Balfe</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1,597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$176.47</w:t>
            </w:r>
          </w:p>
        </w:tc>
      </w:tr>
      <w:tr>
        <w:trPr>
          <w:trHeight w:val="16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Nigel Clerkin</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1,473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$169.24</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334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$126.90</w:t>
            </w:r>
          </w:p>
        </w:tc>
      </w:tr>
      <w:tr>
        <w:trPr>
          <w:trHeight w:val="16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140,334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$141.44</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24,397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$188.44</w:t>
            </w:r>
          </w:p>
        </w:tc>
      </w:tr>
      <w:tr>
        <w:trPr>
          <w:trHeight w:val="16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334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$126.90</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363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$126.90</w:t>
            </w:r>
          </w:p>
        </w:tc>
      </w:tr>
      <w:tr>
        <w:trPr>
          <w:trHeight w:val="16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Linda Grais</w:t>
            </w:r>
          </w:p>
        </w:tc>
        <w:tc>
          <w:tcPr>
            <w:tcW w:w="3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334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$126.90</w:t>
            </w:r>
          </w:p>
        </w:tc>
      </w:tr>
      <w:tr>
        <w:trPr>
          <w:trHeight w:val="16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384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1,185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$182.43</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The price of the Company’s ordinary shares during the year ended 31 December 2025 moved in the range of $125.10 to $228.29 (year ended 31 December 2024: in the range of $183.38 to $347.72).</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The closing share price at 31 December 2025 was $182.22 (31 December 2024: $209.71).</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280"/>
          </w:cols>
          <w:pgMar w:left="300" w:top="698" w:right="3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2025</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3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Name</w:t>
            </w:r>
          </w:p>
        </w:tc>
        <w:tc>
          <w:tcPr>
            <w:tcW w:w="60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9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1"/>
                <w:szCs w:val="11"/>
                <w:b w:val="1"/>
                <w:bCs w:val="1"/>
                <w:color w:val="auto"/>
              </w:rPr>
              <w:t>Salary</w:t>
            </w:r>
          </w:p>
        </w:tc>
        <w:tc>
          <w:tcPr>
            <w:tcW w:w="1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1"/>
                <w:szCs w:val="11"/>
                <w:b w:val="1"/>
                <w:bCs w:val="1"/>
                <w:color w:val="auto"/>
              </w:rPr>
              <w:t>Company pension</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3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r>
      <w:tr>
        <w:trPr>
          <w:trHeight w:val="191"/>
        </w:trPr>
        <w:tc>
          <w:tcPr>
            <w:tcW w:w="13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right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1"/>
                <w:szCs w:val="11"/>
                <w:b w:val="1"/>
                <w:bCs w:val="1"/>
                <w:color w:val="auto"/>
              </w:rPr>
              <w:t>contribution</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60" w:type="dxa"/>
            <w:vAlign w:val="bottom"/>
            <w:tcBorders>
              <w:bottom w:val="single" w:sz="8" w:color="auto"/>
              <w:right w:val="single" w:sz="8" w:color="auto"/>
            </w:tcBorders>
            <w:shd w:val="clear" w:color="auto" w:fill="CCEEFF"/>
          </w:tcPr>
          <w:p>
            <w:pPr>
              <w:spacing w:after="0"/>
              <w:rPr>
                <w:sz w:val="16"/>
                <w:szCs w:val="16"/>
                <w:color w:val="auto"/>
              </w:rPr>
            </w:pPr>
          </w:p>
        </w:tc>
        <w:tc>
          <w:tcPr>
            <w:tcW w:w="940" w:type="dxa"/>
            <w:vAlign w:val="bottom"/>
            <w:tcBorders>
              <w:bottom w:val="single" w:sz="8" w:color="auto"/>
              <w:right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 xml:space="preserve">payments </w:t>
            </w:r>
            <w:r>
              <w:rPr>
                <w:rFonts w:ascii="Arial" w:cs="Arial" w:eastAsia="Arial" w:hAnsi="Arial"/>
                <w:sz w:val="14"/>
                <w:szCs w:val="14"/>
                <w:b w:val="1"/>
                <w:bCs w:val="1"/>
                <w:color w:val="auto"/>
                <w:vertAlign w:val="superscript"/>
              </w:rPr>
              <w:t>(1)</w:t>
            </w:r>
          </w:p>
        </w:tc>
        <w:tc>
          <w:tcPr>
            <w:tcW w:w="980" w:type="dxa"/>
            <w:vAlign w:val="bottom"/>
            <w:tcBorders>
              <w:bottom w:val="single" w:sz="8" w:color="auto"/>
              <w:right w:val="single" w:sz="8" w:color="auto"/>
            </w:tcBorders>
            <w:shd w:val="clear" w:color="auto" w:fill="CCEEFF"/>
          </w:tcPr>
          <w:p>
            <w:pPr>
              <w:spacing w:after="0"/>
              <w:rPr>
                <w:sz w:val="16"/>
                <w:szCs w:val="16"/>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r>
      <w:tr>
        <w:trPr>
          <w:trHeight w:val="160"/>
        </w:trPr>
        <w:tc>
          <w:tcPr>
            <w:tcW w:w="1360" w:type="dxa"/>
            <w:vAlign w:val="bottom"/>
            <w:tcBorders>
              <w:left w:val="single" w:sz="8" w:color="auto"/>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$’000</w:t>
            </w:r>
          </w:p>
        </w:tc>
        <w:tc>
          <w:tcPr>
            <w:tcW w:w="12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60"/>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324</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386</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710</w:t>
            </w:r>
          </w:p>
        </w:tc>
      </w:tr>
      <w:tr>
        <w:trPr>
          <w:trHeight w:val="170"/>
        </w:trPr>
        <w:tc>
          <w:tcPr>
            <w:tcW w:w="1360" w:type="dxa"/>
            <w:vAlign w:val="bottom"/>
            <w:tcBorders>
              <w:left w:val="single" w:sz="8" w:color="auto"/>
              <w:right w:val="single" w:sz="8" w:color="auto"/>
            </w:tcBorders>
          </w:tcPr>
          <w:p>
            <w:pPr>
              <w:ind w:left="20"/>
              <w:spacing w:after="0" w:line="170" w:lineRule="exact"/>
              <w:rPr>
                <w:sz w:val="20"/>
                <w:szCs w:val="20"/>
                <w:color w:val="auto"/>
              </w:rPr>
            </w:pPr>
            <w:r>
              <w:rPr>
                <w:rFonts w:ascii="Arial" w:cs="Arial" w:eastAsia="Arial" w:hAnsi="Arial"/>
                <w:sz w:val="13"/>
                <w:szCs w:val="13"/>
                <w:color w:val="auto"/>
              </w:rPr>
              <w:t xml:space="preserve">Barry Balfe </w:t>
            </w:r>
            <w:r>
              <w:rPr>
                <w:rFonts w:ascii="Arial" w:cs="Arial" w:eastAsia="Arial" w:hAnsi="Arial"/>
                <w:sz w:val="16"/>
                <w:szCs w:val="16"/>
                <w:color w:val="auto"/>
                <w:vertAlign w:val="superscript"/>
              </w:rPr>
              <w:t>(2)</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851</w:t>
            </w:r>
          </w:p>
        </w:tc>
        <w:tc>
          <w:tcPr>
            <w:tcW w:w="1280" w:type="dxa"/>
            <w:vAlign w:val="bottom"/>
          </w:tcPr>
          <w:p>
            <w:pPr>
              <w:jc w:val="right"/>
              <w:ind w:right="137"/>
              <w:spacing w:after="0"/>
              <w:rPr>
                <w:sz w:val="20"/>
                <w:szCs w:val="20"/>
                <w:color w:val="auto"/>
              </w:rPr>
            </w:pPr>
            <w:r>
              <w:rPr>
                <w:rFonts w:ascii="Arial" w:cs="Arial" w:eastAsia="Arial" w:hAnsi="Arial"/>
                <w:sz w:val="13"/>
                <w:szCs w:val="13"/>
                <w:color w:val="auto"/>
              </w:rPr>
              <w:t>106</w:t>
            </w:r>
          </w:p>
        </w:tc>
        <w:tc>
          <w:tcPr>
            <w:tcW w:w="1300" w:type="dxa"/>
            <w:vAlign w:val="bottom"/>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28</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985</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2,992</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3,977</w:t>
            </w:r>
          </w:p>
        </w:tc>
      </w:tr>
      <w:tr>
        <w:trPr>
          <w:trHeight w:val="170"/>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Nigel Clerkin</w:t>
            </w:r>
          </w:p>
        </w:tc>
        <w:tc>
          <w:tcPr>
            <w:tcW w:w="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640</w:t>
            </w: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101</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741</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2,236</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2,977</w:t>
            </w:r>
          </w:p>
        </w:tc>
      </w:tr>
      <w:tr>
        <w:trPr>
          <w:trHeight w:val="169"/>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00" w:type="dxa"/>
            <w:vAlign w:val="bottom"/>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220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178</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398</w:t>
            </w:r>
          </w:p>
        </w:tc>
      </w:tr>
      <w:tr>
        <w:trPr>
          <w:trHeight w:val="171"/>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220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320</w:t>
            </w:r>
          </w:p>
        </w:tc>
      </w:tr>
      <w:tr>
        <w:trPr>
          <w:trHeight w:val="170"/>
        </w:trPr>
        <w:tc>
          <w:tcPr>
            <w:tcW w:w="1360" w:type="dxa"/>
            <w:vAlign w:val="bottom"/>
            <w:tcBorders>
              <w:left w:val="single" w:sz="8" w:color="auto"/>
              <w:right w:val="single" w:sz="8" w:color="auto"/>
            </w:tcBorders>
          </w:tcPr>
          <w:p>
            <w:pPr>
              <w:ind w:left="20"/>
              <w:spacing w:after="0" w:line="170" w:lineRule="exact"/>
              <w:rPr>
                <w:sz w:val="20"/>
                <w:szCs w:val="20"/>
                <w:color w:val="auto"/>
              </w:rPr>
            </w:pPr>
            <w:r>
              <w:rPr>
                <w:rFonts w:ascii="Arial" w:cs="Arial" w:eastAsia="Arial" w:hAnsi="Arial"/>
                <w:sz w:val="13"/>
                <w:szCs w:val="13"/>
                <w:color w:val="auto"/>
              </w:rPr>
              <w:t xml:space="preserve">Dr. Steve Cutler </w:t>
            </w:r>
            <w:r>
              <w:rPr>
                <w:rFonts w:ascii="Arial" w:cs="Arial" w:eastAsia="Arial" w:hAnsi="Arial"/>
                <w:sz w:val="16"/>
                <w:szCs w:val="16"/>
                <w:color w:val="auto"/>
                <w:vertAlign w:val="superscript"/>
              </w:rPr>
              <w:t>(3)</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1,030</w:t>
            </w:r>
          </w:p>
        </w:tc>
        <w:tc>
          <w:tcPr>
            <w:tcW w:w="1280" w:type="dxa"/>
            <w:vAlign w:val="bottom"/>
          </w:tcPr>
          <w:p>
            <w:pPr>
              <w:jc w:val="right"/>
              <w:ind w:right="137"/>
              <w:spacing w:after="0"/>
              <w:rPr>
                <w:sz w:val="20"/>
                <w:szCs w:val="20"/>
                <w:color w:val="auto"/>
              </w:rPr>
            </w:pPr>
            <w:r>
              <w:rPr>
                <w:rFonts w:ascii="Arial" w:cs="Arial" w:eastAsia="Arial" w:hAnsi="Arial"/>
                <w:sz w:val="13"/>
                <w:szCs w:val="13"/>
                <w:color w:val="auto"/>
              </w:rPr>
              <w:t>101</w:t>
            </w:r>
          </w:p>
        </w:tc>
        <w:tc>
          <w:tcPr>
            <w:tcW w:w="1300" w:type="dxa"/>
            <w:vAlign w:val="bottom"/>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1,323</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2,454</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18,666</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58</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21,178</w:t>
            </w:r>
          </w:p>
        </w:tc>
      </w:tr>
      <w:tr>
        <w:trPr>
          <w:trHeight w:val="170"/>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220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133</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353</w:t>
            </w:r>
          </w:p>
        </w:tc>
      </w:tr>
      <w:tr>
        <w:trPr>
          <w:trHeight w:val="169"/>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00" w:type="dxa"/>
            <w:vAlign w:val="bottom"/>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220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125</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345</w:t>
            </w:r>
          </w:p>
        </w:tc>
      </w:tr>
      <w:tr>
        <w:trPr>
          <w:trHeight w:val="171"/>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220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133</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353</w:t>
            </w:r>
          </w:p>
        </w:tc>
      </w:tr>
      <w:tr>
        <w:trPr>
          <w:trHeight w:val="169"/>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Anne Whitaker</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135</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113</w:t>
            </w:r>
          </w:p>
        </w:tc>
        <w:tc>
          <w:tcPr>
            <w:tcW w:w="13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248</w:t>
            </w:r>
          </w:p>
        </w:tc>
      </w:tr>
      <w:tr>
        <w:trPr>
          <w:trHeight w:val="162"/>
        </w:trPr>
        <w:tc>
          <w:tcPr>
            <w:tcW w:w="13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9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2,521</w:t>
            </w:r>
          </w:p>
        </w:tc>
        <w:tc>
          <w:tcPr>
            <w:tcW w:w="1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207</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1,452</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4,180</w:t>
            </w:r>
          </w:p>
        </w:tc>
        <w:tc>
          <w:tcPr>
            <w:tcW w:w="11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25,453</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1,226</w:t>
            </w:r>
          </w:p>
        </w:tc>
        <w:tc>
          <w:tcPr>
            <w:tcW w:w="13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30,859</w:t>
            </w:r>
          </w:p>
        </w:tc>
      </w:tr>
    </w:tbl>
    <w:p>
      <w:pPr>
        <w:spacing w:after="0" w:line="57" w:lineRule="exact"/>
        <w:rPr>
          <w:sz w:val="20"/>
          <w:szCs w:val="20"/>
          <w:color w:val="auto"/>
        </w:rPr>
      </w:pPr>
    </w:p>
    <w:p>
      <w:pPr>
        <w:ind w:left="200" w:hanging="195"/>
        <w:spacing w:after="0" w:line="221" w:lineRule="auto"/>
        <w:tabs>
          <w:tab w:leader="none" w:pos="171" w:val="left"/>
        </w:tabs>
        <w:numPr>
          <w:ilvl w:val="0"/>
          <w:numId w:val="58"/>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Share-based payments is the IFRS 2 expense related to share options, RSUs and PSUs. The aggregate amount of the gains earned by the Directors on the exercise of share options during the financial year is disclosed in Note 6 Profit before taxation under ‘Directors’ emoluments’ in Notes to the Consolidated Financial Statements.</w:t>
      </w:r>
    </w:p>
    <w:p>
      <w:pPr>
        <w:spacing w:after="0" w:line="156"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58"/>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Mr. Barry Balfe succeeded Dr. Steve Cutler as Chief Executive Officer effective 1 October 2025 having served as Chief Operating Officer from 1 January 2025.</w:t>
      </w:r>
    </w:p>
    <w:p>
      <w:pPr>
        <w:spacing w:after="0" w:line="169" w:lineRule="exact"/>
        <w:rPr>
          <w:rFonts w:ascii="Arial" w:cs="Arial" w:eastAsia="Arial" w:hAnsi="Arial"/>
          <w:sz w:val="15"/>
          <w:szCs w:val="15"/>
          <w:i w:val="1"/>
          <w:iCs w:val="1"/>
          <w:color w:val="auto"/>
          <w:vertAlign w:val="superscript"/>
        </w:rPr>
      </w:pPr>
    </w:p>
    <w:p>
      <w:pPr>
        <w:jc w:val="both"/>
        <w:ind w:left="200" w:hanging="195"/>
        <w:spacing w:after="0" w:line="236" w:lineRule="auto"/>
        <w:tabs>
          <w:tab w:leader="none" w:pos="192" w:val="left"/>
        </w:tabs>
        <w:numPr>
          <w:ilvl w:val="0"/>
          <w:numId w:val="58"/>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Dr. Steve Cutler retired from his role as Chief Executive Officer effective 1 October 2025. On retirement, all unvested Share Options and Restricted Share Units were accelerated resulting in an accelerated share based compensation charge of $13.9 million. Unvested Performance Share Units were forfeited. These accelerated Share Options and previous vested Share Options will continue until their normal expiration date. As recorded within “All other compensation” above, Dr. Cutler will continue to receive, from his retirement date through to August 2026, his current monthly salary, in total $1.1 million as notice period entitlements. In addition, Dr. Cutler will continue to receive, from his retirement date for 2 years a monthly non-compete payment, in total $1.2 million of which $0.2 million is accrued and disclosed within “All other compensation” above. The Company will also pay the employer portion of Dr. Cutler’s health insurance premium until October 1, 2026. Dr. Cutler resigned from the Board effective 21 May 2026.</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280"/>
          </w:cols>
          <w:pgMar w:left="300" w:top="698"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Payroll and related benefits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2024</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34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Name</w:t>
            </w:r>
          </w:p>
        </w:tc>
        <w:tc>
          <w:tcPr>
            <w:tcW w:w="6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i w:val="1"/>
                <w:iCs w:val="1"/>
                <w:color w:val="auto"/>
              </w:rPr>
              <w:t>Year</w:t>
            </w:r>
          </w:p>
        </w:tc>
        <w:tc>
          <w:tcPr>
            <w:tcW w:w="9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1"/>
                <w:szCs w:val="11"/>
                <w:b w:val="1"/>
                <w:bCs w:val="1"/>
                <w:i w:val="1"/>
                <w:iCs w:val="1"/>
                <w:color w:val="auto"/>
              </w:rPr>
              <w:t>Salary</w:t>
            </w:r>
          </w:p>
        </w:tc>
        <w:tc>
          <w:tcPr>
            <w:tcW w:w="1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i w:val="1"/>
                <w:iCs w:val="1"/>
                <w:color w:val="auto"/>
              </w:rPr>
              <w:t>Company pension</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Performance related</w:t>
            </w:r>
          </w:p>
        </w:tc>
        <w:tc>
          <w:tcPr>
            <w:tcW w:w="13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All other compensation</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Subtotal</w:t>
            </w:r>
          </w:p>
        </w:tc>
        <w:tc>
          <w:tcPr>
            <w:tcW w:w="11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i w:val="1"/>
                <w:iCs w:val="1"/>
                <w:color w:val="auto"/>
              </w:rPr>
              <w:t>Share-based</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Directors’ fees</w:t>
            </w:r>
          </w:p>
        </w:tc>
        <w:tc>
          <w:tcPr>
            <w:tcW w:w="14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Total</w:t>
            </w:r>
          </w:p>
        </w:tc>
      </w:tr>
      <w:tr>
        <w:trPr>
          <w:trHeight w:val="191"/>
        </w:trPr>
        <w:tc>
          <w:tcPr>
            <w:tcW w:w="134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620" w:type="dxa"/>
            <w:vAlign w:val="bottom"/>
            <w:tcBorders>
              <w:bottom w:val="single" w:sz="8" w:color="auto"/>
              <w:right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i w:val="1"/>
                <w:iCs w:val="1"/>
                <w:color w:val="auto"/>
              </w:rPr>
              <w:t>contribution</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compensation</w:t>
            </w:r>
          </w:p>
        </w:tc>
        <w:tc>
          <w:tcPr>
            <w:tcW w:w="1360" w:type="dxa"/>
            <w:vAlign w:val="bottom"/>
            <w:tcBorders>
              <w:bottom w:val="single" w:sz="8" w:color="auto"/>
              <w:right w:val="single" w:sz="8" w:color="auto"/>
            </w:tcBorders>
            <w:shd w:val="clear" w:color="auto" w:fill="CCEEFF"/>
          </w:tcPr>
          <w:p>
            <w:pPr>
              <w:spacing w:after="0"/>
              <w:rPr>
                <w:sz w:val="16"/>
                <w:szCs w:val="16"/>
                <w:color w:val="auto"/>
              </w:rPr>
            </w:pPr>
          </w:p>
        </w:tc>
        <w:tc>
          <w:tcPr>
            <w:tcW w:w="940" w:type="dxa"/>
            <w:vAlign w:val="bottom"/>
            <w:tcBorders>
              <w:bottom w:val="single" w:sz="8" w:color="auto"/>
              <w:right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i w:val="1"/>
                <w:iCs w:val="1"/>
                <w:color w:val="auto"/>
              </w:rPr>
              <w:t xml:space="preserve">payments </w:t>
            </w:r>
            <w:r>
              <w:rPr>
                <w:rFonts w:ascii="Arial" w:cs="Arial" w:eastAsia="Arial" w:hAnsi="Arial"/>
                <w:sz w:val="14"/>
                <w:szCs w:val="14"/>
                <w:b w:val="1"/>
                <w:bCs w:val="1"/>
                <w:i w:val="1"/>
                <w:iCs w:val="1"/>
                <w:color w:val="auto"/>
                <w:vertAlign w:val="superscript"/>
              </w:rPr>
              <w:t>(1)</w:t>
            </w:r>
          </w:p>
        </w:tc>
        <w:tc>
          <w:tcPr>
            <w:tcW w:w="980" w:type="dxa"/>
            <w:vAlign w:val="bottom"/>
            <w:tcBorders>
              <w:bottom w:val="single" w:sz="8" w:color="auto"/>
              <w:right w:val="single" w:sz="8" w:color="auto"/>
            </w:tcBorders>
            <w:shd w:val="clear" w:color="auto" w:fill="CCEEFF"/>
          </w:tcPr>
          <w:p>
            <w:pPr>
              <w:spacing w:after="0"/>
              <w:rPr>
                <w:sz w:val="16"/>
                <w:szCs w:val="16"/>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compensation</w:t>
            </w:r>
          </w:p>
        </w:tc>
      </w:tr>
      <w:tr>
        <w:trPr>
          <w:trHeight w:val="160"/>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i w:val="1"/>
                <w:iCs w:val="1"/>
                <w:color w:val="auto"/>
              </w:rPr>
              <w:t>$’000</w:t>
            </w:r>
          </w:p>
        </w:tc>
        <w:tc>
          <w:tcPr>
            <w:tcW w:w="12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i w:val="1"/>
                <w:iCs w:val="1"/>
                <w:color w:val="auto"/>
              </w:rPr>
              <w:t>$’000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i w:val="1"/>
                <w:i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i w:val="1"/>
                <w:i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i w:val="1"/>
                <w:iCs w:val="1"/>
                <w:color w:val="auto"/>
              </w:rPr>
              <w:t>$’000</w:t>
            </w: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i w:val="1"/>
                <w:iCs w:val="1"/>
                <w:color w:val="auto"/>
              </w:rPr>
              <w:t>$’000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i w:val="1"/>
                <w:iCs w:val="1"/>
                <w:color w:val="auto"/>
              </w:rPr>
              <w:t>$’000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i w:val="1"/>
                <w:iCs w:val="1"/>
                <w:color w:val="auto"/>
              </w:rPr>
              <w:t>$’000</w:t>
            </w:r>
          </w:p>
        </w:tc>
      </w:tr>
      <w:tr>
        <w:trPr>
          <w:trHeight w:val="16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Ciaran Murray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i w:val="1"/>
                <w:iCs w:val="1"/>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300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358</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658</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i w:val="1"/>
                <w:iCs w:val="1"/>
                <w:color w:val="auto"/>
              </w:rPr>
              <w:t>Dr. Steve Cutler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i w:val="1"/>
                <w:iCs w:val="1"/>
                <w:color w:val="auto"/>
              </w:rPr>
              <w:t>1,234</w:t>
            </w:r>
          </w:p>
        </w:tc>
        <w:tc>
          <w:tcPr>
            <w:tcW w:w="1260" w:type="dxa"/>
            <w:vAlign w:val="bottom"/>
          </w:tcPr>
          <w:p>
            <w:pPr>
              <w:jc w:val="right"/>
              <w:ind w:right="117"/>
              <w:spacing w:after="0"/>
              <w:rPr>
                <w:sz w:val="20"/>
                <w:szCs w:val="20"/>
                <w:color w:val="auto"/>
              </w:rPr>
            </w:pPr>
            <w:r>
              <w:rPr>
                <w:rFonts w:ascii="Arial" w:cs="Arial" w:eastAsia="Arial" w:hAnsi="Arial"/>
                <w:sz w:val="13"/>
                <w:szCs w:val="13"/>
                <w:i w:val="1"/>
                <w:iCs w:val="1"/>
                <w:color w:val="auto"/>
              </w:rPr>
              <w:t>130</w:t>
            </w:r>
          </w:p>
        </w:tc>
        <w:tc>
          <w:tcPr>
            <w:tcW w:w="1300" w:type="dxa"/>
            <w:vAlign w:val="bottom"/>
          </w:tcPr>
          <w:p>
            <w:pPr>
              <w:ind w:left="1080"/>
              <w:spacing w:after="0"/>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1,395</w:t>
            </w:r>
          </w:p>
        </w:tc>
        <w:tc>
          <w:tcPr>
            <w:tcW w:w="1140" w:type="dxa"/>
            <w:vAlign w:val="bottom"/>
          </w:tcPr>
          <w:p>
            <w:pPr>
              <w:jc w:val="right"/>
              <w:ind w:right="117"/>
              <w:spacing w:after="0"/>
              <w:rPr>
                <w:sz w:val="20"/>
                <w:szCs w:val="20"/>
                <w:color w:val="auto"/>
              </w:rPr>
            </w:pPr>
            <w:r>
              <w:rPr>
                <w:rFonts w:ascii="Arial" w:cs="Arial" w:eastAsia="Arial" w:hAnsi="Arial"/>
                <w:sz w:val="13"/>
                <w:szCs w:val="13"/>
                <w:i w:val="1"/>
                <w:iCs w:val="1"/>
                <w:color w:val="auto"/>
              </w:rPr>
              <w:t>4,232</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5,671</w:t>
            </w:r>
          </w:p>
        </w:tc>
      </w:tr>
      <w:tr>
        <w:trPr>
          <w:trHeight w:val="131"/>
        </w:trPr>
        <w:tc>
          <w:tcPr>
            <w:tcW w:w="1340" w:type="dxa"/>
            <w:vAlign w:val="bottom"/>
            <w:tcBorders>
              <w:left w:val="single" w:sz="8" w:color="auto"/>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i w:val="1"/>
                <w:iCs w:val="1"/>
                <w:color w:val="auto"/>
              </w:rPr>
              <w:t>Nigel</w:t>
            </w:r>
          </w:p>
        </w:tc>
        <w:tc>
          <w:tcPr>
            <w:tcW w:w="620" w:type="dxa"/>
            <w:vAlign w:val="bottom"/>
            <w:tcBorders>
              <w:right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i w:val="1"/>
                <w:iCs w:val="1"/>
                <w:color w:val="auto"/>
                <w:w w:val="96"/>
              </w:rPr>
              <w:t>2024</w:t>
            </w:r>
          </w:p>
        </w:tc>
        <w:tc>
          <w:tcPr>
            <w:tcW w:w="940" w:type="dxa"/>
            <w:vAlign w:val="bottom"/>
            <w:shd w:val="clear" w:color="auto" w:fill="CCEEFF"/>
          </w:tcPr>
          <w:p>
            <w:pPr>
              <w:jc w:val="right"/>
              <w:ind w:right="137"/>
              <w:spacing w:after="0" w:line="131" w:lineRule="exact"/>
              <w:rPr>
                <w:sz w:val="20"/>
                <w:szCs w:val="20"/>
                <w:color w:val="auto"/>
              </w:rPr>
            </w:pPr>
            <w:r>
              <w:rPr>
                <w:rFonts w:ascii="Arial" w:cs="Arial" w:eastAsia="Arial" w:hAnsi="Arial"/>
                <w:sz w:val="13"/>
                <w:szCs w:val="13"/>
                <w:i w:val="1"/>
                <w:iCs w:val="1"/>
                <w:color w:val="auto"/>
              </w:rPr>
              <w:t>124</w:t>
            </w:r>
          </w:p>
        </w:tc>
        <w:tc>
          <w:tcPr>
            <w:tcW w:w="1260" w:type="dxa"/>
            <w:vAlign w:val="bottom"/>
            <w:shd w:val="clear" w:color="auto" w:fill="CCEEFF"/>
          </w:tcPr>
          <w:p>
            <w:pPr>
              <w:jc w:val="right"/>
              <w:ind w:right="117"/>
              <w:spacing w:after="0" w:line="131" w:lineRule="exact"/>
              <w:rPr>
                <w:sz w:val="20"/>
                <w:szCs w:val="20"/>
                <w:color w:val="auto"/>
              </w:rPr>
            </w:pPr>
            <w:r>
              <w:rPr>
                <w:rFonts w:ascii="Arial" w:cs="Arial" w:eastAsia="Arial" w:hAnsi="Arial"/>
                <w:sz w:val="13"/>
                <w:szCs w:val="13"/>
                <w:i w:val="1"/>
                <w:iCs w:val="1"/>
                <w:color w:val="auto"/>
              </w:rPr>
              <w:t>—</w:t>
            </w:r>
          </w:p>
        </w:tc>
        <w:tc>
          <w:tcPr>
            <w:tcW w:w="1300" w:type="dxa"/>
            <w:vAlign w:val="bottom"/>
            <w:shd w:val="clear" w:color="auto" w:fill="CCEEFF"/>
          </w:tcPr>
          <w:p>
            <w:pPr>
              <w:ind w:left="1080"/>
              <w:spacing w:after="0" w:line="131" w:lineRule="exact"/>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shd w:val="clear" w:color="auto" w:fill="CCEEFF"/>
          </w:tcPr>
          <w:p>
            <w:pPr>
              <w:jc w:val="right"/>
              <w:ind w:right="17"/>
              <w:spacing w:after="0" w:line="131" w:lineRule="exact"/>
              <w:rPr>
                <w:sz w:val="20"/>
                <w:szCs w:val="20"/>
                <w:color w:val="auto"/>
              </w:rPr>
            </w:pPr>
            <w:r>
              <w:rPr>
                <w:rFonts w:ascii="Arial" w:cs="Arial" w:eastAsia="Arial" w:hAnsi="Arial"/>
                <w:sz w:val="13"/>
                <w:szCs w:val="13"/>
                <w:i w:val="1"/>
                <w:iCs w:val="1"/>
                <w:color w:val="auto"/>
              </w:rPr>
              <w:t>18</w:t>
            </w:r>
          </w:p>
        </w:tc>
        <w:tc>
          <w:tcPr>
            <w:tcW w:w="940" w:type="dxa"/>
            <w:vAlign w:val="bottom"/>
            <w:tcBorders>
              <w:right w:val="single" w:sz="8" w:color="auto"/>
            </w:tcBorders>
            <w:shd w:val="clear" w:color="auto" w:fill="CCEEFF"/>
          </w:tcPr>
          <w:p>
            <w:pPr>
              <w:jc w:val="right"/>
              <w:ind w:right="17"/>
              <w:spacing w:after="0" w:line="131" w:lineRule="exact"/>
              <w:rPr>
                <w:sz w:val="20"/>
                <w:szCs w:val="20"/>
                <w:color w:val="auto"/>
              </w:rPr>
            </w:pPr>
            <w:r>
              <w:rPr>
                <w:rFonts w:ascii="Arial" w:cs="Arial" w:eastAsia="Arial" w:hAnsi="Arial"/>
                <w:sz w:val="13"/>
                <w:szCs w:val="13"/>
                <w:i w:val="1"/>
                <w:iCs w:val="1"/>
                <w:color w:val="auto"/>
              </w:rPr>
              <w:t>142</w:t>
            </w:r>
          </w:p>
        </w:tc>
        <w:tc>
          <w:tcPr>
            <w:tcW w:w="1140" w:type="dxa"/>
            <w:vAlign w:val="bottom"/>
            <w:shd w:val="clear" w:color="auto" w:fill="CCEEFF"/>
          </w:tcPr>
          <w:p>
            <w:pPr>
              <w:jc w:val="right"/>
              <w:ind w:right="117"/>
              <w:spacing w:after="0" w:line="131" w:lineRule="exact"/>
              <w:rPr>
                <w:sz w:val="20"/>
                <w:szCs w:val="20"/>
                <w:color w:val="auto"/>
              </w:rPr>
            </w:pPr>
            <w:r>
              <w:rPr>
                <w:rFonts w:ascii="Arial" w:cs="Arial" w:eastAsia="Arial" w:hAnsi="Arial"/>
                <w:sz w:val="13"/>
                <w:szCs w:val="13"/>
                <w:i w:val="1"/>
                <w:iCs w:val="1"/>
                <w:color w:val="auto"/>
              </w:rPr>
              <w:t>192</w:t>
            </w:r>
          </w:p>
        </w:tc>
        <w:tc>
          <w:tcPr>
            <w:tcW w:w="980" w:type="dxa"/>
            <w:vAlign w:val="bottom"/>
            <w:tcBorders>
              <w:right w:val="single" w:sz="8" w:color="auto"/>
            </w:tcBorders>
            <w:shd w:val="clear" w:color="auto" w:fill="CCEEFF"/>
          </w:tcPr>
          <w:p>
            <w:pPr>
              <w:jc w:val="right"/>
              <w:ind w:right="17"/>
              <w:spacing w:after="0" w:line="131" w:lineRule="exact"/>
              <w:rPr>
                <w:sz w:val="20"/>
                <w:szCs w:val="20"/>
                <w:color w:val="auto"/>
              </w:rPr>
            </w:pPr>
            <w:r>
              <w:rPr>
                <w:rFonts w:ascii="Arial" w:cs="Arial" w:eastAsia="Arial" w:hAnsi="Arial"/>
                <w:sz w:val="13"/>
                <w:szCs w:val="13"/>
                <w:i w:val="1"/>
                <w:iCs w:val="1"/>
                <w:color w:val="auto"/>
              </w:rPr>
              <w:t>—</w:t>
            </w:r>
          </w:p>
        </w:tc>
        <w:tc>
          <w:tcPr>
            <w:tcW w:w="1400" w:type="dxa"/>
            <w:vAlign w:val="bottom"/>
            <w:tcBorders>
              <w:right w:val="single" w:sz="8" w:color="auto"/>
            </w:tcBorders>
            <w:shd w:val="clear" w:color="auto" w:fill="CCEEFF"/>
          </w:tcPr>
          <w:p>
            <w:pPr>
              <w:jc w:val="right"/>
              <w:ind w:right="17"/>
              <w:spacing w:after="0" w:line="131" w:lineRule="exact"/>
              <w:rPr>
                <w:sz w:val="20"/>
                <w:szCs w:val="20"/>
                <w:color w:val="auto"/>
              </w:rPr>
            </w:pPr>
            <w:r>
              <w:rPr>
                <w:rFonts w:ascii="Arial" w:cs="Arial" w:eastAsia="Arial" w:hAnsi="Arial"/>
                <w:sz w:val="13"/>
                <w:szCs w:val="13"/>
                <w:i w:val="1"/>
                <w:iCs w:val="1"/>
                <w:color w:val="auto"/>
              </w:rPr>
              <w:t>334</w:t>
            </w:r>
          </w:p>
        </w:tc>
      </w:tr>
      <w:tr>
        <w:trPr>
          <w:trHeight w:val="168"/>
        </w:trPr>
        <w:tc>
          <w:tcPr>
            <w:tcW w:w="1340" w:type="dxa"/>
            <w:vAlign w:val="bottom"/>
            <w:tcBorders>
              <w:left w:val="single" w:sz="8" w:color="auto"/>
              <w:right w:val="single" w:sz="8" w:color="auto"/>
            </w:tcBorders>
            <w:shd w:val="clear" w:color="auto" w:fill="CCEEFF"/>
          </w:tcPr>
          <w:p>
            <w:pPr>
              <w:ind w:left="20"/>
              <w:spacing w:after="0" w:line="168" w:lineRule="exact"/>
              <w:rPr>
                <w:sz w:val="20"/>
                <w:szCs w:val="20"/>
                <w:color w:val="auto"/>
              </w:rPr>
            </w:pPr>
            <w:r>
              <w:rPr>
                <w:rFonts w:ascii="Arial" w:cs="Arial" w:eastAsia="Arial" w:hAnsi="Arial"/>
                <w:sz w:val="13"/>
                <w:szCs w:val="13"/>
                <w:i w:val="1"/>
                <w:iCs w:val="1"/>
                <w:color w:val="auto"/>
              </w:rPr>
              <w:t xml:space="preserve">Clerkin </w:t>
            </w:r>
            <w:r>
              <w:rPr>
                <w:rFonts w:ascii="Arial" w:cs="Arial" w:eastAsia="Arial" w:hAnsi="Arial"/>
                <w:sz w:val="16"/>
                <w:szCs w:val="16"/>
                <w:i w:val="1"/>
                <w:iCs w:val="1"/>
                <w:color w:val="auto"/>
                <w:vertAlign w:val="superscript"/>
              </w:rPr>
              <w:t>(2)</w:t>
            </w:r>
          </w:p>
        </w:tc>
        <w:tc>
          <w:tcPr>
            <w:tcW w:w="620" w:type="dxa"/>
            <w:vAlign w:val="bottom"/>
            <w:tcBorders>
              <w:right w:val="single" w:sz="8" w:color="auto"/>
            </w:tcBorders>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360" w:type="dxa"/>
            <w:vAlign w:val="bottom"/>
            <w:tcBorders>
              <w:right w:val="single" w:sz="8" w:color="auto"/>
            </w:tcBorders>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spacing w:after="0"/>
              <w:rPr>
                <w:sz w:val="14"/>
                <w:szCs w:val="14"/>
                <w:color w:val="auto"/>
              </w:rPr>
            </w:pPr>
          </w:p>
        </w:tc>
        <w:tc>
          <w:tcPr>
            <w:tcW w:w="1400" w:type="dxa"/>
            <w:vAlign w:val="bottom"/>
            <w:tcBorders>
              <w:right w:val="single" w:sz="8" w:color="auto"/>
            </w:tcBorders>
            <w:shd w:val="clear" w:color="auto" w:fill="CCEEFF"/>
          </w:tcPr>
          <w:p>
            <w:pPr>
              <w:spacing w:after="0"/>
              <w:rPr>
                <w:sz w:val="14"/>
                <w:szCs w:val="14"/>
                <w:color w:val="auto"/>
              </w:rPr>
            </w:pPr>
          </w:p>
        </w:tc>
      </w:tr>
      <w:tr>
        <w:trPr>
          <w:trHeight w:val="170"/>
        </w:trPr>
        <w:tc>
          <w:tcPr>
            <w:tcW w:w="1340" w:type="dxa"/>
            <w:vAlign w:val="bottom"/>
            <w:tcBorders>
              <w:left w:val="single" w:sz="8" w:color="auto"/>
              <w:right w:val="single" w:sz="8" w:color="auto"/>
            </w:tcBorders>
          </w:tcPr>
          <w:p>
            <w:pPr>
              <w:ind w:left="20"/>
              <w:spacing w:after="0" w:line="170" w:lineRule="exact"/>
              <w:rPr>
                <w:sz w:val="20"/>
                <w:szCs w:val="20"/>
                <w:color w:val="auto"/>
              </w:rPr>
            </w:pPr>
            <w:r>
              <w:rPr>
                <w:rFonts w:ascii="Arial" w:cs="Arial" w:eastAsia="Arial" w:hAnsi="Arial"/>
                <w:sz w:val="13"/>
                <w:szCs w:val="13"/>
                <w:i w:val="1"/>
                <w:iCs w:val="1"/>
                <w:color w:val="auto"/>
              </w:rPr>
              <w:t xml:space="preserve">Brendan Brennan </w:t>
            </w:r>
            <w:r>
              <w:rPr>
                <w:rFonts w:ascii="Arial" w:cs="Arial" w:eastAsia="Arial" w:hAnsi="Arial"/>
                <w:sz w:val="16"/>
                <w:szCs w:val="16"/>
                <w:i w:val="1"/>
                <w:iCs w:val="1"/>
                <w:color w:val="auto"/>
                <w:vertAlign w:val="superscript"/>
              </w:rPr>
              <w:t>(3)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i w:val="1"/>
                <w:iCs w:val="1"/>
                <w:color w:val="auto"/>
              </w:rPr>
              <w:t>619</w:t>
            </w:r>
          </w:p>
        </w:tc>
        <w:tc>
          <w:tcPr>
            <w:tcW w:w="1260" w:type="dxa"/>
            <w:vAlign w:val="bottom"/>
          </w:tcPr>
          <w:p>
            <w:pPr>
              <w:jc w:val="right"/>
              <w:ind w:right="117"/>
              <w:spacing w:after="0"/>
              <w:rPr>
                <w:sz w:val="20"/>
                <w:szCs w:val="20"/>
                <w:color w:val="auto"/>
              </w:rPr>
            </w:pPr>
            <w:r>
              <w:rPr>
                <w:rFonts w:ascii="Arial" w:cs="Arial" w:eastAsia="Arial" w:hAnsi="Arial"/>
                <w:sz w:val="13"/>
                <w:szCs w:val="13"/>
                <w:i w:val="1"/>
                <w:iCs w:val="1"/>
                <w:color w:val="auto"/>
              </w:rPr>
              <w:t>77</w:t>
            </w:r>
          </w:p>
        </w:tc>
        <w:tc>
          <w:tcPr>
            <w:tcW w:w="1300" w:type="dxa"/>
            <w:vAlign w:val="bottom"/>
          </w:tcPr>
          <w:p>
            <w:pPr>
              <w:ind w:left="1080"/>
              <w:spacing w:after="0"/>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27</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723</w:t>
            </w:r>
          </w:p>
        </w:tc>
        <w:tc>
          <w:tcPr>
            <w:tcW w:w="1140" w:type="dxa"/>
            <w:vAlign w:val="bottom"/>
          </w:tcPr>
          <w:p>
            <w:pPr>
              <w:jc w:val="right"/>
              <w:ind w:right="97"/>
              <w:spacing w:after="0"/>
              <w:rPr>
                <w:sz w:val="20"/>
                <w:szCs w:val="20"/>
                <w:color w:val="auto"/>
              </w:rPr>
            </w:pPr>
            <w:r>
              <w:rPr>
                <w:rFonts w:ascii="Arial" w:cs="Arial" w:eastAsia="Arial" w:hAnsi="Arial"/>
                <w:sz w:val="13"/>
                <w:szCs w:val="13"/>
                <w:i w:val="1"/>
                <w:iCs w:val="1"/>
                <w:color w:val="auto"/>
              </w:rPr>
              <w:t>(1,150)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3"/>
                <w:szCs w:val="13"/>
                <w:i w:val="1"/>
                <w:iCs w:val="1"/>
                <w:color w:val="auto"/>
              </w:rPr>
              <w:t>(427)</w:t>
            </w:r>
          </w:p>
        </w:tc>
      </w:tr>
      <w:tr>
        <w:trPr>
          <w:trHeight w:val="17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Rónán Murphy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i w:val="1"/>
                <w:iCs w:val="1"/>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213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174</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387</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i w:val="1"/>
                <w:iCs w:val="1"/>
                <w:color w:val="auto"/>
              </w:rPr>
              <w:t>Dr. John Climax</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i w:val="1"/>
                <w:iCs w:val="1"/>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i w:val="1"/>
                <w:iCs w:val="1"/>
                <w:color w:val="auto"/>
              </w:rPr>
              <w:t>—</w:t>
            </w:r>
          </w:p>
        </w:tc>
        <w:tc>
          <w:tcPr>
            <w:tcW w:w="1300" w:type="dxa"/>
            <w:vAlign w:val="bottom"/>
          </w:tcPr>
          <w:p>
            <w:pPr>
              <w:ind w:left="1080"/>
              <w:spacing w:after="0"/>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i w:val="1"/>
                <w:iCs w:val="1"/>
                <w:color w:val="auto"/>
              </w:rPr>
              <w:t>213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98</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311</w:t>
            </w:r>
          </w:p>
        </w:tc>
      </w:tr>
      <w:tr>
        <w:trPr>
          <w:trHeight w:val="131"/>
        </w:trPr>
        <w:tc>
          <w:tcPr>
            <w:tcW w:w="1340" w:type="dxa"/>
            <w:vAlign w:val="bottom"/>
            <w:tcBorders>
              <w:left w:val="single" w:sz="8" w:color="auto"/>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i w:val="1"/>
                <w:iCs w:val="1"/>
                <w:color w:val="auto"/>
              </w:rPr>
              <w:t>Joan</w:t>
            </w:r>
          </w:p>
        </w:tc>
        <w:tc>
          <w:tcPr>
            <w:tcW w:w="620" w:type="dxa"/>
            <w:vAlign w:val="bottom"/>
            <w:tcBorders>
              <w:right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i w:val="1"/>
                <w:iCs w:val="1"/>
                <w:color w:val="auto"/>
                <w:w w:val="96"/>
              </w:rPr>
              <w:t>2024</w:t>
            </w:r>
          </w:p>
        </w:tc>
        <w:tc>
          <w:tcPr>
            <w:tcW w:w="940" w:type="dxa"/>
            <w:vAlign w:val="bottom"/>
            <w:shd w:val="clear" w:color="auto" w:fill="CCEEFF"/>
          </w:tcPr>
          <w:p>
            <w:pPr>
              <w:jc w:val="right"/>
              <w:ind w:right="137"/>
              <w:spacing w:after="0" w:line="131" w:lineRule="exact"/>
              <w:rPr>
                <w:sz w:val="20"/>
                <w:szCs w:val="20"/>
                <w:color w:val="auto"/>
              </w:rPr>
            </w:pPr>
            <w:r>
              <w:rPr>
                <w:rFonts w:ascii="Arial" w:cs="Arial" w:eastAsia="Arial" w:hAnsi="Arial"/>
                <w:sz w:val="13"/>
                <w:szCs w:val="13"/>
                <w:i w:val="1"/>
                <w:iCs w:val="1"/>
                <w:color w:val="auto"/>
              </w:rPr>
              <w:t>—</w:t>
            </w:r>
          </w:p>
        </w:tc>
        <w:tc>
          <w:tcPr>
            <w:tcW w:w="1260" w:type="dxa"/>
            <w:vAlign w:val="bottom"/>
            <w:shd w:val="clear" w:color="auto" w:fill="CCEEFF"/>
          </w:tcPr>
          <w:p>
            <w:pPr>
              <w:jc w:val="right"/>
              <w:ind w:right="117"/>
              <w:spacing w:after="0" w:line="131" w:lineRule="exact"/>
              <w:rPr>
                <w:sz w:val="20"/>
                <w:szCs w:val="20"/>
                <w:color w:val="auto"/>
              </w:rPr>
            </w:pPr>
            <w:r>
              <w:rPr>
                <w:rFonts w:ascii="Arial" w:cs="Arial" w:eastAsia="Arial" w:hAnsi="Arial"/>
                <w:sz w:val="13"/>
                <w:szCs w:val="13"/>
                <w:i w:val="1"/>
                <w:iCs w:val="1"/>
                <w:color w:val="auto"/>
              </w:rPr>
              <w:t>—</w:t>
            </w:r>
          </w:p>
        </w:tc>
        <w:tc>
          <w:tcPr>
            <w:tcW w:w="1300" w:type="dxa"/>
            <w:vAlign w:val="bottom"/>
            <w:shd w:val="clear" w:color="auto" w:fill="CCEEFF"/>
          </w:tcPr>
          <w:p>
            <w:pPr>
              <w:ind w:left="1080"/>
              <w:spacing w:after="0" w:line="131" w:lineRule="exact"/>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shd w:val="clear" w:color="auto" w:fill="CCEEFF"/>
          </w:tcPr>
          <w:p>
            <w:pPr>
              <w:jc w:val="right"/>
              <w:ind w:right="17"/>
              <w:spacing w:after="0" w:line="131" w:lineRule="exact"/>
              <w:rPr>
                <w:sz w:val="20"/>
                <w:szCs w:val="20"/>
                <w:color w:val="auto"/>
              </w:rPr>
            </w:pPr>
            <w:r>
              <w:rPr>
                <w:rFonts w:ascii="Arial" w:cs="Arial" w:eastAsia="Arial" w:hAnsi="Arial"/>
                <w:sz w:val="13"/>
                <w:szCs w:val="13"/>
                <w:i w:val="1"/>
                <w:iCs w:val="1"/>
                <w:color w:val="auto"/>
              </w:rPr>
              <w:t>—</w:t>
            </w:r>
          </w:p>
        </w:tc>
        <w:tc>
          <w:tcPr>
            <w:tcW w:w="940" w:type="dxa"/>
            <w:vAlign w:val="bottom"/>
            <w:tcBorders>
              <w:right w:val="single" w:sz="8" w:color="auto"/>
            </w:tcBorders>
            <w:shd w:val="clear" w:color="auto" w:fill="CCEEFF"/>
          </w:tcPr>
          <w:p>
            <w:pPr>
              <w:jc w:val="right"/>
              <w:ind w:right="17"/>
              <w:spacing w:after="0" w:line="131" w:lineRule="exact"/>
              <w:rPr>
                <w:sz w:val="20"/>
                <w:szCs w:val="20"/>
                <w:color w:val="auto"/>
              </w:rPr>
            </w:pPr>
            <w:r>
              <w:rPr>
                <w:rFonts w:ascii="Arial" w:cs="Arial" w:eastAsia="Arial" w:hAnsi="Arial"/>
                <w:sz w:val="13"/>
                <w:szCs w:val="13"/>
                <w:i w:val="1"/>
                <w:iCs w:val="1"/>
                <w:color w:val="auto"/>
              </w:rPr>
              <w:t>—</w:t>
            </w:r>
          </w:p>
        </w:tc>
        <w:tc>
          <w:tcPr>
            <w:tcW w:w="1140" w:type="dxa"/>
            <w:vAlign w:val="bottom"/>
            <w:shd w:val="clear" w:color="auto" w:fill="CCEEFF"/>
          </w:tcPr>
          <w:p>
            <w:pPr>
              <w:jc w:val="right"/>
              <w:ind w:right="117"/>
              <w:spacing w:after="0" w:line="131" w:lineRule="exact"/>
              <w:rPr>
                <w:sz w:val="20"/>
                <w:szCs w:val="20"/>
                <w:color w:val="auto"/>
              </w:rPr>
            </w:pPr>
            <w:r>
              <w:rPr>
                <w:rFonts w:ascii="Arial" w:cs="Arial" w:eastAsia="Arial" w:hAnsi="Arial"/>
                <w:sz w:val="13"/>
                <w:szCs w:val="13"/>
                <w:i w:val="1"/>
                <w:iCs w:val="1"/>
                <w:color w:val="auto"/>
              </w:rPr>
              <w:t>78</w:t>
            </w:r>
          </w:p>
        </w:tc>
        <w:tc>
          <w:tcPr>
            <w:tcW w:w="980" w:type="dxa"/>
            <w:vAlign w:val="bottom"/>
            <w:tcBorders>
              <w:right w:val="single" w:sz="8" w:color="auto"/>
            </w:tcBorders>
            <w:shd w:val="clear" w:color="auto" w:fill="CCEEFF"/>
          </w:tcPr>
          <w:p>
            <w:pPr>
              <w:jc w:val="right"/>
              <w:ind w:right="17"/>
              <w:spacing w:after="0" w:line="131" w:lineRule="exact"/>
              <w:rPr>
                <w:sz w:val="20"/>
                <w:szCs w:val="20"/>
                <w:color w:val="auto"/>
              </w:rPr>
            </w:pPr>
            <w:r>
              <w:rPr>
                <w:rFonts w:ascii="Arial" w:cs="Arial" w:eastAsia="Arial" w:hAnsi="Arial"/>
                <w:sz w:val="13"/>
                <w:szCs w:val="13"/>
                <w:i w:val="1"/>
                <w:iCs w:val="1"/>
                <w:color w:val="auto"/>
              </w:rPr>
              <w:t>72</w:t>
            </w:r>
          </w:p>
        </w:tc>
        <w:tc>
          <w:tcPr>
            <w:tcW w:w="1400" w:type="dxa"/>
            <w:vAlign w:val="bottom"/>
            <w:tcBorders>
              <w:right w:val="single" w:sz="8" w:color="auto"/>
            </w:tcBorders>
            <w:shd w:val="clear" w:color="auto" w:fill="CCEEFF"/>
          </w:tcPr>
          <w:p>
            <w:pPr>
              <w:jc w:val="right"/>
              <w:ind w:right="17"/>
              <w:spacing w:after="0" w:line="131" w:lineRule="exact"/>
              <w:rPr>
                <w:sz w:val="20"/>
                <w:szCs w:val="20"/>
                <w:color w:val="auto"/>
              </w:rPr>
            </w:pPr>
            <w:r>
              <w:rPr>
                <w:rFonts w:ascii="Arial" w:cs="Arial" w:eastAsia="Arial" w:hAnsi="Arial"/>
                <w:sz w:val="13"/>
                <w:szCs w:val="13"/>
                <w:i w:val="1"/>
                <w:iCs w:val="1"/>
                <w:color w:val="auto"/>
              </w:rPr>
              <w:t>150</w:t>
            </w:r>
          </w:p>
        </w:tc>
      </w:tr>
      <w:tr>
        <w:trPr>
          <w:trHeight w:val="168"/>
        </w:trPr>
        <w:tc>
          <w:tcPr>
            <w:tcW w:w="1340" w:type="dxa"/>
            <w:vAlign w:val="bottom"/>
            <w:tcBorders>
              <w:left w:val="single" w:sz="8" w:color="auto"/>
              <w:right w:val="single" w:sz="8" w:color="auto"/>
            </w:tcBorders>
            <w:shd w:val="clear" w:color="auto" w:fill="CCEEFF"/>
          </w:tcPr>
          <w:p>
            <w:pPr>
              <w:ind w:left="20"/>
              <w:spacing w:after="0" w:line="168" w:lineRule="exact"/>
              <w:rPr>
                <w:sz w:val="20"/>
                <w:szCs w:val="20"/>
                <w:color w:val="auto"/>
              </w:rPr>
            </w:pPr>
            <w:r>
              <w:rPr>
                <w:rFonts w:ascii="Arial" w:cs="Arial" w:eastAsia="Arial" w:hAnsi="Arial"/>
                <w:sz w:val="13"/>
                <w:szCs w:val="13"/>
                <w:i w:val="1"/>
                <w:iCs w:val="1"/>
                <w:color w:val="auto"/>
              </w:rPr>
              <w:t xml:space="preserve">Garahy </w:t>
            </w:r>
            <w:r>
              <w:rPr>
                <w:rFonts w:ascii="Arial" w:cs="Arial" w:eastAsia="Arial" w:hAnsi="Arial"/>
                <w:sz w:val="16"/>
                <w:szCs w:val="16"/>
                <w:i w:val="1"/>
                <w:iCs w:val="1"/>
                <w:color w:val="auto"/>
                <w:vertAlign w:val="superscript"/>
              </w:rPr>
              <w:t>(4)</w:t>
            </w:r>
          </w:p>
        </w:tc>
        <w:tc>
          <w:tcPr>
            <w:tcW w:w="620" w:type="dxa"/>
            <w:vAlign w:val="bottom"/>
            <w:tcBorders>
              <w:right w:val="single" w:sz="8" w:color="auto"/>
            </w:tcBorders>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360" w:type="dxa"/>
            <w:vAlign w:val="bottom"/>
            <w:tcBorders>
              <w:right w:val="single" w:sz="8" w:color="auto"/>
            </w:tcBorders>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spacing w:after="0"/>
              <w:rPr>
                <w:sz w:val="14"/>
                <w:szCs w:val="14"/>
                <w:color w:val="auto"/>
              </w:rPr>
            </w:pPr>
          </w:p>
        </w:tc>
        <w:tc>
          <w:tcPr>
            <w:tcW w:w="1400" w:type="dxa"/>
            <w:vAlign w:val="bottom"/>
            <w:tcBorders>
              <w:right w:val="single" w:sz="8" w:color="auto"/>
            </w:tcBorders>
            <w:shd w:val="clear" w:color="auto" w:fill="CCEEFF"/>
          </w:tcPr>
          <w:p>
            <w:pPr>
              <w:spacing w:after="0"/>
              <w:rPr>
                <w:sz w:val="14"/>
                <w:szCs w:val="14"/>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i w:val="1"/>
                <w:iCs w:val="1"/>
                <w:color w:val="auto"/>
              </w:rPr>
              <w:t>Eugene McCague</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i w:val="1"/>
                <w:iCs w:val="1"/>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i w:val="1"/>
                <w:iCs w:val="1"/>
                <w:color w:val="auto"/>
              </w:rPr>
              <w:t>—</w:t>
            </w:r>
          </w:p>
        </w:tc>
        <w:tc>
          <w:tcPr>
            <w:tcW w:w="1300" w:type="dxa"/>
            <w:vAlign w:val="bottom"/>
          </w:tcPr>
          <w:p>
            <w:pPr>
              <w:ind w:left="1080"/>
              <w:spacing w:after="0"/>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i w:val="1"/>
                <w:iCs w:val="1"/>
                <w:color w:val="auto"/>
              </w:rPr>
              <w:t>213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130</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343</w:t>
            </w: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Julie O'Neill</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i w:val="1"/>
                <w:iCs w:val="1"/>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213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123</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336</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i w:val="1"/>
                <w:iCs w:val="1"/>
                <w:color w:val="auto"/>
              </w:rPr>
              <w:t>Dr. Linda Grais</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tcPr>
          <w:p>
            <w:pPr>
              <w:jc w:val="right"/>
              <w:ind w:right="137"/>
              <w:spacing w:after="0"/>
              <w:rPr>
                <w:sz w:val="20"/>
                <w:szCs w:val="20"/>
                <w:color w:val="auto"/>
              </w:rPr>
            </w:pPr>
            <w:r>
              <w:rPr>
                <w:rFonts w:ascii="Arial" w:cs="Arial" w:eastAsia="Arial" w:hAnsi="Arial"/>
                <w:sz w:val="13"/>
                <w:szCs w:val="13"/>
                <w:i w:val="1"/>
                <w:iCs w:val="1"/>
                <w:color w:val="auto"/>
              </w:rPr>
              <w:t>—</w:t>
            </w:r>
          </w:p>
        </w:tc>
        <w:tc>
          <w:tcPr>
            <w:tcW w:w="1260" w:type="dxa"/>
            <w:vAlign w:val="bottom"/>
          </w:tcPr>
          <w:p>
            <w:pPr>
              <w:jc w:val="right"/>
              <w:ind w:right="117"/>
              <w:spacing w:after="0"/>
              <w:rPr>
                <w:sz w:val="20"/>
                <w:szCs w:val="20"/>
                <w:color w:val="auto"/>
              </w:rPr>
            </w:pPr>
            <w:r>
              <w:rPr>
                <w:rFonts w:ascii="Arial" w:cs="Arial" w:eastAsia="Arial" w:hAnsi="Arial"/>
                <w:sz w:val="13"/>
                <w:szCs w:val="13"/>
                <w:i w:val="1"/>
                <w:iCs w:val="1"/>
                <w:color w:val="auto"/>
              </w:rPr>
              <w:t>—</w:t>
            </w:r>
          </w:p>
        </w:tc>
        <w:tc>
          <w:tcPr>
            <w:tcW w:w="1300" w:type="dxa"/>
            <w:vAlign w:val="bottom"/>
          </w:tcPr>
          <w:p>
            <w:pPr>
              <w:ind w:left="1080"/>
              <w:spacing w:after="0"/>
              <w:rPr>
                <w:sz w:val="20"/>
                <w:szCs w:val="20"/>
                <w:color w:val="auto"/>
              </w:rPr>
            </w:pPr>
            <w:r>
              <w:rPr>
                <w:rFonts w:ascii="Arial" w:cs="Arial" w:eastAsia="Arial" w:hAnsi="Arial"/>
                <w:sz w:val="13"/>
                <w:szCs w:val="13"/>
                <w:i w:val="1"/>
                <w:iCs w:val="1"/>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i w:val="1"/>
                <w:iCs w:val="1"/>
                <w:color w:val="auto"/>
              </w:rPr>
              <w:t>213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119</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i w:val="1"/>
                <w:iCs w:val="1"/>
                <w:color w:val="auto"/>
              </w:rPr>
              <w:t>332</w:t>
            </w:r>
          </w:p>
        </w:tc>
      </w:tr>
      <w:tr>
        <w:trPr>
          <w:trHeight w:val="171"/>
        </w:trPr>
        <w:tc>
          <w:tcPr>
            <w:tcW w:w="1340" w:type="dxa"/>
            <w:vAlign w:val="bottom"/>
            <w:tcBorders>
              <w:left w:val="single" w:sz="8" w:color="auto"/>
              <w:bottom w:val="single" w:sz="8" w:color="auto"/>
              <w:right w:val="single" w:sz="8" w:color="auto"/>
            </w:tcBorders>
            <w:shd w:val="clear" w:color="auto" w:fill="CCEEFF"/>
          </w:tcPr>
          <w:p>
            <w:pPr>
              <w:ind w:left="20"/>
              <w:spacing w:after="0" w:line="171" w:lineRule="exact"/>
              <w:rPr>
                <w:sz w:val="20"/>
                <w:szCs w:val="20"/>
                <w:color w:val="auto"/>
              </w:rPr>
            </w:pPr>
            <w:r>
              <w:rPr>
                <w:rFonts w:ascii="Arial" w:cs="Arial" w:eastAsia="Arial" w:hAnsi="Arial"/>
                <w:sz w:val="13"/>
                <w:szCs w:val="13"/>
                <w:i w:val="1"/>
                <w:iCs w:val="1"/>
                <w:color w:val="auto"/>
              </w:rPr>
              <w:t xml:space="preserve">Anne Whitaker </w:t>
            </w:r>
            <w:r>
              <w:rPr>
                <w:rFonts w:ascii="Arial" w:cs="Arial" w:eastAsia="Arial" w:hAnsi="Arial"/>
                <w:sz w:val="16"/>
                <w:szCs w:val="16"/>
                <w:i w:val="1"/>
                <w:iCs w:val="1"/>
                <w:color w:val="auto"/>
                <w:vertAlign w:val="superscript"/>
              </w:rPr>
              <w:t>(5)</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i w:val="1"/>
                <w:iCs w:val="1"/>
                <w:color w:val="auto"/>
              </w:rPr>
              <w:t>—</w:t>
            </w: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3"/>
                <w:szCs w:val="13"/>
                <w:i w:val="1"/>
                <w:iCs w:val="1"/>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w:t>
            </w:r>
          </w:p>
        </w:tc>
        <w:tc>
          <w:tcPr>
            <w:tcW w:w="11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i w:val="1"/>
                <w:iCs w:val="1"/>
                <w:color w:val="auto"/>
              </w:rPr>
              <w:t>—</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50</w:t>
            </w:r>
          </w:p>
        </w:tc>
        <w:tc>
          <w:tcPr>
            <w:tcW w:w="14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50</w:t>
            </w:r>
          </w:p>
        </w:tc>
      </w:tr>
      <w:tr>
        <w:trPr>
          <w:trHeight w:val="160"/>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Total</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6"/>
              </w:rPr>
              <w:t>2024</w:t>
            </w: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i w:val="1"/>
                <w:iCs w:val="1"/>
                <w:color w:val="auto"/>
              </w:rPr>
              <w:t>1,977</w:t>
            </w: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i w:val="1"/>
                <w:iCs w:val="1"/>
                <w:color w:val="auto"/>
              </w:rPr>
              <w:t>207</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i w:val="1"/>
                <w:iCs w:val="1"/>
                <w:color w:val="auto"/>
              </w:rPr>
              <w:t>—</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i w:val="1"/>
                <w:iCs w:val="1"/>
                <w:color w:val="auto"/>
              </w:rPr>
              <w:t>76</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i w:val="1"/>
                <w:iCs w:val="1"/>
                <w:color w:val="auto"/>
              </w:rPr>
              <w:t>2,260</w:t>
            </w: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i w:val="1"/>
                <w:iCs w:val="1"/>
                <w:color w:val="auto"/>
              </w:rPr>
              <w:t>4,717</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i w:val="1"/>
                <w:iCs w:val="1"/>
                <w:color w:val="auto"/>
              </w:rPr>
              <w:t>1,168</w:t>
            </w:r>
          </w:p>
        </w:tc>
        <w:tc>
          <w:tcPr>
            <w:tcW w:w="14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i w:val="1"/>
                <w:iCs w:val="1"/>
                <w:color w:val="auto"/>
              </w:rPr>
              <w:t>8,145</w:t>
            </w:r>
          </w:p>
        </w:tc>
      </w:tr>
    </w:tbl>
    <w:p>
      <w:pPr>
        <w:spacing w:after="0" w:line="68" w:lineRule="exact"/>
        <w:rPr>
          <w:sz w:val="20"/>
          <w:szCs w:val="20"/>
          <w:color w:val="auto"/>
        </w:rPr>
      </w:pPr>
    </w:p>
    <w:p>
      <w:pPr>
        <w:ind w:left="200" w:hanging="195"/>
        <w:spacing w:after="0" w:line="216" w:lineRule="auto"/>
        <w:tabs>
          <w:tab w:leader="none" w:pos="171" w:val="left"/>
        </w:tabs>
        <w:numPr>
          <w:ilvl w:val="0"/>
          <w:numId w:val="59"/>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 xml:space="preserve">Share-based payments is the IFRS 2 expense related to share options, RSUs and PSUs. The aggregate amount of the gains earned by the Directors on the exercise of share options during the financial year is disclosed in Note 6 Profit before taxation under ‘Directors’ emoluments’ </w:t>
      </w:r>
      <w:r>
        <w:rPr>
          <w:rFonts w:ascii="Arial" w:cs="Arial" w:eastAsia="Arial" w:hAnsi="Arial"/>
          <w:sz w:val="12"/>
          <w:szCs w:val="12"/>
          <w:i w:val="1"/>
          <w:iCs w:val="1"/>
          <w:color w:val="auto"/>
        </w:rPr>
        <w:t>i</w:t>
      </w:r>
      <w:r>
        <w:rPr>
          <w:rFonts w:ascii="Arial" w:cs="Arial" w:eastAsia="Arial" w:hAnsi="Arial"/>
          <w:sz w:val="11"/>
          <w:szCs w:val="11"/>
          <w:i w:val="1"/>
          <w:iCs w:val="1"/>
          <w:color w:val="auto"/>
        </w:rPr>
        <w:t>n Notes to the Consolidated Financial Statements.</w:t>
      </w:r>
    </w:p>
    <w:p>
      <w:pPr>
        <w:spacing w:after="0" w:line="163" w:lineRule="exact"/>
        <w:rPr>
          <w:rFonts w:ascii="Arial" w:cs="Arial" w:eastAsia="Arial" w:hAnsi="Arial"/>
          <w:sz w:val="15"/>
          <w:szCs w:val="15"/>
          <w:i w:val="1"/>
          <w:iCs w:val="1"/>
          <w:color w:val="auto"/>
          <w:vertAlign w:val="superscript"/>
        </w:rPr>
      </w:pPr>
    </w:p>
    <w:p>
      <w:pPr>
        <w:ind w:left="200" w:hanging="195"/>
        <w:spacing w:after="0"/>
        <w:tabs>
          <w:tab w:leader="none" w:pos="200" w:val="left"/>
        </w:tabs>
        <w:numPr>
          <w:ilvl w:val="0"/>
          <w:numId w:val="59"/>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Mr. Nigel Clerkin commenced employment with the Company in October 2024 and effective 31 October 2024 took over from Mr. Brendan Brennan as CFO.</w:t>
      </w:r>
    </w:p>
    <w:p>
      <w:pPr>
        <w:spacing w:after="0" w:line="169" w:lineRule="exact"/>
        <w:rPr>
          <w:rFonts w:ascii="Arial" w:cs="Arial" w:eastAsia="Arial" w:hAnsi="Arial"/>
          <w:sz w:val="15"/>
          <w:szCs w:val="15"/>
          <w:i w:val="1"/>
          <w:iCs w:val="1"/>
          <w:color w:val="auto"/>
          <w:vertAlign w:val="superscript"/>
        </w:rPr>
      </w:pPr>
    </w:p>
    <w:p>
      <w:pPr>
        <w:ind w:left="200" w:hanging="195"/>
        <w:spacing w:after="0" w:line="303" w:lineRule="auto"/>
        <w:tabs>
          <w:tab w:leader="none" w:pos="277" w:val="left"/>
        </w:tabs>
        <w:numPr>
          <w:ilvl w:val="0"/>
          <w:numId w:val="59"/>
        </w:numPr>
        <w:rPr>
          <w:rFonts w:ascii="Arial" w:cs="Arial" w:eastAsia="Arial" w:hAnsi="Arial"/>
          <w:sz w:val="7"/>
          <w:szCs w:val="7"/>
          <w:i w:val="1"/>
          <w:iCs w:val="1"/>
          <w:color w:val="auto"/>
        </w:rPr>
      </w:pPr>
      <w:r>
        <w:rPr>
          <w:rFonts w:ascii="Arial" w:cs="Arial" w:eastAsia="Arial" w:hAnsi="Arial"/>
          <w:sz w:val="11"/>
          <w:szCs w:val="11"/>
          <w:i w:val="1"/>
          <w:iCs w:val="1"/>
          <w:color w:val="auto"/>
        </w:rPr>
        <w:t>Mr. Brendan Brennan resigned on 31 October 2024. All unvested options, Restricted Share Units and Performance Share Units were forfeited on Mr. Brennan ceasing to be an ICON plc employee on 31 October 2024 resulting in a credit to share based compensation of $1.2 million. Included within this credit, is a charge of $0.1 million related to awards which vested during the period.</w:t>
      </w:r>
    </w:p>
    <w:p>
      <w:pPr>
        <w:spacing w:after="0" w:line="112" w:lineRule="exact"/>
        <w:rPr>
          <w:rFonts w:ascii="Arial" w:cs="Arial" w:eastAsia="Arial" w:hAnsi="Arial"/>
          <w:sz w:val="7"/>
          <w:szCs w:val="7"/>
          <w:i w:val="1"/>
          <w:iCs w:val="1"/>
          <w:color w:val="auto"/>
        </w:rPr>
      </w:pPr>
    </w:p>
    <w:p>
      <w:pPr>
        <w:ind w:left="200" w:hanging="195"/>
        <w:spacing w:after="0"/>
        <w:tabs>
          <w:tab w:leader="none" w:pos="200" w:val="left"/>
        </w:tabs>
        <w:numPr>
          <w:ilvl w:val="0"/>
          <w:numId w:val="59"/>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Ms. Joan Garahy retired from the Board on 23 July 2024.</w:t>
      </w:r>
    </w:p>
    <w:p>
      <w:pPr>
        <w:spacing w:after="0" w:line="169"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59"/>
        </w:numPr>
        <w:rPr>
          <w:rFonts w:ascii="Arial" w:cs="Arial" w:eastAsia="Arial" w:hAnsi="Arial"/>
          <w:sz w:val="7"/>
          <w:szCs w:val="7"/>
          <w:i w:val="1"/>
          <w:iCs w:val="1"/>
          <w:color w:val="auto"/>
        </w:rPr>
      </w:pPr>
      <w:r>
        <w:rPr>
          <w:rFonts w:ascii="Arial" w:cs="Arial" w:eastAsia="Arial" w:hAnsi="Arial"/>
          <w:sz w:val="11"/>
          <w:szCs w:val="11"/>
          <w:i w:val="1"/>
          <w:iCs w:val="1"/>
          <w:color w:val="auto"/>
        </w:rPr>
        <w:t>Ms. Anne Whitaker was appointed to the Board on 23 July 2024.</w:t>
      </w: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Options</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14 February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280"/>
          </w:cols>
          <w:pgMar w:left="300" w:top="698" w:right="3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9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Option Plan, during any calendar year to any employee shall be 0.4 million ordinary shares. There is no individual limit under the 2008 Consultants Plan. On 14 May 2026, the 2008 Consultants Plan was amended to extend the expiration dates of options that would otherwise expire during periods when the sale of shares is prohibited, for a period equal to 30 open trading days following the reopening of the trading window in accordance with the Share Trading Policy. No options may be granted under the 2008 Option Plans after 14 February 2027.</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Each grant of an option under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Share option awards are granted with an exercise price equal to the market price of the Company's shares at date of grant. Share options typically vest over a period of four to five years from date of grant and expire eight years from date of grant. Share options granted to Non-Executive Directors during 2018 vested over 12 months and expire eight years from the date of grant.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Legacy PRA Equity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 the legacy PRA equity incentive plans, which still have equity outstanding but have been terminated as of 1 July 2021, as to grants of future awards.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Pursuant to the Merger Agreement, effective on 1 July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1 July 2021, and the corresponding value of the merger consideration for each PRA Share. Accordingly, the plans as detailed below were assumed by the Company.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PRA Health Sciences, Inc. 2020 Stock Incentive Plan (the “2020 Plan”), 2018 Stock Incentive Plan (the “2018 Plan”) and 2014 Omnibus Incentive Plan (the “2014 Plan”) were amended and restated and assumed by the Registrant effective as of 1 July 2021.</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2020 Stock Incentive Plan was approved by the PRA stockholders at their annual meeting on 18 May 2020. The 2020 Plan allowed for the issuance of stock options, stock appreciation rights, restricted shares and restricted stock units, other stock-based awards, and performance compensation awards as permitted by applicable laws. The 2020 Plan authorised the issuance of 2.5 million shares of common stock plus all shares that remained available under the prior plan on 18 May 2020.</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2018 Stock Incentive Plan was approved by the PRA stockholders at their annual meeting on 31 May 2018. The 2018 Plan allowed for the issuance of stock options, stock appreciation rights, restricted shares and restricted stock units, other stock-based awards, and performance compensation awards as permitted by applicable laws. The 2018 Plan authorised the issuance of 2.0 million shares of common stock plus all shares that remained available under the 2014 Plan on 31 May 2018 (which included shares carried over from the 2013 Plan).</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23 November 2014, the PRA Health Sciences, Inc. Board of Directors approved the formation of the 2014 Plan for key PRA Employees. The 2014 Plan allowed for the issuance of stock options, stock appreciation rights, restricted shares and stock units, other stock-based awards, and performance compensation awards as permitted by applicable laws.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Overall</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Share option awards are granted with an exercise price equal to the market price of the Company’s ordinary shares at date of grant. Share options typically vest over a period of four to five years from date of grant and expire eight to ten years from date of grant. Share options granted to Non-Executive Directors during 2018 vest over 12 months and expire eight years from the date of grant. The maximum contractual term of options outstanding at 31 December 2025 is ten years.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Set out below is a summary of the total number of options outstanding and number of options available to grant under each plan as at 31 December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Outstanding</w:t>
            </w:r>
          </w:p>
        </w:tc>
        <w:tc>
          <w:tcPr>
            <w:tcW w:w="12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Available to Grant</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3320" w:type="dxa"/>
            <w:vAlign w:val="bottom"/>
          </w:tcPr>
          <w:p>
            <w:pPr>
              <w:spacing w:after="0"/>
              <w:rPr>
                <w:sz w:val="10"/>
                <w:szCs w:val="10"/>
                <w:color w:val="auto"/>
              </w:rPr>
            </w:pPr>
          </w:p>
        </w:tc>
        <w:tc>
          <w:tcPr>
            <w:tcW w:w="404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31 December</w:t>
            </w:r>
          </w:p>
        </w:tc>
        <w:tc>
          <w:tcPr>
            <w:tcW w:w="1280" w:type="dxa"/>
            <w:vAlign w:val="bottom"/>
          </w:tcPr>
          <w:p>
            <w:pPr>
              <w:jc w:val="right"/>
              <w:ind w:right="296"/>
              <w:spacing w:after="0" w:line="118" w:lineRule="exact"/>
              <w:rPr>
                <w:sz w:val="20"/>
                <w:szCs w:val="20"/>
                <w:color w:val="auto"/>
              </w:rPr>
            </w:pPr>
            <w:r>
              <w:rPr>
                <w:rFonts w:ascii="Arial" w:cs="Arial" w:eastAsia="Arial" w:hAnsi="Arial"/>
                <w:sz w:val="13"/>
                <w:szCs w:val="13"/>
                <w:color w:val="auto"/>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70"/>
        </w:trPr>
        <w:tc>
          <w:tcPr>
            <w:tcW w:w="3320" w:type="dxa"/>
            <w:vAlign w:val="bottom"/>
          </w:tcPr>
          <w:p>
            <w:pPr>
              <w:spacing w:after="0"/>
              <w:rPr>
                <w:sz w:val="14"/>
                <w:szCs w:val="14"/>
                <w:color w:val="auto"/>
              </w:rPr>
            </w:pPr>
          </w:p>
        </w:tc>
        <w:tc>
          <w:tcPr>
            <w:tcW w:w="4040" w:type="dxa"/>
            <w:vAlign w:val="bottom"/>
          </w:tcPr>
          <w:p>
            <w:pPr>
              <w:jc w:val="right"/>
              <w:ind w:right="496"/>
              <w:spacing w:after="0"/>
              <w:rPr>
                <w:sz w:val="20"/>
                <w:szCs w:val="20"/>
                <w:color w:val="auto"/>
              </w:rPr>
            </w:pPr>
            <w:r>
              <w:rPr>
                <w:rFonts w:ascii="Arial" w:cs="Arial" w:eastAsia="Arial" w:hAnsi="Arial"/>
                <w:sz w:val="13"/>
                <w:szCs w:val="13"/>
                <w:b w:val="1"/>
                <w:bCs w:val="1"/>
                <w:color w:val="auto"/>
              </w:rPr>
              <w:t>2025</w:t>
            </w:r>
          </w:p>
        </w:tc>
        <w:tc>
          <w:tcPr>
            <w:tcW w:w="1280" w:type="dxa"/>
            <w:vAlign w:val="bottom"/>
          </w:tcPr>
          <w:p>
            <w:pPr>
              <w:jc w:val="right"/>
              <w:ind w:right="296"/>
              <w:spacing w:after="0"/>
              <w:rPr>
                <w:sz w:val="20"/>
                <w:szCs w:val="20"/>
                <w:color w:val="auto"/>
              </w:rPr>
            </w:pPr>
            <w:r>
              <w:rPr>
                <w:rFonts w:ascii="Arial" w:cs="Arial" w:eastAsia="Arial" w:hAnsi="Arial"/>
                <w:sz w:val="13"/>
                <w:szCs w:val="13"/>
                <w:color w:val="auto"/>
              </w:rPr>
              <w:t>2024</w:t>
            </w:r>
          </w:p>
        </w:tc>
        <w:tc>
          <w:tcPr>
            <w:tcW w:w="1780" w:type="dxa"/>
            <w:vAlign w:val="bottom"/>
          </w:tcPr>
          <w:p>
            <w:pPr>
              <w:jc w:val="right"/>
              <w:ind w:right="576"/>
              <w:spacing w:after="0"/>
              <w:rPr>
                <w:sz w:val="20"/>
                <w:szCs w:val="20"/>
                <w:color w:val="auto"/>
              </w:rPr>
            </w:pPr>
            <w:r>
              <w:rPr>
                <w:rFonts w:ascii="Arial" w:cs="Arial" w:eastAsia="Arial" w:hAnsi="Arial"/>
                <w:sz w:val="13"/>
                <w:szCs w:val="13"/>
                <w:b w:val="1"/>
                <w:bCs w:val="1"/>
                <w:color w:val="auto"/>
              </w:rPr>
              <w:t>2025</w:t>
            </w:r>
          </w:p>
        </w:tc>
        <w:tc>
          <w:tcPr>
            <w:tcW w:w="860" w:type="dxa"/>
            <w:vAlign w:val="bottom"/>
          </w:tcPr>
          <w:p>
            <w:pPr>
              <w:jc w:val="right"/>
              <w:spacing w:after="0"/>
              <w:rPr>
                <w:sz w:val="20"/>
                <w:szCs w:val="20"/>
                <w:color w:val="auto"/>
              </w:rPr>
            </w:pPr>
            <w:r>
              <w:rPr>
                <w:rFonts w:ascii="Arial" w:cs="Arial" w:eastAsia="Arial" w:hAnsi="Arial"/>
                <w:sz w:val="13"/>
                <w:szCs w:val="13"/>
                <w:color w:val="auto"/>
              </w:rPr>
              <w:t>2024</w:t>
            </w:r>
          </w:p>
        </w:tc>
      </w:tr>
      <w:tr>
        <w:trPr>
          <w:trHeight w:val="170"/>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2008 Option Plans</w:t>
            </w:r>
          </w:p>
        </w:tc>
        <w:tc>
          <w:tcPr>
            <w:tcW w:w="40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639,184</w:t>
            </w:r>
          </w:p>
        </w:tc>
        <w:tc>
          <w:tcPr>
            <w:tcW w:w="12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622,292</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2,653,835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2,757,161</w:t>
            </w:r>
          </w:p>
        </w:tc>
      </w:tr>
      <w:tr>
        <w:trPr>
          <w:trHeight w:val="16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0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639,184</w:t>
            </w: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622,292</w:t>
            </w:r>
          </w:p>
        </w:tc>
        <w:tc>
          <w:tcPr>
            <w:tcW w:w="17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2,653,835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2,757,161</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55"/>
        </w:trPr>
        <w:tc>
          <w:tcPr>
            <w:tcW w:w="3320" w:type="dxa"/>
            <w:vAlign w:val="bottom"/>
          </w:tcPr>
          <w:p>
            <w:pPr>
              <w:spacing w:after="0"/>
              <w:rPr>
                <w:sz w:val="24"/>
                <w:szCs w:val="24"/>
                <w:color w:val="auto"/>
              </w:rPr>
            </w:pPr>
          </w:p>
        </w:tc>
        <w:tc>
          <w:tcPr>
            <w:tcW w:w="4040" w:type="dxa"/>
            <w:vAlign w:val="bottom"/>
          </w:tcPr>
          <w:p>
            <w:pPr>
              <w:jc w:val="right"/>
              <w:ind w:right="1576"/>
              <w:spacing w:after="0"/>
              <w:rPr>
                <w:sz w:val="20"/>
                <w:szCs w:val="20"/>
                <w:color w:val="auto"/>
              </w:rPr>
            </w:pPr>
            <w:r>
              <w:rPr>
                <w:rFonts w:ascii="Arial" w:cs="Arial" w:eastAsia="Arial" w:hAnsi="Arial"/>
                <w:sz w:val="13"/>
                <w:szCs w:val="13"/>
                <w:color w:val="auto"/>
              </w:rPr>
              <w:t>87</w:t>
            </w: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The total number of share options outstanding and exercisable at 31 December 2025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shd w:val="clear" w:color="auto" w:fill="CCEEFF"/>
          </w:tcPr>
          <w:p>
            <w:pPr>
              <w:spacing w:after="0"/>
              <w:rPr>
                <w:sz w:val="13"/>
                <w:szCs w:val="13"/>
                <w:color w:val="auto"/>
              </w:rPr>
            </w:pPr>
          </w:p>
        </w:tc>
        <w:tc>
          <w:tcPr>
            <w:tcW w:w="40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Number of</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0"/>
        </w:trPr>
        <w:tc>
          <w:tcPr>
            <w:tcW w:w="570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Options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Exercise Price</w:t>
            </w:r>
          </w:p>
        </w:tc>
      </w:tr>
      <w:tr>
        <w:trPr>
          <w:trHeight w:val="182"/>
        </w:trPr>
        <w:tc>
          <w:tcPr>
            <w:tcW w:w="57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9"/>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2023</w:t>
            </w:r>
          </w:p>
        </w:tc>
        <w:tc>
          <w:tcPr>
            <w:tcW w:w="40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902,806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$142.96</w:t>
            </w:r>
          </w:p>
        </w:tc>
      </w:tr>
      <w:tr>
        <w:trPr>
          <w:trHeight w:val="183"/>
        </w:trPr>
        <w:tc>
          <w:tcPr>
            <w:tcW w:w="57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40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68,380</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$325.51</w:t>
            </w:r>
          </w:p>
        </w:tc>
      </w:tr>
      <w:tr>
        <w:trPr>
          <w:trHeight w:val="169"/>
        </w:trPr>
        <w:tc>
          <w:tcPr>
            <w:tcW w:w="5700" w:type="dxa"/>
            <w:vAlign w:val="bottom"/>
          </w:tcPr>
          <w:p>
            <w:pPr>
              <w:ind w:left="20"/>
              <w:spacing w:after="0"/>
              <w:rPr>
                <w:sz w:val="20"/>
                <w:szCs w:val="20"/>
                <w:color w:val="auto"/>
              </w:rPr>
            </w:pPr>
            <w:r>
              <w:rPr>
                <w:rFonts w:ascii="Arial" w:cs="Arial" w:eastAsia="Arial" w:hAnsi="Arial"/>
                <w:sz w:val="13"/>
                <w:szCs w:val="13"/>
                <w:color w:val="auto"/>
              </w:rPr>
              <w:t>Exercised</w:t>
            </w:r>
          </w:p>
        </w:tc>
        <w:tc>
          <w:tcPr>
            <w:tcW w:w="4020" w:type="dxa"/>
            <w:vAlign w:val="bottom"/>
          </w:tcPr>
          <w:p>
            <w:pPr>
              <w:jc w:val="right"/>
              <w:ind w:right="356"/>
              <w:spacing w:after="0"/>
              <w:rPr>
                <w:sz w:val="20"/>
                <w:szCs w:val="20"/>
                <w:color w:val="auto"/>
              </w:rPr>
            </w:pPr>
            <w:r>
              <w:rPr>
                <w:rFonts w:ascii="Arial" w:cs="Arial" w:eastAsia="Arial" w:hAnsi="Arial"/>
                <w:sz w:val="13"/>
                <w:szCs w:val="13"/>
                <w:color w:val="auto"/>
              </w:rPr>
              <w:t>(311,040)</w:t>
            </w:r>
          </w:p>
        </w:tc>
        <w:tc>
          <w:tcPr>
            <w:tcW w:w="1540" w:type="dxa"/>
            <w:vAlign w:val="bottom"/>
          </w:tcPr>
          <w:p>
            <w:pPr>
              <w:jc w:val="right"/>
              <w:spacing w:after="0"/>
              <w:rPr>
                <w:sz w:val="20"/>
                <w:szCs w:val="20"/>
                <w:color w:val="auto"/>
              </w:rPr>
            </w:pPr>
            <w:r>
              <w:rPr>
                <w:rFonts w:ascii="Arial" w:cs="Arial" w:eastAsia="Arial" w:hAnsi="Arial"/>
                <w:sz w:val="13"/>
                <w:szCs w:val="13"/>
                <w:color w:val="auto"/>
              </w:rPr>
              <w:t>$116.31</w:t>
            </w:r>
          </w:p>
        </w:tc>
      </w:tr>
      <w:tr>
        <w:trPr>
          <w:trHeight w:val="17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 / expired</w:t>
            </w:r>
          </w:p>
        </w:tc>
        <w:tc>
          <w:tcPr>
            <w:tcW w:w="40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(37,854)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$238.51</w:t>
            </w:r>
          </w:p>
        </w:tc>
      </w:tr>
      <w:tr>
        <w:trPr>
          <w:trHeight w:val="183"/>
        </w:trPr>
        <w:tc>
          <w:tcPr>
            <w:tcW w:w="57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9"/>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2024</w:t>
            </w:r>
          </w:p>
        </w:tc>
        <w:tc>
          <w:tcPr>
            <w:tcW w:w="40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622,292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$170.52</w:t>
            </w:r>
          </w:p>
        </w:tc>
      </w:tr>
      <w:tr>
        <w:trPr>
          <w:trHeight w:val="183"/>
        </w:trPr>
        <w:tc>
          <w:tcPr>
            <w:tcW w:w="57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40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118,902</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$185.18</w:t>
            </w:r>
          </w:p>
        </w:tc>
      </w:tr>
      <w:tr>
        <w:trPr>
          <w:trHeight w:val="169"/>
        </w:trPr>
        <w:tc>
          <w:tcPr>
            <w:tcW w:w="5700" w:type="dxa"/>
            <w:vAlign w:val="bottom"/>
          </w:tcPr>
          <w:p>
            <w:pPr>
              <w:ind w:left="20"/>
              <w:spacing w:after="0"/>
              <w:rPr>
                <w:sz w:val="20"/>
                <w:szCs w:val="20"/>
                <w:color w:val="auto"/>
              </w:rPr>
            </w:pPr>
            <w:r>
              <w:rPr>
                <w:rFonts w:ascii="Arial" w:cs="Arial" w:eastAsia="Arial" w:hAnsi="Arial"/>
                <w:sz w:val="13"/>
                <w:szCs w:val="13"/>
                <w:color w:val="auto"/>
              </w:rPr>
              <w:t>Exercised</w:t>
            </w:r>
          </w:p>
        </w:tc>
        <w:tc>
          <w:tcPr>
            <w:tcW w:w="4020" w:type="dxa"/>
            <w:vAlign w:val="bottom"/>
          </w:tcPr>
          <w:p>
            <w:pPr>
              <w:jc w:val="right"/>
              <w:ind w:right="356"/>
              <w:spacing w:after="0"/>
              <w:rPr>
                <w:sz w:val="20"/>
                <w:szCs w:val="20"/>
                <w:color w:val="auto"/>
              </w:rPr>
            </w:pPr>
            <w:r>
              <w:rPr>
                <w:rFonts w:ascii="Arial" w:cs="Arial" w:eastAsia="Arial" w:hAnsi="Arial"/>
                <w:sz w:val="13"/>
                <w:szCs w:val="13"/>
                <w:color w:val="auto"/>
              </w:rPr>
              <w:t>(86,434)</w:t>
            </w:r>
          </w:p>
        </w:tc>
        <w:tc>
          <w:tcPr>
            <w:tcW w:w="1540" w:type="dxa"/>
            <w:vAlign w:val="bottom"/>
          </w:tcPr>
          <w:p>
            <w:pPr>
              <w:jc w:val="right"/>
              <w:spacing w:after="0"/>
              <w:rPr>
                <w:sz w:val="20"/>
                <w:szCs w:val="20"/>
                <w:color w:val="auto"/>
              </w:rPr>
            </w:pPr>
            <w:r>
              <w:rPr>
                <w:rFonts w:ascii="Arial" w:cs="Arial" w:eastAsia="Arial" w:hAnsi="Arial"/>
                <w:sz w:val="13"/>
                <w:szCs w:val="13"/>
                <w:color w:val="auto"/>
              </w:rPr>
              <w:t>$112.32</w:t>
            </w:r>
          </w:p>
        </w:tc>
      </w:tr>
      <w:tr>
        <w:trPr>
          <w:trHeight w:val="17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 / expired</w:t>
            </w:r>
          </w:p>
        </w:tc>
        <w:tc>
          <w:tcPr>
            <w:tcW w:w="40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(15,576)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$252.40</w:t>
            </w:r>
          </w:p>
        </w:tc>
      </w:tr>
      <w:tr>
        <w:trPr>
          <w:trHeight w:val="183"/>
        </w:trPr>
        <w:tc>
          <w:tcPr>
            <w:tcW w:w="57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at 31 December 2025</w:t>
            </w:r>
          </w:p>
        </w:tc>
        <w:tc>
          <w:tcPr>
            <w:tcW w:w="40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639,184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$179.12</w:t>
            </w:r>
          </w:p>
        </w:tc>
      </w:tr>
      <w:tr>
        <w:trPr>
          <w:trHeight w:val="182"/>
        </w:trPr>
        <w:tc>
          <w:tcPr>
            <w:tcW w:w="57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 and exercisable at 31 December 2024</w:t>
            </w:r>
          </w:p>
        </w:tc>
        <w:tc>
          <w:tcPr>
            <w:tcW w:w="40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426,497</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$135.39</w:t>
            </w:r>
          </w:p>
        </w:tc>
      </w:tr>
      <w:tr>
        <w:trPr>
          <w:trHeight w:val="17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Vested and exercisable at 31 December 2025</w:t>
            </w:r>
          </w:p>
        </w:tc>
        <w:tc>
          <w:tcPr>
            <w:tcW w:w="40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523,267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$170.26</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share price of the Company’s shares on date of exercise of share options during the year ended 31 December 2025 was $178.80 (31 December 2024: $300.81).</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2025, the range of exercise prices and weighted average remaining contractual life of outstanding and exercisable options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Options Outstanding</w:t>
            </w:r>
          </w:p>
        </w:tc>
        <w:tc>
          <w:tcPr>
            <w:tcW w:w="212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Options Exercisable</w:t>
            </w:r>
          </w:p>
        </w:tc>
        <w:tc>
          <w:tcPr>
            <w:tcW w:w="1200" w:type="dxa"/>
            <w:vAlign w:val="bottom"/>
            <w:tcBorders>
              <w:bottom w:val="single" w:sz="8" w:color="auto"/>
            </w:tcBorders>
            <w:shd w:val="clear" w:color="auto" w:fill="CCEEFF"/>
          </w:tcPr>
          <w:p>
            <w:pPr>
              <w:spacing w:after="0"/>
              <w:rPr>
                <w:sz w:val="14"/>
                <w:szCs w:val="14"/>
                <w:color w:val="auto"/>
              </w:rPr>
            </w:pPr>
          </w:p>
        </w:tc>
      </w:tr>
      <w:tr>
        <w:trPr>
          <w:trHeight w:val="118"/>
        </w:trPr>
        <w:tc>
          <w:tcPr>
            <w:tcW w:w="208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Range Exercise</w:t>
            </w:r>
          </w:p>
        </w:tc>
        <w:tc>
          <w:tcPr>
            <w:tcW w:w="1900" w:type="dxa"/>
            <w:vAlign w:val="bottom"/>
          </w:tcPr>
          <w:p>
            <w:pPr>
              <w:jc w:val="right"/>
              <w:ind w:right="96"/>
              <w:spacing w:after="0" w:line="118" w:lineRule="exact"/>
              <w:rPr>
                <w:sz w:val="20"/>
                <w:szCs w:val="20"/>
                <w:color w:val="auto"/>
              </w:rPr>
            </w:pPr>
            <w:r>
              <w:rPr>
                <w:rFonts w:ascii="Arial" w:cs="Arial" w:eastAsia="Arial" w:hAnsi="Arial"/>
                <w:sz w:val="13"/>
                <w:szCs w:val="13"/>
                <w:b w:val="1"/>
                <w:bCs w:val="1"/>
                <w:color w:val="auto"/>
              </w:rPr>
              <w:t>Number of</w:t>
            </w:r>
          </w:p>
        </w:tc>
        <w:tc>
          <w:tcPr>
            <w:tcW w:w="2080" w:type="dxa"/>
            <w:vAlign w:val="bottom"/>
          </w:tcPr>
          <w:p>
            <w:pPr>
              <w:jc w:val="right"/>
              <w:ind w:right="316"/>
              <w:spacing w:after="0" w:line="118" w:lineRule="exact"/>
              <w:rPr>
                <w:sz w:val="20"/>
                <w:szCs w:val="20"/>
                <w:color w:val="auto"/>
              </w:rPr>
            </w:pPr>
            <w:r>
              <w:rPr>
                <w:rFonts w:ascii="Arial" w:cs="Arial" w:eastAsia="Arial" w:hAnsi="Arial"/>
                <w:sz w:val="13"/>
                <w:szCs w:val="13"/>
                <w:b w:val="1"/>
                <w:bCs w:val="1"/>
                <w:color w:val="auto"/>
              </w:rPr>
              <w:t>Weighted</w:t>
            </w:r>
          </w:p>
        </w:tc>
        <w:tc>
          <w:tcPr>
            <w:tcW w:w="2120" w:type="dxa"/>
            <w:vAlign w:val="bottom"/>
          </w:tcPr>
          <w:p>
            <w:pPr>
              <w:jc w:val="right"/>
              <w:ind w:right="596"/>
              <w:spacing w:after="0" w:line="118" w:lineRule="exact"/>
              <w:rPr>
                <w:sz w:val="20"/>
                <w:szCs w:val="20"/>
                <w:color w:val="auto"/>
              </w:rPr>
            </w:pPr>
            <w:r>
              <w:rPr>
                <w:rFonts w:ascii="Arial" w:cs="Arial" w:eastAsia="Arial" w:hAnsi="Arial"/>
                <w:sz w:val="13"/>
                <w:szCs w:val="13"/>
                <w:b w:val="1"/>
                <w:bCs w:val="1"/>
                <w:color w:val="auto"/>
              </w:rPr>
              <w:t>Weighted Average</w:t>
            </w:r>
          </w:p>
        </w:tc>
        <w:tc>
          <w:tcPr>
            <w:tcW w:w="18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Number of</w:t>
            </w:r>
          </w:p>
        </w:tc>
        <w:tc>
          <w:tcPr>
            <w:tcW w:w="12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Weighted Average</w:t>
            </w:r>
          </w:p>
        </w:tc>
      </w:tr>
      <w:tr>
        <w:trPr>
          <w:trHeight w:val="127"/>
        </w:trPr>
        <w:tc>
          <w:tcPr>
            <w:tcW w:w="2080" w:type="dxa"/>
            <w:vAlign w:val="bottom"/>
          </w:tcPr>
          <w:p>
            <w:pPr>
              <w:ind w:left="20"/>
              <w:spacing w:after="0" w:line="128" w:lineRule="exact"/>
              <w:rPr>
                <w:sz w:val="20"/>
                <w:szCs w:val="20"/>
                <w:color w:val="auto"/>
              </w:rPr>
            </w:pPr>
            <w:r>
              <w:rPr>
                <w:rFonts w:ascii="Arial" w:cs="Arial" w:eastAsia="Arial" w:hAnsi="Arial"/>
                <w:sz w:val="13"/>
                <w:szCs w:val="13"/>
                <w:b w:val="1"/>
                <w:bCs w:val="1"/>
                <w:color w:val="auto"/>
              </w:rPr>
              <w:t>Price</w:t>
            </w:r>
          </w:p>
        </w:tc>
        <w:tc>
          <w:tcPr>
            <w:tcW w:w="1900" w:type="dxa"/>
            <w:vAlign w:val="bottom"/>
          </w:tcPr>
          <w:p>
            <w:pPr>
              <w:jc w:val="right"/>
              <w:ind w:right="96"/>
              <w:spacing w:after="0" w:line="128" w:lineRule="exact"/>
              <w:rPr>
                <w:sz w:val="20"/>
                <w:szCs w:val="20"/>
                <w:color w:val="auto"/>
              </w:rPr>
            </w:pPr>
            <w:r>
              <w:rPr>
                <w:rFonts w:ascii="Arial" w:cs="Arial" w:eastAsia="Arial" w:hAnsi="Arial"/>
                <w:sz w:val="13"/>
                <w:szCs w:val="13"/>
                <w:b w:val="1"/>
                <w:bCs w:val="1"/>
                <w:color w:val="auto"/>
              </w:rPr>
              <w:t>Shares</w:t>
            </w:r>
          </w:p>
        </w:tc>
        <w:tc>
          <w:tcPr>
            <w:tcW w:w="2080" w:type="dxa"/>
            <w:vAlign w:val="bottom"/>
          </w:tcPr>
          <w:p>
            <w:pPr>
              <w:jc w:val="right"/>
              <w:ind w:right="316"/>
              <w:spacing w:after="0" w:line="128" w:lineRule="exact"/>
              <w:rPr>
                <w:sz w:val="20"/>
                <w:szCs w:val="20"/>
                <w:color w:val="auto"/>
              </w:rPr>
            </w:pPr>
            <w:r>
              <w:rPr>
                <w:rFonts w:ascii="Arial" w:cs="Arial" w:eastAsia="Arial" w:hAnsi="Arial"/>
                <w:sz w:val="13"/>
                <w:szCs w:val="13"/>
                <w:b w:val="1"/>
                <w:bCs w:val="1"/>
                <w:color w:val="auto"/>
              </w:rPr>
              <w:t>Average</w:t>
            </w:r>
          </w:p>
        </w:tc>
        <w:tc>
          <w:tcPr>
            <w:tcW w:w="2120" w:type="dxa"/>
            <w:vAlign w:val="bottom"/>
          </w:tcPr>
          <w:p>
            <w:pPr>
              <w:jc w:val="right"/>
              <w:ind w:right="596"/>
              <w:spacing w:after="0" w:line="128" w:lineRule="exact"/>
              <w:rPr>
                <w:sz w:val="20"/>
                <w:szCs w:val="20"/>
                <w:color w:val="auto"/>
              </w:rPr>
            </w:pPr>
            <w:r>
              <w:rPr>
                <w:rFonts w:ascii="Arial" w:cs="Arial" w:eastAsia="Arial" w:hAnsi="Arial"/>
                <w:sz w:val="13"/>
                <w:szCs w:val="13"/>
                <w:b w:val="1"/>
                <w:bCs w:val="1"/>
                <w:color w:val="auto"/>
              </w:rPr>
              <w:t>Exercise</w:t>
            </w:r>
          </w:p>
        </w:tc>
        <w:tc>
          <w:tcPr>
            <w:tcW w:w="1880" w:type="dxa"/>
            <w:vAlign w:val="bottom"/>
          </w:tcPr>
          <w:p>
            <w:pPr>
              <w:jc w:val="right"/>
              <w:ind w:right="576"/>
              <w:spacing w:after="0" w:line="128" w:lineRule="exact"/>
              <w:rPr>
                <w:sz w:val="20"/>
                <w:szCs w:val="20"/>
                <w:color w:val="auto"/>
              </w:rPr>
            </w:pPr>
            <w:r>
              <w:rPr>
                <w:rFonts w:ascii="Arial" w:cs="Arial" w:eastAsia="Arial" w:hAnsi="Arial"/>
                <w:sz w:val="13"/>
                <w:szCs w:val="13"/>
                <w:b w:val="1"/>
                <w:bCs w:val="1"/>
                <w:color w:val="auto"/>
              </w:rPr>
              <w:t>Shares</w:t>
            </w:r>
          </w:p>
        </w:tc>
        <w:tc>
          <w:tcPr>
            <w:tcW w:w="120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Exercise</w:t>
            </w:r>
          </w:p>
        </w:tc>
      </w:tr>
      <w:tr>
        <w:trPr>
          <w:trHeight w:val="127"/>
        </w:trPr>
        <w:tc>
          <w:tcPr>
            <w:tcW w:w="20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80" w:type="dxa"/>
            <w:vAlign w:val="bottom"/>
          </w:tcPr>
          <w:p>
            <w:pPr>
              <w:jc w:val="right"/>
              <w:ind w:right="316"/>
              <w:spacing w:after="0" w:line="128" w:lineRule="exact"/>
              <w:rPr>
                <w:sz w:val="20"/>
                <w:szCs w:val="20"/>
                <w:color w:val="auto"/>
              </w:rPr>
            </w:pPr>
            <w:r>
              <w:rPr>
                <w:rFonts w:ascii="Arial" w:cs="Arial" w:eastAsia="Arial" w:hAnsi="Arial"/>
                <w:sz w:val="13"/>
                <w:szCs w:val="13"/>
                <w:b w:val="1"/>
                <w:bCs w:val="1"/>
                <w:color w:val="auto"/>
              </w:rPr>
              <w:t>Remaining</w:t>
            </w:r>
          </w:p>
        </w:tc>
        <w:tc>
          <w:tcPr>
            <w:tcW w:w="2120" w:type="dxa"/>
            <w:vAlign w:val="bottom"/>
          </w:tcPr>
          <w:p>
            <w:pPr>
              <w:jc w:val="right"/>
              <w:ind w:right="556"/>
              <w:spacing w:after="0" w:line="128" w:lineRule="exact"/>
              <w:rPr>
                <w:sz w:val="20"/>
                <w:szCs w:val="20"/>
                <w:color w:val="auto"/>
              </w:rPr>
            </w:pPr>
            <w:r>
              <w:rPr>
                <w:rFonts w:ascii="Arial" w:cs="Arial" w:eastAsia="Arial" w:hAnsi="Arial"/>
                <w:sz w:val="13"/>
                <w:szCs w:val="13"/>
                <w:b w:val="1"/>
                <w:bCs w:val="1"/>
                <w:color w:val="auto"/>
              </w:rPr>
              <w:t>Price</w:t>
            </w:r>
          </w:p>
        </w:tc>
        <w:tc>
          <w:tcPr>
            <w:tcW w:w="188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Price</w:t>
            </w:r>
          </w:p>
        </w:tc>
      </w:tr>
      <w:tr>
        <w:trPr>
          <w:trHeight w:val="170"/>
        </w:trPr>
        <w:tc>
          <w:tcPr>
            <w:tcW w:w="2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Contractual Life</w:t>
            </w:r>
          </w:p>
        </w:tc>
        <w:tc>
          <w:tcPr>
            <w:tcW w:w="2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0"/>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$54.88 - 129.92</w:t>
            </w:r>
          </w:p>
        </w:tc>
        <w:tc>
          <w:tcPr>
            <w:tcW w:w="1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162,631</w:t>
            </w:r>
          </w:p>
        </w:tc>
        <w:tc>
          <w:tcPr>
            <w:tcW w:w="20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1.74</w:t>
            </w:r>
          </w:p>
        </w:tc>
        <w:tc>
          <w:tcPr>
            <w:tcW w:w="2120" w:type="dxa"/>
            <w:vAlign w:val="bottom"/>
            <w:shd w:val="clear" w:color="auto" w:fill="CCEEFF"/>
          </w:tcPr>
          <w:p>
            <w:pPr>
              <w:spacing w:after="0"/>
              <w:rPr>
                <w:sz w:val="13"/>
                <w:szCs w:val="13"/>
                <w:color w:val="auto"/>
              </w:rPr>
            </w:pPr>
          </w:p>
        </w:tc>
        <w:tc>
          <w:tcPr>
            <w:tcW w:w="18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162,631</w:t>
            </w:r>
          </w:p>
        </w:tc>
        <w:tc>
          <w:tcPr>
            <w:tcW w:w="1200" w:type="dxa"/>
            <w:vAlign w:val="bottom"/>
            <w:shd w:val="clear" w:color="auto" w:fill="CCEEFF"/>
          </w:tcPr>
          <w:p>
            <w:pPr>
              <w:spacing w:after="0"/>
              <w:rPr>
                <w:sz w:val="13"/>
                <w:szCs w:val="13"/>
                <w:color w:val="auto"/>
              </w:rPr>
            </w:pPr>
          </w:p>
        </w:tc>
      </w:tr>
      <w:tr>
        <w:trPr>
          <w:trHeight w:val="169"/>
        </w:trPr>
        <w:tc>
          <w:tcPr>
            <w:tcW w:w="2080" w:type="dxa"/>
            <w:vAlign w:val="bottom"/>
          </w:tcPr>
          <w:p>
            <w:pPr>
              <w:ind w:left="20"/>
              <w:spacing w:after="0"/>
              <w:rPr>
                <w:sz w:val="20"/>
                <w:szCs w:val="20"/>
                <w:color w:val="auto"/>
              </w:rPr>
            </w:pPr>
            <w:r>
              <w:rPr>
                <w:rFonts w:ascii="Arial" w:cs="Arial" w:eastAsia="Arial" w:hAnsi="Arial"/>
                <w:sz w:val="13"/>
                <w:szCs w:val="13"/>
                <w:color w:val="auto"/>
              </w:rPr>
              <w:t>$131.01 - 159.33</w:t>
            </w:r>
          </w:p>
        </w:tc>
        <w:tc>
          <w:tcPr>
            <w:tcW w:w="1900" w:type="dxa"/>
            <w:vAlign w:val="bottom"/>
          </w:tcPr>
          <w:p>
            <w:pPr>
              <w:jc w:val="right"/>
              <w:ind w:right="136"/>
              <w:spacing w:after="0"/>
              <w:rPr>
                <w:sz w:val="20"/>
                <w:szCs w:val="20"/>
                <w:color w:val="auto"/>
              </w:rPr>
            </w:pPr>
            <w:r>
              <w:rPr>
                <w:rFonts w:ascii="Arial" w:cs="Arial" w:eastAsia="Arial" w:hAnsi="Arial"/>
                <w:sz w:val="13"/>
                <w:szCs w:val="13"/>
                <w:color w:val="auto"/>
              </w:rPr>
              <w:t>129,064</w:t>
            </w:r>
          </w:p>
        </w:tc>
        <w:tc>
          <w:tcPr>
            <w:tcW w:w="2080" w:type="dxa"/>
            <w:vAlign w:val="bottom"/>
          </w:tcPr>
          <w:p>
            <w:pPr>
              <w:jc w:val="right"/>
              <w:ind w:right="316"/>
              <w:spacing w:after="0"/>
              <w:rPr>
                <w:sz w:val="20"/>
                <w:szCs w:val="20"/>
                <w:color w:val="auto"/>
              </w:rPr>
            </w:pPr>
            <w:r>
              <w:rPr>
                <w:rFonts w:ascii="Arial" w:cs="Arial" w:eastAsia="Arial" w:hAnsi="Arial"/>
                <w:sz w:val="13"/>
                <w:szCs w:val="13"/>
                <w:color w:val="auto"/>
              </w:rPr>
              <w:t>2.31</w:t>
            </w:r>
          </w:p>
        </w:tc>
        <w:tc>
          <w:tcPr>
            <w:tcW w:w="2120" w:type="dxa"/>
            <w:vAlign w:val="bottom"/>
          </w:tcPr>
          <w:p>
            <w:pPr>
              <w:spacing w:after="0"/>
              <w:rPr>
                <w:sz w:val="14"/>
                <w:szCs w:val="14"/>
                <w:color w:val="auto"/>
              </w:rPr>
            </w:pPr>
          </w:p>
        </w:tc>
        <w:tc>
          <w:tcPr>
            <w:tcW w:w="1880" w:type="dxa"/>
            <w:vAlign w:val="bottom"/>
          </w:tcPr>
          <w:p>
            <w:pPr>
              <w:jc w:val="right"/>
              <w:ind w:right="616"/>
              <w:spacing w:after="0"/>
              <w:rPr>
                <w:sz w:val="20"/>
                <w:szCs w:val="20"/>
                <w:color w:val="auto"/>
              </w:rPr>
            </w:pPr>
            <w:r>
              <w:rPr>
                <w:rFonts w:ascii="Arial" w:cs="Arial" w:eastAsia="Arial" w:hAnsi="Arial"/>
                <w:sz w:val="13"/>
                <w:szCs w:val="13"/>
                <w:color w:val="auto"/>
              </w:rPr>
              <w:t>129,064</w:t>
            </w:r>
          </w:p>
        </w:tc>
        <w:tc>
          <w:tcPr>
            <w:tcW w:w="1200" w:type="dxa"/>
            <w:vAlign w:val="bottom"/>
          </w:tcPr>
          <w:p>
            <w:pPr>
              <w:spacing w:after="0"/>
              <w:rPr>
                <w:sz w:val="14"/>
                <w:szCs w:val="14"/>
                <w:color w:val="auto"/>
              </w:rPr>
            </w:pPr>
          </w:p>
        </w:tc>
      </w:tr>
      <w:tr>
        <w:trPr>
          <w:trHeight w:val="171"/>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$166.51 - 185.18</w:t>
            </w:r>
          </w:p>
        </w:tc>
        <w:tc>
          <w:tcPr>
            <w:tcW w:w="1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169,368</w:t>
            </w:r>
          </w:p>
        </w:tc>
        <w:tc>
          <w:tcPr>
            <w:tcW w:w="20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5.91</w:t>
            </w:r>
          </w:p>
        </w:tc>
        <w:tc>
          <w:tcPr>
            <w:tcW w:w="21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104,823</w:t>
            </w:r>
          </w:p>
        </w:tc>
        <w:tc>
          <w:tcPr>
            <w:tcW w:w="1200" w:type="dxa"/>
            <w:vAlign w:val="bottom"/>
            <w:shd w:val="clear" w:color="auto" w:fill="CCEEFF"/>
          </w:tcPr>
          <w:p>
            <w:pPr>
              <w:spacing w:after="0"/>
              <w:rPr>
                <w:sz w:val="14"/>
                <w:szCs w:val="14"/>
                <w:color w:val="auto"/>
              </w:rPr>
            </w:pPr>
          </w:p>
        </w:tc>
      </w:tr>
      <w:tr>
        <w:trPr>
          <w:trHeight w:val="16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$215.91 - 325.51</w:t>
            </w:r>
          </w:p>
        </w:tc>
        <w:tc>
          <w:tcPr>
            <w:tcW w:w="19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178,121</w:t>
            </w:r>
          </w:p>
        </w:tc>
        <w:tc>
          <w:tcPr>
            <w:tcW w:w="20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5.13</w:t>
            </w:r>
          </w:p>
        </w:tc>
        <w:tc>
          <w:tcPr>
            <w:tcW w:w="2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126,749</w:t>
            </w:r>
          </w:p>
        </w:tc>
        <w:tc>
          <w:tcPr>
            <w:tcW w:w="1200" w:type="dxa"/>
            <w:vAlign w:val="bottom"/>
            <w:tcBorders>
              <w:bottom w:val="single" w:sz="8" w:color="auto"/>
            </w:tcBorders>
          </w:tcPr>
          <w:p>
            <w:pPr>
              <w:spacing w:after="0"/>
              <w:rPr>
                <w:sz w:val="14"/>
                <w:szCs w:val="14"/>
                <w:color w:val="auto"/>
              </w:rPr>
            </w:pPr>
          </w:p>
        </w:tc>
      </w:tr>
      <w:tr>
        <w:trPr>
          <w:trHeight w:val="187"/>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$54.88 - 325.51</w:t>
            </w:r>
          </w:p>
        </w:tc>
        <w:tc>
          <w:tcPr>
            <w:tcW w:w="19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639,184</w:t>
            </w:r>
          </w:p>
        </w:tc>
        <w:tc>
          <w:tcPr>
            <w:tcW w:w="20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3.90</w:t>
            </w:r>
          </w:p>
        </w:tc>
        <w:tc>
          <w:tcPr>
            <w:tcW w:w="21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$179.12</w:t>
            </w:r>
          </w:p>
        </w:tc>
        <w:tc>
          <w:tcPr>
            <w:tcW w:w="18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523,267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$170.26</w:t>
            </w: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2025</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2025 was $64.98 based on the following grants: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Grant Date</w:t>
            </w:r>
          </w:p>
        </w:tc>
        <w:tc>
          <w:tcPr>
            <w:tcW w:w="626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Number of Shares</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w:t>
            </w:r>
          </w:p>
        </w:tc>
      </w:tr>
      <w:tr>
        <w:trPr>
          <w:trHeight w:val="170"/>
        </w:trPr>
        <w:tc>
          <w:tcPr>
            <w:tcW w:w="3180" w:type="dxa"/>
            <w:vAlign w:val="bottom"/>
            <w:tcBorders>
              <w:bottom w:val="single" w:sz="8" w:color="auto"/>
            </w:tcBorders>
            <w:shd w:val="clear" w:color="auto" w:fill="CCEEFF"/>
          </w:tcPr>
          <w:p>
            <w:pPr>
              <w:spacing w:after="0"/>
              <w:rPr>
                <w:sz w:val="14"/>
                <w:szCs w:val="14"/>
                <w:color w:val="auto"/>
              </w:rPr>
            </w:pPr>
          </w:p>
        </w:tc>
        <w:tc>
          <w:tcPr>
            <w:tcW w:w="62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6 March 2025</w:t>
            </w:r>
          </w:p>
        </w:tc>
        <w:tc>
          <w:tcPr>
            <w:tcW w:w="6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118,902</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$185.18</w:t>
            </w:r>
          </w:p>
        </w:tc>
      </w:tr>
      <w:tr>
        <w:trPr>
          <w:trHeight w:val="187"/>
        </w:trPr>
        <w:tc>
          <w:tcPr>
            <w:tcW w:w="3180" w:type="dxa"/>
            <w:vAlign w:val="bottom"/>
            <w:tcBorders>
              <w:bottom w:val="single" w:sz="8" w:color="auto"/>
            </w:tcBorders>
            <w:shd w:val="clear" w:color="auto" w:fill="CCEEFF"/>
          </w:tcPr>
          <w:p>
            <w:pPr>
              <w:spacing w:after="0"/>
              <w:rPr>
                <w:sz w:val="15"/>
                <w:szCs w:val="15"/>
                <w:color w:val="auto"/>
              </w:rPr>
            </w:pPr>
          </w:p>
        </w:tc>
        <w:tc>
          <w:tcPr>
            <w:tcW w:w="6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118,902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$185.18</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6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735"/>
        </w:trPr>
        <w:tc>
          <w:tcPr>
            <w:tcW w:w="3180" w:type="dxa"/>
            <w:vAlign w:val="bottom"/>
          </w:tcPr>
          <w:p>
            <w:pPr>
              <w:spacing w:after="0"/>
              <w:rPr>
                <w:sz w:val="24"/>
                <w:szCs w:val="24"/>
                <w:color w:val="auto"/>
              </w:rPr>
            </w:pPr>
          </w:p>
        </w:tc>
        <w:tc>
          <w:tcPr>
            <w:tcW w:w="6260" w:type="dxa"/>
            <w:vAlign w:val="bottom"/>
          </w:tcPr>
          <w:p>
            <w:pPr>
              <w:jc w:val="right"/>
              <w:ind w:right="3656"/>
              <w:spacing w:after="0"/>
              <w:rPr>
                <w:sz w:val="20"/>
                <w:szCs w:val="20"/>
                <w:color w:val="auto"/>
              </w:rPr>
            </w:pPr>
            <w:r>
              <w:rPr>
                <w:rFonts w:ascii="Arial" w:cs="Arial" w:eastAsia="Arial" w:hAnsi="Arial"/>
                <w:sz w:val="13"/>
                <w:szCs w:val="13"/>
                <w:color w:val="auto"/>
              </w:rPr>
              <w:t>88</w:t>
            </w:r>
          </w:p>
        </w:tc>
        <w:tc>
          <w:tcPr>
            <w:tcW w:w="182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2024</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2024 was $112.68 based on the following grants: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Grant Date</w:t>
            </w:r>
          </w:p>
        </w:tc>
        <w:tc>
          <w:tcPr>
            <w:tcW w:w="49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Number of Shares</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w:t>
            </w:r>
          </w:p>
        </w:tc>
      </w:tr>
      <w:tr>
        <w:trPr>
          <w:trHeight w:val="170"/>
        </w:trPr>
        <w:tc>
          <w:tcPr>
            <w:tcW w:w="4500" w:type="dxa"/>
            <w:vAlign w:val="bottom"/>
            <w:tcBorders>
              <w:bottom w:val="single" w:sz="8" w:color="auto"/>
            </w:tcBorders>
            <w:shd w:val="clear" w:color="auto" w:fill="CCEEFF"/>
          </w:tcPr>
          <w:p>
            <w:pPr>
              <w:spacing w:after="0"/>
              <w:rPr>
                <w:sz w:val="14"/>
                <w:szCs w:val="14"/>
                <w:color w:val="auto"/>
              </w:rPr>
            </w:pPr>
          </w:p>
        </w:tc>
        <w:tc>
          <w:tcPr>
            <w:tcW w:w="494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5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 March 2024</w:t>
            </w:r>
          </w:p>
        </w:tc>
        <w:tc>
          <w:tcPr>
            <w:tcW w:w="49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68,380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$325.51</w:t>
            </w:r>
          </w:p>
        </w:tc>
      </w:tr>
      <w:tr>
        <w:trPr>
          <w:trHeight w:val="187"/>
        </w:trPr>
        <w:tc>
          <w:tcPr>
            <w:tcW w:w="4500" w:type="dxa"/>
            <w:vAlign w:val="bottom"/>
            <w:tcBorders>
              <w:bottom w:val="single" w:sz="8" w:color="auto"/>
            </w:tcBorders>
            <w:shd w:val="clear" w:color="auto" w:fill="CCEEFF"/>
          </w:tcPr>
          <w:p>
            <w:pPr>
              <w:spacing w:after="0"/>
              <w:rPr>
                <w:sz w:val="15"/>
                <w:szCs w:val="15"/>
                <w:color w:val="auto"/>
              </w:rPr>
            </w:pPr>
          </w:p>
        </w:tc>
        <w:tc>
          <w:tcPr>
            <w:tcW w:w="49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68,380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$325.51</w:t>
            </w: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49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share options –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of options granted during the year ended 31 December 2025 and 31 December 2024 were calculated using the Black-Scholes option pricing-model utilising the following assumptions: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Borders>
              <w:bottom w:val="single" w:sz="8" w:color="auto"/>
            </w:tcBorders>
            <w:shd w:val="clear" w:color="auto" w:fill="CCEEFF"/>
          </w:tcPr>
          <w:p>
            <w:pPr>
              <w:spacing w:after="0"/>
              <w:rPr>
                <w:sz w:val="14"/>
                <w:szCs w:val="14"/>
                <w:color w:val="auto"/>
              </w:rPr>
            </w:pPr>
          </w:p>
        </w:tc>
        <w:tc>
          <w:tcPr>
            <w:tcW w:w="4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31 December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159"/>
        </w:trPr>
        <w:tc>
          <w:tcPr>
            <w:tcW w:w="5160" w:type="dxa"/>
            <w:vAlign w:val="bottom"/>
          </w:tcPr>
          <w:p>
            <w:pPr>
              <w:spacing w:after="0"/>
              <w:rPr>
                <w:sz w:val="13"/>
                <w:szCs w:val="13"/>
                <w:color w:val="auto"/>
              </w:rPr>
            </w:pPr>
          </w:p>
        </w:tc>
        <w:tc>
          <w:tcPr>
            <w:tcW w:w="4520" w:type="dxa"/>
            <w:vAlign w:val="bottom"/>
          </w:tcPr>
          <w:p>
            <w:pPr>
              <w:jc w:val="right"/>
              <w:ind w:right="376"/>
              <w:spacing w:after="0"/>
              <w:rPr>
                <w:sz w:val="20"/>
                <w:szCs w:val="20"/>
                <w:color w:val="auto"/>
              </w:rPr>
            </w:pPr>
            <w:r>
              <w:rPr>
                <w:rFonts w:ascii="Arial" w:cs="Arial" w:eastAsia="Arial" w:hAnsi="Arial"/>
                <w:sz w:val="13"/>
                <w:szCs w:val="13"/>
                <w:color w:val="auto"/>
              </w:rPr>
              <w:t>Annual Awards</w:t>
            </w:r>
          </w:p>
        </w:tc>
        <w:tc>
          <w:tcPr>
            <w:tcW w:w="1580" w:type="dxa"/>
            <w:vAlign w:val="bottom"/>
          </w:tcPr>
          <w:p>
            <w:pPr>
              <w:jc w:val="right"/>
              <w:spacing w:after="0"/>
              <w:rPr>
                <w:sz w:val="20"/>
                <w:szCs w:val="20"/>
                <w:color w:val="auto"/>
              </w:rPr>
            </w:pPr>
            <w:r>
              <w:rPr>
                <w:rFonts w:ascii="Arial" w:cs="Arial" w:eastAsia="Arial" w:hAnsi="Arial"/>
                <w:sz w:val="13"/>
                <w:szCs w:val="13"/>
                <w:color w:val="auto"/>
              </w:rPr>
              <w:t>Annual Awards</w:t>
            </w:r>
          </w:p>
        </w:tc>
      </w:tr>
      <w:tr>
        <w:trPr>
          <w:trHeight w:val="171"/>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w:t>
            </w:r>
          </w:p>
        </w:tc>
        <w:tc>
          <w:tcPr>
            <w:tcW w:w="45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$64.98</w:t>
            </w:r>
          </w:p>
        </w:tc>
        <w:tc>
          <w:tcPr>
            <w:tcW w:w="1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$112.68</w:t>
            </w:r>
          </w:p>
        </w:tc>
      </w:tr>
      <w:tr>
        <w:trPr>
          <w:trHeight w:val="170"/>
        </w:trPr>
        <w:tc>
          <w:tcPr>
            <w:tcW w:w="516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Expected volatility </w:t>
            </w:r>
            <w:r>
              <w:rPr>
                <w:rFonts w:ascii="Arial" w:cs="Arial" w:eastAsia="Arial" w:hAnsi="Arial"/>
                <w:sz w:val="16"/>
                <w:szCs w:val="16"/>
                <w:color w:val="auto"/>
                <w:vertAlign w:val="superscript"/>
              </w:rPr>
              <w:t>(1)</w:t>
            </w:r>
          </w:p>
        </w:tc>
        <w:tc>
          <w:tcPr>
            <w:tcW w:w="4520" w:type="dxa"/>
            <w:vAlign w:val="bottom"/>
          </w:tcPr>
          <w:p>
            <w:pPr>
              <w:jc w:val="right"/>
              <w:ind w:right="376"/>
              <w:spacing w:after="0"/>
              <w:rPr>
                <w:sz w:val="20"/>
                <w:szCs w:val="20"/>
                <w:color w:val="auto"/>
              </w:rPr>
            </w:pPr>
            <w:r>
              <w:rPr>
                <w:rFonts w:ascii="Arial" w:cs="Arial" w:eastAsia="Arial" w:hAnsi="Arial"/>
                <w:sz w:val="13"/>
                <w:szCs w:val="13"/>
                <w:b w:val="1"/>
                <w:bCs w:val="1"/>
                <w:color w:val="auto"/>
              </w:rPr>
              <w:t>35.5 %</w:t>
            </w:r>
          </w:p>
        </w:tc>
        <w:tc>
          <w:tcPr>
            <w:tcW w:w="1580" w:type="dxa"/>
            <w:vAlign w:val="bottom"/>
          </w:tcPr>
          <w:p>
            <w:pPr>
              <w:jc w:val="right"/>
              <w:spacing w:after="0"/>
              <w:rPr>
                <w:sz w:val="20"/>
                <w:szCs w:val="20"/>
                <w:color w:val="auto"/>
              </w:rPr>
            </w:pPr>
            <w:r>
              <w:rPr>
                <w:rFonts w:ascii="Arial" w:cs="Arial" w:eastAsia="Arial" w:hAnsi="Arial"/>
                <w:sz w:val="13"/>
                <w:szCs w:val="13"/>
                <w:color w:val="auto"/>
              </w:rPr>
              <w:t>34.5 %</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45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w:t>
            </w:r>
          </w:p>
        </w:tc>
        <w:tc>
          <w:tcPr>
            <w:tcW w:w="1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16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Risk-free rate </w:t>
            </w:r>
            <w:r>
              <w:rPr>
                <w:rFonts w:ascii="Arial" w:cs="Arial" w:eastAsia="Arial" w:hAnsi="Arial"/>
                <w:sz w:val="16"/>
                <w:szCs w:val="16"/>
                <w:color w:val="auto"/>
                <w:vertAlign w:val="superscript"/>
              </w:rPr>
              <w:t>(2)</w:t>
            </w:r>
          </w:p>
        </w:tc>
        <w:tc>
          <w:tcPr>
            <w:tcW w:w="4520" w:type="dxa"/>
            <w:vAlign w:val="bottom"/>
          </w:tcPr>
          <w:p>
            <w:pPr>
              <w:jc w:val="right"/>
              <w:ind w:right="376"/>
              <w:spacing w:after="0"/>
              <w:rPr>
                <w:sz w:val="20"/>
                <w:szCs w:val="20"/>
                <w:color w:val="auto"/>
              </w:rPr>
            </w:pPr>
            <w:r>
              <w:rPr>
                <w:rFonts w:ascii="Arial" w:cs="Arial" w:eastAsia="Arial" w:hAnsi="Arial"/>
                <w:sz w:val="13"/>
                <w:szCs w:val="13"/>
                <w:b w:val="1"/>
                <w:bCs w:val="1"/>
                <w:color w:val="auto"/>
              </w:rPr>
              <w:t>4.00 %</w:t>
            </w:r>
          </w:p>
        </w:tc>
        <w:tc>
          <w:tcPr>
            <w:tcW w:w="1580" w:type="dxa"/>
            <w:vAlign w:val="bottom"/>
          </w:tcPr>
          <w:p>
            <w:pPr>
              <w:jc w:val="right"/>
              <w:spacing w:after="0"/>
              <w:rPr>
                <w:sz w:val="20"/>
                <w:szCs w:val="20"/>
                <w:color w:val="auto"/>
              </w:rPr>
            </w:pPr>
            <w:r>
              <w:rPr>
                <w:rFonts w:ascii="Arial" w:cs="Arial" w:eastAsia="Arial" w:hAnsi="Arial"/>
                <w:sz w:val="13"/>
                <w:szCs w:val="13"/>
                <w:color w:val="auto"/>
              </w:rPr>
              <w:t>4.19 %</w:t>
            </w:r>
          </w:p>
        </w:tc>
      </w:tr>
      <w:tr>
        <w:trPr>
          <w:trHeight w:val="170"/>
        </w:trPr>
        <w:tc>
          <w:tcPr>
            <w:tcW w:w="5160" w:type="dxa"/>
            <w:vAlign w:val="bottom"/>
            <w:tcBorders>
              <w:bottom w:val="single" w:sz="8" w:color="auto"/>
            </w:tcBorders>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Expected life </w:t>
            </w:r>
            <w:r>
              <w:rPr>
                <w:rFonts w:ascii="Arial" w:cs="Arial" w:eastAsia="Arial" w:hAnsi="Arial"/>
                <w:sz w:val="16"/>
                <w:szCs w:val="16"/>
                <w:color w:val="auto"/>
                <w:vertAlign w:val="superscript"/>
              </w:rPr>
              <w:t>(3)</w:t>
            </w:r>
          </w:p>
        </w:tc>
        <w:tc>
          <w:tcPr>
            <w:tcW w:w="4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4.4 years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 years</w:t>
            </w:r>
          </w:p>
        </w:tc>
      </w:tr>
    </w:tbl>
    <w:p>
      <w:pPr>
        <w:spacing w:after="0" w:line="55" w:lineRule="exact"/>
        <w:rPr>
          <w:sz w:val="20"/>
          <w:szCs w:val="20"/>
          <w:color w:val="auto"/>
        </w:rPr>
      </w:pPr>
    </w:p>
    <w:p>
      <w:pPr>
        <w:ind w:left="120" w:hanging="115"/>
        <w:spacing w:after="0"/>
        <w:tabs>
          <w:tab w:leader="none" w:pos="120" w:val="left"/>
        </w:tabs>
        <w:numPr>
          <w:ilvl w:val="0"/>
          <w:numId w:val="6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Expected volatility has been determined based upon the historic volatility of the Company’s share price over a period which is commensurate with the expected term of the options granted.</w:t>
      </w:r>
    </w:p>
    <w:p>
      <w:pPr>
        <w:spacing w:after="0" w:line="169" w:lineRule="exact"/>
        <w:rPr>
          <w:rFonts w:ascii="Arial" w:cs="Arial" w:eastAsia="Arial" w:hAnsi="Arial"/>
          <w:sz w:val="14"/>
          <w:szCs w:val="14"/>
          <w:i w:val="1"/>
          <w:iCs w:val="1"/>
          <w:color w:val="auto"/>
          <w:vertAlign w:val="superscript"/>
        </w:rPr>
      </w:pPr>
    </w:p>
    <w:p>
      <w:pPr>
        <w:ind w:left="120" w:hanging="115"/>
        <w:spacing w:after="0"/>
        <w:tabs>
          <w:tab w:leader="none" w:pos="120" w:val="left"/>
        </w:tabs>
        <w:numPr>
          <w:ilvl w:val="0"/>
          <w:numId w:val="60"/>
        </w:numPr>
        <w:rPr>
          <w:rFonts w:ascii="Arial" w:cs="Arial" w:eastAsia="Arial" w:hAnsi="Arial"/>
          <w:sz w:val="7"/>
          <w:szCs w:val="7"/>
          <w:i w:val="1"/>
          <w:iCs w:val="1"/>
          <w:color w:val="auto"/>
        </w:rPr>
      </w:pPr>
      <w:r>
        <w:rPr>
          <w:rFonts w:ascii="Arial" w:cs="Arial" w:eastAsia="Arial" w:hAnsi="Arial"/>
          <w:sz w:val="11"/>
          <w:szCs w:val="11"/>
          <w:i w:val="1"/>
          <w:iCs w:val="1"/>
          <w:color w:val="auto"/>
        </w:rPr>
        <w:t>Risk-free rate is dependent on the grant date and term of the award.</w:t>
      </w:r>
    </w:p>
    <w:p>
      <w:pPr>
        <w:spacing w:after="0" w:line="202" w:lineRule="exact"/>
        <w:rPr>
          <w:rFonts w:ascii="Arial" w:cs="Arial" w:eastAsia="Arial" w:hAnsi="Arial"/>
          <w:sz w:val="7"/>
          <w:szCs w:val="7"/>
          <w:i w:val="1"/>
          <w:iCs w:val="1"/>
          <w:color w:val="auto"/>
        </w:rPr>
      </w:pPr>
    </w:p>
    <w:p>
      <w:pPr>
        <w:ind w:left="200" w:hanging="195"/>
        <w:spacing w:after="0" w:line="221" w:lineRule="auto"/>
        <w:tabs>
          <w:tab w:leader="none" w:pos="131" w:val="left"/>
        </w:tabs>
        <w:numPr>
          <w:ilvl w:val="0"/>
          <w:numId w:val="60"/>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Expected life represents the weighted average period of time that options granted are expected to be outstanding given consideration to vesting schedules and the Company's historical experience of past vesting and termination patterns.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Share Units and Performance Share Units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23 April 2013 the Company adopted the 2013 Employees Restricted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Further, on 25 October 2024, the 2013 RSU Plan was amended and restated effective as of 6 November 2024 in order to increase the number of ordinary shares that can be issued under the 2013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6 November 2034.</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On 30 April 2019 the Company approved the 2019 Consultants and Directors Restricted Share Unit Plan (the “2019 Consultants RSU Plan”), which was effective as of 16 May 2019, pursuant to which the Compensation and Organisation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16 May 2029.</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1280"/>
          </w:cols>
          <w:pgMar w:left="300" w:top="698" w:right="3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92"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CCEEFF"/>
          </w:tcPr>
          <w:p>
            <w:pPr>
              <w:spacing w:after="0"/>
              <w:rPr>
                <w:sz w:val="13"/>
                <w:szCs w:val="13"/>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PSU Outstanding</w:t>
            </w:r>
          </w:p>
        </w:tc>
        <w:tc>
          <w:tcPr>
            <w:tcW w:w="32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PSU</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 Outstanding</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w:t>
            </w:r>
          </w:p>
        </w:tc>
      </w:tr>
      <w:tr>
        <w:trPr>
          <w:trHeight w:val="127"/>
        </w:trPr>
        <w:tc>
          <w:tcPr>
            <w:tcW w:w="3480" w:type="dxa"/>
            <w:vAlign w:val="bottom"/>
            <w:shd w:val="clear" w:color="auto" w:fill="CCEEFF"/>
          </w:tcPr>
          <w:p>
            <w:pPr>
              <w:spacing w:after="0"/>
              <w:rPr>
                <w:sz w:val="11"/>
                <w:szCs w:val="11"/>
                <w:color w:val="auto"/>
              </w:rPr>
            </w:pPr>
          </w:p>
        </w:tc>
        <w:tc>
          <w:tcPr>
            <w:tcW w:w="26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 of Shares</w:t>
            </w: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Weighted Average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Weighted Average</w:t>
            </w:r>
          </w:p>
        </w:tc>
      </w:tr>
      <w:tr>
        <w:trPr>
          <w:trHeight w:val="127"/>
        </w:trPr>
        <w:tc>
          <w:tcPr>
            <w:tcW w:w="348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Grant Date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of Shares</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Grant Date Fair Value</w:t>
            </w:r>
          </w:p>
        </w:tc>
      </w:tr>
      <w:tr>
        <w:trPr>
          <w:trHeight w:val="170"/>
        </w:trPr>
        <w:tc>
          <w:tcPr>
            <w:tcW w:w="3480" w:type="dxa"/>
            <w:vAlign w:val="bottom"/>
            <w:tcBorders>
              <w:bottom w:val="single" w:sz="8" w:color="auto"/>
            </w:tcBorders>
            <w:shd w:val="clear" w:color="auto" w:fill="CCEEFF"/>
          </w:tcPr>
          <w:p>
            <w:pPr>
              <w:spacing w:after="0"/>
              <w:rPr>
                <w:sz w:val="14"/>
                <w:szCs w:val="14"/>
                <w:color w:val="auto"/>
              </w:rPr>
            </w:pPr>
          </w:p>
        </w:tc>
        <w:tc>
          <w:tcPr>
            <w:tcW w:w="26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Fair Value</w:t>
            </w:r>
          </w:p>
        </w:tc>
        <w:tc>
          <w:tcPr>
            <w:tcW w:w="14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r>
      <w:tr>
        <w:trPr>
          <w:trHeight w:val="15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2023</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105,256</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226.29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621,011</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218.27</w:t>
            </w:r>
          </w:p>
        </w:tc>
      </w:tr>
      <w:tr>
        <w:trPr>
          <w:trHeight w:val="162"/>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48,626</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325.51</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258,345</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313.41</w:t>
            </w: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Shares vested</w:t>
            </w:r>
          </w:p>
        </w:tc>
        <w:tc>
          <w:tcPr>
            <w:tcW w:w="2640" w:type="dxa"/>
            <w:vAlign w:val="bottom"/>
          </w:tcPr>
          <w:p>
            <w:pPr>
              <w:jc w:val="right"/>
              <w:spacing w:after="0"/>
              <w:rPr>
                <w:sz w:val="20"/>
                <w:szCs w:val="20"/>
                <w:color w:val="auto"/>
              </w:rPr>
            </w:pPr>
            <w:r>
              <w:rPr>
                <w:rFonts w:ascii="Arial" w:cs="Arial" w:eastAsia="Arial" w:hAnsi="Arial"/>
                <w:sz w:val="13"/>
                <w:szCs w:val="13"/>
                <w:color w:val="auto"/>
              </w:rPr>
              <w:t>(9,975)</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177.38</w:t>
            </w:r>
          </w:p>
        </w:tc>
        <w:tc>
          <w:tcPr>
            <w:tcW w:w="1400" w:type="dxa"/>
            <w:vAlign w:val="bottom"/>
          </w:tcPr>
          <w:p>
            <w:pPr>
              <w:jc w:val="right"/>
              <w:spacing w:after="0"/>
              <w:rPr>
                <w:sz w:val="20"/>
                <w:szCs w:val="20"/>
                <w:color w:val="auto"/>
              </w:rPr>
            </w:pPr>
            <w:r>
              <w:rPr>
                <w:rFonts w:ascii="Arial" w:cs="Arial" w:eastAsia="Arial" w:hAnsi="Arial"/>
                <w:sz w:val="13"/>
                <w:szCs w:val="13"/>
                <w:color w:val="auto"/>
              </w:rPr>
              <w:t>(120,458)</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223.29</w:t>
            </w:r>
          </w:p>
        </w:tc>
      </w:tr>
      <w:tr>
        <w:trPr>
          <w:trHeight w:val="17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(124,186)</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260.42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(111,309)</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241.13</w:t>
            </w:r>
          </w:p>
        </w:tc>
      </w:tr>
      <w:tr>
        <w:trPr>
          <w:trHeight w:val="16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2024</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19,721</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280.76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647,589</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251.36</w:t>
            </w:r>
          </w:p>
        </w:tc>
      </w:tr>
      <w:tr>
        <w:trPr>
          <w:trHeight w:val="162"/>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41,359</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185.18</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1,204,477</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132.32</w:t>
            </w: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Shares vested</w:t>
            </w:r>
          </w:p>
        </w:tc>
        <w:tc>
          <w:tcPr>
            <w:tcW w:w="2640" w:type="dxa"/>
            <w:vAlign w:val="bottom"/>
          </w:tcPr>
          <w:p>
            <w:pPr>
              <w:jc w:val="right"/>
              <w:spacing w:after="0"/>
              <w:rPr>
                <w:sz w:val="20"/>
                <w:szCs w:val="20"/>
                <w:color w:val="auto"/>
              </w:rPr>
            </w:pPr>
            <w:r>
              <w:rPr>
                <w:rFonts w:ascii="Arial" w:cs="Arial" w:eastAsia="Arial" w:hAnsi="Arial"/>
                <w:sz w:val="13"/>
                <w:szCs w:val="13"/>
                <w:color w:val="auto"/>
              </w:rPr>
              <w:t>(9,228)</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229.93</w:t>
            </w:r>
          </w:p>
        </w:tc>
        <w:tc>
          <w:tcPr>
            <w:tcW w:w="1400" w:type="dxa"/>
            <w:vAlign w:val="bottom"/>
          </w:tcPr>
          <w:p>
            <w:pPr>
              <w:jc w:val="right"/>
              <w:spacing w:after="0"/>
              <w:rPr>
                <w:sz w:val="20"/>
                <w:szCs w:val="20"/>
                <w:color w:val="auto"/>
              </w:rPr>
            </w:pPr>
            <w:r>
              <w:rPr>
                <w:rFonts w:ascii="Arial" w:cs="Arial" w:eastAsia="Arial" w:hAnsi="Arial"/>
                <w:sz w:val="13"/>
                <w:szCs w:val="13"/>
                <w:color w:val="auto"/>
              </w:rPr>
              <w:t>(219,133)</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226.24</w:t>
            </w:r>
          </w:p>
        </w:tc>
      </w:tr>
      <w:tr>
        <w:trPr>
          <w:trHeight w:val="17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vested and settled in cash</w:t>
            </w: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(2,966)</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216.10</w:t>
            </w:r>
          </w:p>
        </w:tc>
      </w:tr>
      <w:tr>
        <w:trPr>
          <w:trHeight w:val="16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Forfeited</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(35,378)</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226.79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(153,798)</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208.15</w:t>
            </w:r>
          </w:p>
        </w:tc>
      </w:tr>
      <w:tr>
        <w:trPr>
          <w:trHeight w:val="185"/>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2025</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16,474</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185.18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1,476,169</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162.53</w:t>
            </w:r>
          </w:p>
        </w:tc>
      </w:tr>
      <w:tr>
        <w:trPr>
          <w:trHeight w:val="20"/>
        </w:trPr>
        <w:tc>
          <w:tcPr>
            <w:tcW w:w="348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PSUs vest based on service and specified EPS targets over the period 2023 – 2025, 2024 – 2026 and 2025 – 2027. Depending on the actual amount of EPS from 2023 to 2027, up to an additional 41,602 PSUs may also be granted.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expense</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Operating profit for the year ended 31 December 2025 is stated after charging $110.2 million in respect of share-based payment expense. Share-based payment expense has been allocated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shd w:val="clear" w:color="auto" w:fill="CCEEFF"/>
          </w:tcPr>
          <w:p>
            <w:pPr>
              <w:spacing w:after="0"/>
              <w:rPr>
                <w:sz w:val="13"/>
                <w:szCs w:val="13"/>
                <w:color w:val="auto"/>
              </w:rPr>
            </w:pPr>
          </w:p>
        </w:tc>
        <w:tc>
          <w:tcPr>
            <w:tcW w:w="474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31 December</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 2024</w:t>
            </w:r>
          </w:p>
        </w:tc>
      </w:tr>
      <w:tr>
        <w:trPr>
          <w:trHeight w:val="170"/>
        </w:trPr>
        <w:tc>
          <w:tcPr>
            <w:tcW w:w="5160" w:type="dxa"/>
            <w:vAlign w:val="bottom"/>
            <w:tcBorders>
              <w:bottom w:val="single" w:sz="8" w:color="auto"/>
            </w:tcBorders>
            <w:shd w:val="clear" w:color="auto" w:fill="CCEEFF"/>
          </w:tcPr>
          <w:p>
            <w:pPr>
              <w:spacing w:after="0"/>
              <w:rPr>
                <w:sz w:val="14"/>
                <w:szCs w:val="14"/>
                <w:color w:val="auto"/>
              </w:rPr>
            </w:pPr>
          </w:p>
        </w:tc>
        <w:tc>
          <w:tcPr>
            <w:tcW w:w="47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2025</w:t>
            </w:r>
          </w:p>
        </w:tc>
        <w:tc>
          <w:tcPr>
            <w:tcW w:w="1360" w:type="dxa"/>
            <w:vAlign w:val="bottom"/>
            <w:tcBorders>
              <w:bottom w:val="single" w:sz="8" w:color="auto"/>
            </w:tcBorders>
            <w:shd w:val="clear" w:color="auto" w:fill="CCEEFF"/>
          </w:tcPr>
          <w:p>
            <w:pPr>
              <w:spacing w:after="0"/>
              <w:rPr>
                <w:sz w:val="14"/>
                <w:szCs w:val="14"/>
                <w:color w:val="auto"/>
              </w:rPr>
            </w:pPr>
          </w:p>
        </w:tc>
      </w:tr>
      <w:tr>
        <w:trPr>
          <w:trHeight w:val="160"/>
        </w:trPr>
        <w:tc>
          <w:tcPr>
            <w:tcW w:w="5160" w:type="dxa"/>
            <w:vAlign w:val="bottom"/>
          </w:tcPr>
          <w:p>
            <w:pPr>
              <w:spacing w:after="0"/>
              <w:rPr>
                <w:sz w:val="13"/>
                <w:szCs w:val="13"/>
                <w:color w:val="auto"/>
              </w:rPr>
            </w:pPr>
          </w:p>
        </w:tc>
        <w:tc>
          <w:tcPr>
            <w:tcW w:w="474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474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57,524</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25,749</w:t>
            </w:r>
          </w:p>
        </w:tc>
      </w:tr>
      <w:tr>
        <w:trPr>
          <w:trHeight w:val="17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operating expenses</w:t>
            </w:r>
          </w:p>
        </w:tc>
        <w:tc>
          <w:tcPr>
            <w:tcW w:w="4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52,711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20,359</w:t>
            </w:r>
          </w:p>
        </w:tc>
      </w:tr>
      <w:tr>
        <w:trPr>
          <w:trHeight w:val="185"/>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7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110,235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46,108</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4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1280"/>
          </w:cols>
          <w:pgMar w:left="300" w:top="698"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Property, Plant and Equipment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Land</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Buildings</w:t>
            </w: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Leasehold</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Computer</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Office</w:t>
            </w:r>
          </w:p>
        </w:tc>
        <w:tc>
          <w:tcPr>
            <w:tcW w:w="11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Laboratory</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Motor</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27"/>
        </w:trPr>
        <w:tc>
          <w:tcPr>
            <w:tcW w:w="25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improvements</w:t>
            </w:r>
          </w:p>
        </w:tc>
        <w:tc>
          <w:tcPr>
            <w:tcW w:w="106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equipment</w:t>
            </w:r>
          </w:p>
        </w:tc>
        <w:tc>
          <w:tcPr>
            <w:tcW w:w="1060" w:type="dxa"/>
            <w:vAlign w:val="bottom"/>
            <w:shd w:val="clear" w:color="auto" w:fill="CCEEFF"/>
          </w:tcPr>
          <w:p>
            <w:pPr>
              <w:jc w:val="right"/>
              <w:ind w:right="136"/>
              <w:spacing w:after="0" w:line="128" w:lineRule="exact"/>
              <w:rPr>
                <w:sz w:val="20"/>
                <w:szCs w:val="20"/>
                <w:color w:val="auto"/>
              </w:rPr>
            </w:pPr>
            <w:r>
              <w:rPr>
                <w:rFonts w:ascii="Arial" w:cs="Arial" w:eastAsia="Arial" w:hAnsi="Arial"/>
                <w:sz w:val="13"/>
                <w:szCs w:val="13"/>
                <w:b w:val="1"/>
                <w:bCs w:val="1"/>
                <w:color w:val="auto"/>
              </w:rPr>
              <w:t>furniture &amp;</w:t>
            </w:r>
          </w:p>
        </w:tc>
        <w:tc>
          <w:tcPr>
            <w:tcW w:w="1160" w:type="dxa"/>
            <w:vAlign w:val="bottom"/>
            <w:shd w:val="clear" w:color="auto" w:fill="CCEEFF"/>
          </w:tcPr>
          <w:p>
            <w:pPr>
              <w:jc w:val="right"/>
              <w:ind w:right="216"/>
              <w:spacing w:after="0" w:line="128" w:lineRule="exact"/>
              <w:rPr>
                <w:sz w:val="20"/>
                <w:szCs w:val="20"/>
                <w:color w:val="auto"/>
              </w:rPr>
            </w:pPr>
            <w:r>
              <w:rPr>
                <w:rFonts w:ascii="Arial" w:cs="Arial" w:eastAsia="Arial" w:hAnsi="Arial"/>
                <w:sz w:val="13"/>
                <w:szCs w:val="13"/>
                <w:b w:val="1"/>
                <w:bCs w:val="1"/>
                <w:color w:val="auto"/>
              </w:rPr>
              <w:t>equipment</w:t>
            </w:r>
          </w:p>
        </w:tc>
        <w:tc>
          <w:tcPr>
            <w:tcW w:w="1060" w:type="dxa"/>
            <w:vAlign w:val="bottom"/>
            <w:shd w:val="clear" w:color="auto" w:fill="CCEEFF"/>
          </w:tcPr>
          <w:p>
            <w:pPr>
              <w:jc w:val="right"/>
              <w:ind w:right="216"/>
              <w:spacing w:after="0" w:line="128" w:lineRule="exact"/>
              <w:rPr>
                <w:sz w:val="20"/>
                <w:szCs w:val="20"/>
                <w:color w:val="auto"/>
              </w:rPr>
            </w:pPr>
            <w:r>
              <w:rPr>
                <w:rFonts w:ascii="Arial" w:cs="Arial" w:eastAsia="Arial" w:hAnsi="Arial"/>
                <w:sz w:val="13"/>
                <w:szCs w:val="13"/>
                <w:b w:val="1"/>
                <w:bCs w:val="1"/>
                <w:color w:val="auto"/>
              </w:rPr>
              <w:t>vehicles</w:t>
            </w:r>
          </w:p>
        </w:tc>
        <w:tc>
          <w:tcPr>
            <w:tcW w:w="800" w:type="dxa"/>
            <w:vAlign w:val="bottom"/>
            <w:shd w:val="clear" w:color="auto" w:fill="CCEEFF"/>
          </w:tcPr>
          <w:p>
            <w:pPr>
              <w:spacing w:after="0"/>
              <w:rPr>
                <w:sz w:val="11"/>
                <w:szCs w:val="11"/>
                <w:color w:val="auto"/>
              </w:rPr>
            </w:pPr>
          </w:p>
        </w:tc>
      </w:tr>
      <w:tr>
        <w:trPr>
          <w:trHeight w:val="170"/>
        </w:trPr>
        <w:tc>
          <w:tcPr>
            <w:tcW w:w="25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fixtures</w:t>
            </w:r>
          </w:p>
        </w:tc>
        <w:tc>
          <w:tcPr>
            <w:tcW w:w="11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r>
      <w:tr>
        <w:trPr>
          <w:trHeight w:val="160"/>
        </w:trPr>
        <w:tc>
          <w:tcPr>
            <w:tcW w:w="2580" w:type="dxa"/>
            <w:vAlign w:val="bottom"/>
          </w:tcPr>
          <w:p>
            <w:pPr>
              <w:spacing w:after="0"/>
              <w:rPr>
                <w:sz w:val="13"/>
                <w:szCs w:val="13"/>
                <w:color w:val="auto"/>
              </w:rPr>
            </w:pPr>
          </w:p>
        </w:tc>
        <w:tc>
          <w:tcPr>
            <w:tcW w:w="118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color w:val="auto"/>
              </w:rPr>
              <w:t>At 1 January 2025 (as restated)</w:t>
            </w:r>
          </w:p>
        </w:tc>
        <w:tc>
          <w:tcPr>
            <w:tcW w:w="1180" w:type="dxa"/>
            <w:vAlign w:val="bottom"/>
          </w:tcPr>
          <w:p>
            <w:pPr>
              <w:jc w:val="right"/>
              <w:ind w:right="216"/>
              <w:spacing w:after="0"/>
              <w:rPr>
                <w:sz w:val="20"/>
                <w:szCs w:val="20"/>
                <w:color w:val="auto"/>
              </w:rPr>
            </w:pPr>
            <w:r>
              <w:rPr>
                <w:rFonts w:ascii="Arial" w:cs="Arial" w:eastAsia="Arial" w:hAnsi="Arial"/>
                <w:sz w:val="13"/>
                <w:szCs w:val="13"/>
                <w:color w:val="auto"/>
              </w:rPr>
              <w:t>3,724</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66,132</w:t>
            </w:r>
          </w:p>
        </w:tc>
        <w:tc>
          <w:tcPr>
            <w:tcW w:w="1200" w:type="dxa"/>
            <w:vAlign w:val="bottom"/>
          </w:tcPr>
          <w:p>
            <w:pPr>
              <w:jc w:val="right"/>
              <w:ind w:right="196"/>
              <w:spacing w:after="0"/>
              <w:rPr>
                <w:sz w:val="20"/>
                <w:szCs w:val="20"/>
                <w:color w:val="auto"/>
              </w:rPr>
            </w:pPr>
            <w:r>
              <w:rPr>
                <w:rFonts w:ascii="Arial" w:cs="Arial" w:eastAsia="Arial" w:hAnsi="Arial"/>
                <w:sz w:val="13"/>
                <w:szCs w:val="13"/>
                <w:color w:val="auto"/>
              </w:rPr>
              <w:t>62,034</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112,747</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51,849</w:t>
            </w:r>
          </w:p>
        </w:tc>
        <w:tc>
          <w:tcPr>
            <w:tcW w:w="1160" w:type="dxa"/>
            <w:vAlign w:val="bottom"/>
          </w:tcPr>
          <w:p>
            <w:pPr>
              <w:jc w:val="right"/>
              <w:ind w:right="276"/>
              <w:spacing w:after="0"/>
              <w:rPr>
                <w:sz w:val="20"/>
                <w:szCs w:val="20"/>
                <w:color w:val="auto"/>
              </w:rPr>
            </w:pPr>
            <w:r>
              <w:rPr>
                <w:rFonts w:ascii="Arial" w:cs="Arial" w:eastAsia="Arial" w:hAnsi="Arial"/>
                <w:sz w:val="13"/>
                <w:szCs w:val="13"/>
                <w:color w:val="auto"/>
              </w:rPr>
              <w:t>55,111</w:t>
            </w:r>
          </w:p>
        </w:tc>
        <w:tc>
          <w:tcPr>
            <w:tcW w:w="1060" w:type="dxa"/>
            <w:vAlign w:val="bottom"/>
          </w:tcPr>
          <w:p>
            <w:pPr>
              <w:jc w:val="right"/>
              <w:ind w:right="256"/>
              <w:spacing w:after="0"/>
              <w:rPr>
                <w:sz w:val="20"/>
                <w:szCs w:val="20"/>
                <w:color w:val="auto"/>
              </w:rPr>
            </w:pPr>
            <w:r>
              <w:rPr>
                <w:rFonts w:ascii="Arial" w:cs="Arial" w:eastAsia="Arial" w:hAnsi="Arial"/>
                <w:sz w:val="13"/>
                <w:szCs w:val="13"/>
                <w:color w:val="auto"/>
              </w:rPr>
              <w:t>65</w:t>
            </w:r>
          </w:p>
        </w:tc>
        <w:tc>
          <w:tcPr>
            <w:tcW w:w="800" w:type="dxa"/>
            <w:vAlign w:val="bottom"/>
          </w:tcPr>
          <w:p>
            <w:pPr>
              <w:jc w:val="right"/>
              <w:spacing w:after="0"/>
              <w:rPr>
                <w:sz w:val="20"/>
                <w:szCs w:val="20"/>
                <w:color w:val="auto"/>
              </w:rPr>
            </w:pPr>
            <w:r>
              <w:rPr>
                <w:rFonts w:ascii="Arial" w:cs="Arial" w:eastAsia="Arial" w:hAnsi="Arial"/>
                <w:sz w:val="13"/>
                <w:szCs w:val="13"/>
                <w:color w:val="auto"/>
              </w:rPr>
              <w:t>351,662</w:t>
            </w:r>
          </w:p>
        </w:tc>
      </w:tr>
      <w:tr>
        <w:trPr>
          <w:trHeight w:val="17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1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9,560</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8,070</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28,051</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5,080</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19,026</w:t>
            </w:r>
          </w:p>
        </w:tc>
        <w:tc>
          <w:tcPr>
            <w:tcW w:w="10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69,787</w:t>
            </w: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1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76"/>
              <w:spacing w:after="0"/>
              <w:rPr>
                <w:sz w:val="20"/>
                <w:szCs w:val="20"/>
                <w:color w:val="auto"/>
              </w:rPr>
            </w:pPr>
            <w:r>
              <w:rPr>
                <w:rFonts w:ascii="Arial" w:cs="Arial" w:eastAsia="Arial" w:hAnsi="Arial"/>
                <w:sz w:val="13"/>
                <w:szCs w:val="13"/>
                <w:color w:val="auto"/>
              </w:rPr>
              <w:t>(1,734)</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(6,760)</w:t>
            </w:r>
          </w:p>
        </w:tc>
        <w:tc>
          <w:tcPr>
            <w:tcW w:w="1060" w:type="dxa"/>
            <w:vAlign w:val="bottom"/>
          </w:tcPr>
          <w:p>
            <w:pPr>
              <w:jc w:val="right"/>
              <w:ind w:right="136"/>
              <w:spacing w:after="0"/>
              <w:rPr>
                <w:sz w:val="20"/>
                <w:szCs w:val="20"/>
                <w:color w:val="auto"/>
              </w:rPr>
            </w:pPr>
            <w:r>
              <w:rPr>
                <w:rFonts w:ascii="Arial" w:cs="Arial" w:eastAsia="Arial" w:hAnsi="Arial"/>
                <w:sz w:val="13"/>
                <w:szCs w:val="13"/>
                <w:color w:val="auto"/>
              </w:rPr>
              <w:t>(209)</w:t>
            </w:r>
          </w:p>
        </w:tc>
        <w:tc>
          <w:tcPr>
            <w:tcW w:w="1160" w:type="dxa"/>
            <w:vAlign w:val="bottom"/>
          </w:tcPr>
          <w:p>
            <w:pPr>
              <w:jc w:val="right"/>
              <w:ind w:right="236"/>
              <w:spacing w:after="0"/>
              <w:rPr>
                <w:sz w:val="20"/>
                <w:szCs w:val="20"/>
                <w:color w:val="auto"/>
              </w:rPr>
            </w:pPr>
            <w:r>
              <w:rPr>
                <w:rFonts w:ascii="Arial" w:cs="Arial" w:eastAsia="Arial" w:hAnsi="Arial"/>
                <w:sz w:val="13"/>
                <w:szCs w:val="13"/>
                <w:color w:val="auto"/>
              </w:rPr>
              <w:t>(14,791)</w:t>
            </w:r>
          </w:p>
        </w:tc>
        <w:tc>
          <w:tcPr>
            <w:tcW w:w="1060" w:type="dxa"/>
            <w:vAlign w:val="bottom"/>
          </w:tcPr>
          <w:p>
            <w:pPr>
              <w:jc w:val="right"/>
              <w:ind w:right="216"/>
              <w:spacing w:after="0"/>
              <w:rPr>
                <w:sz w:val="20"/>
                <w:szCs w:val="20"/>
                <w:color w:val="auto"/>
              </w:rPr>
            </w:pPr>
            <w:r>
              <w:rPr>
                <w:rFonts w:ascii="Arial" w:cs="Arial" w:eastAsia="Arial" w:hAnsi="Arial"/>
                <w:sz w:val="13"/>
                <w:szCs w:val="13"/>
                <w:color w:val="auto"/>
              </w:rPr>
              <w:t>(19)</w:t>
            </w:r>
          </w:p>
        </w:tc>
        <w:tc>
          <w:tcPr>
            <w:tcW w:w="800" w:type="dxa"/>
            <w:vAlign w:val="bottom"/>
          </w:tcPr>
          <w:p>
            <w:pPr>
              <w:jc w:val="right"/>
              <w:spacing w:after="0"/>
              <w:rPr>
                <w:sz w:val="20"/>
                <w:szCs w:val="20"/>
                <w:color w:val="auto"/>
              </w:rPr>
            </w:pPr>
            <w:r>
              <w:rPr>
                <w:rFonts w:ascii="Arial" w:cs="Arial" w:eastAsia="Arial" w:hAnsi="Arial"/>
                <w:sz w:val="13"/>
                <w:szCs w:val="13"/>
                <w:color w:val="auto"/>
              </w:rPr>
              <w:t>(23,513)</w:t>
            </w:r>
          </w:p>
        </w:tc>
      </w:tr>
      <w:tr>
        <w:trPr>
          <w:trHeight w:val="170"/>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7,577</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3,905</w:t>
            </w:r>
          </w:p>
        </w:tc>
        <w:tc>
          <w:tcPr>
            <w:tcW w:w="10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5,106</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3,897</w:t>
            </w:r>
          </w:p>
        </w:tc>
        <w:tc>
          <w:tcPr>
            <w:tcW w:w="11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2,305</w:t>
            </w:r>
          </w:p>
        </w:tc>
        <w:tc>
          <w:tcPr>
            <w:tcW w:w="10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30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22,820</w:t>
            </w:r>
          </w:p>
        </w:tc>
      </w:tr>
      <w:tr>
        <w:trPr>
          <w:trHeight w:val="162"/>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11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3,724</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83,269</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72,275</w:t>
            </w:r>
          </w:p>
        </w:tc>
        <w:tc>
          <w:tcPr>
            <w:tcW w:w="10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139,144</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60,617</w:t>
            </w:r>
          </w:p>
        </w:tc>
        <w:tc>
          <w:tcPr>
            <w:tcW w:w="11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61,651</w:t>
            </w:r>
          </w:p>
        </w:tc>
        <w:tc>
          <w:tcPr>
            <w:tcW w:w="10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76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420,756</w:t>
            </w:r>
          </w:p>
        </w:tc>
      </w:tr>
      <w:tr>
        <w:trPr>
          <w:trHeight w:val="150"/>
        </w:trPr>
        <w:tc>
          <w:tcPr>
            <w:tcW w:w="2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0"/>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2025 (as restated)</w:t>
            </w:r>
          </w:p>
        </w:tc>
        <w:tc>
          <w:tcPr>
            <w:tcW w:w="11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29,954</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30,039</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58,566</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27,086</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36,828</w:t>
            </w:r>
          </w:p>
        </w:tc>
        <w:tc>
          <w:tcPr>
            <w:tcW w:w="10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65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182,538</w:t>
            </w: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1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1,576</w:t>
            </w:r>
          </w:p>
        </w:tc>
        <w:tc>
          <w:tcPr>
            <w:tcW w:w="1200" w:type="dxa"/>
            <w:vAlign w:val="bottom"/>
          </w:tcPr>
          <w:p>
            <w:pPr>
              <w:jc w:val="right"/>
              <w:ind w:right="196"/>
              <w:spacing w:after="0"/>
              <w:rPr>
                <w:sz w:val="20"/>
                <w:szCs w:val="20"/>
                <w:color w:val="auto"/>
              </w:rPr>
            </w:pPr>
            <w:r>
              <w:rPr>
                <w:rFonts w:ascii="Arial" w:cs="Arial" w:eastAsia="Arial" w:hAnsi="Arial"/>
                <w:sz w:val="13"/>
                <w:szCs w:val="13"/>
                <w:color w:val="auto"/>
              </w:rPr>
              <w:t>8,676</w:t>
            </w:r>
          </w:p>
        </w:tc>
        <w:tc>
          <w:tcPr>
            <w:tcW w:w="1060" w:type="dxa"/>
            <w:vAlign w:val="bottom"/>
          </w:tcPr>
          <w:p>
            <w:pPr>
              <w:jc w:val="right"/>
              <w:ind w:right="196"/>
              <w:spacing w:after="0"/>
              <w:rPr>
                <w:sz w:val="20"/>
                <w:szCs w:val="20"/>
                <w:color w:val="auto"/>
              </w:rPr>
            </w:pPr>
            <w:r>
              <w:rPr>
                <w:rFonts w:ascii="Arial" w:cs="Arial" w:eastAsia="Arial" w:hAnsi="Arial"/>
                <w:sz w:val="13"/>
                <w:szCs w:val="13"/>
                <w:color w:val="auto"/>
              </w:rPr>
              <w:t>26,612</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6,831</w:t>
            </w:r>
          </w:p>
        </w:tc>
        <w:tc>
          <w:tcPr>
            <w:tcW w:w="1160" w:type="dxa"/>
            <w:vAlign w:val="bottom"/>
          </w:tcPr>
          <w:p>
            <w:pPr>
              <w:jc w:val="right"/>
              <w:ind w:right="276"/>
              <w:spacing w:after="0"/>
              <w:rPr>
                <w:sz w:val="20"/>
                <w:szCs w:val="20"/>
                <w:color w:val="auto"/>
              </w:rPr>
            </w:pPr>
            <w:r>
              <w:rPr>
                <w:rFonts w:ascii="Arial" w:cs="Arial" w:eastAsia="Arial" w:hAnsi="Arial"/>
                <w:sz w:val="13"/>
                <w:szCs w:val="13"/>
                <w:color w:val="auto"/>
              </w:rPr>
              <w:t>9,187</w:t>
            </w:r>
          </w:p>
        </w:tc>
        <w:tc>
          <w:tcPr>
            <w:tcW w:w="10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52,882</w:t>
            </w:r>
          </w:p>
        </w:tc>
      </w:tr>
      <w:tr>
        <w:trPr>
          <w:trHeight w:val="17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w:t>
            </w:r>
          </w:p>
        </w:tc>
        <w:tc>
          <w:tcPr>
            <w:tcW w:w="11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272</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1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76"/>
              <w:spacing w:after="0"/>
              <w:rPr>
                <w:sz w:val="20"/>
                <w:szCs w:val="20"/>
                <w:color w:val="auto"/>
              </w:rPr>
            </w:pPr>
            <w:r>
              <w:rPr>
                <w:rFonts w:ascii="Arial" w:cs="Arial" w:eastAsia="Arial" w:hAnsi="Arial"/>
                <w:sz w:val="13"/>
                <w:szCs w:val="13"/>
                <w:color w:val="auto"/>
              </w:rPr>
              <w:t>(2,913)</w:t>
            </w:r>
          </w:p>
        </w:tc>
        <w:tc>
          <w:tcPr>
            <w:tcW w:w="1060" w:type="dxa"/>
            <w:vAlign w:val="bottom"/>
          </w:tcPr>
          <w:p>
            <w:pPr>
              <w:jc w:val="right"/>
              <w:ind w:right="156"/>
              <w:spacing w:after="0"/>
              <w:rPr>
                <w:sz w:val="20"/>
                <w:szCs w:val="20"/>
                <w:color w:val="auto"/>
              </w:rPr>
            </w:pPr>
            <w:r>
              <w:rPr>
                <w:rFonts w:ascii="Arial" w:cs="Arial" w:eastAsia="Arial" w:hAnsi="Arial"/>
                <w:sz w:val="13"/>
                <w:szCs w:val="13"/>
                <w:color w:val="auto"/>
              </w:rPr>
              <w:t>(6,432)</w:t>
            </w:r>
          </w:p>
        </w:tc>
        <w:tc>
          <w:tcPr>
            <w:tcW w:w="1060" w:type="dxa"/>
            <w:vAlign w:val="bottom"/>
          </w:tcPr>
          <w:p>
            <w:pPr>
              <w:jc w:val="right"/>
              <w:ind w:right="136"/>
              <w:spacing w:after="0"/>
              <w:rPr>
                <w:sz w:val="20"/>
                <w:szCs w:val="20"/>
                <w:color w:val="auto"/>
              </w:rPr>
            </w:pPr>
            <w:r>
              <w:rPr>
                <w:rFonts w:ascii="Arial" w:cs="Arial" w:eastAsia="Arial" w:hAnsi="Arial"/>
                <w:sz w:val="13"/>
                <w:szCs w:val="13"/>
                <w:color w:val="auto"/>
              </w:rPr>
              <w:t>(209)</w:t>
            </w:r>
          </w:p>
        </w:tc>
        <w:tc>
          <w:tcPr>
            <w:tcW w:w="1160" w:type="dxa"/>
            <w:vAlign w:val="bottom"/>
          </w:tcPr>
          <w:p>
            <w:pPr>
              <w:jc w:val="right"/>
              <w:ind w:right="236"/>
              <w:spacing w:after="0"/>
              <w:rPr>
                <w:sz w:val="20"/>
                <w:szCs w:val="20"/>
                <w:color w:val="auto"/>
              </w:rPr>
            </w:pPr>
            <w:r>
              <w:rPr>
                <w:rFonts w:ascii="Arial" w:cs="Arial" w:eastAsia="Arial" w:hAnsi="Arial"/>
                <w:sz w:val="13"/>
                <w:szCs w:val="13"/>
                <w:color w:val="auto"/>
              </w:rPr>
              <w:t>(14,791)</w:t>
            </w:r>
          </w:p>
        </w:tc>
        <w:tc>
          <w:tcPr>
            <w:tcW w:w="1060" w:type="dxa"/>
            <w:vAlign w:val="bottom"/>
          </w:tcPr>
          <w:p>
            <w:pPr>
              <w:jc w:val="right"/>
              <w:ind w:right="216"/>
              <w:spacing w:after="0"/>
              <w:rPr>
                <w:sz w:val="20"/>
                <w:szCs w:val="20"/>
                <w:color w:val="auto"/>
              </w:rPr>
            </w:pPr>
            <w:r>
              <w:rPr>
                <w:rFonts w:ascii="Arial" w:cs="Arial" w:eastAsia="Arial" w:hAnsi="Arial"/>
                <w:sz w:val="13"/>
                <w:szCs w:val="13"/>
                <w:color w:val="auto"/>
              </w:rPr>
              <w:t>(19)</w:t>
            </w:r>
          </w:p>
        </w:tc>
        <w:tc>
          <w:tcPr>
            <w:tcW w:w="800" w:type="dxa"/>
            <w:vAlign w:val="bottom"/>
          </w:tcPr>
          <w:p>
            <w:pPr>
              <w:jc w:val="right"/>
              <w:spacing w:after="0"/>
              <w:rPr>
                <w:sz w:val="20"/>
                <w:szCs w:val="20"/>
                <w:color w:val="auto"/>
              </w:rPr>
            </w:pPr>
            <w:r>
              <w:rPr>
                <w:rFonts w:ascii="Arial" w:cs="Arial" w:eastAsia="Arial" w:hAnsi="Arial"/>
                <w:sz w:val="13"/>
                <w:szCs w:val="13"/>
                <w:color w:val="auto"/>
              </w:rPr>
              <w:t>(24,364)</w:t>
            </w:r>
          </w:p>
        </w:tc>
      </w:tr>
      <w:tr>
        <w:trPr>
          <w:trHeight w:val="170"/>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1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3,565</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1,306</w:t>
            </w:r>
          </w:p>
        </w:tc>
        <w:tc>
          <w:tcPr>
            <w:tcW w:w="10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2,982</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2,894</w:t>
            </w:r>
          </w:p>
        </w:tc>
        <w:tc>
          <w:tcPr>
            <w:tcW w:w="11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2,139</w:t>
            </w:r>
          </w:p>
        </w:tc>
        <w:tc>
          <w:tcPr>
            <w:tcW w:w="10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30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12,916</w:t>
            </w:r>
          </w:p>
        </w:tc>
      </w:tr>
      <w:tr>
        <w:trPr>
          <w:trHeight w:val="162"/>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11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35,095</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37,108</w:t>
            </w:r>
          </w:p>
        </w:tc>
        <w:tc>
          <w:tcPr>
            <w:tcW w:w="10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82,000</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36,602</w:t>
            </w:r>
          </w:p>
        </w:tc>
        <w:tc>
          <w:tcPr>
            <w:tcW w:w="11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33,363</w:t>
            </w:r>
          </w:p>
        </w:tc>
        <w:tc>
          <w:tcPr>
            <w:tcW w:w="10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76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224,244</w:t>
            </w:r>
          </w:p>
        </w:tc>
      </w:tr>
      <w:tr>
        <w:trPr>
          <w:trHeight w:val="150"/>
        </w:trPr>
        <w:tc>
          <w:tcPr>
            <w:tcW w:w="2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0"/>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11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3,724</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48,174</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35,167</w:t>
            </w:r>
          </w:p>
        </w:tc>
        <w:tc>
          <w:tcPr>
            <w:tcW w:w="10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57,144</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24,015</w:t>
            </w:r>
          </w:p>
        </w:tc>
        <w:tc>
          <w:tcPr>
            <w:tcW w:w="11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28,288</w:t>
            </w:r>
          </w:p>
        </w:tc>
        <w:tc>
          <w:tcPr>
            <w:tcW w:w="10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196,512</w:t>
            </w:r>
          </w:p>
        </w:tc>
      </w:tr>
      <w:tr>
        <w:trPr>
          <w:trHeight w:val="150"/>
        </w:trPr>
        <w:tc>
          <w:tcPr>
            <w:tcW w:w="2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2024 (as restated)</w:t>
            </w:r>
          </w:p>
        </w:tc>
        <w:tc>
          <w:tcPr>
            <w:tcW w:w="11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3,724</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36,178</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31,995</w:t>
            </w:r>
          </w:p>
        </w:tc>
        <w:tc>
          <w:tcPr>
            <w:tcW w:w="10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54,181</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24,763</w:t>
            </w:r>
          </w:p>
        </w:tc>
        <w:tc>
          <w:tcPr>
            <w:tcW w:w="11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18,283</w:t>
            </w:r>
          </w:p>
        </w:tc>
        <w:tc>
          <w:tcPr>
            <w:tcW w:w="10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169,124</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$52.9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020"/>
          </w:cols>
          <w:pgMar w:left="300" w:top="698" w:right="5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 Property, Plant and Equipment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Land</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Buildings</w:t>
            </w: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Leasehold</w:t>
            </w:r>
          </w:p>
        </w:tc>
        <w:tc>
          <w:tcPr>
            <w:tcW w:w="10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Computer</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Office</w:t>
            </w:r>
          </w:p>
        </w:tc>
        <w:tc>
          <w:tcPr>
            <w:tcW w:w="11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Laboratory</w:t>
            </w:r>
          </w:p>
        </w:tc>
        <w:tc>
          <w:tcPr>
            <w:tcW w:w="110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Motor</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27"/>
        </w:trPr>
        <w:tc>
          <w:tcPr>
            <w:tcW w:w="2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improvements</w:t>
            </w:r>
          </w:p>
        </w:tc>
        <w:tc>
          <w:tcPr>
            <w:tcW w:w="108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equipment</w:t>
            </w:r>
          </w:p>
        </w:tc>
        <w:tc>
          <w:tcPr>
            <w:tcW w:w="110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furniture &amp;</w:t>
            </w:r>
          </w:p>
        </w:tc>
        <w:tc>
          <w:tcPr>
            <w:tcW w:w="1160" w:type="dxa"/>
            <w:vAlign w:val="bottom"/>
            <w:shd w:val="clear" w:color="auto" w:fill="CCEEFF"/>
          </w:tcPr>
          <w:p>
            <w:pPr>
              <w:jc w:val="right"/>
              <w:ind w:right="216"/>
              <w:spacing w:after="0" w:line="128" w:lineRule="exact"/>
              <w:rPr>
                <w:sz w:val="20"/>
                <w:szCs w:val="20"/>
                <w:color w:val="auto"/>
              </w:rPr>
            </w:pPr>
            <w:r>
              <w:rPr>
                <w:rFonts w:ascii="Arial" w:cs="Arial" w:eastAsia="Arial" w:hAnsi="Arial"/>
                <w:sz w:val="13"/>
                <w:szCs w:val="13"/>
                <w:b w:val="1"/>
                <w:bCs w:val="1"/>
                <w:color w:val="auto"/>
              </w:rPr>
              <w:t>equipment</w:t>
            </w:r>
          </w:p>
        </w:tc>
        <w:tc>
          <w:tcPr>
            <w:tcW w:w="1100" w:type="dxa"/>
            <w:vAlign w:val="bottom"/>
            <w:shd w:val="clear" w:color="auto" w:fill="CCEEFF"/>
          </w:tcPr>
          <w:p>
            <w:pPr>
              <w:jc w:val="right"/>
              <w:ind w:right="236"/>
              <w:spacing w:after="0" w:line="128" w:lineRule="exact"/>
              <w:rPr>
                <w:sz w:val="20"/>
                <w:szCs w:val="20"/>
                <w:color w:val="auto"/>
              </w:rPr>
            </w:pPr>
            <w:r>
              <w:rPr>
                <w:rFonts w:ascii="Arial" w:cs="Arial" w:eastAsia="Arial" w:hAnsi="Arial"/>
                <w:sz w:val="13"/>
                <w:szCs w:val="13"/>
                <w:b w:val="1"/>
                <w:bCs w:val="1"/>
                <w:color w:val="auto"/>
              </w:rPr>
              <w:t>vehicles</w:t>
            </w:r>
          </w:p>
        </w:tc>
        <w:tc>
          <w:tcPr>
            <w:tcW w:w="820" w:type="dxa"/>
            <w:vAlign w:val="bottom"/>
            <w:shd w:val="clear" w:color="auto" w:fill="CCEEFF"/>
          </w:tcPr>
          <w:p>
            <w:pPr>
              <w:spacing w:after="0"/>
              <w:rPr>
                <w:sz w:val="11"/>
                <w:szCs w:val="11"/>
                <w:color w:val="auto"/>
              </w:rPr>
            </w:pPr>
          </w:p>
        </w:tc>
      </w:tr>
      <w:tr>
        <w:trPr>
          <w:trHeight w:val="170"/>
        </w:trPr>
        <w:tc>
          <w:tcPr>
            <w:tcW w:w="28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fixtures</w:t>
            </w:r>
          </w:p>
        </w:tc>
        <w:tc>
          <w:tcPr>
            <w:tcW w:w="1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r>
      <w:tr>
        <w:trPr>
          <w:trHeight w:val="160"/>
        </w:trPr>
        <w:tc>
          <w:tcPr>
            <w:tcW w:w="2840" w:type="dxa"/>
            <w:vAlign w:val="bottom"/>
          </w:tcPr>
          <w:p>
            <w:pPr>
              <w:spacing w:after="0"/>
              <w:rPr>
                <w:sz w:val="13"/>
                <w:szCs w:val="13"/>
                <w:color w:val="auto"/>
              </w:rPr>
            </w:pPr>
          </w:p>
        </w:tc>
        <w:tc>
          <w:tcPr>
            <w:tcW w:w="102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At 1 January 2024 (as reported)</w:t>
            </w:r>
          </w:p>
        </w:tc>
        <w:tc>
          <w:tcPr>
            <w:tcW w:w="1020" w:type="dxa"/>
            <w:vAlign w:val="bottom"/>
          </w:tcPr>
          <w:p>
            <w:pPr>
              <w:jc w:val="right"/>
              <w:ind w:right="236"/>
              <w:spacing w:after="0"/>
              <w:rPr>
                <w:sz w:val="20"/>
                <w:szCs w:val="20"/>
                <w:color w:val="auto"/>
              </w:rPr>
            </w:pPr>
            <w:r>
              <w:rPr>
                <w:rFonts w:ascii="Arial" w:cs="Arial" w:eastAsia="Arial" w:hAnsi="Arial"/>
                <w:sz w:val="13"/>
                <w:szCs w:val="13"/>
                <w:color w:val="auto"/>
              </w:rPr>
              <w:t>3,724</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70,072</w:t>
            </w:r>
          </w:p>
        </w:tc>
        <w:tc>
          <w:tcPr>
            <w:tcW w:w="1200" w:type="dxa"/>
            <w:vAlign w:val="bottom"/>
          </w:tcPr>
          <w:p>
            <w:pPr>
              <w:jc w:val="right"/>
              <w:ind w:right="196"/>
              <w:spacing w:after="0"/>
              <w:rPr>
                <w:sz w:val="20"/>
                <w:szCs w:val="20"/>
                <w:color w:val="auto"/>
              </w:rPr>
            </w:pPr>
            <w:r>
              <w:rPr>
                <w:rFonts w:ascii="Arial" w:cs="Arial" w:eastAsia="Arial" w:hAnsi="Arial"/>
                <w:sz w:val="13"/>
                <w:szCs w:val="13"/>
                <w:color w:val="auto"/>
              </w:rPr>
              <w:t>55,000</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77,108</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45,856</w:t>
            </w:r>
          </w:p>
        </w:tc>
        <w:tc>
          <w:tcPr>
            <w:tcW w:w="1160" w:type="dxa"/>
            <w:vAlign w:val="bottom"/>
          </w:tcPr>
          <w:p>
            <w:pPr>
              <w:jc w:val="right"/>
              <w:ind w:right="256"/>
              <w:spacing w:after="0"/>
              <w:rPr>
                <w:sz w:val="20"/>
                <w:szCs w:val="20"/>
                <w:color w:val="auto"/>
              </w:rPr>
            </w:pPr>
            <w:r>
              <w:rPr>
                <w:rFonts w:ascii="Arial" w:cs="Arial" w:eastAsia="Arial" w:hAnsi="Arial"/>
                <w:sz w:val="13"/>
                <w:szCs w:val="13"/>
                <w:color w:val="auto"/>
              </w:rPr>
              <w:t>56,217</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79</w:t>
            </w:r>
          </w:p>
        </w:tc>
        <w:tc>
          <w:tcPr>
            <w:tcW w:w="820" w:type="dxa"/>
            <w:vAlign w:val="bottom"/>
          </w:tcPr>
          <w:p>
            <w:pPr>
              <w:jc w:val="right"/>
              <w:spacing w:after="0"/>
              <w:rPr>
                <w:sz w:val="20"/>
                <w:szCs w:val="20"/>
                <w:color w:val="auto"/>
              </w:rPr>
            </w:pPr>
            <w:r>
              <w:rPr>
                <w:rFonts w:ascii="Arial" w:cs="Arial" w:eastAsia="Arial" w:hAnsi="Arial"/>
                <w:sz w:val="13"/>
                <w:szCs w:val="13"/>
                <w:color w:val="auto"/>
              </w:rPr>
              <w:t>308,056</w:t>
            </w:r>
          </w:p>
        </w:tc>
      </w:tr>
      <w:tr>
        <w:trPr>
          <w:trHeight w:val="170"/>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Prior year Restatements (Note 1)</w:t>
            </w:r>
          </w:p>
        </w:tc>
        <w:tc>
          <w:tcPr>
            <w:tcW w:w="10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5,522</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5,522</w:t>
            </w: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At 1 January 2024 (as restated)</w:t>
            </w:r>
          </w:p>
        </w:tc>
        <w:tc>
          <w:tcPr>
            <w:tcW w:w="1020" w:type="dxa"/>
            <w:vAlign w:val="bottom"/>
          </w:tcPr>
          <w:p>
            <w:pPr>
              <w:jc w:val="right"/>
              <w:ind w:right="236"/>
              <w:spacing w:after="0"/>
              <w:rPr>
                <w:sz w:val="20"/>
                <w:szCs w:val="20"/>
                <w:color w:val="auto"/>
              </w:rPr>
            </w:pPr>
            <w:r>
              <w:rPr>
                <w:rFonts w:ascii="Arial" w:cs="Arial" w:eastAsia="Arial" w:hAnsi="Arial"/>
                <w:sz w:val="13"/>
                <w:szCs w:val="13"/>
                <w:color w:val="auto"/>
              </w:rPr>
              <w:t>3,724</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70,072</w:t>
            </w:r>
          </w:p>
        </w:tc>
        <w:tc>
          <w:tcPr>
            <w:tcW w:w="1200" w:type="dxa"/>
            <w:vAlign w:val="bottom"/>
          </w:tcPr>
          <w:p>
            <w:pPr>
              <w:jc w:val="right"/>
              <w:ind w:right="196"/>
              <w:spacing w:after="0"/>
              <w:rPr>
                <w:sz w:val="20"/>
                <w:szCs w:val="20"/>
                <w:color w:val="auto"/>
              </w:rPr>
            </w:pPr>
            <w:r>
              <w:rPr>
                <w:rFonts w:ascii="Arial" w:cs="Arial" w:eastAsia="Arial" w:hAnsi="Arial"/>
                <w:sz w:val="13"/>
                <w:szCs w:val="13"/>
                <w:color w:val="auto"/>
              </w:rPr>
              <w:t>55,000</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82,630</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45,856</w:t>
            </w:r>
          </w:p>
        </w:tc>
        <w:tc>
          <w:tcPr>
            <w:tcW w:w="1160" w:type="dxa"/>
            <w:vAlign w:val="bottom"/>
          </w:tcPr>
          <w:p>
            <w:pPr>
              <w:jc w:val="right"/>
              <w:ind w:right="256"/>
              <w:spacing w:after="0"/>
              <w:rPr>
                <w:sz w:val="20"/>
                <w:szCs w:val="20"/>
                <w:color w:val="auto"/>
              </w:rPr>
            </w:pPr>
            <w:r>
              <w:rPr>
                <w:rFonts w:ascii="Arial" w:cs="Arial" w:eastAsia="Arial" w:hAnsi="Arial"/>
                <w:sz w:val="13"/>
                <w:szCs w:val="13"/>
                <w:color w:val="auto"/>
              </w:rPr>
              <w:t>56,217</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79</w:t>
            </w:r>
          </w:p>
        </w:tc>
        <w:tc>
          <w:tcPr>
            <w:tcW w:w="820" w:type="dxa"/>
            <w:vAlign w:val="bottom"/>
          </w:tcPr>
          <w:p>
            <w:pPr>
              <w:jc w:val="right"/>
              <w:spacing w:after="0"/>
              <w:rPr>
                <w:sz w:val="20"/>
                <w:szCs w:val="20"/>
                <w:color w:val="auto"/>
              </w:rPr>
            </w:pPr>
            <w:r>
              <w:rPr>
                <w:rFonts w:ascii="Arial" w:cs="Arial" w:eastAsia="Arial" w:hAnsi="Arial"/>
                <w:sz w:val="13"/>
                <w:szCs w:val="13"/>
                <w:color w:val="auto"/>
              </w:rPr>
              <w:t>313,578</w:t>
            </w: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 (as restated)</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7,422</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33,376</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8,919</w:t>
            </w:r>
          </w:p>
        </w:tc>
        <w:tc>
          <w:tcPr>
            <w:tcW w:w="11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7,087</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56,804</w:t>
            </w: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0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76"/>
              <w:spacing w:after="0"/>
              <w:rPr>
                <w:sz w:val="20"/>
                <w:szCs w:val="20"/>
                <w:color w:val="auto"/>
              </w:rPr>
            </w:pPr>
            <w:r>
              <w:rPr>
                <w:rFonts w:ascii="Arial" w:cs="Arial" w:eastAsia="Arial" w:hAnsi="Arial"/>
                <w:sz w:val="13"/>
                <w:szCs w:val="13"/>
                <w:color w:val="auto"/>
              </w:rPr>
              <w:t>(122)</w:t>
            </w:r>
          </w:p>
        </w:tc>
        <w:tc>
          <w:tcPr>
            <w:tcW w:w="1080" w:type="dxa"/>
            <w:vAlign w:val="bottom"/>
          </w:tcPr>
          <w:p>
            <w:pPr>
              <w:jc w:val="right"/>
              <w:ind w:right="156"/>
              <w:spacing w:after="0"/>
              <w:rPr>
                <w:sz w:val="20"/>
                <w:szCs w:val="20"/>
                <w:color w:val="auto"/>
              </w:rPr>
            </w:pPr>
            <w:r>
              <w:rPr>
                <w:rFonts w:ascii="Arial" w:cs="Arial" w:eastAsia="Arial" w:hAnsi="Arial"/>
                <w:sz w:val="13"/>
                <w:szCs w:val="13"/>
                <w:color w:val="auto"/>
              </w:rPr>
              <w:t>(451)</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6"/>
              <w:spacing w:after="0"/>
              <w:rPr>
                <w:sz w:val="20"/>
                <w:szCs w:val="20"/>
                <w:color w:val="auto"/>
              </w:rPr>
            </w:pPr>
            <w:r>
              <w:rPr>
                <w:rFonts w:ascii="Arial" w:cs="Arial" w:eastAsia="Arial" w:hAnsi="Arial"/>
                <w:sz w:val="13"/>
                <w:szCs w:val="13"/>
                <w:color w:val="auto"/>
              </w:rPr>
              <w:t>(4,123)</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(4,696)</w:t>
            </w: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247</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195</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39</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w:t>
            </w:r>
          </w:p>
        </w:tc>
      </w:tr>
      <w:tr>
        <w:trPr>
          <w:trHeight w:val="16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 (as restated)</w:t>
            </w: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(3,940)</w:t>
            </w: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(513)</w:t>
            </w: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(3,003)</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(2,926)</w:t>
            </w: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(4,109)</w:t>
            </w: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(14,505)</w:t>
            </w:r>
          </w:p>
        </w:tc>
      </w:tr>
      <w:tr>
        <w:trPr>
          <w:trHeight w:val="162"/>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 (as restated)</w:t>
            </w:r>
          </w:p>
        </w:tc>
        <w:tc>
          <w:tcPr>
            <w:tcW w:w="10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3,724</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66,132</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62,034</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112,747</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51,849</w:t>
            </w:r>
          </w:p>
        </w:tc>
        <w:tc>
          <w:tcPr>
            <w:tcW w:w="11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55,111</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65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351,662</w:t>
            </w:r>
          </w:p>
        </w:tc>
      </w:tr>
      <w:tr>
        <w:trPr>
          <w:trHeight w:val="192"/>
        </w:trPr>
        <w:tc>
          <w:tcPr>
            <w:tcW w:w="2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At 1 January 2024 (as reported)</w:t>
            </w:r>
          </w:p>
        </w:tc>
        <w:tc>
          <w:tcPr>
            <w:tcW w:w="10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29,380</w:t>
            </w:r>
          </w:p>
        </w:tc>
        <w:tc>
          <w:tcPr>
            <w:tcW w:w="1200" w:type="dxa"/>
            <w:vAlign w:val="bottom"/>
          </w:tcPr>
          <w:p>
            <w:pPr>
              <w:jc w:val="right"/>
              <w:ind w:right="196"/>
              <w:spacing w:after="0"/>
              <w:rPr>
                <w:sz w:val="20"/>
                <w:szCs w:val="20"/>
                <w:color w:val="auto"/>
              </w:rPr>
            </w:pPr>
            <w:r>
              <w:rPr>
                <w:rFonts w:ascii="Arial" w:cs="Arial" w:eastAsia="Arial" w:hAnsi="Arial"/>
                <w:sz w:val="13"/>
                <w:szCs w:val="13"/>
                <w:color w:val="auto"/>
              </w:rPr>
              <w:t>19,746</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37,545</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22,567</w:t>
            </w:r>
          </w:p>
        </w:tc>
        <w:tc>
          <w:tcPr>
            <w:tcW w:w="1160" w:type="dxa"/>
            <w:vAlign w:val="bottom"/>
          </w:tcPr>
          <w:p>
            <w:pPr>
              <w:jc w:val="right"/>
              <w:ind w:right="256"/>
              <w:spacing w:after="0"/>
              <w:rPr>
                <w:sz w:val="20"/>
                <w:szCs w:val="20"/>
                <w:color w:val="auto"/>
              </w:rPr>
            </w:pPr>
            <w:r>
              <w:rPr>
                <w:rFonts w:ascii="Arial" w:cs="Arial" w:eastAsia="Arial" w:hAnsi="Arial"/>
                <w:sz w:val="13"/>
                <w:szCs w:val="13"/>
                <w:color w:val="auto"/>
              </w:rPr>
              <w:t>36,772</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76</w:t>
            </w:r>
          </w:p>
        </w:tc>
        <w:tc>
          <w:tcPr>
            <w:tcW w:w="820" w:type="dxa"/>
            <w:vAlign w:val="bottom"/>
          </w:tcPr>
          <w:p>
            <w:pPr>
              <w:jc w:val="right"/>
              <w:spacing w:after="0"/>
              <w:rPr>
                <w:sz w:val="20"/>
                <w:szCs w:val="20"/>
                <w:color w:val="auto"/>
              </w:rPr>
            </w:pPr>
            <w:r>
              <w:rPr>
                <w:rFonts w:ascii="Arial" w:cs="Arial" w:eastAsia="Arial" w:hAnsi="Arial"/>
                <w:sz w:val="13"/>
                <w:szCs w:val="13"/>
                <w:color w:val="auto"/>
              </w:rPr>
              <w:t>146,086</w:t>
            </w:r>
          </w:p>
        </w:tc>
      </w:tr>
      <w:tr>
        <w:trPr>
          <w:trHeight w:val="170"/>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Prior year Restatements (Note 1)</w:t>
            </w:r>
          </w:p>
        </w:tc>
        <w:tc>
          <w:tcPr>
            <w:tcW w:w="10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642</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w:t>
            </w: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At 1 January 2024 (as restated)</w:t>
            </w:r>
          </w:p>
        </w:tc>
        <w:tc>
          <w:tcPr>
            <w:tcW w:w="10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29,380</w:t>
            </w:r>
          </w:p>
        </w:tc>
        <w:tc>
          <w:tcPr>
            <w:tcW w:w="1200" w:type="dxa"/>
            <w:vAlign w:val="bottom"/>
          </w:tcPr>
          <w:p>
            <w:pPr>
              <w:jc w:val="right"/>
              <w:ind w:right="196"/>
              <w:spacing w:after="0"/>
              <w:rPr>
                <w:sz w:val="20"/>
                <w:szCs w:val="20"/>
                <w:color w:val="auto"/>
              </w:rPr>
            </w:pPr>
            <w:r>
              <w:rPr>
                <w:rFonts w:ascii="Arial" w:cs="Arial" w:eastAsia="Arial" w:hAnsi="Arial"/>
                <w:sz w:val="13"/>
                <w:szCs w:val="13"/>
                <w:color w:val="auto"/>
              </w:rPr>
              <w:t>19,746</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38,187</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22,567</w:t>
            </w:r>
          </w:p>
        </w:tc>
        <w:tc>
          <w:tcPr>
            <w:tcW w:w="1160" w:type="dxa"/>
            <w:vAlign w:val="bottom"/>
          </w:tcPr>
          <w:p>
            <w:pPr>
              <w:jc w:val="right"/>
              <w:ind w:right="256"/>
              <w:spacing w:after="0"/>
              <w:rPr>
                <w:sz w:val="20"/>
                <w:szCs w:val="20"/>
                <w:color w:val="auto"/>
              </w:rPr>
            </w:pPr>
            <w:r>
              <w:rPr>
                <w:rFonts w:ascii="Arial" w:cs="Arial" w:eastAsia="Arial" w:hAnsi="Arial"/>
                <w:sz w:val="13"/>
                <w:szCs w:val="13"/>
                <w:color w:val="auto"/>
              </w:rPr>
              <w:t>36,772</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76</w:t>
            </w:r>
          </w:p>
        </w:tc>
        <w:tc>
          <w:tcPr>
            <w:tcW w:w="820" w:type="dxa"/>
            <w:vAlign w:val="bottom"/>
          </w:tcPr>
          <w:p>
            <w:pPr>
              <w:jc w:val="right"/>
              <w:spacing w:after="0"/>
              <w:rPr>
                <w:sz w:val="20"/>
                <w:szCs w:val="20"/>
                <w:color w:val="auto"/>
              </w:rPr>
            </w:pPr>
            <w:r>
              <w:rPr>
                <w:rFonts w:ascii="Arial" w:cs="Arial" w:eastAsia="Arial" w:hAnsi="Arial"/>
                <w:sz w:val="13"/>
                <w:szCs w:val="13"/>
                <w:color w:val="auto"/>
              </w:rPr>
              <w:t>146,728</w:t>
            </w: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year (as restated)</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1,719</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8,904</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22,198</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7,223</w:t>
            </w:r>
          </w:p>
        </w:tc>
        <w:tc>
          <w:tcPr>
            <w:tcW w:w="11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7,733</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47,780</w:t>
            </w: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Impairment charge</w:t>
            </w:r>
          </w:p>
        </w:tc>
        <w:tc>
          <w:tcPr>
            <w:tcW w:w="10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6"/>
              <w:spacing w:after="0"/>
              <w:rPr>
                <w:sz w:val="20"/>
                <w:szCs w:val="20"/>
                <w:color w:val="auto"/>
              </w:rPr>
            </w:pPr>
            <w:r>
              <w:rPr>
                <w:rFonts w:ascii="Arial" w:cs="Arial" w:eastAsia="Arial" w:hAnsi="Arial"/>
                <w:sz w:val="13"/>
                <w:szCs w:val="13"/>
                <w:color w:val="auto"/>
              </w:rPr>
              <w:t>1,863</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1,863</w:t>
            </w: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 / Reclassification</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(122)</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(451)</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(4,673)</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w:t>
            </w:r>
          </w:p>
        </w:tc>
      </w:tr>
      <w:tr>
        <w:trPr>
          <w:trHeight w:val="16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 (as restated)</w:t>
            </w: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(1,145)</w:t>
            </w: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(352)</w:t>
            </w: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(1,368)</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(2,704)</w:t>
            </w: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(3,004)</w:t>
            </w: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(8,587)</w:t>
            </w:r>
          </w:p>
        </w:tc>
      </w:tr>
      <w:tr>
        <w:trPr>
          <w:trHeight w:val="162"/>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 (as restated)</w:t>
            </w:r>
          </w:p>
        </w:tc>
        <w:tc>
          <w:tcPr>
            <w:tcW w:w="10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29,954</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30,039</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58,566</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27,086</w:t>
            </w:r>
          </w:p>
        </w:tc>
        <w:tc>
          <w:tcPr>
            <w:tcW w:w="11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36,828</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65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182,538</w:t>
            </w:r>
          </w:p>
        </w:tc>
      </w:tr>
      <w:tr>
        <w:trPr>
          <w:trHeight w:val="192"/>
        </w:trPr>
        <w:tc>
          <w:tcPr>
            <w:tcW w:w="2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2024 (as restated)</w:t>
            </w: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3,724</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36,178</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31,995</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54,181</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24,763</w:t>
            </w:r>
          </w:p>
        </w:tc>
        <w:tc>
          <w:tcPr>
            <w:tcW w:w="11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18,283</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169,124</w:t>
            </w:r>
          </w:p>
        </w:tc>
      </w:tr>
      <w:tr>
        <w:trPr>
          <w:trHeight w:val="192"/>
        </w:trPr>
        <w:tc>
          <w:tcPr>
            <w:tcW w:w="2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6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1 January 2024 (as restated)</w:t>
            </w: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3,724</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40,692</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35,254</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44,443</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23,289</w:t>
            </w:r>
          </w:p>
        </w:tc>
        <w:tc>
          <w:tcPr>
            <w:tcW w:w="11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19,445</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166,850</w:t>
            </w:r>
          </w:p>
        </w:tc>
      </w:tr>
      <w:tr>
        <w:trPr>
          <w:trHeight w:val="403"/>
        </w:trPr>
        <w:tc>
          <w:tcPr>
            <w:tcW w:w="8200" w:type="dxa"/>
            <w:vAlign w:val="bottom"/>
            <w:gridSpan w:val="6"/>
          </w:tcPr>
          <w:p>
            <w:pPr>
              <w:spacing w:after="0"/>
              <w:rPr>
                <w:sz w:val="20"/>
                <w:szCs w:val="20"/>
                <w:color w:val="auto"/>
              </w:rPr>
            </w:pPr>
            <w:r>
              <w:rPr>
                <w:rFonts w:ascii="Arial" w:cs="Arial" w:eastAsia="Arial" w:hAnsi="Arial"/>
                <w:sz w:val="13"/>
                <w:szCs w:val="13"/>
                <w:color w:val="auto"/>
              </w:rPr>
              <w:t>Depreciation expense of $47.8 million has been charged to “other operating expenses” in the Consolidated Statement of Profit and Loss.</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711"/>
        </w:trPr>
        <w:tc>
          <w:tcPr>
            <w:tcW w:w="2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jc w:val="right"/>
              <w:ind w:right="236"/>
              <w:spacing w:after="0"/>
              <w:rPr>
                <w:sz w:val="20"/>
                <w:szCs w:val="20"/>
                <w:color w:val="auto"/>
              </w:rPr>
            </w:pPr>
            <w:r>
              <w:rPr>
                <w:rFonts w:ascii="Arial" w:cs="Arial" w:eastAsia="Arial" w:hAnsi="Arial"/>
                <w:sz w:val="13"/>
                <w:szCs w:val="13"/>
                <w:color w:val="auto"/>
              </w:rPr>
              <w:t>92</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Customer</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Volunteer</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Order Backlog</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Technology</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 Name</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Patient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Goodwill</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49"/>
        </w:trPr>
        <w:tc>
          <w:tcPr>
            <w:tcW w:w="2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Software</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Relationships</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List</w:t>
            </w:r>
          </w:p>
        </w:tc>
        <w:tc>
          <w:tcPr>
            <w:tcW w:w="10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Asset</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and Non-</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Database</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06"/>
        </w:trPr>
        <w:tc>
          <w:tcPr>
            <w:tcW w:w="2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9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3"/>
        </w:trPr>
        <w:tc>
          <w:tcPr>
            <w:tcW w:w="2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080" w:type="dxa"/>
            <w:vAlign w:val="bottom"/>
            <w:tcBorders>
              <w:top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6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$’000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2025 (as restated)</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577,232</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4,134,897</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544,539</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149,056</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204,876</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170,467</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9,104,218</w:t>
            </w:r>
          </w:p>
        </w:tc>
        <w:tc>
          <w:tcPr>
            <w:tcW w:w="840" w:type="dxa"/>
            <w:vAlign w:val="bottom"/>
          </w:tcPr>
          <w:p>
            <w:pPr>
              <w:jc w:val="right"/>
              <w:spacing w:after="0"/>
              <w:rPr>
                <w:sz w:val="20"/>
                <w:szCs w:val="20"/>
                <w:color w:val="auto"/>
              </w:rPr>
            </w:pPr>
            <w:r>
              <w:rPr>
                <w:rFonts w:ascii="Arial" w:cs="Arial" w:eastAsia="Arial" w:hAnsi="Arial"/>
                <w:sz w:val="13"/>
                <w:szCs w:val="13"/>
                <w:color w:val="auto"/>
              </w:rPr>
              <w:t>14,886,610</w:t>
            </w: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104,427</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104,427</w:t>
            </w: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(3,296)</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(3,296)</w:t>
            </w: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5,109</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5,109</w:t>
            </w: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71</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4,972</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2,121</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1,096</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133</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189</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39,418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48,000</w:t>
            </w:r>
          </w:p>
        </w:tc>
      </w:tr>
      <w:tr>
        <w:trPr>
          <w:trHeight w:val="162"/>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678,434</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4,139,869</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546,660</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150,152</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205,009</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170,656</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9,148,745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15,040,850</w:t>
            </w:r>
          </w:p>
        </w:tc>
      </w:tr>
      <w:tr>
        <w:trPr>
          <w:trHeight w:val="192"/>
        </w:trPr>
        <w:tc>
          <w:tcPr>
            <w:tcW w:w="2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Amortisation and impairment</w:t>
            </w: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2025 (as restated)</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363,477</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722,023</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538,373</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92,789</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204,876</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85,982</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2,008,845</w:t>
            </w: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in the year</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102,895</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178,874</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3,533</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26,440</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18,372</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330,114</w:t>
            </w: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Impairment charge</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14,016</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15,489</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5,250</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66,000</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367,587</w:t>
            </w:r>
          </w:p>
        </w:tc>
        <w:tc>
          <w:tcPr>
            <w:tcW w:w="840" w:type="dxa"/>
            <w:vAlign w:val="bottom"/>
          </w:tcPr>
          <w:p>
            <w:pPr>
              <w:jc w:val="right"/>
              <w:spacing w:after="0"/>
              <w:rPr>
                <w:sz w:val="20"/>
                <w:szCs w:val="20"/>
                <w:color w:val="auto"/>
              </w:rPr>
            </w:pPr>
            <w:r>
              <w:rPr>
                <w:rFonts w:ascii="Arial" w:cs="Arial" w:eastAsia="Arial" w:hAnsi="Arial"/>
                <w:sz w:val="13"/>
                <w:szCs w:val="13"/>
                <w:color w:val="auto"/>
              </w:rPr>
              <w:t>468,342</w:t>
            </w: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(1,950)</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(1,950)</w:t>
            </w: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784</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3,860</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2,018</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1,096</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133</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120</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8,011</w:t>
            </w:r>
          </w:p>
        </w:tc>
      </w:tr>
      <w:tr>
        <w:trPr>
          <w:trHeight w:val="162"/>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479,222</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920,246</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543,924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125,575</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205,009</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170,474</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367,587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2,813,362</w:t>
            </w:r>
          </w:p>
        </w:tc>
      </w:tr>
      <w:tr>
        <w:trPr>
          <w:trHeight w:val="192"/>
        </w:trPr>
        <w:tc>
          <w:tcPr>
            <w:tcW w:w="2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0"/>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199,212</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3,219,623</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2,736</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24,577</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182</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8,781,158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12,227,488</w:t>
            </w:r>
          </w:p>
        </w:tc>
      </w:tr>
      <w:tr>
        <w:trPr>
          <w:trHeight w:val="192"/>
        </w:trPr>
        <w:tc>
          <w:tcPr>
            <w:tcW w:w="2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2024 (as restated)</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213,755</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3,412,874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6,166</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56,267</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84,485</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9,104,218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12,877,765</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$330.1 million has been charged to ‘other operating expenses’ in the Consolidated Statement of Profit and Loss for the year ended 31 December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1020"/>
          </w:cols>
          <w:pgMar w:left="300" w:top="698" w:right="5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Goodwill and intangible assets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Customer</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Volunteer</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Order Backlog</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Technology</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 Name</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Patient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Goodwill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Software</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Relationships</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List</w:t>
            </w:r>
          </w:p>
        </w:tc>
        <w:tc>
          <w:tcPr>
            <w:tcW w:w="10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Asset</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and Non-</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Database</w:t>
            </w: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9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080" w:type="dxa"/>
            <w:vAlign w:val="bottom"/>
            <w:tcBorders>
              <w:top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9"/>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ind w:left="20"/>
              <w:spacing w:after="0"/>
              <w:rPr>
                <w:sz w:val="20"/>
                <w:szCs w:val="20"/>
                <w:color w:val="auto"/>
              </w:rPr>
            </w:pPr>
            <w:r>
              <w:rPr>
                <w:rFonts w:ascii="Arial" w:cs="Arial" w:eastAsia="Arial" w:hAnsi="Arial"/>
                <w:sz w:val="13"/>
                <w:szCs w:val="13"/>
                <w:color w:val="auto"/>
              </w:rPr>
              <w:t>At 1 January 2024 (as reported)</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473,010</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4,095,786</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16"/>
              <w:spacing w:after="0"/>
              <w:rPr>
                <w:sz w:val="20"/>
                <w:szCs w:val="20"/>
                <w:color w:val="auto"/>
              </w:rPr>
            </w:pPr>
            <w:r>
              <w:rPr>
                <w:rFonts w:ascii="Arial" w:cs="Arial" w:eastAsia="Arial" w:hAnsi="Arial"/>
                <w:sz w:val="13"/>
                <w:szCs w:val="13"/>
                <w:color w:val="auto"/>
              </w:rPr>
              <w:t>541,909</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139,655</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204,943</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170,509</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9,074,884</w:t>
            </w:r>
          </w:p>
        </w:tc>
        <w:tc>
          <w:tcPr>
            <w:tcW w:w="800" w:type="dxa"/>
            <w:vAlign w:val="bottom"/>
          </w:tcPr>
          <w:p>
            <w:pPr>
              <w:jc w:val="right"/>
              <w:spacing w:after="0"/>
              <w:rPr>
                <w:sz w:val="20"/>
                <w:szCs w:val="20"/>
                <w:color w:val="auto"/>
              </w:rPr>
            </w:pPr>
            <w:r>
              <w:rPr>
                <w:rFonts w:ascii="Arial" w:cs="Arial" w:eastAsia="Arial" w:hAnsi="Arial"/>
                <w:sz w:val="13"/>
                <w:szCs w:val="13"/>
                <w:color w:val="auto"/>
              </w:rPr>
              <w:t>14,702,021</w:t>
            </w:r>
          </w:p>
        </w:tc>
        <w:tc>
          <w:tcPr>
            <w:tcW w:w="0" w:type="dxa"/>
            <w:vAlign w:val="bottom"/>
          </w:tcPr>
          <w:p>
            <w:pPr>
              <w:spacing w:after="0"/>
              <w:rPr>
                <w:sz w:val="1"/>
                <w:szCs w:val="1"/>
                <w:color w:val="auto"/>
              </w:rPr>
            </w:pPr>
          </w:p>
        </w:tc>
      </w:tr>
      <w:tr>
        <w:trPr>
          <w:trHeight w:val="170"/>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Prior year Restatements (Note 1)</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(5,522)</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(5,522)</w:t>
            </w: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rPr>
                <w:sz w:val="20"/>
                <w:szCs w:val="20"/>
                <w:color w:val="auto"/>
              </w:rPr>
            </w:pPr>
            <w:r>
              <w:rPr>
                <w:rFonts w:ascii="Arial" w:cs="Arial" w:eastAsia="Arial" w:hAnsi="Arial"/>
                <w:sz w:val="13"/>
                <w:szCs w:val="13"/>
                <w:color w:val="auto"/>
              </w:rPr>
              <w:t>At 1 January 2024 (as restated)</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467,488</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4,095,786</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16"/>
              <w:spacing w:after="0"/>
              <w:rPr>
                <w:sz w:val="20"/>
                <w:szCs w:val="20"/>
                <w:color w:val="auto"/>
              </w:rPr>
            </w:pPr>
            <w:r>
              <w:rPr>
                <w:rFonts w:ascii="Arial" w:cs="Arial" w:eastAsia="Arial" w:hAnsi="Arial"/>
                <w:sz w:val="13"/>
                <w:szCs w:val="13"/>
                <w:color w:val="auto"/>
              </w:rPr>
              <w:t>541,909</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139,655</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204,943</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170,509</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9,074,884</w:t>
            </w:r>
          </w:p>
        </w:tc>
        <w:tc>
          <w:tcPr>
            <w:tcW w:w="800" w:type="dxa"/>
            <w:vAlign w:val="bottom"/>
          </w:tcPr>
          <w:p>
            <w:pPr>
              <w:jc w:val="right"/>
              <w:spacing w:after="0"/>
              <w:rPr>
                <w:sz w:val="20"/>
                <w:szCs w:val="20"/>
                <w:color w:val="auto"/>
              </w:rPr>
            </w:pPr>
            <w:r>
              <w:rPr>
                <w:rFonts w:ascii="Arial" w:cs="Arial" w:eastAsia="Arial" w:hAnsi="Arial"/>
                <w:sz w:val="13"/>
                <w:szCs w:val="13"/>
                <w:color w:val="auto"/>
              </w:rPr>
              <w:t>14,696,499</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 (as restated)</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111,256</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111,256</w:t>
            </w:r>
          </w:p>
        </w:tc>
        <w:tc>
          <w:tcPr>
            <w:tcW w:w="0" w:type="dxa"/>
            <w:vAlign w:val="bottom"/>
          </w:tcPr>
          <w:p>
            <w:pPr>
              <w:spacing w:after="0"/>
              <w:rPr>
                <w:sz w:val="1"/>
                <w:szCs w:val="1"/>
                <w:color w:val="auto"/>
              </w:rPr>
            </w:pPr>
          </w:p>
        </w:tc>
      </w:tr>
      <w:tr>
        <w:trPr>
          <w:trHeight w:val="169"/>
        </w:trPr>
        <w:tc>
          <w:tcPr>
            <w:tcW w:w="2400" w:type="dxa"/>
            <w:vAlign w:val="bottom"/>
          </w:tcPr>
          <w:p>
            <w:pPr>
              <w:ind w:left="20"/>
              <w:spacing w:after="0"/>
              <w:rPr>
                <w:sz w:val="20"/>
                <w:szCs w:val="20"/>
                <w:color w:val="auto"/>
              </w:rPr>
            </w:pPr>
            <w:r>
              <w:rPr>
                <w:rFonts w:ascii="Arial" w:cs="Arial" w:eastAsia="Arial" w:hAnsi="Arial"/>
                <w:sz w:val="13"/>
                <w:szCs w:val="13"/>
                <w:color w:val="auto"/>
              </w:rPr>
              <w:t>Disposals / Reclassification</w:t>
            </w: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(1,147)</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(1,147)</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52</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41,394</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3,663</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9,940</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46,126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101,175</w:t>
            </w:r>
          </w:p>
        </w:tc>
        <w:tc>
          <w:tcPr>
            <w:tcW w:w="0" w:type="dxa"/>
            <w:vAlign w:val="bottom"/>
          </w:tcPr>
          <w:p>
            <w:pPr>
              <w:spacing w:after="0"/>
              <w:rPr>
                <w:sz w:val="1"/>
                <w:szCs w:val="1"/>
                <w:color w:val="auto"/>
              </w:rPr>
            </w:pPr>
          </w:p>
        </w:tc>
      </w:tr>
      <w:tr>
        <w:trPr>
          <w:trHeight w:val="127"/>
        </w:trPr>
        <w:tc>
          <w:tcPr>
            <w:tcW w:w="2400" w:type="dxa"/>
            <w:vAlign w:val="bottom"/>
          </w:tcPr>
          <w:p>
            <w:pPr>
              <w:ind w:left="20"/>
              <w:spacing w:after="0" w:line="128" w:lineRule="exact"/>
              <w:rPr>
                <w:sz w:val="20"/>
                <w:szCs w:val="20"/>
                <w:color w:val="auto"/>
              </w:rPr>
            </w:pPr>
            <w:r>
              <w:rPr>
                <w:rFonts w:ascii="Arial" w:cs="Arial" w:eastAsia="Arial" w:hAnsi="Arial"/>
                <w:sz w:val="13"/>
                <w:szCs w:val="13"/>
                <w:color w:val="auto"/>
              </w:rPr>
              <w:t>Foreign exchange movement (as</w:t>
            </w:r>
          </w:p>
        </w:tc>
        <w:tc>
          <w:tcPr>
            <w:tcW w:w="1000" w:type="dxa"/>
            <w:vAlign w:val="bottom"/>
            <w:vMerge w:val="restart"/>
          </w:tcPr>
          <w:p>
            <w:pPr>
              <w:jc w:val="right"/>
              <w:ind w:right="36"/>
              <w:spacing w:after="0"/>
              <w:rPr>
                <w:sz w:val="20"/>
                <w:szCs w:val="20"/>
                <w:color w:val="auto"/>
              </w:rPr>
            </w:pPr>
            <w:r>
              <w:rPr>
                <w:rFonts w:ascii="Arial" w:cs="Arial" w:eastAsia="Arial" w:hAnsi="Arial"/>
                <w:sz w:val="13"/>
                <w:szCs w:val="13"/>
                <w:color w:val="auto"/>
              </w:rPr>
              <w:t>(417)</w:t>
            </w:r>
          </w:p>
        </w:tc>
        <w:tc>
          <w:tcPr>
            <w:tcW w:w="1040" w:type="dxa"/>
            <w:vAlign w:val="bottom"/>
            <w:vMerge w:val="restart"/>
          </w:tcPr>
          <w:p>
            <w:pPr>
              <w:jc w:val="right"/>
              <w:ind w:right="36"/>
              <w:spacing w:after="0"/>
              <w:rPr>
                <w:sz w:val="20"/>
                <w:szCs w:val="20"/>
                <w:color w:val="auto"/>
              </w:rPr>
            </w:pPr>
            <w:r>
              <w:rPr>
                <w:rFonts w:ascii="Arial" w:cs="Arial" w:eastAsia="Arial" w:hAnsi="Arial"/>
                <w:sz w:val="13"/>
                <w:szCs w:val="13"/>
                <w:color w:val="auto"/>
              </w:rPr>
              <w:t>(2,283)</w:t>
            </w:r>
          </w:p>
        </w:tc>
        <w:tc>
          <w:tcPr>
            <w:tcW w:w="74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96"/>
              <w:spacing w:after="0"/>
              <w:rPr>
                <w:sz w:val="20"/>
                <w:szCs w:val="20"/>
                <w:color w:val="auto"/>
              </w:rPr>
            </w:pPr>
            <w:r>
              <w:rPr>
                <w:rFonts w:ascii="Arial" w:cs="Arial" w:eastAsia="Arial" w:hAnsi="Arial"/>
                <w:sz w:val="13"/>
                <w:szCs w:val="13"/>
                <w:color w:val="auto"/>
              </w:rPr>
              <w:t>(1,033)</w:t>
            </w:r>
          </w:p>
        </w:tc>
        <w:tc>
          <w:tcPr>
            <w:tcW w:w="980" w:type="dxa"/>
            <w:vAlign w:val="bottom"/>
            <w:vMerge w:val="restart"/>
          </w:tcPr>
          <w:p>
            <w:pPr>
              <w:jc w:val="right"/>
              <w:ind w:right="76"/>
              <w:spacing w:after="0"/>
              <w:rPr>
                <w:sz w:val="20"/>
                <w:szCs w:val="20"/>
                <w:color w:val="auto"/>
              </w:rPr>
            </w:pPr>
            <w:r>
              <w:rPr>
                <w:rFonts w:ascii="Arial" w:cs="Arial" w:eastAsia="Arial" w:hAnsi="Arial"/>
                <w:sz w:val="13"/>
                <w:szCs w:val="13"/>
                <w:color w:val="auto"/>
              </w:rPr>
              <w:t>(539)</w:t>
            </w:r>
          </w:p>
        </w:tc>
        <w:tc>
          <w:tcPr>
            <w:tcW w:w="1080" w:type="dxa"/>
            <w:vAlign w:val="bottom"/>
            <w:vMerge w:val="restart"/>
          </w:tcPr>
          <w:p>
            <w:pPr>
              <w:jc w:val="right"/>
              <w:ind w:right="156"/>
              <w:spacing w:after="0"/>
              <w:rPr>
                <w:sz w:val="20"/>
                <w:szCs w:val="20"/>
                <w:color w:val="auto"/>
              </w:rPr>
            </w:pPr>
            <w:r>
              <w:rPr>
                <w:rFonts w:ascii="Arial" w:cs="Arial" w:eastAsia="Arial" w:hAnsi="Arial"/>
                <w:sz w:val="13"/>
                <w:szCs w:val="13"/>
                <w:color w:val="auto"/>
              </w:rPr>
              <w:t>(67)</w:t>
            </w:r>
          </w:p>
        </w:tc>
        <w:tc>
          <w:tcPr>
            <w:tcW w:w="980" w:type="dxa"/>
            <w:vAlign w:val="bottom"/>
            <w:vMerge w:val="restart"/>
          </w:tcPr>
          <w:p>
            <w:pPr>
              <w:jc w:val="right"/>
              <w:ind w:right="136"/>
              <w:spacing w:after="0"/>
              <w:rPr>
                <w:sz w:val="20"/>
                <w:szCs w:val="20"/>
                <w:color w:val="auto"/>
              </w:rPr>
            </w:pPr>
            <w:r>
              <w:rPr>
                <w:rFonts w:ascii="Arial" w:cs="Arial" w:eastAsia="Arial" w:hAnsi="Arial"/>
                <w:sz w:val="13"/>
                <w:szCs w:val="13"/>
                <w:color w:val="auto"/>
              </w:rPr>
              <w:t>(42)</w:t>
            </w:r>
          </w:p>
        </w:tc>
        <w:tc>
          <w:tcPr>
            <w:tcW w:w="920" w:type="dxa"/>
            <w:vAlign w:val="bottom"/>
            <w:vMerge w:val="restart"/>
          </w:tcPr>
          <w:p>
            <w:pPr>
              <w:jc w:val="right"/>
              <w:ind w:right="56"/>
              <w:spacing w:after="0"/>
              <w:rPr>
                <w:sz w:val="20"/>
                <w:szCs w:val="20"/>
                <w:color w:val="auto"/>
              </w:rPr>
            </w:pPr>
            <w:r>
              <w:rPr>
                <w:rFonts w:ascii="Arial" w:cs="Arial" w:eastAsia="Arial" w:hAnsi="Arial"/>
                <w:sz w:val="13"/>
                <w:szCs w:val="13"/>
                <w:color w:val="auto"/>
              </w:rPr>
              <w:t>(16,792)</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(21,173)</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restated)</w:t>
            </w:r>
          </w:p>
        </w:tc>
        <w:tc>
          <w:tcPr>
            <w:tcW w:w="10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 (as restated)</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577,232</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4,134,897</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544,539</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149,056</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204,876</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170,467</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9,104,218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14,886,610</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Amortisation</w:t>
            </w: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ind w:left="20"/>
              <w:spacing w:after="0"/>
              <w:rPr>
                <w:sz w:val="20"/>
                <w:szCs w:val="20"/>
                <w:color w:val="auto"/>
              </w:rPr>
            </w:pPr>
            <w:r>
              <w:rPr>
                <w:rFonts w:ascii="Arial" w:cs="Arial" w:eastAsia="Arial" w:hAnsi="Arial"/>
                <w:sz w:val="13"/>
                <w:szCs w:val="13"/>
                <w:color w:val="auto"/>
              </w:rPr>
              <w:t>At 1 January 2024 (as reported)</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273,796</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545,974</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16"/>
              <w:spacing w:after="0"/>
              <w:rPr>
                <w:sz w:val="20"/>
                <w:szCs w:val="20"/>
                <w:color w:val="auto"/>
              </w:rPr>
            </w:pPr>
            <w:r>
              <w:rPr>
                <w:rFonts w:ascii="Arial" w:cs="Arial" w:eastAsia="Arial" w:hAnsi="Arial"/>
                <w:sz w:val="13"/>
                <w:szCs w:val="13"/>
                <w:color w:val="auto"/>
              </w:rPr>
              <w:t>452,898</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65,141</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171,276</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61,648</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1,572,058</w:t>
            </w:r>
          </w:p>
        </w:tc>
        <w:tc>
          <w:tcPr>
            <w:tcW w:w="0" w:type="dxa"/>
            <w:vAlign w:val="bottom"/>
          </w:tcPr>
          <w:p>
            <w:pPr>
              <w:spacing w:after="0"/>
              <w:rPr>
                <w:sz w:val="1"/>
                <w:szCs w:val="1"/>
                <w:color w:val="auto"/>
              </w:rPr>
            </w:pPr>
          </w:p>
        </w:tc>
      </w:tr>
      <w:tr>
        <w:trPr>
          <w:trHeight w:val="170"/>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Prior year Restatements (Note 1)</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(642)</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rPr>
                <w:sz w:val="20"/>
                <w:szCs w:val="20"/>
                <w:color w:val="auto"/>
              </w:rPr>
            </w:pPr>
            <w:r>
              <w:rPr>
                <w:rFonts w:ascii="Arial" w:cs="Arial" w:eastAsia="Arial" w:hAnsi="Arial"/>
                <w:sz w:val="13"/>
                <w:szCs w:val="13"/>
                <w:color w:val="auto"/>
              </w:rPr>
              <w:t>At 1 January 2024 (as restated)</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273,154</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545,974</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16"/>
              <w:spacing w:after="0"/>
              <w:rPr>
                <w:sz w:val="20"/>
                <w:szCs w:val="20"/>
                <w:color w:val="auto"/>
              </w:rPr>
            </w:pPr>
            <w:r>
              <w:rPr>
                <w:rFonts w:ascii="Arial" w:cs="Arial" w:eastAsia="Arial" w:hAnsi="Arial"/>
                <w:sz w:val="13"/>
                <w:szCs w:val="13"/>
                <w:color w:val="auto"/>
              </w:rPr>
              <w:t>452,898</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65,141</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171,276</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61,648</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1,571,416</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in the year (as restated)</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90,431</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177,767</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86,307</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28,188</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33,666</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24,361</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440,720</w:t>
            </w:r>
          </w:p>
        </w:tc>
        <w:tc>
          <w:tcPr>
            <w:tcW w:w="0" w:type="dxa"/>
            <w:vAlign w:val="bottom"/>
          </w:tcPr>
          <w:p>
            <w:pPr>
              <w:spacing w:after="0"/>
              <w:rPr>
                <w:sz w:val="1"/>
                <w:szCs w:val="1"/>
                <w:color w:val="auto"/>
              </w:rPr>
            </w:pPr>
          </w:p>
        </w:tc>
      </w:tr>
      <w:tr>
        <w:trPr>
          <w:trHeight w:val="127"/>
        </w:trPr>
        <w:tc>
          <w:tcPr>
            <w:tcW w:w="2400" w:type="dxa"/>
            <w:vAlign w:val="bottom"/>
          </w:tcPr>
          <w:p>
            <w:pPr>
              <w:ind w:left="20"/>
              <w:spacing w:after="0" w:line="128" w:lineRule="exact"/>
              <w:rPr>
                <w:sz w:val="20"/>
                <w:szCs w:val="20"/>
                <w:color w:val="auto"/>
              </w:rPr>
            </w:pPr>
            <w:r>
              <w:rPr>
                <w:rFonts w:ascii="Arial" w:cs="Arial" w:eastAsia="Arial" w:hAnsi="Arial"/>
                <w:sz w:val="13"/>
                <w:szCs w:val="13"/>
                <w:color w:val="auto"/>
              </w:rPr>
              <w:t>Foreign exchange movement (as</w:t>
            </w:r>
          </w:p>
        </w:tc>
        <w:tc>
          <w:tcPr>
            <w:tcW w:w="1000" w:type="dxa"/>
            <w:vAlign w:val="bottom"/>
            <w:vMerge w:val="restart"/>
          </w:tcPr>
          <w:p>
            <w:pPr>
              <w:jc w:val="right"/>
              <w:ind w:right="36"/>
              <w:spacing w:after="0"/>
              <w:rPr>
                <w:sz w:val="20"/>
                <w:szCs w:val="20"/>
                <w:color w:val="auto"/>
              </w:rPr>
            </w:pPr>
            <w:r>
              <w:rPr>
                <w:rFonts w:ascii="Arial" w:cs="Arial" w:eastAsia="Arial" w:hAnsi="Arial"/>
                <w:sz w:val="13"/>
                <w:szCs w:val="13"/>
                <w:color w:val="auto"/>
              </w:rPr>
              <w:t>(108)</w:t>
            </w:r>
          </w:p>
        </w:tc>
        <w:tc>
          <w:tcPr>
            <w:tcW w:w="1040" w:type="dxa"/>
            <w:vAlign w:val="bottom"/>
            <w:vMerge w:val="restart"/>
          </w:tcPr>
          <w:p>
            <w:pPr>
              <w:jc w:val="right"/>
              <w:ind w:right="36"/>
              <w:spacing w:after="0"/>
              <w:rPr>
                <w:sz w:val="20"/>
                <w:szCs w:val="20"/>
                <w:color w:val="auto"/>
              </w:rPr>
            </w:pPr>
            <w:r>
              <w:rPr>
                <w:rFonts w:ascii="Arial" w:cs="Arial" w:eastAsia="Arial" w:hAnsi="Arial"/>
                <w:sz w:val="13"/>
                <w:szCs w:val="13"/>
                <w:color w:val="auto"/>
              </w:rPr>
              <w:t>(1,718)</w:t>
            </w:r>
          </w:p>
        </w:tc>
        <w:tc>
          <w:tcPr>
            <w:tcW w:w="74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96"/>
              <w:spacing w:after="0"/>
              <w:rPr>
                <w:sz w:val="20"/>
                <w:szCs w:val="20"/>
                <w:color w:val="auto"/>
              </w:rPr>
            </w:pPr>
            <w:r>
              <w:rPr>
                <w:rFonts w:ascii="Arial" w:cs="Arial" w:eastAsia="Arial" w:hAnsi="Arial"/>
                <w:sz w:val="13"/>
                <w:szCs w:val="13"/>
                <w:color w:val="auto"/>
              </w:rPr>
              <w:t>(832)</w:t>
            </w:r>
          </w:p>
        </w:tc>
        <w:tc>
          <w:tcPr>
            <w:tcW w:w="980" w:type="dxa"/>
            <w:vAlign w:val="bottom"/>
            <w:vMerge w:val="restart"/>
          </w:tcPr>
          <w:p>
            <w:pPr>
              <w:jc w:val="right"/>
              <w:ind w:right="76"/>
              <w:spacing w:after="0"/>
              <w:rPr>
                <w:sz w:val="20"/>
                <w:szCs w:val="20"/>
                <w:color w:val="auto"/>
              </w:rPr>
            </w:pPr>
            <w:r>
              <w:rPr>
                <w:rFonts w:ascii="Arial" w:cs="Arial" w:eastAsia="Arial" w:hAnsi="Arial"/>
                <w:sz w:val="13"/>
                <w:szCs w:val="13"/>
                <w:color w:val="auto"/>
              </w:rPr>
              <w:t>(540)</w:t>
            </w:r>
          </w:p>
        </w:tc>
        <w:tc>
          <w:tcPr>
            <w:tcW w:w="1080" w:type="dxa"/>
            <w:vAlign w:val="bottom"/>
            <w:vMerge w:val="restart"/>
          </w:tcPr>
          <w:p>
            <w:pPr>
              <w:jc w:val="right"/>
              <w:ind w:right="156"/>
              <w:spacing w:after="0"/>
              <w:rPr>
                <w:sz w:val="20"/>
                <w:szCs w:val="20"/>
                <w:color w:val="auto"/>
              </w:rPr>
            </w:pPr>
            <w:r>
              <w:rPr>
                <w:rFonts w:ascii="Arial" w:cs="Arial" w:eastAsia="Arial" w:hAnsi="Arial"/>
                <w:sz w:val="13"/>
                <w:szCs w:val="13"/>
                <w:color w:val="auto"/>
              </w:rPr>
              <w:t>(66)</w:t>
            </w:r>
          </w:p>
        </w:tc>
        <w:tc>
          <w:tcPr>
            <w:tcW w:w="980" w:type="dxa"/>
            <w:vAlign w:val="bottom"/>
            <w:vMerge w:val="restart"/>
          </w:tcPr>
          <w:p>
            <w:pPr>
              <w:jc w:val="right"/>
              <w:ind w:right="136"/>
              <w:spacing w:after="0"/>
              <w:rPr>
                <w:sz w:val="20"/>
                <w:szCs w:val="20"/>
                <w:color w:val="auto"/>
              </w:rPr>
            </w:pPr>
            <w:r>
              <w:rPr>
                <w:rFonts w:ascii="Arial" w:cs="Arial" w:eastAsia="Arial" w:hAnsi="Arial"/>
                <w:sz w:val="13"/>
                <w:szCs w:val="13"/>
                <w:color w:val="auto"/>
              </w:rPr>
              <w:t>(27)</w:t>
            </w:r>
          </w:p>
        </w:tc>
        <w:tc>
          <w:tcPr>
            <w:tcW w:w="92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(3,291)</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restated)</w:t>
            </w:r>
          </w:p>
        </w:tc>
        <w:tc>
          <w:tcPr>
            <w:tcW w:w="10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 (as restated)</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363,477</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722,023</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538,373</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92,789</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204,876</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85,982</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2,008,845</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2024 (as restated)</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213,755</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3,412,874</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6,166</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56,267</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84,485</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9,104,218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12,877,765</w:t>
            </w:r>
          </w:p>
        </w:tc>
        <w:tc>
          <w:tcPr>
            <w:tcW w:w="0" w:type="dxa"/>
            <w:vAlign w:val="bottom"/>
          </w:tcPr>
          <w:p>
            <w:pPr>
              <w:spacing w:after="0"/>
              <w:rPr>
                <w:sz w:val="1"/>
                <w:szCs w:val="1"/>
                <w:color w:val="auto"/>
              </w:rPr>
            </w:pPr>
          </w:p>
        </w:tc>
      </w:tr>
      <w:tr>
        <w:trPr>
          <w:trHeight w:val="192"/>
        </w:trPr>
        <w:tc>
          <w:tcPr>
            <w:tcW w:w="2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1 January 2024 (as restated)</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194,334</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3,549,812</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89,011</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74,514</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33,667</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108,861</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9,074,884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13,125,083</w:t>
            </w:r>
          </w:p>
        </w:tc>
        <w:tc>
          <w:tcPr>
            <w:tcW w:w="0" w:type="dxa"/>
            <w:vAlign w:val="bottom"/>
          </w:tcPr>
          <w:p>
            <w:pPr>
              <w:spacing w:after="0"/>
              <w:rPr>
                <w:sz w:val="1"/>
                <w:szCs w:val="1"/>
                <w:color w:val="auto"/>
              </w:rPr>
            </w:pPr>
          </w:p>
        </w:tc>
      </w:tr>
      <w:tr>
        <w:trPr>
          <w:trHeight w:val="403"/>
        </w:trPr>
        <w:tc>
          <w:tcPr>
            <w:tcW w:w="10220" w:type="dxa"/>
            <w:vAlign w:val="bottom"/>
            <w:gridSpan w:val="9"/>
          </w:tcPr>
          <w:p>
            <w:pPr>
              <w:spacing w:after="0"/>
              <w:rPr>
                <w:sz w:val="20"/>
                <w:szCs w:val="20"/>
                <w:color w:val="auto"/>
              </w:rPr>
            </w:pPr>
            <w:r>
              <w:rPr>
                <w:rFonts w:ascii="Arial" w:cs="Arial" w:eastAsia="Arial" w:hAnsi="Arial"/>
                <w:sz w:val="13"/>
                <w:szCs w:val="13"/>
                <w:color w:val="auto"/>
              </w:rPr>
              <w:t>Amortisation expense of $440.7 million has been charged to ‘other operating expenses’ in the Consolidated Statement of Profit and Loss for the year ended 31 December 2024.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2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jc w:val="right"/>
              <w:ind w:right="476"/>
              <w:spacing w:after="0"/>
              <w:rPr>
                <w:sz w:val="20"/>
                <w:szCs w:val="20"/>
                <w:color w:val="auto"/>
              </w:rPr>
            </w:pPr>
            <w:r>
              <w:rPr>
                <w:rFonts w:ascii="Arial" w:cs="Arial" w:eastAsia="Arial" w:hAnsi="Arial"/>
                <w:sz w:val="13"/>
                <w:szCs w:val="13"/>
                <w:color w:val="auto"/>
              </w:rPr>
              <w:t>94</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00" w:top="698" w:right="5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Goodwill and intangible assets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19 August 2024, the Group acquired KCR. The acquisition resulted in the recognition of intangible assets of $45.1 million, comprising customer relationships of $41.4 million and order backlog of $3.7 million. These assets will be amortised over their expected useful lives of 13 years and 5 years respectively.</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9 January 2024, the Group acquired HumanFirst. The acquisition resulted in the recognition of a developed technology intangible asset of $9.9 million which will be amortised over its expected useful life of 5 years.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Impairment review of goodwill</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 xml:space="preserve">Goodwill is subject to impairment testing on an annual basis, or more frequently if there are indicators of impairment. These assets are allocated to groups of cash generating units (CGUs). The recoverable amount of each of the CGUs is determined based on the higher of fair value less cost of disposal and value-in-use calculations. Goodwill acquired through business combinations has been allocated to the Group’s three CGUs. The CGUs identified represent the lowest level within the Group at which goodwill is monitored and are not larger than the operating segment determined in accordance with IFRS 8 </w:t>
      </w:r>
      <w:r>
        <w:rPr>
          <w:rFonts w:ascii="Arial" w:cs="Arial" w:eastAsia="Arial" w:hAnsi="Arial"/>
          <w:sz w:val="13"/>
          <w:szCs w:val="13"/>
          <w:i w:val="1"/>
          <w:iCs w:val="1"/>
          <w:color w:val="auto"/>
        </w:rPr>
        <w:t>Operating Segments</w:t>
      </w:r>
      <w:r>
        <w:rPr>
          <w:rFonts w:ascii="Arial" w:cs="Arial" w:eastAsia="Arial" w:hAnsi="Arial"/>
          <w:sz w:val="13"/>
          <w:szCs w:val="13"/>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Group has identified three CGUs in accordance with the provisions of IAS 36 </w:t>
      </w:r>
      <w:r>
        <w:rPr>
          <w:rFonts w:ascii="Arial" w:cs="Arial" w:eastAsia="Arial" w:hAnsi="Arial"/>
          <w:sz w:val="13"/>
          <w:szCs w:val="13"/>
          <w:i w:val="1"/>
          <w:iCs w:val="1"/>
          <w:color w:val="auto"/>
        </w:rPr>
        <w:t>Impairment of Assets.</w:t>
      </w:r>
      <w:r>
        <w:rPr>
          <w:rFonts w:ascii="Arial" w:cs="Arial" w:eastAsia="Arial" w:hAnsi="Arial"/>
          <w:sz w:val="13"/>
          <w:szCs w:val="13"/>
          <w:color w:val="auto"/>
        </w:rPr>
        <w:t xml:space="preserve"> A summary of the allocation of the carrying value of goodwill by CGU, is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840" w:type="dxa"/>
            <w:vAlign w:val="bottom"/>
            <w:shd w:val="clear" w:color="auto" w:fill="CCEEFF"/>
          </w:tcPr>
          <w:p>
            <w:pPr>
              <w:spacing w:after="0"/>
              <w:rPr>
                <w:sz w:val="13"/>
                <w:szCs w:val="13"/>
                <w:color w:val="auto"/>
              </w:rPr>
            </w:pPr>
          </w:p>
        </w:tc>
        <w:tc>
          <w:tcPr>
            <w:tcW w:w="47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 2024</w:t>
            </w:r>
          </w:p>
        </w:tc>
      </w:tr>
      <w:tr>
        <w:trPr>
          <w:trHeight w:val="170"/>
        </w:trPr>
        <w:tc>
          <w:tcPr>
            <w:tcW w:w="4840" w:type="dxa"/>
            <w:vAlign w:val="bottom"/>
            <w:tcBorders>
              <w:bottom w:val="single" w:sz="8" w:color="auto"/>
            </w:tcBorders>
            <w:shd w:val="clear" w:color="auto" w:fill="CCEEFF"/>
          </w:tcPr>
          <w:p>
            <w:pPr>
              <w:spacing w:after="0"/>
              <w:rPr>
                <w:sz w:val="14"/>
                <w:szCs w:val="14"/>
                <w:color w:val="auto"/>
              </w:rPr>
            </w:pPr>
          </w:p>
        </w:tc>
        <w:tc>
          <w:tcPr>
            <w:tcW w:w="47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2025</w:t>
            </w:r>
          </w:p>
        </w:tc>
        <w:tc>
          <w:tcPr>
            <w:tcW w:w="1280" w:type="dxa"/>
            <w:vAlign w:val="bottom"/>
            <w:tcBorders>
              <w:bottom w:val="single" w:sz="8" w:color="auto"/>
            </w:tcBorders>
            <w:shd w:val="clear" w:color="auto" w:fill="CCEEFF"/>
          </w:tcPr>
          <w:p>
            <w:pPr>
              <w:spacing w:after="0"/>
              <w:rPr>
                <w:sz w:val="14"/>
                <w:szCs w:val="14"/>
                <w:color w:val="auto"/>
              </w:rPr>
            </w:pPr>
          </w:p>
        </w:tc>
      </w:tr>
      <w:tr>
        <w:trPr>
          <w:trHeight w:val="160"/>
        </w:trPr>
        <w:tc>
          <w:tcPr>
            <w:tcW w:w="4840" w:type="dxa"/>
            <w:vAlign w:val="bottom"/>
          </w:tcPr>
          <w:p>
            <w:pPr>
              <w:spacing w:after="0"/>
              <w:rPr>
                <w:sz w:val="13"/>
                <w:szCs w:val="13"/>
                <w:color w:val="auto"/>
              </w:rPr>
            </w:pPr>
          </w:p>
        </w:tc>
        <w:tc>
          <w:tcPr>
            <w:tcW w:w="47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Clinical Research</w:t>
            </w:r>
          </w:p>
        </w:tc>
        <w:tc>
          <w:tcPr>
            <w:tcW w:w="478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7,408,510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7,363,983</w:t>
            </w:r>
          </w:p>
        </w:tc>
      </w:tr>
      <w:tr>
        <w:trPr>
          <w:trHeight w:val="170"/>
        </w:trPr>
        <w:tc>
          <w:tcPr>
            <w:tcW w:w="4840" w:type="dxa"/>
            <w:vAlign w:val="bottom"/>
          </w:tcPr>
          <w:p>
            <w:pPr>
              <w:spacing w:after="0"/>
              <w:rPr>
                <w:sz w:val="20"/>
                <w:szCs w:val="20"/>
                <w:color w:val="auto"/>
              </w:rPr>
            </w:pPr>
            <w:r>
              <w:rPr>
                <w:rFonts w:ascii="Arial" w:cs="Arial" w:eastAsia="Arial" w:hAnsi="Arial"/>
                <w:sz w:val="13"/>
                <w:szCs w:val="13"/>
                <w:color w:val="auto"/>
              </w:rPr>
              <w:t>Strategic Solutions</w:t>
            </w:r>
          </w:p>
        </w:tc>
        <w:tc>
          <w:tcPr>
            <w:tcW w:w="4780" w:type="dxa"/>
            <w:vAlign w:val="bottom"/>
          </w:tcPr>
          <w:p>
            <w:pPr>
              <w:jc w:val="right"/>
              <w:ind w:right="196"/>
              <w:spacing w:after="0"/>
              <w:rPr>
                <w:sz w:val="20"/>
                <w:szCs w:val="20"/>
                <w:color w:val="auto"/>
              </w:rPr>
            </w:pPr>
            <w:r>
              <w:rPr>
                <w:rFonts w:ascii="Arial" w:cs="Arial" w:eastAsia="Arial" w:hAnsi="Arial"/>
                <w:sz w:val="13"/>
                <w:szCs w:val="13"/>
                <w:b w:val="1"/>
                <w:bCs w:val="1"/>
                <w:color w:val="auto"/>
              </w:rPr>
              <w:t>1,372,648</w:t>
            </w:r>
          </w:p>
        </w:tc>
        <w:tc>
          <w:tcPr>
            <w:tcW w:w="1280" w:type="dxa"/>
            <w:vAlign w:val="bottom"/>
          </w:tcPr>
          <w:p>
            <w:pPr>
              <w:jc w:val="right"/>
              <w:spacing w:after="0"/>
              <w:rPr>
                <w:sz w:val="20"/>
                <w:szCs w:val="20"/>
                <w:color w:val="auto"/>
              </w:rPr>
            </w:pPr>
            <w:r>
              <w:rPr>
                <w:rFonts w:ascii="Arial" w:cs="Arial" w:eastAsia="Arial" w:hAnsi="Arial"/>
                <w:sz w:val="13"/>
                <w:szCs w:val="13"/>
                <w:color w:val="auto"/>
              </w:rPr>
              <w:t>1,372,648</w:t>
            </w:r>
          </w:p>
        </w:tc>
      </w:tr>
      <w:tr>
        <w:trPr>
          <w:trHeight w:val="170"/>
        </w:trPr>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Data Solutions</w:t>
            </w:r>
          </w:p>
        </w:tc>
        <w:tc>
          <w:tcPr>
            <w:tcW w:w="47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367,587</w:t>
            </w:r>
          </w:p>
        </w:tc>
      </w:tr>
      <w:tr>
        <w:trPr>
          <w:trHeight w:val="16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Goodwill</w:t>
            </w:r>
          </w:p>
        </w:tc>
        <w:tc>
          <w:tcPr>
            <w:tcW w:w="47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8,781,158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9,104,218</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testing methodology and results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Cash flow forecasts employed are for a ten year period approved by management and a terminal value which is applied to the year ten cash flows. The Group believes a ten year forecast is appropriate to use for the impairment test, due to the cyclical nature of the business in which the Group operates and the long-term lives of its contracts and assets. The terminal value reflects the discounted value of the cash flows beyond year ten which is based on the weighted average long-term growth rates for each CGU.</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applied in determining the ten year projected cash flows for the Clinical Research and Strategic Solutions CGUs as at 31 December 2025 and 31 December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2025</w:t>
            </w:r>
          </w:p>
        </w:tc>
        <w:tc>
          <w:tcPr>
            <w:tcW w:w="14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160"/>
        </w:trPr>
        <w:tc>
          <w:tcPr>
            <w:tcW w:w="4460" w:type="dxa"/>
            <w:vAlign w:val="bottom"/>
          </w:tcPr>
          <w:p>
            <w:pPr>
              <w:spacing w:after="0"/>
              <w:rPr>
                <w:sz w:val="13"/>
                <w:szCs w:val="13"/>
                <w:color w:val="auto"/>
              </w:rPr>
            </w:pPr>
          </w:p>
        </w:tc>
        <w:tc>
          <w:tcPr>
            <w:tcW w:w="2440" w:type="dxa"/>
            <w:vAlign w:val="bottom"/>
          </w:tcPr>
          <w:p>
            <w:pPr>
              <w:jc w:val="right"/>
              <w:ind w:right="116"/>
              <w:spacing w:after="0"/>
              <w:rPr>
                <w:sz w:val="20"/>
                <w:szCs w:val="20"/>
                <w:color w:val="auto"/>
              </w:rPr>
            </w:pPr>
            <w:r>
              <w:rPr>
                <w:rFonts w:ascii="Arial" w:cs="Arial" w:eastAsia="Arial" w:hAnsi="Arial"/>
                <w:sz w:val="13"/>
                <w:szCs w:val="13"/>
                <w:b w:val="1"/>
                <w:bCs w:val="1"/>
                <w:color w:val="auto"/>
              </w:rPr>
              <w:t>Clinical Research</w:t>
            </w:r>
          </w:p>
        </w:tc>
        <w:tc>
          <w:tcPr>
            <w:tcW w:w="1560" w:type="dxa"/>
            <w:vAlign w:val="bottom"/>
          </w:tcPr>
          <w:p>
            <w:pPr>
              <w:jc w:val="right"/>
              <w:ind w:right="176"/>
              <w:spacing w:after="0"/>
              <w:rPr>
                <w:sz w:val="20"/>
                <w:szCs w:val="20"/>
                <w:color w:val="auto"/>
              </w:rPr>
            </w:pPr>
            <w:r>
              <w:rPr>
                <w:rFonts w:ascii="Arial" w:cs="Arial" w:eastAsia="Arial" w:hAnsi="Arial"/>
                <w:sz w:val="13"/>
                <w:szCs w:val="13"/>
                <w:b w:val="1"/>
                <w:bCs w:val="1"/>
                <w:color w:val="auto"/>
              </w:rPr>
              <w:t>Strategic Solutions</w:t>
            </w:r>
          </w:p>
        </w:tc>
        <w:tc>
          <w:tcPr>
            <w:tcW w:w="1400" w:type="dxa"/>
            <w:vAlign w:val="bottom"/>
          </w:tcPr>
          <w:p>
            <w:pPr>
              <w:jc w:val="right"/>
              <w:ind w:right="96"/>
              <w:spacing w:after="0"/>
              <w:rPr>
                <w:sz w:val="20"/>
                <w:szCs w:val="20"/>
                <w:color w:val="auto"/>
              </w:rPr>
            </w:pPr>
            <w:r>
              <w:rPr>
                <w:rFonts w:ascii="Arial" w:cs="Arial" w:eastAsia="Arial" w:hAnsi="Arial"/>
                <w:sz w:val="13"/>
                <w:szCs w:val="13"/>
                <w:b w:val="1"/>
                <w:bCs w:val="1"/>
                <w:color w:val="auto"/>
              </w:rPr>
              <w:t>Clinical Research</w:t>
            </w:r>
          </w:p>
        </w:tc>
        <w:tc>
          <w:tcPr>
            <w:tcW w:w="1400" w:type="dxa"/>
            <w:vAlign w:val="bottom"/>
          </w:tcPr>
          <w:p>
            <w:pPr>
              <w:jc w:val="right"/>
              <w:ind w:right="16"/>
              <w:spacing w:after="0"/>
              <w:rPr>
                <w:sz w:val="20"/>
                <w:szCs w:val="20"/>
                <w:color w:val="auto"/>
              </w:rPr>
            </w:pPr>
            <w:r>
              <w:rPr>
                <w:rFonts w:ascii="Arial" w:cs="Arial" w:eastAsia="Arial" w:hAnsi="Arial"/>
                <w:sz w:val="13"/>
                <w:szCs w:val="13"/>
                <w:b w:val="1"/>
                <w:bCs w:val="1"/>
                <w:color w:val="auto"/>
              </w:rPr>
              <w:t>Strategic Solutions</w:t>
            </w:r>
          </w:p>
        </w:tc>
      </w:tr>
      <w:tr>
        <w:trPr>
          <w:trHeight w:val="17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expected revenue growth rate</w:t>
            </w:r>
          </w:p>
        </w:tc>
        <w:tc>
          <w:tcPr>
            <w:tcW w:w="24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3.3%</w:t>
            </w:r>
          </w:p>
        </w:tc>
        <w:tc>
          <w:tcPr>
            <w:tcW w:w="15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3.4%</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7.1%</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8.0%</w:t>
            </w:r>
          </w:p>
        </w:tc>
      </w:tr>
      <w:tr>
        <w:trPr>
          <w:trHeight w:val="169"/>
        </w:trPr>
        <w:tc>
          <w:tcPr>
            <w:tcW w:w="4460" w:type="dxa"/>
            <w:vAlign w:val="bottom"/>
          </w:tcPr>
          <w:p>
            <w:pPr>
              <w:ind w:left="20"/>
              <w:spacing w:after="0"/>
              <w:rPr>
                <w:sz w:val="20"/>
                <w:szCs w:val="20"/>
                <w:color w:val="auto"/>
              </w:rPr>
            </w:pPr>
            <w:r>
              <w:rPr>
                <w:rFonts w:ascii="Arial" w:cs="Arial" w:eastAsia="Arial" w:hAnsi="Arial"/>
                <w:sz w:val="13"/>
                <w:szCs w:val="13"/>
                <w:color w:val="auto"/>
              </w:rPr>
              <w:t>Weighted average expected growth rate for operating costs</w:t>
            </w:r>
          </w:p>
        </w:tc>
        <w:tc>
          <w:tcPr>
            <w:tcW w:w="2440" w:type="dxa"/>
            <w:vAlign w:val="bottom"/>
          </w:tcPr>
          <w:p>
            <w:pPr>
              <w:jc w:val="right"/>
              <w:ind w:right="116"/>
              <w:spacing w:after="0"/>
              <w:rPr>
                <w:sz w:val="20"/>
                <w:szCs w:val="20"/>
                <w:color w:val="auto"/>
              </w:rPr>
            </w:pPr>
            <w:r>
              <w:rPr>
                <w:rFonts w:ascii="Arial" w:cs="Arial" w:eastAsia="Arial" w:hAnsi="Arial"/>
                <w:sz w:val="13"/>
                <w:szCs w:val="13"/>
                <w:color w:val="auto"/>
              </w:rPr>
              <w:t>2.9%</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3.4%</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6.1%</w:t>
            </w:r>
          </w:p>
        </w:tc>
        <w:tc>
          <w:tcPr>
            <w:tcW w:w="1400" w:type="dxa"/>
            <w:vAlign w:val="bottom"/>
          </w:tcPr>
          <w:p>
            <w:pPr>
              <w:jc w:val="right"/>
              <w:ind w:right="16"/>
              <w:spacing w:after="0"/>
              <w:rPr>
                <w:sz w:val="20"/>
                <w:szCs w:val="20"/>
                <w:color w:val="auto"/>
              </w:rPr>
            </w:pPr>
            <w:r>
              <w:rPr>
                <w:rFonts w:ascii="Arial" w:cs="Arial" w:eastAsia="Arial" w:hAnsi="Arial"/>
                <w:sz w:val="13"/>
                <w:szCs w:val="13"/>
                <w:color w:val="auto"/>
              </w:rPr>
              <w:t>7.1%</w:t>
            </w:r>
          </w:p>
        </w:tc>
      </w:tr>
      <w:tr>
        <w:trPr>
          <w:trHeight w:val="171"/>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effective tax rate</w:t>
            </w:r>
          </w:p>
        </w:tc>
        <w:tc>
          <w:tcPr>
            <w:tcW w:w="24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16.5%</w:t>
            </w:r>
          </w:p>
        </w:tc>
        <w:tc>
          <w:tcPr>
            <w:tcW w:w="15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16.5%</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16.5%</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16.5%</w:t>
            </w:r>
          </w:p>
        </w:tc>
      </w:tr>
      <w:tr>
        <w:trPr>
          <w:trHeight w:val="169"/>
        </w:trPr>
        <w:tc>
          <w:tcPr>
            <w:tcW w:w="446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2440" w:type="dxa"/>
            <w:vAlign w:val="bottom"/>
          </w:tcPr>
          <w:p>
            <w:pPr>
              <w:jc w:val="right"/>
              <w:ind w:right="116"/>
              <w:spacing w:after="0"/>
              <w:rPr>
                <w:sz w:val="20"/>
                <w:szCs w:val="20"/>
                <w:color w:val="auto"/>
              </w:rPr>
            </w:pPr>
            <w:r>
              <w:rPr>
                <w:rFonts w:ascii="Arial" w:cs="Arial" w:eastAsia="Arial" w:hAnsi="Arial"/>
                <w:sz w:val="13"/>
                <w:szCs w:val="13"/>
                <w:color w:val="auto"/>
              </w:rPr>
              <w:t>9.9%</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9.9%</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9.8%</w:t>
            </w:r>
          </w:p>
        </w:tc>
        <w:tc>
          <w:tcPr>
            <w:tcW w:w="1400" w:type="dxa"/>
            <w:vAlign w:val="bottom"/>
          </w:tcPr>
          <w:p>
            <w:pPr>
              <w:jc w:val="right"/>
              <w:ind w:right="16"/>
              <w:spacing w:after="0"/>
              <w:rPr>
                <w:sz w:val="20"/>
                <w:szCs w:val="20"/>
                <w:color w:val="auto"/>
              </w:rPr>
            </w:pPr>
            <w:r>
              <w:rPr>
                <w:rFonts w:ascii="Arial" w:cs="Arial" w:eastAsia="Arial" w:hAnsi="Arial"/>
                <w:sz w:val="13"/>
                <w:szCs w:val="13"/>
                <w:color w:val="auto"/>
              </w:rPr>
              <w:t>9.8%</w:t>
            </w:r>
          </w:p>
        </w:tc>
      </w:tr>
      <w:tr>
        <w:trPr>
          <w:trHeight w:val="170"/>
        </w:trPr>
        <w:tc>
          <w:tcPr>
            <w:tcW w:w="4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Long term growth</w:t>
            </w:r>
          </w:p>
        </w:tc>
        <w:tc>
          <w:tcPr>
            <w:tcW w:w="24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2.5%</w:t>
            </w:r>
          </w:p>
        </w:tc>
        <w:tc>
          <w:tcPr>
            <w:tcW w:w="15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2.5%</w:t>
            </w: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2.5%</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2.5%</w:t>
            </w:r>
          </w:p>
        </w:tc>
      </w:tr>
      <w:tr>
        <w:trPr>
          <w:trHeight w:val="849"/>
        </w:trPr>
        <w:tc>
          <w:tcPr>
            <w:tcW w:w="4460" w:type="dxa"/>
            <w:vAlign w:val="bottom"/>
          </w:tcPr>
          <w:p>
            <w:pPr>
              <w:spacing w:after="0"/>
              <w:rPr>
                <w:sz w:val="24"/>
                <w:szCs w:val="24"/>
                <w:color w:val="auto"/>
              </w:rPr>
            </w:pPr>
          </w:p>
        </w:tc>
        <w:tc>
          <w:tcPr>
            <w:tcW w:w="2440" w:type="dxa"/>
            <w:vAlign w:val="bottom"/>
          </w:tcPr>
          <w:p>
            <w:pPr>
              <w:jc w:val="right"/>
              <w:ind w:right="1116"/>
              <w:spacing w:after="0"/>
              <w:rPr>
                <w:sz w:val="20"/>
                <w:szCs w:val="20"/>
                <w:color w:val="auto"/>
              </w:rPr>
            </w:pPr>
            <w:r>
              <w:rPr>
                <w:rFonts w:ascii="Arial" w:cs="Arial" w:eastAsia="Arial" w:hAnsi="Arial"/>
                <w:sz w:val="13"/>
                <w:szCs w:val="13"/>
                <w:color w:val="auto"/>
              </w:rPr>
              <w:t>95</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Goodwill and intangible assets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For the Data Solutions CGU the Group utilised a probability-weighted discounted cash flow method and considered external market participant factors to reflect revised expectations of the future performance of this business. During the year ended 31 December 2025, an impairment indicator was identified specific to the Group's Data Solutions reporting unit that indicated the carrying amount of the Data Solutions reporting unit may not be recoverable. This indicator related to the Group’s revised expectations on the future performance of the reporting unit considering specific external market participant factors.</w:t>
      </w:r>
    </w:p>
    <w:p>
      <w:pPr>
        <w:spacing w:after="0" w:line="5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a result of the impairment testing during the year ended 31 December 2025, the Company recorded a total goodwill impairment charge of $367.6 million (2024: $nil), which represented the entire balance of goodwill attributed to the Data Solutions CGU. No impairment charge was recognised in relation to Clinical Research and Strategic Solutions CGUs which identified headroom in the recoverable amount of the related CGUs as compared to their carrying value.</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8 May 2026, ICON completed the disposition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 $37.5 million. As a result, ICON holds a minority equity interest in HealthVerity. As of 8 May 2026, the Company’s investment in HealthVerity has been recorded at a carrying value of $nil.</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Expected revenue growth and the expected growth in operating costs are determined based upon the expected growth rates used in preparing the Group’s budgets and strategic plans. In estimating budget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IT costs and other costs are relatively fixed and are therefore projected based upon a lower growth rate. An expected long-term average tax rate of 16.5% (2024: 16.5%) has been applied in determining the projected after tax cash flows for Clinical Research and Strategic Solutions CGUs.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Expected annual working capital growth and expected capital expenditure growth are based upon the expected growth rates used in preparing the Group’s budgets and strategic plans. Long term growth rates were based on global macroeconomic data.</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discount rate of 9.9% (2024: 9.8%) has been applied to the projected cash flows of the Clinical Research and Strategic Solutions CGUs. This rate is reflective of both the time value of money and risks specific to the CGUs. The discount rate is based upon the Group’s weighted average cost of capital which has been determined by applying the Group’s long-term optimal capital structure to its costs of debt and cost of equity. The Group’s cost of debt has been calculated by applying an appropriate margin over the risk-free interest rate. The Group’s cost of equity has been calculated using the capital asset pricing model and includes an appropriate equity risk premium over the available risk-free interest rate. The Group’s weighted average cost of capital is adjusted to reflected additional risk premiums associated with each CGU.</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Analysis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 sensitivity analysis to determine if reasonable changes in key assumptions could lead to an impairment was conducted at 31 December 2025 and 31 December 2024. The table below identifies the amounts by which each of the specified assumptions may either decline or increase to arrive at a zero excess of the present value of future cash flows over the carrying value of goodwill in the Clinical Research and Strategic Solutions CGUs: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Borders>
              <w:bottom w:val="single" w:sz="8" w:color="auto"/>
            </w:tcBorders>
            <w:shd w:val="clear" w:color="auto" w:fill="CCEEFF"/>
          </w:tcPr>
          <w:p>
            <w:pPr>
              <w:spacing w:after="0"/>
              <w:rPr>
                <w:sz w:val="14"/>
                <w:szCs w:val="14"/>
                <w:color w:val="auto"/>
              </w:rPr>
            </w:pPr>
          </w:p>
        </w:tc>
        <w:tc>
          <w:tcPr>
            <w:tcW w:w="25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 2025</w:t>
            </w:r>
          </w:p>
        </w:tc>
        <w:tc>
          <w:tcPr>
            <w:tcW w:w="16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160"/>
        </w:trPr>
        <w:tc>
          <w:tcPr>
            <w:tcW w:w="3820" w:type="dxa"/>
            <w:vAlign w:val="bottom"/>
          </w:tcPr>
          <w:p>
            <w:pPr>
              <w:spacing w:after="0"/>
              <w:rPr>
                <w:sz w:val="13"/>
                <w:szCs w:val="13"/>
                <w:color w:val="auto"/>
              </w:rPr>
            </w:pPr>
          </w:p>
        </w:tc>
        <w:tc>
          <w:tcPr>
            <w:tcW w:w="2560" w:type="dxa"/>
            <w:vAlign w:val="bottom"/>
          </w:tcPr>
          <w:p>
            <w:pPr>
              <w:jc w:val="right"/>
              <w:ind w:right="216"/>
              <w:spacing w:after="0"/>
              <w:rPr>
                <w:sz w:val="20"/>
                <w:szCs w:val="20"/>
                <w:color w:val="auto"/>
              </w:rPr>
            </w:pPr>
            <w:r>
              <w:rPr>
                <w:rFonts w:ascii="Arial" w:cs="Arial" w:eastAsia="Arial" w:hAnsi="Arial"/>
                <w:sz w:val="13"/>
                <w:szCs w:val="13"/>
                <w:b w:val="1"/>
                <w:bCs w:val="1"/>
                <w:color w:val="auto"/>
              </w:rPr>
              <w:t>Clinical Research</w:t>
            </w:r>
          </w:p>
        </w:tc>
        <w:tc>
          <w:tcPr>
            <w:tcW w:w="1760" w:type="dxa"/>
            <w:vAlign w:val="bottom"/>
          </w:tcPr>
          <w:p>
            <w:pPr>
              <w:jc w:val="right"/>
              <w:ind w:right="256"/>
              <w:spacing w:after="0"/>
              <w:rPr>
                <w:sz w:val="20"/>
                <w:szCs w:val="20"/>
                <w:color w:val="auto"/>
              </w:rPr>
            </w:pPr>
            <w:r>
              <w:rPr>
                <w:rFonts w:ascii="Arial" w:cs="Arial" w:eastAsia="Arial" w:hAnsi="Arial"/>
                <w:sz w:val="13"/>
                <w:szCs w:val="13"/>
                <w:b w:val="1"/>
                <w:bCs w:val="1"/>
                <w:color w:val="auto"/>
              </w:rPr>
              <w:t>Strategic Solutions</w:t>
            </w:r>
          </w:p>
        </w:tc>
        <w:tc>
          <w:tcPr>
            <w:tcW w:w="1660" w:type="dxa"/>
            <w:vAlign w:val="bottom"/>
          </w:tcPr>
          <w:p>
            <w:pPr>
              <w:jc w:val="right"/>
              <w:ind w:right="216"/>
              <w:spacing w:after="0"/>
              <w:rPr>
                <w:sz w:val="20"/>
                <w:szCs w:val="20"/>
                <w:color w:val="auto"/>
              </w:rPr>
            </w:pPr>
            <w:r>
              <w:rPr>
                <w:rFonts w:ascii="Arial" w:cs="Arial" w:eastAsia="Arial" w:hAnsi="Arial"/>
                <w:sz w:val="13"/>
                <w:szCs w:val="13"/>
                <w:b w:val="1"/>
                <w:bCs w:val="1"/>
                <w:color w:val="auto"/>
              </w:rPr>
              <w:t>Clinical Research</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Strategic Solutions</w:t>
            </w:r>
          </w:p>
        </w:tc>
      </w:tr>
      <w:tr>
        <w:trPr>
          <w:trHeight w:val="170"/>
        </w:trPr>
        <w:tc>
          <w:tcPr>
            <w:tcW w:w="3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revenue growth rate decreased by</w:t>
            </w:r>
            <w:r>
              <w:rPr>
                <w:rFonts w:ascii="Arial" w:cs="Arial" w:eastAsia="Arial" w:hAnsi="Arial"/>
                <w:sz w:val="11"/>
                <w:szCs w:val="11"/>
                <w:i w:val="1"/>
                <w:iCs w:val="1"/>
                <w:color w:val="auto"/>
              </w:rPr>
              <w:t>*</w:t>
            </w:r>
          </w:p>
        </w:tc>
        <w:tc>
          <w:tcPr>
            <w:tcW w:w="25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3.9 %</w:t>
            </w:r>
          </w:p>
        </w:tc>
        <w:tc>
          <w:tcPr>
            <w:tcW w:w="17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5.3 %</w:t>
            </w:r>
          </w:p>
        </w:tc>
        <w:tc>
          <w:tcPr>
            <w:tcW w:w="16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6.3 %</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169"/>
        </w:trPr>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Discount rate increased by</w:t>
            </w:r>
          </w:p>
        </w:tc>
        <w:tc>
          <w:tcPr>
            <w:tcW w:w="25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430 bps</w:t>
            </w:r>
          </w:p>
        </w:tc>
        <w:tc>
          <w:tcPr>
            <w:tcW w:w="1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640 bps</w:t>
            </w:r>
          </w:p>
        </w:tc>
        <w:tc>
          <w:tcPr>
            <w:tcW w:w="16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720 bps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 bps</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*With cost of sales assumed to reflect lower revenue and operating expenses unchanged.</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Management believes that the assumptions originally used in the fair value and value-in-use models are sufficiently prudent to ensure no reasonable change, in normal circumstances, in any of the above key assumptions would cause the carrying value of any CGU to exceed its recoverable amount.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280"/>
          </w:cols>
          <w:pgMar w:left="300" w:top="698" w:right="3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Business combinations</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There were no business combinations in the year ended 31 December 2025.</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KCR S.A. Group Acquisition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19 August 2024, the Company acquired the KCR S.A. Group (“KCR”), a CRO offering full service and functional services provision clinical trial services, in exchange for consideration of $92.5 million.</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net cash outflow in 2024 was $76.4 million comprising cash payments of $88.1 million, net of cash acquired of $11.7 million. The fair value of contingent consideration was initially measured at the date of acquisition at $4.3 million and subsequently remeasured at $1.1 million. Deferred consideration of $1.3 million was paid during the year ended 31 December 2025.</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purchase price allocation resulted in the recognition of goodwill of $43.4 million and intangible assets of $45.1 million. In finalising the goodwill on acquisition of KCR in the twelve month period from acquisition, fair value adjustments were made which resulted in an increase to Goodwill of $5.1 million during the year ended 31 December 2025. Goodwill arising in connection with the acquisition is primarily attributable to the assembled workforce of KCR and the expected synergies of the acquisition. The goodwill recognised is not deductible for income tax purposes.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HumanFirst, Inc.</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On 9 January 2024, the Company acquired HumanFirst, Inc. (“HumanFirst”), a life sciences technology company in exchange for consideration of $13.3 million.</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net cash outflow in 2024 was $7.8 million comprising initial cash payments of $11.8 million, net of cash acquired of $4.0 million. Deferred consideration of $1.2 million was paid during the year ended 31 December 2025.</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final purchase price allocation resulted in the recognition of goodwill of $2.7 million and a developed technology intangible asset of $9.9 million. Goodwill arising in connection with the acquisition is primarily attributable to the assembled workforce of HumanFirst. The goodwill recognised is not deductible for income tax purposes.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PRA Health Sciences, Inc. Acquisition</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 July 2021 (the “Merger Date”), the Company completed the acquisition of PRA by means of a merger whereby Indigo Merger Sub, Inc., a Delaware corporation and subsidiary of ICON, merged with and into PRA Health Sciences, Inc., the parent of PRA Health Sciences (“the Acquisition” and “the Merger”).</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the years ended 31 December 2025 and 31 December 2024, the Company incurred approximately $6.0 million and $23.5 million of Merger-related finance costs which are included in the “finance costs” line item in the Consolidated Statement of Profit and Loss.</w:t>
      </w: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Inventories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shd w:val="clear" w:color="auto" w:fill="CCEEFF"/>
          </w:tcPr>
          <w:p>
            <w:pPr>
              <w:spacing w:after="0"/>
              <w:rPr>
                <w:sz w:val="12"/>
                <w:szCs w:val="12"/>
                <w:color w:val="auto"/>
              </w:rPr>
            </w:pPr>
          </w:p>
        </w:tc>
        <w:tc>
          <w:tcPr>
            <w:tcW w:w="48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020" w:type="dxa"/>
            <w:vAlign w:val="bottom"/>
            <w:tcBorders>
              <w:bottom w:val="single" w:sz="8" w:color="auto"/>
            </w:tcBorders>
            <w:shd w:val="clear" w:color="auto" w:fill="CCEEFF"/>
          </w:tcPr>
          <w:p>
            <w:pPr>
              <w:spacing w:after="0"/>
              <w:rPr>
                <w:sz w:val="14"/>
                <w:szCs w:val="14"/>
                <w:color w:val="auto"/>
              </w:rPr>
            </w:pPr>
          </w:p>
        </w:tc>
        <w:tc>
          <w:tcPr>
            <w:tcW w:w="48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5020" w:type="dxa"/>
            <w:vAlign w:val="bottom"/>
          </w:tcPr>
          <w:p>
            <w:pPr>
              <w:spacing w:after="0"/>
              <w:rPr>
                <w:sz w:val="13"/>
                <w:szCs w:val="13"/>
                <w:color w:val="auto"/>
              </w:rPr>
            </w:pPr>
          </w:p>
        </w:tc>
        <w:tc>
          <w:tcPr>
            <w:tcW w:w="48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Laboratory inventories</w:t>
            </w:r>
          </w:p>
        </w:tc>
        <w:tc>
          <w:tcPr>
            <w:tcW w:w="4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8,675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8,414</w:t>
            </w:r>
          </w:p>
        </w:tc>
      </w:tr>
    </w:tbl>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cost of inventories is recognised as an expense and included in direct costs in the Consolidated Statement of Profit and Loss. For the year ended 31 December 2025, $97.1 million (2024: $85.4 million) was charged to the Consolidated Statement of Profit and Loss. There was no material difference between the Consolidated Statement of Financial Position value of inventories and their replacement costs.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1280"/>
          </w:cols>
          <w:pgMar w:left="300" w:top="698" w:right="3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receivables and unbilled revenue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shd w:val="clear" w:color="auto" w:fill="CCEEFF"/>
          </w:tcPr>
          <w:p>
            <w:pPr>
              <w:spacing w:after="0"/>
              <w:rPr>
                <w:sz w:val="13"/>
                <w:szCs w:val="13"/>
                <w:color w:val="auto"/>
              </w:rPr>
            </w:pPr>
          </w:p>
        </w:tc>
        <w:tc>
          <w:tcPr>
            <w:tcW w:w="41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5980" w:type="dxa"/>
            <w:vAlign w:val="bottom"/>
            <w:shd w:val="clear" w:color="auto" w:fill="CCEEFF"/>
          </w:tcPr>
          <w:p>
            <w:pPr>
              <w:spacing w:after="0"/>
              <w:rPr>
                <w:sz w:val="11"/>
                <w:szCs w:val="11"/>
                <w:color w:val="auto"/>
              </w:rPr>
            </w:pPr>
          </w:p>
        </w:tc>
        <w:tc>
          <w:tcPr>
            <w:tcW w:w="414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980" w:type="dxa"/>
            <w:vAlign w:val="bottom"/>
            <w:tcBorders>
              <w:bottom w:val="single" w:sz="8" w:color="auto"/>
            </w:tcBorders>
            <w:shd w:val="clear" w:color="auto" w:fill="CCEEFF"/>
          </w:tcPr>
          <w:p>
            <w:pPr>
              <w:spacing w:after="0"/>
              <w:rPr>
                <w:sz w:val="14"/>
                <w:szCs w:val="14"/>
                <w:color w:val="auto"/>
              </w:rPr>
            </w:pPr>
          </w:p>
        </w:tc>
        <w:tc>
          <w:tcPr>
            <w:tcW w:w="4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980" w:type="dxa"/>
            <w:vAlign w:val="bottom"/>
          </w:tcPr>
          <w:p>
            <w:pPr>
              <w:spacing w:after="0"/>
              <w:rPr>
                <w:sz w:val="14"/>
                <w:szCs w:val="14"/>
                <w:color w:val="auto"/>
              </w:rPr>
            </w:pPr>
          </w:p>
        </w:tc>
        <w:tc>
          <w:tcPr>
            <w:tcW w:w="414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Billed services (accounts receivable)</w:t>
            </w:r>
          </w:p>
        </w:tc>
        <w:tc>
          <w:tcPr>
            <w:tcW w:w="41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1,517,217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1,428,428</w:t>
            </w:r>
          </w:p>
        </w:tc>
      </w:tr>
      <w:tr>
        <w:trPr>
          <w:trHeight w:val="17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Allowance for credit losses</w:t>
            </w:r>
          </w:p>
        </w:tc>
        <w:tc>
          <w:tcPr>
            <w:tcW w:w="41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(42,319)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(35,664)</w:t>
            </w:r>
          </w:p>
        </w:tc>
      </w:tr>
      <w:tr>
        <w:trPr>
          <w:trHeight w:val="16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41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1,474,898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1,392,764</w:t>
            </w:r>
          </w:p>
        </w:tc>
      </w:tr>
      <w:tr>
        <w:trPr>
          <w:trHeight w:val="17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Unbilled services (unbilled revenue)</w:t>
            </w:r>
          </w:p>
        </w:tc>
        <w:tc>
          <w:tcPr>
            <w:tcW w:w="41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1,096,592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1,040,174</w:t>
            </w:r>
          </w:p>
        </w:tc>
      </w:tr>
      <w:tr>
        <w:trPr>
          <w:trHeight w:val="185"/>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Trade accounts receivable and unbilled revenue, net</w:t>
            </w:r>
          </w:p>
        </w:tc>
        <w:tc>
          <w:tcPr>
            <w:tcW w:w="41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2,571,490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2,432,938</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4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Accounts receivables are amounts due from customers for services performed in the ordinary course of business. They are generally due for settlement within 30-90 days and therefore are all classified as current. Accounts receivable are recognised initially at the amount of consideration that is unconditional. Accounts receivable balances do not contain significant financing components. The Group holds the accounts receivable with the objective to collect the contractual cash flows and therefore measures them subsequently at amortised cost.</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receivables are due within twelve months of the year ended 31 December 2025. Due to the short-term nature of the current receivables, their carrying amount is considered to be the same as their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Unbilled services and unearned revenue (contract assets and liabilities)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shd w:val="clear" w:color="auto" w:fill="CCEEFF"/>
          </w:tcPr>
          <w:p>
            <w:pPr>
              <w:spacing w:after="0"/>
              <w:rPr>
                <w:sz w:val="13"/>
                <w:szCs w:val="13"/>
                <w:color w:val="auto"/>
              </w:rPr>
            </w:pPr>
          </w:p>
        </w:tc>
        <w:tc>
          <w:tcPr>
            <w:tcW w:w="28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6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31 December</w:t>
            </w:r>
          </w:p>
        </w:tc>
        <w:tc>
          <w:tcPr>
            <w:tcW w:w="14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 Change</w:t>
            </w:r>
          </w:p>
        </w:tc>
      </w:tr>
      <w:tr>
        <w:trPr>
          <w:trHeight w:val="127"/>
        </w:trPr>
        <w:tc>
          <w:tcPr>
            <w:tcW w:w="4160" w:type="dxa"/>
            <w:vAlign w:val="bottom"/>
            <w:shd w:val="clear" w:color="auto" w:fill="CCEEFF"/>
          </w:tcPr>
          <w:p>
            <w:pPr>
              <w:spacing w:after="0"/>
              <w:rPr>
                <w:sz w:val="11"/>
                <w:szCs w:val="11"/>
                <w:color w:val="auto"/>
              </w:rPr>
            </w:pPr>
          </w:p>
        </w:tc>
        <w:tc>
          <w:tcPr>
            <w:tcW w:w="288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2025</w:t>
            </w:r>
          </w:p>
        </w:tc>
        <w:tc>
          <w:tcPr>
            <w:tcW w:w="1640" w:type="dxa"/>
            <w:vAlign w:val="bottom"/>
            <w:shd w:val="clear" w:color="auto" w:fill="CCEEFF"/>
          </w:tcPr>
          <w:p>
            <w:pPr>
              <w:jc w:val="right"/>
              <w:ind w:right="436"/>
              <w:spacing w:after="0" w:line="128" w:lineRule="exact"/>
              <w:rPr>
                <w:sz w:val="20"/>
                <w:szCs w:val="20"/>
                <w:color w:val="auto"/>
              </w:rPr>
            </w:pPr>
            <w:r>
              <w:rPr>
                <w:rFonts w:ascii="Arial" w:cs="Arial" w:eastAsia="Arial" w:hAnsi="Arial"/>
                <w:sz w:val="13"/>
                <w:szCs w:val="13"/>
                <w:color w:val="auto"/>
              </w:rPr>
              <w:t>2024</w:t>
            </w:r>
          </w:p>
        </w:tc>
        <w:tc>
          <w:tcPr>
            <w:tcW w:w="14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68"/>
        </w:trPr>
        <w:tc>
          <w:tcPr>
            <w:tcW w:w="4160" w:type="dxa"/>
            <w:vAlign w:val="bottom"/>
            <w:tcBorders>
              <w:bottom w:val="single" w:sz="8" w:color="auto"/>
            </w:tcBorders>
            <w:shd w:val="clear" w:color="auto" w:fill="CCEEFF"/>
          </w:tcPr>
          <w:p>
            <w:pPr>
              <w:spacing w:after="0"/>
              <w:rPr>
                <w:sz w:val="14"/>
                <w:szCs w:val="14"/>
                <w:color w:val="auto"/>
              </w:rPr>
            </w:pPr>
          </w:p>
        </w:tc>
        <w:tc>
          <w:tcPr>
            <w:tcW w:w="28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(As Restated)</w:t>
            </w:r>
          </w:p>
        </w:tc>
        <w:tc>
          <w:tcPr>
            <w:tcW w:w="1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28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436"/>
              <w:spacing w:after="0"/>
              <w:rPr>
                <w:sz w:val="20"/>
                <w:szCs w:val="20"/>
                <w:color w:val="auto"/>
              </w:rPr>
            </w:pPr>
            <w:r>
              <w:rPr>
                <w:rFonts w:ascii="Arial" w:cs="Arial" w:eastAsia="Arial" w:hAnsi="Arial"/>
                <w:sz w:val="13"/>
                <w:szCs w:val="13"/>
                <w:color w:val="auto"/>
              </w:rPr>
              <w:t>$’000</w:t>
            </w:r>
          </w:p>
        </w:tc>
        <w:tc>
          <w:tcPr>
            <w:tcW w:w="1460" w:type="dxa"/>
            <w:vAlign w:val="bottom"/>
          </w:tcPr>
          <w:p>
            <w:pPr>
              <w:jc w:val="right"/>
              <w:ind w:right="416"/>
              <w:spacing w:after="0"/>
              <w:rPr>
                <w:sz w:val="20"/>
                <w:szCs w:val="20"/>
                <w:color w:val="auto"/>
              </w:rPr>
            </w:pPr>
            <w:r>
              <w:rPr>
                <w:rFonts w:ascii="Arial" w:cs="Arial" w:eastAsia="Arial" w:hAnsi="Arial"/>
                <w:sz w:val="13"/>
                <w:szCs w:val="13"/>
                <w:color w:val="auto"/>
              </w:rPr>
              <w:t>$’000</w:t>
            </w:r>
          </w:p>
        </w:tc>
        <w:tc>
          <w:tcPr>
            <w:tcW w:w="1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28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1,096,592</w:t>
            </w:r>
          </w:p>
        </w:tc>
        <w:tc>
          <w:tcPr>
            <w:tcW w:w="1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1,040,174</w:t>
            </w:r>
          </w:p>
        </w:tc>
        <w:tc>
          <w:tcPr>
            <w:tcW w:w="146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56,418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r>
      <w:tr>
        <w:trPr>
          <w:trHeight w:val="17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Unearned revenue (payments on account)</w:t>
            </w:r>
          </w:p>
        </w:tc>
        <w:tc>
          <w:tcPr>
            <w:tcW w:w="2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(1,550,471)</w:t>
            </w:r>
          </w:p>
        </w:tc>
        <w:tc>
          <w:tcPr>
            <w:tcW w:w="16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(1,467,671)</w:t>
            </w:r>
          </w:p>
        </w:tc>
        <w:tc>
          <w:tcPr>
            <w:tcW w:w="14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(82,800)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5.6 %</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Statement of Financial Position.</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Amounts owed to investigators and others in respect of reimbursable expenses were $427.1 million at 31 December 2025 and $369.2 million at 31 December 2024 (see Note 20 </w:t>
      </w:r>
      <w:r>
        <w:rPr>
          <w:rFonts w:ascii="Arial" w:cs="Arial" w:eastAsia="Arial" w:hAnsi="Arial"/>
          <w:sz w:val="13"/>
          <w:szCs w:val="13"/>
          <w:i w:val="1"/>
          <w:iCs w:val="1"/>
          <w:color w:val="auto"/>
        </w:rPr>
        <w:t>Other liabilities</w:t>
      </w:r>
      <w:r>
        <w:rPr>
          <w:rFonts w:ascii="Arial" w:cs="Arial" w:eastAsia="Arial" w:hAnsi="Arial"/>
          <w:sz w:val="13"/>
          <w:szCs w:val="13"/>
          <w:color w:val="auto"/>
        </w:rPr>
        <w:t xml:space="preserve"> in Notes to the Consolidated Financial Statements ).</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Unbilled services as at 31 December 2025 increased by $56.4 million as compared to 31 December 2024. Unearned revenue increased by $82.8 million over the same period.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recognised exceeds the amount billed to the customer.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1280"/>
          </w:cols>
          <w:pgMar w:left="300" w:top="698" w:right="3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As of 31 December 2025 approximately $14.9 billion (2024: $15.9 billion) of revenue is expected to be recognised in the future in respect of unsatisfied performance obligations. The Company expects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to recognise revenue on approximately 48% (2024: 47%) of the unsatisfied performance obligation over the next 12 months, with the remainder recognised thereafter over the duration of the customer contracts.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of financial assets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At 31 December 2025, the Group maintained an impairment provision of $42.3 million (2024: $35.7 million). The credit loss expense recognised on the Group's receivables and unbilled services was $25.1 million and $28.4 million for the twelve months ended 31 December 2025 and 2024, respectively.</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 Receivables for which an impairment provision was recognised were written off against the provision when there was no expectation of recovering additional cash.</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Group considered that there was evidence of impairment if any of the following indicators were present:</w:t>
      </w:r>
    </w:p>
    <w:p>
      <w:pPr>
        <w:spacing w:after="0" w:line="190" w:lineRule="exact"/>
        <w:rPr>
          <w:sz w:val="20"/>
          <w:szCs w:val="20"/>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significant financial difficulties of the debtor</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probability that the debtor will enter a financial restructuring process</w:t>
      </w: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default or late payment</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closing expected credit loss for trade receivables and contract assets as at 31 December 2025 and 31 December 2024 reconciles to the opening expected credit loss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shd w:val="clear" w:color="auto" w:fill="CCEEFF"/>
          </w:tcPr>
          <w:p>
            <w:pPr>
              <w:spacing w:after="0"/>
              <w:rPr>
                <w:sz w:val="12"/>
                <w:szCs w:val="12"/>
                <w:color w:val="auto"/>
              </w:rPr>
            </w:pPr>
          </w:p>
        </w:tc>
        <w:tc>
          <w:tcPr>
            <w:tcW w:w="22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790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7900" w:type="dxa"/>
            <w:vAlign w:val="bottom"/>
          </w:tcPr>
          <w:p>
            <w:pPr>
              <w:spacing w:after="0"/>
              <w:rPr>
                <w:sz w:val="13"/>
                <w:szCs w:val="13"/>
                <w:color w:val="auto"/>
              </w:rPr>
            </w:pPr>
          </w:p>
        </w:tc>
        <w:tc>
          <w:tcPr>
            <w:tcW w:w="22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start of year</w:t>
            </w:r>
          </w:p>
        </w:tc>
        <w:tc>
          <w:tcPr>
            <w:tcW w:w="22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35,664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31,533</w:t>
            </w:r>
          </w:p>
        </w:tc>
      </w:tr>
      <w:tr>
        <w:trPr>
          <w:trHeight w:val="170"/>
        </w:trPr>
        <w:tc>
          <w:tcPr>
            <w:tcW w:w="7900" w:type="dxa"/>
            <w:vAlign w:val="bottom"/>
          </w:tcPr>
          <w:p>
            <w:pPr>
              <w:ind w:left="20"/>
              <w:spacing w:after="0"/>
              <w:rPr>
                <w:sz w:val="20"/>
                <w:szCs w:val="20"/>
                <w:color w:val="auto"/>
              </w:rPr>
            </w:pPr>
            <w:r>
              <w:rPr>
                <w:rFonts w:ascii="Arial" w:cs="Arial" w:eastAsia="Arial" w:hAnsi="Arial"/>
                <w:sz w:val="13"/>
                <w:szCs w:val="13"/>
                <w:color w:val="auto"/>
              </w:rPr>
              <w:t>Receivables written off during the year as uncollectible</w:t>
            </w:r>
          </w:p>
        </w:tc>
        <w:tc>
          <w:tcPr>
            <w:tcW w:w="2220" w:type="dxa"/>
            <w:vAlign w:val="bottom"/>
          </w:tcPr>
          <w:p>
            <w:pPr>
              <w:jc w:val="right"/>
              <w:ind w:right="296"/>
              <w:spacing w:after="0"/>
              <w:rPr>
                <w:sz w:val="20"/>
                <w:szCs w:val="20"/>
                <w:color w:val="auto"/>
              </w:rPr>
            </w:pPr>
            <w:r>
              <w:rPr>
                <w:rFonts w:ascii="Arial" w:cs="Arial" w:eastAsia="Arial" w:hAnsi="Arial"/>
                <w:sz w:val="13"/>
                <w:szCs w:val="13"/>
                <w:b w:val="1"/>
                <w:bCs w:val="1"/>
                <w:color w:val="auto"/>
              </w:rPr>
              <w:t>(20,956)</w:t>
            </w:r>
          </w:p>
        </w:tc>
        <w:tc>
          <w:tcPr>
            <w:tcW w:w="1140" w:type="dxa"/>
            <w:vAlign w:val="bottom"/>
          </w:tcPr>
          <w:p>
            <w:pPr>
              <w:jc w:val="right"/>
              <w:spacing w:after="0"/>
              <w:rPr>
                <w:sz w:val="20"/>
                <w:szCs w:val="20"/>
                <w:color w:val="auto"/>
              </w:rPr>
            </w:pPr>
            <w:r>
              <w:rPr>
                <w:rFonts w:ascii="Arial" w:cs="Arial" w:eastAsia="Arial" w:hAnsi="Arial"/>
                <w:sz w:val="13"/>
                <w:szCs w:val="13"/>
                <w:color w:val="auto"/>
              </w:rPr>
              <w:t>(24,887)</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expected credit loss recognised in profit or loss during the year</w:t>
            </w:r>
          </w:p>
        </w:tc>
        <w:tc>
          <w:tcPr>
            <w:tcW w:w="22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25,104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28,417</w:t>
            </w:r>
          </w:p>
        </w:tc>
      </w:tr>
      <w:tr>
        <w:trPr>
          <w:trHeight w:val="178"/>
        </w:trPr>
        <w:tc>
          <w:tcPr>
            <w:tcW w:w="79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2220" w:type="dxa"/>
            <w:vAlign w:val="bottom"/>
          </w:tcPr>
          <w:p>
            <w:pPr>
              <w:jc w:val="right"/>
              <w:ind w:right="336"/>
              <w:spacing w:after="0"/>
              <w:rPr>
                <w:sz w:val="20"/>
                <w:szCs w:val="20"/>
                <w:color w:val="auto"/>
              </w:rPr>
            </w:pPr>
            <w:r>
              <w:rPr>
                <w:rFonts w:ascii="Arial" w:cs="Arial" w:eastAsia="Arial" w:hAnsi="Arial"/>
                <w:sz w:val="13"/>
                <w:szCs w:val="13"/>
                <w:b w:val="1"/>
                <w:bCs w:val="1"/>
                <w:color w:val="auto"/>
              </w:rPr>
              <w:t>2,507</w:t>
            </w:r>
          </w:p>
        </w:tc>
        <w:tc>
          <w:tcPr>
            <w:tcW w:w="1140" w:type="dxa"/>
            <w:vAlign w:val="bottom"/>
          </w:tcPr>
          <w:p>
            <w:pPr>
              <w:jc w:val="right"/>
              <w:spacing w:after="0"/>
              <w:rPr>
                <w:sz w:val="20"/>
                <w:szCs w:val="20"/>
                <w:color w:val="auto"/>
              </w:rPr>
            </w:pPr>
            <w:r>
              <w:rPr>
                <w:rFonts w:ascii="Arial" w:cs="Arial" w:eastAsia="Arial" w:hAnsi="Arial"/>
                <w:sz w:val="13"/>
                <w:szCs w:val="13"/>
                <w:color w:val="auto"/>
              </w:rPr>
              <w:t>601</w:t>
            </w:r>
          </w:p>
        </w:tc>
      </w:tr>
      <w:tr>
        <w:trPr>
          <w:trHeight w:val="24"/>
        </w:trPr>
        <w:tc>
          <w:tcPr>
            <w:tcW w:w="79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7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end of year</w:t>
            </w:r>
          </w:p>
        </w:tc>
        <w:tc>
          <w:tcPr>
            <w:tcW w:w="22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42,319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35,664</w:t>
            </w:r>
          </w:p>
        </w:tc>
      </w:tr>
      <w:tr>
        <w:trPr>
          <w:trHeight w:val="20"/>
        </w:trPr>
        <w:tc>
          <w:tcPr>
            <w:tcW w:w="79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74"/>
        </w:trPr>
        <w:tc>
          <w:tcPr>
            <w:tcW w:w="7900" w:type="dxa"/>
            <w:vAlign w:val="bottom"/>
          </w:tcPr>
          <w:p>
            <w:pPr>
              <w:spacing w:after="0"/>
              <w:rPr>
                <w:sz w:val="20"/>
                <w:szCs w:val="20"/>
                <w:color w:val="auto"/>
              </w:rPr>
            </w:pPr>
            <w:r>
              <w:rPr>
                <w:rFonts w:ascii="Arial" w:cs="Arial" w:eastAsia="Arial" w:hAnsi="Arial"/>
                <w:sz w:val="13"/>
                <w:szCs w:val="13"/>
                <w:color w:val="auto"/>
              </w:rPr>
              <w:t>Further analysis of the Group’s accounts receivable balances at 31 December 2025 and 31 December 2024 is as follows:</w:t>
            </w: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7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27"/>
        </w:trPr>
        <w:tc>
          <w:tcPr>
            <w:tcW w:w="7900" w:type="dxa"/>
            <w:vAlign w:val="bottom"/>
            <w:shd w:val="clear" w:color="auto" w:fill="CCEEFF"/>
          </w:tcPr>
          <w:p>
            <w:pPr>
              <w:spacing w:after="0"/>
              <w:rPr>
                <w:sz w:val="11"/>
                <w:szCs w:val="11"/>
                <w:color w:val="auto"/>
              </w:rPr>
            </w:pPr>
          </w:p>
        </w:tc>
        <w:tc>
          <w:tcPr>
            <w:tcW w:w="22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27"/>
        </w:trPr>
        <w:tc>
          <w:tcPr>
            <w:tcW w:w="7900" w:type="dxa"/>
            <w:vAlign w:val="bottom"/>
            <w:shd w:val="clear" w:color="auto" w:fill="CCEEFF"/>
          </w:tcPr>
          <w:p>
            <w:pPr>
              <w:spacing w:after="0"/>
              <w:rPr>
                <w:sz w:val="11"/>
                <w:szCs w:val="11"/>
                <w:color w:val="auto"/>
              </w:rPr>
            </w:pPr>
          </w:p>
        </w:tc>
        <w:tc>
          <w:tcPr>
            <w:tcW w:w="22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790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7900" w:type="dxa"/>
            <w:vAlign w:val="bottom"/>
          </w:tcPr>
          <w:p>
            <w:pPr>
              <w:spacing w:after="0"/>
              <w:rPr>
                <w:sz w:val="14"/>
                <w:szCs w:val="14"/>
                <w:color w:val="auto"/>
              </w:rPr>
            </w:pPr>
          </w:p>
        </w:tc>
        <w:tc>
          <w:tcPr>
            <w:tcW w:w="22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Gross accounts receivable</w:t>
            </w:r>
          </w:p>
        </w:tc>
        <w:tc>
          <w:tcPr>
            <w:tcW w:w="2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7900" w:type="dxa"/>
            <w:vAlign w:val="bottom"/>
          </w:tcPr>
          <w:p>
            <w:pPr>
              <w:ind w:left="20"/>
              <w:spacing w:after="0"/>
              <w:rPr>
                <w:sz w:val="20"/>
                <w:szCs w:val="20"/>
                <w:color w:val="auto"/>
              </w:rPr>
            </w:pPr>
            <w:r>
              <w:rPr>
                <w:rFonts w:ascii="Arial" w:cs="Arial" w:eastAsia="Arial" w:hAnsi="Arial"/>
                <w:sz w:val="13"/>
                <w:szCs w:val="13"/>
                <w:color w:val="auto"/>
              </w:rPr>
              <w:t>Not past due</w:t>
            </w:r>
          </w:p>
        </w:tc>
        <w:tc>
          <w:tcPr>
            <w:tcW w:w="2220" w:type="dxa"/>
            <w:vAlign w:val="bottom"/>
          </w:tcPr>
          <w:p>
            <w:pPr>
              <w:jc w:val="right"/>
              <w:ind w:right="336"/>
              <w:spacing w:after="0"/>
              <w:rPr>
                <w:sz w:val="20"/>
                <w:szCs w:val="20"/>
                <w:color w:val="auto"/>
              </w:rPr>
            </w:pPr>
            <w:r>
              <w:rPr>
                <w:rFonts w:ascii="Arial" w:cs="Arial" w:eastAsia="Arial" w:hAnsi="Arial"/>
                <w:sz w:val="13"/>
                <w:szCs w:val="13"/>
                <w:b w:val="1"/>
                <w:bCs w:val="1"/>
                <w:color w:val="auto"/>
              </w:rPr>
              <w:t>1,191,226</w:t>
            </w:r>
          </w:p>
        </w:tc>
        <w:tc>
          <w:tcPr>
            <w:tcW w:w="1140" w:type="dxa"/>
            <w:vAlign w:val="bottom"/>
          </w:tcPr>
          <w:p>
            <w:pPr>
              <w:jc w:val="right"/>
              <w:spacing w:after="0"/>
              <w:rPr>
                <w:sz w:val="20"/>
                <w:szCs w:val="20"/>
                <w:color w:val="auto"/>
              </w:rPr>
            </w:pPr>
            <w:r>
              <w:rPr>
                <w:rFonts w:ascii="Arial" w:cs="Arial" w:eastAsia="Arial" w:hAnsi="Arial"/>
                <w:sz w:val="13"/>
                <w:szCs w:val="13"/>
                <w:color w:val="auto"/>
              </w:rPr>
              <w:t>1,059,476</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 due 0 to 30 days</w:t>
            </w:r>
          </w:p>
        </w:tc>
        <w:tc>
          <w:tcPr>
            <w:tcW w:w="22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135,481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149,702</w:t>
            </w:r>
          </w:p>
        </w:tc>
      </w:tr>
      <w:tr>
        <w:trPr>
          <w:trHeight w:val="170"/>
        </w:trPr>
        <w:tc>
          <w:tcPr>
            <w:tcW w:w="7900" w:type="dxa"/>
            <w:vAlign w:val="bottom"/>
          </w:tcPr>
          <w:p>
            <w:pPr>
              <w:ind w:left="20"/>
              <w:spacing w:after="0"/>
              <w:rPr>
                <w:sz w:val="20"/>
                <w:szCs w:val="20"/>
                <w:color w:val="auto"/>
              </w:rPr>
            </w:pPr>
            <w:r>
              <w:rPr>
                <w:rFonts w:ascii="Arial" w:cs="Arial" w:eastAsia="Arial" w:hAnsi="Arial"/>
                <w:sz w:val="13"/>
                <w:szCs w:val="13"/>
                <w:color w:val="auto"/>
              </w:rPr>
              <w:t>Past due 31 to 60 days</w:t>
            </w:r>
          </w:p>
        </w:tc>
        <w:tc>
          <w:tcPr>
            <w:tcW w:w="2220" w:type="dxa"/>
            <w:vAlign w:val="bottom"/>
          </w:tcPr>
          <w:p>
            <w:pPr>
              <w:jc w:val="right"/>
              <w:ind w:right="336"/>
              <w:spacing w:after="0"/>
              <w:rPr>
                <w:sz w:val="20"/>
                <w:szCs w:val="20"/>
                <w:color w:val="auto"/>
              </w:rPr>
            </w:pPr>
            <w:r>
              <w:rPr>
                <w:rFonts w:ascii="Arial" w:cs="Arial" w:eastAsia="Arial" w:hAnsi="Arial"/>
                <w:sz w:val="13"/>
                <w:szCs w:val="13"/>
                <w:b w:val="1"/>
                <w:bCs w:val="1"/>
                <w:color w:val="auto"/>
              </w:rPr>
              <w:t>54,340</w:t>
            </w:r>
          </w:p>
        </w:tc>
        <w:tc>
          <w:tcPr>
            <w:tcW w:w="1140" w:type="dxa"/>
            <w:vAlign w:val="bottom"/>
          </w:tcPr>
          <w:p>
            <w:pPr>
              <w:jc w:val="right"/>
              <w:spacing w:after="0"/>
              <w:rPr>
                <w:sz w:val="20"/>
                <w:szCs w:val="20"/>
                <w:color w:val="auto"/>
              </w:rPr>
            </w:pPr>
            <w:r>
              <w:rPr>
                <w:rFonts w:ascii="Arial" w:cs="Arial" w:eastAsia="Arial" w:hAnsi="Arial"/>
                <w:sz w:val="13"/>
                <w:szCs w:val="13"/>
                <w:color w:val="auto"/>
              </w:rPr>
              <w:t>37,424</w:t>
            </w:r>
          </w:p>
        </w:tc>
      </w:tr>
      <w:tr>
        <w:trPr>
          <w:trHeight w:val="170"/>
        </w:trPr>
        <w:tc>
          <w:tcPr>
            <w:tcW w:w="7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Past due 61+ days</w:t>
            </w:r>
          </w:p>
        </w:tc>
        <w:tc>
          <w:tcPr>
            <w:tcW w:w="22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136,170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181,826</w:t>
            </w:r>
          </w:p>
        </w:tc>
      </w:tr>
      <w:tr>
        <w:trPr>
          <w:trHeight w:val="160"/>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Accounts receivable</w:t>
            </w:r>
          </w:p>
        </w:tc>
        <w:tc>
          <w:tcPr>
            <w:tcW w:w="22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1,517,217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1,428,428</w:t>
            </w: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4"/>
        </w:trPr>
        <w:tc>
          <w:tcPr>
            <w:tcW w:w="7900" w:type="dxa"/>
            <w:vAlign w:val="bottom"/>
          </w:tcPr>
          <w:p>
            <w:pPr>
              <w:ind w:left="5580"/>
              <w:spacing w:after="0"/>
              <w:rPr>
                <w:sz w:val="20"/>
                <w:szCs w:val="20"/>
                <w:color w:val="auto"/>
              </w:rPr>
            </w:pPr>
            <w:r>
              <w:rPr>
                <w:rFonts w:ascii="Arial" w:cs="Arial" w:eastAsia="Arial" w:hAnsi="Arial"/>
                <w:sz w:val="13"/>
                <w:szCs w:val="13"/>
                <w:color w:val="auto"/>
              </w:rPr>
              <w:t>99</w:t>
            </w: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auto"/>
        </w:rPr>
        <w:t>The carrying amounts of the Group’s accounts receivables are denominated in the following currencies: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shd w:val="clear" w:color="auto" w:fill="CCEEFF"/>
          </w:tcPr>
          <w:p>
            <w:pPr>
              <w:spacing w:after="0"/>
              <w:rPr>
                <w:sz w:val="13"/>
                <w:szCs w:val="13"/>
                <w:color w:val="auto"/>
              </w:rPr>
            </w:pPr>
          </w:p>
        </w:tc>
        <w:tc>
          <w:tcPr>
            <w:tcW w:w="44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 December</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27"/>
        </w:trPr>
        <w:tc>
          <w:tcPr>
            <w:tcW w:w="5620" w:type="dxa"/>
            <w:vAlign w:val="bottom"/>
            <w:shd w:val="clear" w:color="auto" w:fill="CCEEFF"/>
          </w:tcPr>
          <w:p>
            <w:pPr>
              <w:spacing w:after="0"/>
              <w:rPr>
                <w:sz w:val="11"/>
                <w:szCs w:val="11"/>
                <w:color w:val="auto"/>
              </w:rPr>
            </w:pPr>
          </w:p>
        </w:tc>
        <w:tc>
          <w:tcPr>
            <w:tcW w:w="440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2025</w:t>
            </w:r>
          </w:p>
        </w:tc>
        <w:tc>
          <w:tcPr>
            <w:tcW w:w="12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620" w:type="dxa"/>
            <w:vAlign w:val="bottom"/>
            <w:tcBorders>
              <w:bottom w:val="single" w:sz="8" w:color="auto"/>
            </w:tcBorders>
            <w:shd w:val="clear" w:color="auto" w:fill="CCEEFF"/>
          </w:tcPr>
          <w:p>
            <w:pPr>
              <w:spacing w:after="0"/>
              <w:rPr>
                <w:sz w:val="14"/>
                <w:szCs w:val="14"/>
                <w:color w:val="auto"/>
              </w:rPr>
            </w:pPr>
          </w:p>
        </w:tc>
        <w:tc>
          <w:tcPr>
            <w:tcW w:w="4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(As Restated)</w:t>
            </w:r>
          </w:p>
        </w:tc>
      </w:tr>
      <w:tr>
        <w:trPr>
          <w:trHeight w:val="162"/>
        </w:trPr>
        <w:tc>
          <w:tcPr>
            <w:tcW w:w="5620" w:type="dxa"/>
            <w:vAlign w:val="bottom"/>
          </w:tcPr>
          <w:p>
            <w:pPr>
              <w:spacing w:after="0"/>
              <w:rPr>
                <w:sz w:val="14"/>
                <w:szCs w:val="14"/>
                <w:color w:val="auto"/>
              </w:rPr>
            </w:pPr>
          </w:p>
        </w:tc>
        <w:tc>
          <w:tcPr>
            <w:tcW w:w="440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Currency</w:t>
            </w:r>
          </w:p>
        </w:tc>
        <w:tc>
          <w:tcPr>
            <w:tcW w:w="4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US Dollar</w:t>
            </w:r>
          </w:p>
        </w:tc>
        <w:tc>
          <w:tcPr>
            <w:tcW w:w="4400" w:type="dxa"/>
            <w:vAlign w:val="bottom"/>
          </w:tcPr>
          <w:p>
            <w:pPr>
              <w:jc w:val="right"/>
              <w:ind w:right="216"/>
              <w:spacing w:after="0"/>
              <w:rPr>
                <w:sz w:val="20"/>
                <w:szCs w:val="20"/>
                <w:color w:val="auto"/>
              </w:rPr>
            </w:pPr>
            <w:r>
              <w:rPr>
                <w:rFonts w:ascii="Arial" w:cs="Arial" w:eastAsia="Arial" w:hAnsi="Arial"/>
                <w:sz w:val="13"/>
                <w:szCs w:val="13"/>
                <w:b w:val="1"/>
                <w:bCs w:val="1"/>
                <w:color w:val="auto"/>
              </w:rPr>
              <w:t>1,154,230</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1,083,285</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w:t>
            </w:r>
          </w:p>
        </w:tc>
        <w:tc>
          <w:tcPr>
            <w:tcW w:w="44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272,310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242,070</w:t>
            </w: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Sterling</w:t>
            </w:r>
          </w:p>
        </w:tc>
        <w:tc>
          <w:tcPr>
            <w:tcW w:w="4400" w:type="dxa"/>
            <w:vAlign w:val="bottom"/>
          </w:tcPr>
          <w:p>
            <w:pPr>
              <w:jc w:val="right"/>
              <w:ind w:right="216"/>
              <w:spacing w:after="0"/>
              <w:rPr>
                <w:sz w:val="20"/>
                <w:szCs w:val="20"/>
                <w:color w:val="auto"/>
              </w:rPr>
            </w:pPr>
            <w:r>
              <w:rPr>
                <w:rFonts w:ascii="Arial" w:cs="Arial" w:eastAsia="Arial" w:hAnsi="Arial"/>
                <w:sz w:val="13"/>
                <w:szCs w:val="13"/>
                <w:b w:val="1"/>
                <w:bCs w:val="1"/>
                <w:color w:val="auto"/>
              </w:rPr>
              <w:t>34,038</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23,792</w:t>
            </w:r>
          </w:p>
        </w:tc>
      </w:tr>
      <w:tr>
        <w:trPr>
          <w:trHeight w:val="17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currencies</w:t>
            </w:r>
          </w:p>
        </w:tc>
        <w:tc>
          <w:tcPr>
            <w:tcW w:w="4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56,639</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79,281</w:t>
            </w:r>
          </w:p>
        </w:tc>
      </w:tr>
      <w:tr>
        <w:trPr>
          <w:trHeight w:val="16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4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1,517,217</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1,428,428</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591"/>
        </w:trPr>
        <w:tc>
          <w:tcPr>
            <w:tcW w:w="5620" w:type="dxa"/>
            <w:vAlign w:val="bottom"/>
          </w:tcPr>
          <w:p>
            <w:pPr>
              <w:spacing w:after="0"/>
              <w:rPr>
                <w:sz w:val="20"/>
                <w:szCs w:val="20"/>
                <w:color w:val="auto"/>
              </w:rPr>
            </w:pPr>
            <w:r>
              <w:rPr>
                <w:rFonts w:ascii="Arial" w:cs="Arial" w:eastAsia="Arial" w:hAnsi="Arial"/>
                <w:sz w:val="13"/>
                <w:szCs w:val="13"/>
                <w:b w:val="1"/>
                <w:bCs w:val="1"/>
                <w:color w:val="auto"/>
              </w:rPr>
              <w:t>17. Other assets</w:t>
            </w:r>
          </w:p>
        </w:tc>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9"/>
        </w:trPr>
        <w:tc>
          <w:tcPr>
            <w:tcW w:w="56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127"/>
        </w:trPr>
        <w:tc>
          <w:tcPr>
            <w:tcW w:w="5620" w:type="dxa"/>
            <w:vAlign w:val="bottom"/>
            <w:shd w:val="clear" w:color="auto" w:fill="CCEEFF"/>
          </w:tcPr>
          <w:p>
            <w:pPr>
              <w:spacing w:after="0"/>
              <w:rPr>
                <w:sz w:val="11"/>
                <w:szCs w:val="11"/>
                <w:color w:val="auto"/>
              </w:rPr>
            </w:pPr>
          </w:p>
        </w:tc>
        <w:tc>
          <w:tcPr>
            <w:tcW w:w="440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60" w:type="dxa"/>
            <w:vAlign w:val="bottom"/>
          </w:tcPr>
          <w:p>
            <w:pPr>
              <w:spacing w:after="0"/>
              <w:rPr>
                <w:sz w:val="11"/>
                <w:szCs w:val="11"/>
                <w:color w:val="auto"/>
              </w:rPr>
            </w:pPr>
          </w:p>
        </w:tc>
      </w:tr>
      <w:tr>
        <w:trPr>
          <w:trHeight w:val="170"/>
        </w:trPr>
        <w:tc>
          <w:tcPr>
            <w:tcW w:w="5620" w:type="dxa"/>
            <w:vAlign w:val="bottom"/>
            <w:tcBorders>
              <w:bottom w:val="single" w:sz="8" w:color="auto"/>
            </w:tcBorders>
            <w:shd w:val="clear" w:color="auto" w:fill="CCEEFF"/>
          </w:tcPr>
          <w:p>
            <w:pPr>
              <w:spacing w:after="0"/>
              <w:rPr>
                <w:sz w:val="14"/>
                <w:szCs w:val="14"/>
                <w:color w:val="auto"/>
              </w:rPr>
            </w:pPr>
          </w:p>
        </w:tc>
        <w:tc>
          <w:tcPr>
            <w:tcW w:w="44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260" w:type="dxa"/>
            <w:vAlign w:val="bottom"/>
          </w:tcPr>
          <w:p>
            <w:pPr>
              <w:spacing w:after="0"/>
              <w:rPr>
                <w:sz w:val="14"/>
                <w:szCs w:val="14"/>
                <w:color w:val="auto"/>
              </w:rPr>
            </w:pPr>
          </w:p>
        </w:tc>
      </w:tr>
      <w:tr>
        <w:trPr>
          <w:trHeight w:val="160"/>
        </w:trPr>
        <w:tc>
          <w:tcPr>
            <w:tcW w:w="5620" w:type="dxa"/>
            <w:vAlign w:val="bottom"/>
          </w:tcPr>
          <w:p>
            <w:pPr>
              <w:spacing w:after="0"/>
              <w:rPr>
                <w:sz w:val="13"/>
                <w:szCs w:val="13"/>
                <w:color w:val="auto"/>
              </w:rPr>
            </w:pPr>
          </w:p>
        </w:tc>
        <w:tc>
          <w:tcPr>
            <w:tcW w:w="440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$’000</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non-current assets</w:t>
            </w:r>
          </w:p>
        </w:tc>
        <w:tc>
          <w:tcPr>
            <w:tcW w:w="4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Lease deposits</w:t>
            </w:r>
          </w:p>
        </w:tc>
        <w:tc>
          <w:tcPr>
            <w:tcW w:w="4400" w:type="dxa"/>
            <w:vAlign w:val="bottom"/>
          </w:tcPr>
          <w:p>
            <w:pPr>
              <w:jc w:val="right"/>
              <w:ind w:right="436"/>
              <w:spacing w:after="0"/>
              <w:rPr>
                <w:sz w:val="20"/>
                <w:szCs w:val="20"/>
                <w:color w:val="auto"/>
              </w:rPr>
            </w:pPr>
            <w:r>
              <w:rPr>
                <w:rFonts w:ascii="Arial" w:cs="Arial" w:eastAsia="Arial" w:hAnsi="Arial"/>
                <w:sz w:val="13"/>
                <w:szCs w:val="13"/>
                <w:b w:val="1"/>
                <w:bCs w:val="1"/>
                <w:color w:val="auto"/>
              </w:rPr>
              <w:t>9,438</w:t>
            </w:r>
          </w:p>
        </w:tc>
        <w:tc>
          <w:tcPr>
            <w:tcW w:w="1000" w:type="dxa"/>
            <w:vAlign w:val="bottom"/>
          </w:tcPr>
          <w:p>
            <w:pPr>
              <w:jc w:val="right"/>
              <w:spacing w:after="0"/>
              <w:rPr>
                <w:sz w:val="20"/>
                <w:szCs w:val="20"/>
                <w:color w:val="auto"/>
              </w:rPr>
            </w:pPr>
            <w:r>
              <w:rPr>
                <w:rFonts w:ascii="Arial" w:cs="Arial" w:eastAsia="Arial" w:hAnsi="Arial"/>
                <w:sz w:val="13"/>
                <w:szCs w:val="13"/>
                <w:color w:val="auto"/>
              </w:rPr>
              <w:t>16,780</w:t>
            </w:r>
          </w:p>
        </w:tc>
        <w:tc>
          <w:tcPr>
            <w:tcW w:w="260" w:type="dxa"/>
            <w:vAlign w:val="bottom"/>
          </w:tcPr>
          <w:p>
            <w:pPr>
              <w:spacing w:after="0"/>
              <w:rPr>
                <w:sz w:val="14"/>
                <w:szCs w:val="14"/>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assets</w:t>
            </w:r>
          </w:p>
        </w:tc>
        <w:tc>
          <w:tcPr>
            <w:tcW w:w="440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24,128</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24,836</w:t>
            </w:r>
          </w:p>
        </w:tc>
        <w:tc>
          <w:tcPr>
            <w:tcW w:w="260" w:type="dxa"/>
            <w:vAlign w:val="bottom"/>
          </w:tcPr>
          <w:p>
            <w:pPr>
              <w:spacing w:after="0"/>
              <w:rPr>
                <w:sz w:val="14"/>
                <w:szCs w:val="14"/>
                <w:color w:val="auto"/>
              </w:rPr>
            </w:pPr>
          </w:p>
        </w:tc>
      </w:tr>
      <w:tr>
        <w:trPr>
          <w:trHeight w:val="17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4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42,141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31,180</w:t>
            </w:r>
          </w:p>
        </w:tc>
        <w:tc>
          <w:tcPr>
            <w:tcW w:w="260" w:type="dxa"/>
            <w:vAlign w:val="bottom"/>
          </w:tcPr>
          <w:p>
            <w:pPr>
              <w:spacing w:after="0"/>
              <w:rPr>
                <w:sz w:val="14"/>
                <w:szCs w:val="14"/>
                <w:color w:val="auto"/>
              </w:rPr>
            </w:pPr>
          </w:p>
        </w:tc>
      </w:tr>
      <w:tr>
        <w:trPr>
          <w:trHeight w:val="185"/>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4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75,707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72,796</w:t>
            </w:r>
          </w:p>
        </w:tc>
        <w:tc>
          <w:tcPr>
            <w:tcW w:w="260" w:type="dxa"/>
            <w:vAlign w:val="bottom"/>
          </w:tcPr>
          <w:p>
            <w:pPr>
              <w:spacing w:after="0"/>
              <w:rPr>
                <w:sz w:val="15"/>
                <w:szCs w:val="15"/>
                <w:color w:val="auto"/>
              </w:rPr>
            </w:pP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4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 Other non current assets do not contain any impaired 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shd w:val="clear" w:color="auto" w:fill="CCEEFF"/>
          </w:tcPr>
          <w:p>
            <w:pPr>
              <w:spacing w:after="0"/>
              <w:rPr>
                <w:sz w:val="12"/>
                <w:szCs w:val="12"/>
                <w:color w:val="auto"/>
              </w:rPr>
            </w:pPr>
          </w:p>
        </w:tc>
        <w:tc>
          <w:tcPr>
            <w:tcW w:w="41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980" w:type="dxa"/>
            <w:vAlign w:val="bottom"/>
            <w:tcBorders>
              <w:bottom w:val="single" w:sz="8" w:color="auto"/>
            </w:tcBorders>
            <w:shd w:val="clear" w:color="auto" w:fill="CCEEFF"/>
          </w:tcPr>
          <w:p>
            <w:pPr>
              <w:spacing w:after="0"/>
              <w:rPr>
                <w:sz w:val="14"/>
                <w:szCs w:val="14"/>
                <w:color w:val="auto"/>
              </w:rPr>
            </w:pPr>
          </w:p>
        </w:tc>
        <w:tc>
          <w:tcPr>
            <w:tcW w:w="41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5980" w:type="dxa"/>
            <w:vAlign w:val="bottom"/>
          </w:tcPr>
          <w:p>
            <w:pPr>
              <w:spacing w:after="0"/>
              <w:rPr>
                <w:sz w:val="13"/>
                <w:szCs w:val="13"/>
                <w:color w:val="auto"/>
              </w:rPr>
            </w:pPr>
          </w:p>
        </w:tc>
        <w:tc>
          <w:tcPr>
            <w:tcW w:w="41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current assets</w:t>
            </w:r>
          </w:p>
        </w:tc>
        <w:tc>
          <w:tcPr>
            <w:tcW w:w="4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Personnel related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2,586</w:t>
            </w:r>
          </w:p>
        </w:tc>
        <w:tc>
          <w:tcPr>
            <w:tcW w:w="1140" w:type="dxa"/>
            <w:vAlign w:val="bottom"/>
          </w:tcPr>
          <w:p>
            <w:pPr>
              <w:jc w:val="right"/>
              <w:spacing w:after="0"/>
              <w:rPr>
                <w:sz w:val="20"/>
                <w:szCs w:val="20"/>
                <w:color w:val="auto"/>
              </w:rPr>
            </w:pPr>
            <w:r>
              <w:rPr>
                <w:rFonts w:ascii="Arial" w:cs="Arial" w:eastAsia="Arial" w:hAnsi="Arial"/>
                <w:sz w:val="13"/>
                <w:szCs w:val="13"/>
                <w:color w:val="auto"/>
              </w:rPr>
              <w:t>1,492</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and information system related prepayments</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43,102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69,763</w:t>
            </w: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General overhead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55,595</w:t>
            </w:r>
          </w:p>
        </w:tc>
        <w:tc>
          <w:tcPr>
            <w:tcW w:w="1140" w:type="dxa"/>
            <w:vAlign w:val="bottom"/>
          </w:tcPr>
          <w:p>
            <w:pPr>
              <w:jc w:val="right"/>
              <w:spacing w:after="0"/>
              <w:rPr>
                <w:sz w:val="20"/>
                <w:szCs w:val="20"/>
                <w:color w:val="auto"/>
              </w:rPr>
            </w:pPr>
            <w:r>
              <w:rPr>
                <w:rFonts w:ascii="Arial" w:cs="Arial" w:eastAsia="Arial" w:hAnsi="Arial"/>
                <w:sz w:val="13"/>
                <w:szCs w:val="13"/>
                <w:color w:val="auto"/>
              </w:rPr>
              <w:t>43,186</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tax recoverable</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47,290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36,489</w:t>
            </w:r>
          </w:p>
        </w:tc>
      </w:tr>
      <w:tr>
        <w:trPr>
          <w:trHeight w:val="17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1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64,814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60,578</w:t>
            </w:r>
          </w:p>
        </w:tc>
      </w:tr>
      <w:tr>
        <w:trPr>
          <w:trHeight w:val="185"/>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1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213,387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211,508</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Other current assets do not contain any impaired assets. The maximum exposure to credit risk at the reporting date is the carrying value of each receivable, other than prepayments which do not have credit risk. The Group does not hold any collateral as security.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280"/>
          </w:cols>
          <w:pgMar w:left="300" w:top="698" w:right="3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Financial asset investments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shd w:val="clear" w:color="auto" w:fill="CCEEFF"/>
          </w:tcPr>
          <w:p>
            <w:pPr>
              <w:spacing w:after="0"/>
              <w:rPr>
                <w:sz w:val="13"/>
                <w:szCs w:val="13"/>
                <w:color w:val="auto"/>
              </w:rPr>
            </w:pPr>
          </w:p>
        </w:tc>
        <w:tc>
          <w:tcPr>
            <w:tcW w:w="47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5180" w:type="dxa"/>
            <w:vAlign w:val="bottom"/>
            <w:tcBorders>
              <w:bottom w:val="single" w:sz="8" w:color="auto"/>
            </w:tcBorders>
            <w:shd w:val="clear" w:color="auto" w:fill="CCEEFF"/>
          </w:tcPr>
          <w:p>
            <w:pPr>
              <w:spacing w:after="0"/>
              <w:rPr>
                <w:sz w:val="14"/>
                <w:szCs w:val="14"/>
                <w:color w:val="auto"/>
              </w:rPr>
            </w:pPr>
          </w:p>
        </w:tc>
        <w:tc>
          <w:tcPr>
            <w:tcW w:w="47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47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3"/>
        </w:trPr>
        <w:tc>
          <w:tcPr>
            <w:tcW w:w="5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Financial asset investments</w:t>
            </w:r>
          </w:p>
        </w:tc>
        <w:tc>
          <w:tcPr>
            <w:tcW w:w="47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82,050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57,948</w:t>
            </w:r>
          </w:p>
        </w:tc>
        <w:tc>
          <w:tcPr>
            <w:tcW w:w="0" w:type="dxa"/>
            <w:vAlign w:val="bottom"/>
          </w:tcPr>
          <w:p>
            <w:pPr>
              <w:spacing w:after="0"/>
              <w:rPr>
                <w:sz w:val="1"/>
                <w:szCs w:val="1"/>
                <w:color w:val="auto"/>
              </w:rPr>
            </w:pPr>
          </w:p>
        </w:tc>
      </w:tr>
      <w:tr>
        <w:trPr>
          <w:trHeight w:val="51"/>
        </w:trPr>
        <w:tc>
          <w:tcPr>
            <w:tcW w:w="5180" w:type="dxa"/>
            <w:vAlign w:val="bottom"/>
            <w:tcBorders>
              <w:bottom w:val="single" w:sz="8" w:color="CCEEFF"/>
            </w:tcBorders>
            <w:vMerge w:val="continue"/>
            <w:shd w:val="clear" w:color="auto" w:fill="CCEEFF"/>
          </w:tcPr>
          <w:p>
            <w:pPr>
              <w:spacing w:after="0"/>
              <w:rPr>
                <w:sz w:val="4"/>
                <w:szCs w:val="4"/>
                <w:color w:val="auto"/>
              </w:rPr>
            </w:pPr>
          </w:p>
        </w:tc>
        <w:tc>
          <w:tcPr>
            <w:tcW w:w="47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000000"/>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entered into subscription agreements with a number of funds. Interests in funds meet the definition of financial assets and are measured at fair value through profit or loss. Inputs are generally unobservable as the funds are not traded on an exchange and data is not published in respect of the funds. The fair value of interests in the funds are therefore Level 3 fair value measurements.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2025, net capital totalling $10.8 million had been advanced under the terms of the subscription agreements (2024: $13.1 million).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 ended 31 December 2025, there was a increase in fair value of $13.9 million (2024: decrease in fair value of $3.3 million) recognised in the Consolidated Statement of Profit and Loss</w:t>
      </w:r>
    </w:p>
    <w:p>
      <w:pPr>
        <w:spacing w:after="0" w:line="2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bringing the carrying value of the subscriptions at 31 December 2025 to $79.5 million (2024: $54.4 million</w:t>
      </w:r>
      <w:r>
        <w:rPr>
          <w:rFonts w:ascii="Times New Roman" w:cs="Times New Roman" w:eastAsia="Times New Roman" w:hAnsi="Times New Roman"/>
          <w:sz w:val="14"/>
          <w:szCs w:val="14"/>
          <w:color w:val="auto"/>
        </w:rPr>
        <w:t>)</w:t>
      </w:r>
      <w:r>
        <w:rPr>
          <w:rFonts w:ascii="Arial" w:cs="Arial" w:eastAsia="Arial" w:hAnsi="Arial"/>
          <w:sz w:val="13"/>
          <w:szCs w:val="13"/>
          <w:color w:val="auto"/>
        </w:rPr>
        <w:t>. The Company has committed to future investments of $137.1 million (2024: $102.2 million</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in respect of these funds.</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Financial asset investments also include equity investments of $2.5 million (2024: $3.5 million</w:t>
      </w:r>
      <w:r>
        <w:rPr>
          <w:rFonts w:ascii="Times New Roman" w:cs="Times New Roman" w:eastAsia="Times New Roman" w:hAnsi="Times New Roman"/>
          <w:sz w:val="13"/>
          <w:szCs w:val="13"/>
          <w:color w:val="auto"/>
        </w:rPr>
        <w:t>)</w:t>
      </w:r>
      <w:r>
        <w:rPr>
          <w:rFonts w:ascii="Arial" w:cs="Arial" w:eastAsia="Arial" w:hAnsi="Arial"/>
          <w:sz w:val="12"/>
          <w:szCs w:val="12"/>
          <w:color w:val="auto"/>
        </w:rPr>
        <w:t xml:space="preserve"> of which $nil (2024: $1.5 million) was invested during the year. During the year ended 31 December 2025</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an impairment charge of $1.0 million was recorded in respect of equity investments (2024: $nil).</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Cash and cash equivalents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shd w:val="clear" w:color="auto" w:fill="CCEEFF"/>
          </w:tcPr>
          <w:p>
            <w:pPr>
              <w:spacing w:after="0"/>
              <w:rPr>
                <w:sz w:val="13"/>
                <w:szCs w:val="13"/>
                <w:color w:val="auto"/>
              </w:rPr>
            </w:pPr>
          </w:p>
        </w:tc>
        <w:tc>
          <w:tcPr>
            <w:tcW w:w="63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3540" w:type="dxa"/>
            <w:vAlign w:val="bottom"/>
            <w:tcBorders>
              <w:bottom w:val="single" w:sz="8" w:color="auto"/>
            </w:tcBorders>
            <w:shd w:val="clear" w:color="auto" w:fill="CCEEFF"/>
          </w:tcPr>
          <w:p>
            <w:pPr>
              <w:spacing w:after="0"/>
              <w:rPr>
                <w:sz w:val="14"/>
                <w:szCs w:val="14"/>
                <w:color w:val="auto"/>
              </w:rPr>
            </w:pPr>
          </w:p>
        </w:tc>
        <w:tc>
          <w:tcPr>
            <w:tcW w:w="63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3540" w:type="dxa"/>
            <w:vAlign w:val="bottom"/>
          </w:tcPr>
          <w:p>
            <w:pPr>
              <w:spacing w:after="0"/>
              <w:rPr>
                <w:sz w:val="13"/>
                <w:szCs w:val="13"/>
                <w:color w:val="auto"/>
              </w:rPr>
            </w:pPr>
          </w:p>
        </w:tc>
        <w:tc>
          <w:tcPr>
            <w:tcW w:w="63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63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647,295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538,785</w:t>
            </w:r>
          </w:p>
        </w:tc>
      </w:tr>
      <w:tr>
        <w:trPr>
          <w:trHeight w:val="763"/>
        </w:trPr>
        <w:tc>
          <w:tcPr>
            <w:tcW w:w="3540" w:type="dxa"/>
            <w:vAlign w:val="bottom"/>
          </w:tcPr>
          <w:p>
            <w:pPr>
              <w:spacing w:after="0"/>
              <w:rPr>
                <w:sz w:val="24"/>
                <w:szCs w:val="24"/>
                <w:color w:val="auto"/>
              </w:rPr>
            </w:pPr>
          </w:p>
        </w:tc>
        <w:tc>
          <w:tcPr>
            <w:tcW w:w="6360" w:type="dxa"/>
            <w:vAlign w:val="bottom"/>
          </w:tcPr>
          <w:p>
            <w:pPr>
              <w:jc w:val="right"/>
              <w:ind w:right="4076"/>
              <w:spacing w:after="0"/>
              <w:rPr>
                <w:sz w:val="20"/>
                <w:szCs w:val="20"/>
                <w:color w:val="auto"/>
              </w:rPr>
            </w:pPr>
            <w:r>
              <w:rPr>
                <w:rFonts w:ascii="Arial" w:cs="Arial" w:eastAsia="Arial" w:hAnsi="Arial"/>
                <w:sz w:val="13"/>
                <w:szCs w:val="13"/>
                <w:color w:val="auto"/>
              </w:rPr>
              <w:t>101</w:t>
            </w:r>
          </w:p>
        </w:tc>
        <w:tc>
          <w:tcPr>
            <w:tcW w:w="112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Other liabilities</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shd w:val="clear" w:color="auto" w:fill="CCEEFF"/>
          </w:tcPr>
          <w:p>
            <w:pPr>
              <w:spacing w:after="0"/>
              <w:rPr>
                <w:sz w:val="13"/>
                <w:szCs w:val="13"/>
                <w:color w:val="auto"/>
              </w:rPr>
            </w:pPr>
          </w:p>
        </w:tc>
        <w:tc>
          <w:tcPr>
            <w:tcW w:w="42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5660" w:type="dxa"/>
            <w:vAlign w:val="bottom"/>
            <w:shd w:val="clear" w:color="auto" w:fill="CCEEFF"/>
          </w:tcPr>
          <w:p>
            <w:pPr>
              <w:spacing w:after="0"/>
              <w:rPr>
                <w:sz w:val="11"/>
                <w:szCs w:val="11"/>
                <w:color w:val="auto"/>
              </w:rPr>
            </w:pPr>
          </w:p>
        </w:tc>
        <w:tc>
          <w:tcPr>
            <w:tcW w:w="424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2025</w:t>
            </w:r>
          </w:p>
        </w:tc>
        <w:tc>
          <w:tcPr>
            <w:tcW w:w="11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660" w:type="dxa"/>
            <w:vAlign w:val="bottom"/>
            <w:tcBorders>
              <w:bottom w:val="single" w:sz="8" w:color="auto"/>
            </w:tcBorders>
            <w:shd w:val="clear" w:color="auto" w:fill="CCEEFF"/>
          </w:tcPr>
          <w:p>
            <w:pPr>
              <w:spacing w:after="0"/>
              <w:rPr>
                <w:sz w:val="14"/>
                <w:szCs w:val="14"/>
                <w:color w:val="auto"/>
              </w:rPr>
            </w:pPr>
          </w:p>
        </w:tc>
        <w:tc>
          <w:tcPr>
            <w:tcW w:w="4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660" w:type="dxa"/>
            <w:vAlign w:val="bottom"/>
          </w:tcPr>
          <w:p>
            <w:pPr>
              <w:spacing w:after="0"/>
              <w:rPr>
                <w:sz w:val="14"/>
                <w:szCs w:val="14"/>
                <w:color w:val="auto"/>
              </w:rPr>
            </w:pPr>
          </w:p>
        </w:tc>
        <w:tc>
          <w:tcPr>
            <w:tcW w:w="424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0"/>
        </w:trPr>
        <w:tc>
          <w:tcPr>
            <w:tcW w:w="5660" w:type="dxa"/>
            <w:vAlign w:val="bottom"/>
          </w:tcPr>
          <w:p>
            <w:pPr>
              <w:ind w:left="20"/>
              <w:spacing w:after="0"/>
              <w:rPr>
                <w:sz w:val="20"/>
                <w:szCs w:val="20"/>
                <w:color w:val="auto"/>
              </w:rPr>
            </w:pPr>
            <w:r>
              <w:rPr>
                <w:rFonts w:ascii="Arial" w:cs="Arial" w:eastAsia="Arial" w:hAnsi="Arial"/>
                <w:sz w:val="13"/>
                <w:szCs w:val="13"/>
                <w:color w:val="auto"/>
              </w:rPr>
              <w:t>Deferred government grants</w:t>
            </w:r>
          </w:p>
        </w:tc>
        <w:tc>
          <w:tcPr>
            <w:tcW w:w="4240" w:type="dxa"/>
            <w:vAlign w:val="bottom"/>
          </w:tcPr>
          <w:p>
            <w:pPr>
              <w:jc w:val="right"/>
              <w:ind w:right="316"/>
              <w:spacing w:after="0"/>
              <w:rPr>
                <w:sz w:val="20"/>
                <w:szCs w:val="20"/>
                <w:color w:val="auto"/>
              </w:rPr>
            </w:pPr>
            <w:r>
              <w:rPr>
                <w:rFonts w:ascii="Arial" w:cs="Arial" w:eastAsia="Arial" w:hAnsi="Arial"/>
                <w:sz w:val="13"/>
                <w:szCs w:val="13"/>
                <w:b w:val="1"/>
                <w:bCs w:val="1"/>
                <w:color w:val="auto"/>
              </w:rPr>
              <w:t>606</w:t>
            </w:r>
          </w:p>
        </w:tc>
        <w:tc>
          <w:tcPr>
            <w:tcW w:w="1120" w:type="dxa"/>
            <w:vAlign w:val="bottom"/>
          </w:tcPr>
          <w:p>
            <w:pPr>
              <w:jc w:val="right"/>
              <w:spacing w:after="0"/>
              <w:rPr>
                <w:sz w:val="20"/>
                <w:szCs w:val="20"/>
                <w:color w:val="auto"/>
              </w:rPr>
            </w:pPr>
            <w:r>
              <w:rPr>
                <w:rFonts w:ascii="Arial" w:cs="Arial" w:eastAsia="Arial" w:hAnsi="Arial"/>
                <w:sz w:val="13"/>
                <w:szCs w:val="13"/>
                <w:color w:val="auto"/>
              </w:rPr>
              <w:t>602</w:t>
            </w:r>
          </w:p>
        </w:tc>
      </w:tr>
      <w:tr>
        <w:trPr>
          <w:trHeight w:val="170"/>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liabilities</w:t>
            </w:r>
          </w:p>
        </w:tc>
        <w:tc>
          <w:tcPr>
            <w:tcW w:w="42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14,338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16,012</w:t>
            </w:r>
          </w:p>
        </w:tc>
      </w:tr>
      <w:tr>
        <w:trPr>
          <w:trHeight w:val="17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liabilities</w:t>
            </w:r>
          </w:p>
        </w:tc>
        <w:tc>
          <w:tcPr>
            <w:tcW w:w="42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54,777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63,750</w:t>
            </w:r>
          </w:p>
        </w:tc>
      </w:tr>
      <w:tr>
        <w:trPr>
          <w:trHeight w:val="185"/>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2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69,721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80,364</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Deferred employee savings scheme liabilities included above are payable greater than one year from the reporting date (see Note 24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in Notes to the Consolidated Financial Statements</w:t>
      </w:r>
      <w:r>
        <w:rPr>
          <w:rFonts w:ascii="Arial" w:cs="Arial" w:eastAsia="Arial" w:hAnsi="Arial"/>
          <w:sz w:val="13"/>
          <w:szCs w:val="13"/>
          <w:i w:val="1"/>
          <w:iCs w:val="1"/>
          <w:color w:val="auto"/>
        </w:rPr>
        <w:t>)</w:t>
      </w:r>
      <w:r>
        <w:rPr>
          <w:rFonts w:ascii="Arial" w:cs="Arial" w:eastAsia="Arial" w:hAnsi="Arial"/>
          <w:sz w:val="13"/>
          <w:szCs w:val="13"/>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Amounts received under government grant agreements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shd w:val="clear" w:color="auto" w:fill="CCEEFF"/>
          </w:tcPr>
          <w:p>
            <w:pPr>
              <w:spacing w:after="0"/>
              <w:rPr>
                <w:sz w:val="13"/>
                <w:szCs w:val="13"/>
                <w:color w:val="auto"/>
              </w:rPr>
            </w:pPr>
          </w:p>
        </w:tc>
        <w:tc>
          <w:tcPr>
            <w:tcW w:w="45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5580" w:type="dxa"/>
            <w:vAlign w:val="bottom"/>
            <w:shd w:val="clear" w:color="auto" w:fill="CCEEFF"/>
          </w:tcPr>
          <w:p>
            <w:pPr>
              <w:spacing w:after="0"/>
              <w:rPr>
                <w:sz w:val="11"/>
                <w:szCs w:val="11"/>
                <w:color w:val="auto"/>
              </w:rPr>
            </w:pPr>
          </w:p>
        </w:tc>
        <w:tc>
          <w:tcPr>
            <w:tcW w:w="456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580" w:type="dxa"/>
            <w:vAlign w:val="bottom"/>
            <w:tcBorders>
              <w:bottom w:val="single" w:sz="8" w:color="auto"/>
            </w:tcBorders>
            <w:shd w:val="clear" w:color="auto" w:fill="CCEEFF"/>
          </w:tcPr>
          <w:p>
            <w:pPr>
              <w:spacing w:after="0"/>
              <w:rPr>
                <w:sz w:val="14"/>
                <w:szCs w:val="14"/>
                <w:color w:val="auto"/>
              </w:rPr>
            </w:pPr>
          </w:p>
        </w:tc>
        <w:tc>
          <w:tcPr>
            <w:tcW w:w="45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580" w:type="dxa"/>
            <w:vAlign w:val="bottom"/>
          </w:tcPr>
          <w:p>
            <w:pPr>
              <w:spacing w:after="0"/>
              <w:rPr>
                <w:sz w:val="14"/>
                <w:szCs w:val="14"/>
                <w:color w:val="auto"/>
              </w:rPr>
            </w:pPr>
          </w:p>
        </w:tc>
        <w:tc>
          <w:tcPr>
            <w:tcW w:w="45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accrued and other liabilities</w:t>
            </w:r>
          </w:p>
        </w:tc>
        <w:tc>
          <w:tcPr>
            <w:tcW w:w="4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580" w:type="dxa"/>
            <w:vAlign w:val="bottom"/>
          </w:tcPr>
          <w:p>
            <w:pPr>
              <w:ind w:left="20"/>
              <w:spacing w:after="0"/>
              <w:rPr>
                <w:sz w:val="20"/>
                <w:szCs w:val="20"/>
                <w:color w:val="auto"/>
              </w:rPr>
            </w:pPr>
            <w:r>
              <w:rPr>
                <w:rFonts w:ascii="Arial" w:cs="Arial" w:eastAsia="Arial" w:hAnsi="Arial"/>
                <w:sz w:val="13"/>
                <w:szCs w:val="13"/>
                <w:color w:val="auto"/>
              </w:rPr>
              <w:t>General trade and overhead liabilities*</w:t>
            </w:r>
          </w:p>
        </w:tc>
        <w:tc>
          <w:tcPr>
            <w:tcW w:w="4560" w:type="dxa"/>
            <w:vAlign w:val="bottom"/>
          </w:tcPr>
          <w:p>
            <w:pPr>
              <w:jc w:val="right"/>
              <w:ind w:right="336"/>
              <w:spacing w:after="0"/>
              <w:rPr>
                <w:sz w:val="20"/>
                <w:szCs w:val="20"/>
                <w:color w:val="auto"/>
              </w:rPr>
            </w:pPr>
            <w:r>
              <w:rPr>
                <w:rFonts w:ascii="Arial" w:cs="Arial" w:eastAsia="Arial" w:hAnsi="Arial"/>
                <w:sz w:val="13"/>
                <w:szCs w:val="13"/>
                <w:b w:val="1"/>
                <w:bCs w:val="1"/>
                <w:color w:val="auto"/>
              </w:rPr>
              <w:t>588,733</w:t>
            </w:r>
          </w:p>
        </w:tc>
        <w:tc>
          <w:tcPr>
            <w:tcW w:w="1140" w:type="dxa"/>
            <w:vAlign w:val="bottom"/>
          </w:tcPr>
          <w:p>
            <w:pPr>
              <w:jc w:val="right"/>
              <w:spacing w:after="0"/>
              <w:rPr>
                <w:sz w:val="20"/>
                <w:szCs w:val="20"/>
                <w:color w:val="auto"/>
              </w:rPr>
            </w:pPr>
            <w:r>
              <w:rPr>
                <w:rFonts w:ascii="Arial" w:cs="Arial" w:eastAsia="Arial" w:hAnsi="Arial"/>
                <w:sz w:val="13"/>
                <w:szCs w:val="13"/>
                <w:color w:val="auto"/>
              </w:rPr>
              <w:t>524,981</w:t>
            </w:r>
          </w:p>
        </w:tc>
      </w:tr>
      <w:tr>
        <w:trPr>
          <w:trHeight w:val="17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Personnel related liabilities</w:t>
            </w:r>
          </w:p>
        </w:tc>
        <w:tc>
          <w:tcPr>
            <w:tcW w:w="45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240,222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218,574</w:t>
            </w:r>
          </w:p>
        </w:tc>
      </w:tr>
      <w:tr>
        <w:trPr>
          <w:trHeight w:val="170"/>
        </w:trPr>
        <w:tc>
          <w:tcPr>
            <w:tcW w:w="5580" w:type="dxa"/>
            <w:vAlign w:val="bottom"/>
          </w:tcPr>
          <w:p>
            <w:pPr>
              <w:ind w:left="20"/>
              <w:spacing w:after="0"/>
              <w:rPr>
                <w:sz w:val="20"/>
                <w:szCs w:val="20"/>
                <w:color w:val="auto"/>
              </w:rPr>
            </w:pPr>
            <w:r>
              <w:rPr>
                <w:rFonts w:ascii="Arial" w:cs="Arial" w:eastAsia="Arial" w:hAnsi="Arial"/>
                <w:sz w:val="13"/>
                <w:szCs w:val="13"/>
                <w:color w:val="auto"/>
              </w:rPr>
              <w:t>Lease liabilities (Note 25)</w:t>
            </w:r>
          </w:p>
        </w:tc>
        <w:tc>
          <w:tcPr>
            <w:tcW w:w="4560" w:type="dxa"/>
            <w:vAlign w:val="bottom"/>
          </w:tcPr>
          <w:p>
            <w:pPr>
              <w:jc w:val="right"/>
              <w:ind w:right="336"/>
              <w:spacing w:after="0"/>
              <w:rPr>
                <w:sz w:val="20"/>
                <w:szCs w:val="20"/>
                <w:color w:val="auto"/>
              </w:rPr>
            </w:pPr>
            <w:r>
              <w:rPr>
                <w:rFonts w:ascii="Arial" w:cs="Arial" w:eastAsia="Arial" w:hAnsi="Arial"/>
                <w:sz w:val="13"/>
                <w:szCs w:val="13"/>
                <w:b w:val="1"/>
                <w:bCs w:val="1"/>
                <w:color w:val="auto"/>
              </w:rPr>
              <w:t>36,282</w:t>
            </w:r>
          </w:p>
        </w:tc>
        <w:tc>
          <w:tcPr>
            <w:tcW w:w="1140" w:type="dxa"/>
            <w:vAlign w:val="bottom"/>
          </w:tcPr>
          <w:p>
            <w:pPr>
              <w:jc w:val="right"/>
              <w:spacing w:after="0"/>
              <w:rPr>
                <w:sz w:val="20"/>
                <w:szCs w:val="20"/>
                <w:color w:val="auto"/>
              </w:rPr>
            </w:pPr>
            <w:r>
              <w:rPr>
                <w:rFonts w:ascii="Arial" w:cs="Arial" w:eastAsia="Arial" w:hAnsi="Arial"/>
                <w:sz w:val="13"/>
                <w:szCs w:val="13"/>
                <w:color w:val="auto"/>
              </w:rPr>
              <w:t>36,783</w:t>
            </w:r>
          </w:p>
        </w:tc>
      </w:tr>
      <w:tr>
        <w:trPr>
          <w:trHeight w:val="17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related liabilities</w:t>
            </w:r>
          </w:p>
        </w:tc>
        <w:tc>
          <w:tcPr>
            <w:tcW w:w="45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8,033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8,547</w:t>
            </w:r>
          </w:p>
        </w:tc>
      </w:tr>
      <w:tr>
        <w:trPr>
          <w:trHeight w:val="170"/>
        </w:trPr>
        <w:tc>
          <w:tcPr>
            <w:tcW w:w="558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4560" w:type="dxa"/>
            <w:vAlign w:val="bottom"/>
          </w:tcPr>
          <w:p>
            <w:pPr>
              <w:jc w:val="right"/>
              <w:ind w:right="336"/>
              <w:spacing w:after="0"/>
              <w:rPr>
                <w:sz w:val="20"/>
                <w:szCs w:val="20"/>
                <w:color w:val="auto"/>
              </w:rPr>
            </w:pPr>
            <w:r>
              <w:rPr>
                <w:rFonts w:ascii="Arial" w:cs="Arial" w:eastAsia="Arial" w:hAnsi="Arial"/>
                <w:sz w:val="13"/>
                <w:szCs w:val="13"/>
                <w:b w:val="1"/>
                <w:bCs w:val="1"/>
                <w:color w:val="auto"/>
              </w:rPr>
              <w:t>21,098</w:t>
            </w:r>
          </w:p>
        </w:tc>
        <w:tc>
          <w:tcPr>
            <w:tcW w:w="1140" w:type="dxa"/>
            <w:vAlign w:val="bottom"/>
          </w:tcPr>
          <w:p>
            <w:pPr>
              <w:jc w:val="right"/>
              <w:spacing w:after="0"/>
              <w:rPr>
                <w:sz w:val="20"/>
                <w:szCs w:val="20"/>
                <w:color w:val="auto"/>
              </w:rPr>
            </w:pPr>
            <w:r>
              <w:rPr>
                <w:rFonts w:ascii="Arial" w:cs="Arial" w:eastAsia="Arial" w:hAnsi="Arial"/>
                <w:sz w:val="13"/>
                <w:szCs w:val="13"/>
                <w:color w:val="auto"/>
              </w:rPr>
              <w:t>91,730</w:t>
            </w:r>
          </w:p>
        </w:tc>
      </w:tr>
      <w:tr>
        <w:trPr>
          <w:trHeight w:val="170"/>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Short-term government grants</w:t>
            </w:r>
          </w:p>
        </w:tc>
        <w:tc>
          <w:tcPr>
            <w:tcW w:w="45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0"/>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5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894,443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880,656</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*includes amounts due to third parties in respect of accrued reimbursable investigator expenses of $427.1 million at 31 December 2025 and $369.2 million at 31 December 2024.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1280"/>
          </w:cols>
          <w:pgMar w:left="300" w:top="698" w:right="3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21. Bank credit lines and loan facilities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Group had the following debt outstanding as at 31 December 2025 and 31 December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c>
          <w:tcPr>
            <w:tcW w:w="2780" w:type="dxa"/>
            <w:vAlign w:val="bottom"/>
            <w:tcBorders>
              <w:bottom w:val="single" w:sz="8" w:color="auto"/>
            </w:tcBorders>
            <w:gridSpan w:val="2"/>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rPr>
              <w:t>Interest rate as of</w:t>
            </w:r>
          </w:p>
        </w:tc>
        <w:tc>
          <w:tcPr>
            <w:tcW w:w="2680" w:type="dxa"/>
            <w:vAlign w:val="bottom"/>
            <w:tcBorders>
              <w:bottom w:val="single" w:sz="8" w:color="auto"/>
            </w:tcBorders>
            <w:gridSpan w:val="2"/>
            <w:shd w:val="clear" w:color="auto" w:fill="CCEEFF"/>
          </w:tcPr>
          <w:p>
            <w:pPr>
              <w:jc w:val="right"/>
              <w:ind w:right="836"/>
              <w:spacing w:after="0"/>
              <w:rPr>
                <w:sz w:val="20"/>
                <w:szCs w:val="20"/>
                <w:color w:val="auto"/>
              </w:rPr>
            </w:pPr>
            <w:r>
              <w:rPr>
                <w:rFonts w:ascii="Arial" w:cs="Arial" w:eastAsia="Arial" w:hAnsi="Arial"/>
                <w:sz w:val="13"/>
                <w:szCs w:val="13"/>
                <w:b w:val="1"/>
                <w:bCs w:val="1"/>
                <w:color w:val="auto"/>
              </w:rPr>
              <w:t>Principal amount</w:t>
            </w:r>
          </w:p>
        </w:tc>
      </w:tr>
      <w:tr>
        <w:trPr>
          <w:trHeight w:val="160"/>
        </w:trPr>
        <w:tc>
          <w:tcPr>
            <w:tcW w:w="40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Maturity Date</w:t>
            </w:r>
          </w:p>
        </w:tc>
        <w:tc>
          <w:tcPr>
            <w:tcW w:w="13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6"/>
              </w:rPr>
              <w:t>31 December 2025</w:t>
            </w:r>
          </w:p>
        </w:tc>
        <w:tc>
          <w:tcPr>
            <w:tcW w:w="14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31 December 2024</w:t>
            </w:r>
          </w:p>
        </w:tc>
        <w:tc>
          <w:tcPr>
            <w:tcW w:w="14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31 December 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160"/>
        </w:trPr>
        <w:tc>
          <w:tcPr>
            <w:tcW w:w="402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69"/>
        </w:trPr>
        <w:tc>
          <w:tcPr>
            <w:tcW w:w="4020" w:type="dxa"/>
            <w:vAlign w:val="bottom"/>
          </w:tcPr>
          <w:p>
            <w:pPr>
              <w:ind w:left="20"/>
              <w:spacing w:after="0"/>
              <w:rPr>
                <w:sz w:val="20"/>
                <w:szCs w:val="20"/>
                <w:color w:val="auto"/>
              </w:rPr>
            </w:pPr>
            <w:r>
              <w:rPr>
                <w:rFonts w:ascii="Arial" w:cs="Arial" w:eastAsia="Arial" w:hAnsi="Arial"/>
                <w:sz w:val="13"/>
                <w:szCs w:val="13"/>
                <w:color w:val="auto"/>
              </w:rPr>
              <w:t>Senior Secured Term Loan</w:t>
            </w:r>
          </w:p>
        </w:tc>
        <w:tc>
          <w:tcPr>
            <w:tcW w:w="1780" w:type="dxa"/>
            <w:vAlign w:val="bottom"/>
          </w:tcPr>
          <w:p>
            <w:pPr>
              <w:jc w:val="right"/>
              <w:ind w:right="316"/>
              <w:spacing w:after="0"/>
              <w:rPr>
                <w:sz w:val="20"/>
                <w:szCs w:val="20"/>
                <w:color w:val="auto"/>
              </w:rPr>
            </w:pPr>
            <w:r>
              <w:rPr>
                <w:rFonts w:ascii="Arial" w:cs="Arial" w:eastAsia="Arial" w:hAnsi="Arial"/>
                <w:sz w:val="13"/>
                <w:szCs w:val="13"/>
                <w:color w:val="auto"/>
              </w:rPr>
              <w:t>July 2028</w:t>
            </w:r>
          </w:p>
        </w:tc>
        <w:tc>
          <w:tcPr>
            <w:tcW w:w="1320" w:type="dxa"/>
            <w:vAlign w:val="bottom"/>
          </w:tcPr>
          <w:p>
            <w:pPr>
              <w:jc w:val="right"/>
              <w:ind w:right="136"/>
              <w:spacing w:after="0"/>
              <w:rPr>
                <w:sz w:val="20"/>
                <w:szCs w:val="20"/>
                <w:color w:val="auto"/>
              </w:rPr>
            </w:pPr>
            <w:r>
              <w:rPr>
                <w:rFonts w:ascii="Arial" w:cs="Arial" w:eastAsia="Arial" w:hAnsi="Arial"/>
                <w:sz w:val="13"/>
                <w:szCs w:val="13"/>
                <w:color w:val="auto"/>
              </w:rPr>
              <w:t>5.672 %</w:t>
            </w:r>
          </w:p>
        </w:tc>
        <w:tc>
          <w:tcPr>
            <w:tcW w:w="1460" w:type="dxa"/>
            <w:vAlign w:val="bottom"/>
          </w:tcPr>
          <w:p>
            <w:pPr>
              <w:jc w:val="right"/>
              <w:ind w:right="96"/>
              <w:spacing w:after="0"/>
              <w:rPr>
                <w:sz w:val="20"/>
                <w:szCs w:val="20"/>
                <w:color w:val="auto"/>
              </w:rPr>
            </w:pPr>
            <w:r>
              <w:rPr>
                <w:rFonts w:ascii="Arial" w:cs="Arial" w:eastAsia="Arial" w:hAnsi="Arial"/>
                <w:sz w:val="13"/>
                <w:szCs w:val="13"/>
                <w:color w:val="auto"/>
              </w:rPr>
              <w:t>6.329 %</w:t>
            </w:r>
          </w:p>
        </w:tc>
        <w:tc>
          <w:tcPr>
            <w:tcW w:w="1400" w:type="dxa"/>
            <w:vAlign w:val="bottom"/>
          </w:tcPr>
          <w:p>
            <w:pPr>
              <w:jc w:val="right"/>
              <w:ind w:right="116"/>
              <w:spacing w:after="0"/>
              <w:rPr>
                <w:sz w:val="20"/>
                <w:szCs w:val="20"/>
                <w:color w:val="auto"/>
              </w:rPr>
            </w:pPr>
            <w:r>
              <w:rPr>
                <w:rFonts w:ascii="Arial" w:cs="Arial" w:eastAsia="Arial" w:hAnsi="Arial"/>
                <w:sz w:val="13"/>
                <w:szCs w:val="13"/>
                <w:color w:val="auto"/>
              </w:rPr>
              <w:t>916,688</w:t>
            </w:r>
          </w:p>
        </w:tc>
        <w:tc>
          <w:tcPr>
            <w:tcW w:w="1280" w:type="dxa"/>
            <w:vAlign w:val="bottom"/>
          </w:tcPr>
          <w:p>
            <w:pPr>
              <w:jc w:val="right"/>
              <w:spacing w:after="0"/>
              <w:rPr>
                <w:sz w:val="20"/>
                <w:szCs w:val="20"/>
                <w:color w:val="auto"/>
              </w:rPr>
            </w:pPr>
            <w:r>
              <w:rPr>
                <w:rFonts w:ascii="Arial" w:cs="Arial" w:eastAsia="Arial" w:hAnsi="Arial"/>
                <w:sz w:val="13"/>
                <w:szCs w:val="13"/>
                <w:color w:val="auto"/>
              </w:rPr>
              <w:t>946,450</w:t>
            </w:r>
          </w:p>
        </w:tc>
      </w:tr>
      <w:tr>
        <w:trPr>
          <w:trHeight w:val="171"/>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Secured Notes (the “2026 Notes”)</w:t>
            </w:r>
          </w:p>
        </w:tc>
        <w:tc>
          <w:tcPr>
            <w:tcW w:w="17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July 2026</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2.875 %</w:t>
            </w: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2.875 %</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500,000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r>
      <w:tr>
        <w:trPr>
          <w:trHeight w:val="169"/>
        </w:trPr>
        <w:tc>
          <w:tcPr>
            <w:tcW w:w="4020" w:type="dxa"/>
            <w:vAlign w:val="bottom"/>
          </w:tcPr>
          <w:p>
            <w:pPr>
              <w:ind w:left="20"/>
              <w:spacing w:after="0"/>
              <w:rPr>
                <w:sz w:val="20"/>
                <w:szCs w:val="20"/>
                <w:color w:val="auto"/>
              </w:rPr>
            </w:pPr>
            <w:r>
              <w:rPr>
                <w:rFonts w:ascii="Arial" w:cs="Arial" w:eastAsia="Arial" w:hAnsi="Arial"/>
                <w:sz w:val="13"/>
                <w:szCs w:val="13"/>
                <w:color w:val="auto"/>
              </w:rPr>
              <w:t>Senior Secured Notes (the “2027 Notes”)*</w:t>
            </w:r>
          </w:p>
        </w:tc>
        <w:tc>
          <w:tcPr>
            <w:tcW w:w="1780" w:type="dxa"/>
            <w:vAlign w:val="bottom"/>
          </w:tcPr>
          <w:p>
            <w:pPr>
              <w:jc w:val="right"/>
              <w:ind w:right="316"/>
              <w:spacing w:after="0"/>
              <w:rPr>
                <w:sz w:val="20"/>
                <w:szCs w:val="20"/>
                <w:color w:val="auto"/>
              </w:rPr>
            </w:pPr>
            <w:r>
              <w:rPr>
                <w:rFonts w:ascii="Arial" w:cs="Arial" w:eastAsia="Arial" w:hAnsi="Arial"/>
                <w:sz w:val="13"/>
                <w:szCs w:val="13"/>
                <w:color w:val="auto"/>
              </w:rPr>
              <w:t>May 2027</w:t>
            </w:r>
          </w:p>
        </w:tc>
        <w:tc>
          <w:tcPr>
            <w:tcW w:w="1320" w:type="dxa"/>
            <w:vAlign w:val="bottom"/>
          </w:tcPr>
          <w:p>
            <w:pPr>
              <w:jc w:val="right"/>
              <w:ind w:right="136"/>
              <w:spacing w:after="0"/>
              <w:rPr>
                <w:sz w:val="20"/>
                <w:szCs w:val="20"/>
                <w:color w:val="auto"/>
              </w:rPr>
            </w:pPr>
            <w:r>
              <w:rPr>
                <w:rFonts w:ascii="Arial" w:cs="Arial" w:eastAsia="Arial" w:hAnsi="Arial"/>
                <w:sz w:val="13"/>
                <w:szCs w:val="13"/>
                <w:color w:val="auto"/>
              </w:rPr>
              <w:t>5.809 %</w:t>
            </w:r>
          </w:p>
        </w:tc>
        <w:tc>
          <w:tcPr>
            <w:tcW w:w="1460" w:type="dxa"/>
            <w:vAlign w:val="bottom"/>
          </w:tcPr>
          <w:p>
            <w:pPr>
              <w:jc w:val="right"/>
              <w:ind w:right="96"/>
              <w:spacing w:after="0"/>
              <w:rPr>
                <w:sz w:val="20"/>
                <w:szCs w:val="20"/>
                <w:color w:val="auto"/>
              </w:rPr>
            </w:pPr>
            <w:r>
              <w:rPr>
                <w:rFonts w:ascii="Arial" w:cs="Arial" w:eastAsia="Arial" w:hAnsi="Arial"/>
                <w:sz w:val="13"/>
                <w:szCs w:val="13"/>
                <w:color w:val="auto"/>
              </w:rPr>
              <w:t>5.809 %</w:t>
            </w:r>
          </w:p>
        </w:tc>
        <w:tc>
          <w:tcPr>
            <w:tcW w:w="1400" w:type="dxa"/>
            <w:vAlign w:val="bottom"/>
          </w:tcPr>
          <w:p>
            <w:pPr>
              <w:jc w:val="right"/>
              <w:ind w:right="116"/>
              <w:spacing w:after="0"/>
              <w:rPr>
                <w:sz w:val="20"/>
                <w:szCs w:val="20"/>
                <w:color w:val="auto"/>
              </w:rPr>
            </w:pPr>
            <w:r>
              <w:rPr>
                <w:rFonts w:ascii="Arial" w:cs="Arial" w:eastAsia="Arial" w:hAnsi="Arial"/>
                <w:sz w:val="13"/>
                <w:szCs w:val="13"/>
                <w:color w:val="auto"/>
              </w:rPr>
              <w:t>750,000</w:t>
            </w:r>
          </w:p>
        </w:tc>
        <w:tc>
          <w:tcPr>
            <w:tcW w:w="1280" w:type="dxa"/>
            <w:vAlign w:val="bottom"/>
          </w:tcPr>
          <w:p>
            <w:pPr>
              <w:jc w:val="right"/>
              <w:spacing w:after="0"/>
              <w:rPr>
                <w:sz w:val="20"/>
                <w:szCs w:val="20"/>
                <w:color w:val="auto"/>
              </w:rPr>
            </w:pPr>
            <w:r>
              <w:rPr>
                <w:rFonts w:ascii="Arial" w:cs="Arial" w:eastAsia="Arial" w:hAnsi="Arial"/>
                <w:sz w:val="13"/>
                <w:szCs w:val="13"/>
                <w:color w:val="auto"/>
              </w:rPr>
              <w:t>750,000</w:t>
            </w:r>
          </w:p>
        </w:tc>
      </w:tr>
      <w:tr>
        <w:trPr>
          <w:trHeight w:val="171"/>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Secured Notes (the “2029 Notes”)*</w:t>
            </w:r>
          </w:p>
        </w:tc>
        <w:tc>
          <w:tcPr>
            <w:tcW w:w="17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May 2029</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5.849 %</w:t>
            </w: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5.849 %</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750,000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r>
      <w:tr>
        <w:trPr>
          <w:trHeight w:val="16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Senior Secured Notes (the “2034 Notes”)*</w:t>
            </w:r>
          </w:p>
        </w:tc>
        <w:tc>
          <w:tcPr>
            <w:tcW w:w="17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May 2034</w:t>
            </w:r>
          </w:p>
        </w:tc>
        <w:tc>
          <w:tcPr>
            <w:tcW w:w="13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6.000 %</w:t>
            </w:r>
          </w:p>
        </w:tc>
        <w:tc>
          <w:tcPr>
            <w:tcW w:w="14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6.000 %</w:t>
            </w:r>
          </w:p>
        </w:tc>
        <w:tc>
          <w:tcPr>
            <w:tcW w:w="14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500,000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w:t>
            </w:r>
          </w:p>
        </w:tc>
      </w:tr>
      <w:tr>
        <w:trPr>
          <w:trHeight w:val="16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debt</w:t>
            </w:r>
          </w:p>
        </w:tc>
        <w:tc>
          <w:tcPr>
            <w:tcW w:w="17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3,416,688</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3,446,450</w:t>
            </w:r>
          </w:p>
        </w:tc>
      </w:tr>
      <w:tr>
        <w:trPr>
          <w:trHeight w:val="16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current portion of debt</w:t>
            </w:r>
          </w:p>
        </w:tc>
        <w:tc>
          <w:tcPr>
            <w:tcW w:w="1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(529,762)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(29,762)</w:t>
            </w:r>
          </w:p>
        </w:tc>
      </w:tr>
      <w:tr>
        <w:trPr>
          <w:trHeight w:val="16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long-term debt</w:t>
            </w:r>
          </w:p>
        </w:tc>
        <w:tc>
          <w:tcPr>
            <w:tcW w:w="17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2,886,926</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3,416,688</w:t>
            </w:r>
          </w:p>
        </w:tc>
      </w:tr>
      <w:tr>
        <w:trPr>
          <w:trHeight w:val="16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debt issuance costs and debt discount</w:t>
            </w:r>
          </w:p>
        </w:tc>
        <w:tc>
          <w:tcPr>
            <w:tcW w:w="1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(14,310)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(20,290)</w:t>
            </w:r>
          </w:p>
        </w:tc>
      </w:tr>
      <w:tr>
        <w:trPr>
          <w:trHeight w:val="185"/>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long-term debt, net</w:t>
            </w:r>
          </w:p>
        </w:tc>
        <w:tc>
          <w:tcPr>
            <w:tcW w:w="17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2,872,616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3,396,398</w:t>
            </w: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020" w:type="dxa"/>
            <w:vAlign w:val="bottom"/>
          </w:tcPr>
          <w:p>
            <w:pPr>
              <w:spacing w:after="0"/>
              <w:rPr>
                <w:sz w:val="20"/>
                <w:szCs w:val="20"/>
                <w:color w:val="auto"/>
              </w:rPr>
            </w:pPr>
            <w:r>
              <w:rPr>
                <w:rFonts w:ascii="Arial" w:cs="Arial" w:eastAsia="Arial" w:hAnsi="Arial"/>
                <w:sz w:val="13"/>
                <w:szCs w:val="13"/>
                <w:color w:val="auto"/>
              </w:rPr>
              <w:t>*Issued 8 May 2024</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50"/>
        </w:trPr>
        <w:tc>
          <w:tcPr>
            <w:tcW w:w="5800" w:type="dxa"/>
            <w:vAlign w:val="bottom"/>
            <w:gridSpan w:val="2"/>
          </w:tcPr>
          <w:p>
            <w:pPr>
              <w:spacing w:after="0"/>
              <w:rPr>
                <w:sz w:val="20"/>
                <w:szCs w:val="20"/>
                <w:color w:val="auto"/>
              </w:rPr>
            </w:pPr>
            <w:r>
              <w:rPr>
                <w:rFonts w:ascii="Arial" w:cs="Arial" w:eastAsia="Arial" w:hAnsi="Arial"/>
                <w:sz w:val="13"/>
                <w:szCs w:val="13"/>
                <w:color w:val="auto"/>
                <w:w w:val="97"/>
              </w:rPr>
              <w:t>As of 31 December 2025, the contractual maturities of the Company's debt obligations were as follows:</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5"/>
        </w:trPr>
        <w:tc>
          <w:tcPr>
            <w:tcW w:w="4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0"/>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Current maturities of debt:</w:t>
            </w:r>
          </w:p>
        </w:tc>
        <w:tc>
          <w:tcPr>
            <w:tcW w:w="17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59"/>
        </w:trPr>
        <w:tc>
          <w:tcPr>
            <w:tcW w:w="4020" w:type="dxa"/>
            <w:vAlign w:val="bottom"/>
          </w:tcPr>
          <w:p>
            <w:pPr>
              <w:ind w:left="20"/>
              <w:spacing w:after="0"/>
              <w:rPr>
                <w:sz w:val="20"/>
                <w:szCs w:val="20"/>
                <w:color w:val="auto"/>
              </w:rPr>
            </w:pPr>
            <w:r>
              <w:rPr>
                <w:rFonts w:ascii="Arial" w:cs="Arial" w:eastAsia="Arial" w:hAnsi="Arial"/>
                <w:sz w:val="13"/>
                <w:szCs w:val="13"/>
                <w:color w:val="auto"/>
              </w:rPr>
              <w:t>2026</w:t>
            </w:r>
          </w:p>
        </w:tc>
        <w:tc>
          <w:tcPr>
            <w:tcW w:w="1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529,762</w:t>
            </w:r>
          </w:p>
        </w:tc>
      </w:tr>
      <w:tr>
        <w:trPr>
          <w:trHeight w:val="171"/>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17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779,762</w:t>
            </w:r>
          </w:p>
        </w:tc>
      </w:tr>
      <w:tr>
        <w:trPr>
          <w:trHeight w:val="169"/>
        </w:trPr>
        <w:tc>
          <w:tcPr>
            <w:tcW w:w="4020" w:type="dxa"/>
            <w:vAlign w:val="bottom"/>
          </w:tcPr>
          <w:p>
            <w:pPr>
              <w:ind w:left="20"/>
              <w:spacing w:after="0"/>
              <w:rPr>
                <w:sz w:val="20"/>
                <w:szCs w:val="20"/>
                <w:color w:val="auto"/>
              </w:rPr>
            </w:pPr>
            <w:r>
              <w:rPr>
                <w:rFonts w:ascii="Arial" w:cs="Arial" w:eastAsia="Arial" w:hAnsi="Arial"/>
                <w:sz w:val="13"/>
                <w:szCs w:val="13"/>
                <w:color w:val="auto"/>
              </w:rPr>
              <w:t>2028</w:t>
            </w:r>
          </w:p>
        </w:tc>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857,164</w:t>
            </w:r>
          </w:p>
        </w:tc>
      </w:tr>
      <w:tr>
        <w:trPr>
          <w:trHeight w:val="171"/>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2029</w:t>
            </w:r>
          </w:p>
        </w:tc>
        <w:tc>
          <w:tcPr>
            <w:tcW w:w="17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750,000</w:t>
            </w:r>
          </w:p>
        </w:tc>
      </w:tr>
      <w:tr>
        <w:trPr>
          <w:trHeight w:val="16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2030 and thereafter</w:t>
            </w:r>
          </w:p>
        </w:tc>
        <w:tc>
          <w:tcPr>
            <w:tcW w:w="1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500,000</w:t>
            </w:r>
          </w:p>
        </w:tc>
      </w:tr>
      <w:tr>
        <w:trPr>
          <w:trHeight w:val="185"/>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7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3,416,688</w:t>
            </w: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Notes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8 May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proceeds from the issuance were used to repay a portion of the senior secured term loan outstanding under the Senior Secured Credit Facilities and to pay fees, costs and expenses related to the offering.</w:t>
      </w:r>
    </w:p>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Interest on the New Notes is payable on the 8</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May and 8</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November of each year, having commenced on 8 November 2024. Unless previously redeemed, the 2027 Notes will mature on 8 May 2027, the 2029 Notes will mature on 8 May 2029 and the 2034 Notes will mature on 8 May 2034.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280"/>
          </w:cols>
          <w:pgMar w:left="300" w:top="698"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 Bank credit lines and loan facilities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6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On 1 July 2021, the Company completed the acquisition of PRA Health Sciences, Inc. (“PRA”) by means of a merger whereby Indigo Merger Sub, Inc., a Delaware corporation and subsidiary of ICON, merged with and into PRA, the parent of PRA Health Sciences (the “Merger”). In conjunction with the completion of the Merger, on 1 July 2021, ICON entered into a credit agreement (the “Credit Agreement”) providing for a senior secured term loan facility of $5,515 million and a senior secured revolving loan facility in an initial aggregate principal amount of $300 million (the “Senior Secured Credit Facilities”). On 2 May 2023, the Company agreed with its lenders to increase the aggregate principal amount of the senior secured revolving loan facility from $300 million to $500 million. The Senior Secured Credit Facilities and the 2026 Notes were issued at a discount of $27.6 million.</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Borrowings under the senior secured term loan facility amortise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31 December 2025, the applicable margin is 2.0% (which reflects the Third Amendment). The senior secured term loan facility is subject to a floor of 0.50%.</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On 26 November 2025, the parties to the Credit Agreement entered into a Fourth Amendment (the “Fourth Amendment”) to reprice and extend the senior secured revolving credit facility.</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As a result of the Fourth Amendment, the maturity was extended from a five-year term to a seven-year term ending 1 July 2028. Reflecting the Fourth Amendment, the interest rate margin applicable to borrowings under the revolving loan facility will be, at the option of the borrower, either (i) the applicable base rate plus an applicable margin of 0.35% or 0.00%, based on the Company’s current corporate family rating assigned by S&amp;P of BB (or lower) or BB+ (or higher), respectively, or (ii) Term SOFR plus an applicable margin of 1.35%, 1.00%, 0.75%, 0.55%, or 0.40%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utilisation fees dependent on the proportion of the facility drawn.</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Senior Secured Credit Facilities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Senior Secured Credit Facilities provide that, upon the occurrence of certain events of default, the obligations thereunder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1280"/>
          </w:cols>
          <w:pgMar w:left="300" w:top="698" w:right="3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 Bank credit lines and loan facilities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Principal repayments, comprising mandatory and voluntary repayments, during the year ended 31 December 2025 and 31 December 2024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Principal repayments</w:t>
            </w:r>
          </w:p>
        </w:tc>
        <w:tc>
          <w:tcPr>
            <w:tcW w:w="4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160"/>
        </w:trPr>
        <w:tc>
          <w:tcPr>
            <w:tcW w:w="4980" w:type="dxa"/>
            <w:vAlign w:val="bottom"/>
          </w:tcPr>
          <w:p>
            <w:pPr>
              <w:spacing w:after="0"/>
              <w:rPr>
                <w:sz w:val="13"/>
                <w:szCs w:val="13"/>
                <w:color w:val="auto"/>
              </w:rPr>
            </w:pPr>
          </w:p>
        </w:tc>
        <w:tc>
          <w:tcPr>
            <w:tcW w:w="49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1</w:t>
            </w:r>
          </w:p>
        </w:tc>
        <w:tc>
          <w:tcPr>
            <w:tcW w:w="49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(7,440)</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(275,000)</w:t>
            </w:r>
          </w:p>
        </w:tc>
      </w:tr>
      <w:tr>
        <w:trPr>
          <w:trHeight w:val="169"/>
        </w:trPr>
        <w:tc>
          <w:tcPr>
            <w:tcW w:w="4980" w:type="dxa"/>
            <w:vAlign w:val="bottom"/>
          </w:tcPr>
          <w:p>
            <w:pPr>
              <w:ind w:left="20"/>
              <w:spacing w:after="0"/>
              <w:rPr>
                <w:sz w:val="20"/>
                <w:szCs w:val="20"/>
                <w:color w:val="auto"/>
              </w:rPr>
            </w:pPr>
            <w:r>
              <w:rPr>
                <w:rFonts w:ascii="Arial" w:cs="Arial" w:eastAsia="Arial" w:hAnsi="Arial"/>
                <w:sz w:val="13"/>
                <w:szCs w:val="13"/>
                <w:color w:val="auto"/>
              </w:rPr>
              <w:t>Quarter 2</w:t>
            </w:r>
          </w:p>
        </w:tc>
        <w:tc>
          <w:tcPr>
            <w:tcW w:w="4960" w:type="dxa"/>
            <w:vAlign w:val="bottom"/>
          </w:tcPr>
          <w:p>
            <w:pPr>
              <w:jc w:val="right"/>
              <w:ind w:right="116"/>
              <w:spacing w:after="0"/>
              <w:rPr>
                <w:sz w:val="20"/>
                <w:szCs w:val="20"/>
                <w:color w:val="auto"/>
              </w:rPr>
            </w:pPr>
            <w:r>
              <w:rPr>
                <w:rFonts w:ascii="Arial" w:cs="Arial" w:eastAsia="Arial" w:hAnsi="Arial"/>
                <w:sz w:val="13"/>
                <w:szCs w:val="13"/>
                <w:color w:val="auto"/>
              </w:rPr>
              <w:t>(7,441)</w:t>
            </w:r>
          </w:p>
        </w:tc>
        <w:tc>
          <w:tcPr>
            <w:tcW w:w="1320" w:type="dxa"/>
            <w:vAlign w:val="bottom"/>
          </w:tcPr>
          <w:p>
            <w:pPr>
              <w:jc w:val="right"/>
              <w:spacing w:after="0"/>
              <w:rPr>
                <w:sz w:val="20"/>
                <w:szCs w:val="20"/>
                <w:color w:val="auto"/>
              </w:rPr>
            </w:pPr>
            <w:r>
              <w:rPr>
                <w:rFonts w:ascii="Arial" w:cs="Arial" w:eastAsia="Arial" w:hAnsi="Arial"/>
                <w:sz w:val="13"/>
                <w:szCs w:val="13"/>
                <w:color w:val="auto"/>
              </w:rPr>
              <w:t>(2,014,882)</w:t>
            </w:r>
          </w:p>
        </w:tc>
      </w:tr>
      <w:tr>
        <w:trPr>
          <w:trHeight w:val="171"/>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3</w:t>
            </w:r>
          </w:p>
        </w:tc>
        <w:tc>
          <w:tcPr>
            <w:tcW w:w="49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(7,440)</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(7,441)</w:t>
            </w:r>
          </w:p>
        </w:tc>
      </w:tr>
      <w:tr>
        <w:trPr>
          <w:trHeight w:val="16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Quarter 4</w:t>
            </w:r>
          </w:p>
        </w:tc>
        <w:tc>
          <w:tcPr>
            <w:tcW w:w="49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(7,441)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(7,440)</w:t>
            </w:r>
          </w:p>
        </w:tc>
      </w:tr>
      <w:tr>
        <w:trPr>
          <w:trHeight w:val="185"/>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(29,762)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(2,304,763)</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49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have been no voluntary repayments made during the year ended 31 December 2025. For the year ended 31 December 2024, voluntary repayments resulted in an accelerated charge associated with previously capitalised fees of $16.9 million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2025, the Company drew down $50.0 million (31 December 2024: $318.0 million) of the senior secured revolving loan facility and repaid $50.0 million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(31 December 2024: $373.0 million) as shown below. As at 31 December 2025, $nil (31 December 2024: $nil) was drawn under the senior secured revolving loan facility.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Borders>
              <w:bottom w:val="single" w:sz="8" w:color="auto"/>
            </w:tcBorders>
            <w:shd w:val="clear" w:color="auto" w:fill="CCEEFF"/>
          </w:tcPr>
          <w:p>
            <w:pPr>
              <w:spacing w:after="0"/>
              <w:rPr>
                <w:sz w:val="14"/>
                <w:szCs w:val="14"/>
                <w:color w:val="auto"/>
              </w:rPr>
            </w:pPr>
          </w:p>
        </w:tc>
        <w:tc>
          <w:tcPr>
            <w:tcW w:w="37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Drawdown</w:t>
            </w:r>
          </w:p>
        </w:tc>
        <w:tc>
          <w:tcPr>
            <w:tcW w:w="1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Repayment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Closing Balance</w:t>
            </w:r>
          </w:p>
        </w:tc>
      </w:tr>
      <w:tr>
        <w:trPr>
          <w:trHeight w:val="160"/>
        </w:trPr>
        <w:tc>
          <w:tcPr>
            <w:tcW w:w="4920" w:type="dxa"/>
            <w:vAlign w:val="bottom"/>
          </w:tcPr>
          <w:p>
            <w:pPr>
              <w:spacing w:after="0"/>
              <w:rPr>
                <w:sz w:val="13"/>
                <w:szCs w:val="13"/>
                <w:color w:val="auto"/>
              </w:rPr>
            </w:pPr>
          </w:p>
        </w:tc>
        <w:tc>
          <w:tcPr>
            <w:tcW w:w="376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2024</w:t>
            </w:r>
          </w:p>
        </w:tc>
        <w:tc>
          <w:tcPr>
            <w:tcW w:w="37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Quarter 1, 2024</w:t>
            </w:r>
          </w:p>
        </w:tc>
        <w:tc>
          <w:tcPr>
            <w:tcW w:w="3760" w:type="dxa"/>
            <w:vAlign w:val="bottom"/>
          </w:tcPr>
          <w:p>
            <w:pPr>
              <w:jc w:val="right"/>
              <w:ind w:right="376"/>
              <w:spacing w:after="0"/>
              <w:rPr>
                <w:sz w:val="20"/>
                <w:szCs w:val="20"/>
                <w:color w:val="auto"/>
              </w:rPr>
            </w:pPr>
            <w:r>
              <w:rPr>
                <w:rFonts w:ascii="Arial" w:cs="Arial" w:eastAsia="Arial" w:hAnsi="Arial"/>
                <w:sz w:val="13"/>
                <w:szCs w:val="13"/>
                <w:color w:val="auto"/>
              </w:rPr>
              <w:t>50,000</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(55,000)</w:t>
            </w:r>
          </w:p>
        </w:tc>
        <w:tc>
          <w:tcPr>
            <w:tcW w:w="126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2, 2024</w:t>
            </w:r>
          </w:p>
        </w:tc>
        <w:tc>
          <w:tcPr>
            <w:tcW w:w="376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143,000</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(193,000)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Quarter 3, 2024</w:t>
            </w:r>
          </w:p>
        </w:tc>
        <w:tc>
          <w:tcPr>
            <w:tcW w:w="3760" w:type="dxa"/>
            <w:vAlign w:val="bottom"/>
          </w:tcPr>
          <w:p>
            <w:pPr>
              <w:jc w:val="right"/>
              <w:ind w:right="376"/>
              <w:spacing w:after="0"/>
              <w:rPr>
                <w:sz w:val="20"/>
                <w:szCs w:val="20"/>
                <w:color w:val="auto"/>
              </w:rPr>
            </w:pPr>
            <w:r>
              <w:rPr>
                <w:rFonts w:ascii="Arial" w:cs="Arial" w:eastAsia="Arial" w:hAnsi="Arial"/>
                <w:sz w:val="13"/>
                <w:szCs w:val="13"/>
                <w:color w:val="auto"/>
              </w:rPr>
              <w:t>50,000</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(50,000)</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Quarter 4, 2024</w:t>
            </w:r>
          </w:p>
        </w:tc>
        <w:tc>
          <w:tcPr>
            <w:tcW w:w="37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75,000</w:t>
            </w:r>
          </w:p>
        </w:tc>
        <w:tc>
          <w:tcPr>
            <w:tcW w:w="1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(75,000)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drawdown / (repayments) in 2024</w:t>
            </w:r>
          </w:p>
        </w:tc>
        <w:tc>
          <w:tcPr>
            <w:tcW w:w="37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318,000</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(373,000)</w:t>
            </w:r>
          </w:p>
        </w:tc>
        <w:tc>
          <w:tcPr>
            <w:tcW w:w="1260" w:type="dxa"/>
            <w:vAlign w:val="bottom"/>
            <w:tcBorders>
              <w:bottom w:val="single" w:sz="8" w:color="auto"/>
            </w:tcBorders>
          </w:tcPr>
          <w:p>
            <w:pPr>
              <w:spacing w:after="0"/>
              <w:rPr>
                <w:sz w:val="13"/>
                <w:szCs w:val="13"/>
                <w:color w:val="auto"/>
              </w:rPr>
            </w:pPr>
          </w:p>
        </w:tc>
      </w:tr>
      <w:tr>
        <w:trPr>
          <w:trHeight w:val="162"/>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1, 2025</w:t>
            </w:r>
          </w:p>
        </w:tc>
        <w:tc>
          <w:tcPr>
            <w:tcW w:w="376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50,000</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(50,000)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color w:val="auto"/>
              </w:rPr>
              <w:t>Quarter 2, 2025</w:t>
            </w:r>
          </w:p>
        </w:tc>
        <w:tc>
          <w:tcPr>
            <w:tcW w:w="376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Quarter 3, 2025</w:t>
            </w:r>
          </w:p>
        </w:tc>
        <w:tc>
          <w:tcPr>
            <w:tcW w:w="376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Quarter 4, 2025</w:t>
            </w:r>
          </w:p>
        </w:tc>
        <w:tc>
          <w:tcPr>
            <w:tcW w:w="37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drawdown / (repayments) in 2025</w:t>
            </w:r>
          </w:p>
        </w:tc>
        <w:tc>
          <w:tcPr>
            <w:tcW w:w="37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50,000</w:t>
            </w:r>
          </w:p>
        </w:tc>
        <w:tc>
          <w:tcPr>
            <w:tcW w:w="1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(50,000)</w:t>
            </w:r>
          </w:p>
        </w:tc>
        <w:tc>
          <w:tcPr>
            <w:tcW w:w="1260" w:type="dxa"/>
            <w:vAlign w:val="bottom"/>
            <w:tcBorders>
              <w:bottom w:val="single" w:sz="8" w:color="auto"/>
            </w:tcBorders>
            <w:shd w:val="clear" w:color="auto" w:fill="CCEEFF"/>
          </w:tcPr>
          <w:p>
            <w:pPr>
              <w:spacing w:after="0"/>
              <w:rPr>
                <w:sz w:val="15"/>
                <w:szCs w:val="15"/>
                <w:color w:val="auto"/>
              </w:rPr>
            </w:pP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3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2026 Notes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Credit Facilities, on 1 July 2021, a subsidiary of the Company issued $500 million in aggregate principal amount of 2.875% senior secured notes (the “2026 Notes”) in a private offering (the “Offering”). The 2026 Notes will mature on 15 July 2026.</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Debt</w:t>
      </w:r>
    </w:p>
    <w:p>
      <w:pPr>
        <w:spacing w:after="0" w:line="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estimated fair value of the Company’s debt as at 31 December 2025 was $3,500.1 million (31 December 2024: $3,469.2 million). The fair values of the senior secured term loan facility, the 2026 Notes and the New Notes were determined based on Level 2 inputs, which are based on rates at which the debt is traded among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Derivatives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previously entered into interest rate cap and swap agreements for purposes of managing its exposure to interest rate fluctuations. These financial derivative agreements were designated as Cash Flow Hedges.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During the year ended 31 December 2024, the Company’s exposure to interest rate fluctuations significantly reduced with the voluntary and mandatory repayments of the senior secured term loan facility. Given this reduction and the repricing of the Senior Secured Credit facilities, the Company closed the interest rate cap and swap agreements. Refer to Note 24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in Notes to the Consolidated Financial Statements for related information and disclosures.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1280"/>
          </w:cols>
          <w:pgMar w:left="300" w:top="698" w:right="3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 Bank credit lines and loan facilities </w:t>
      </w:r>
      <w:r>
        <w:rPr>
          <w:rFonts w:ascii="Arial" w:cs="Arial" w:eastAsia="Arial" w:hAnsi="Arial"/>
          <w:sz w:val="13"/>
          <w:szCs w:val="13"/>
          <w:b w:val="1"/>
          <w:bCs w:val="1"/>
          <w:i w:val="1"/>
          <w:iCs w:val="1"/>
          <w:color w:val="auto"/>
        </w:rPr>
        <w:t>(continued)</w:t>
      </w: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Debt</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net debt by category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8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36"/>
              <w:spacing w:after="0" w:line="138" w:lineRule="exact"/>
              <w:rPr>
                <w:sz w:val="20"/>
                <w:szCs w:val="20"/>
                <w:color w:val="auto"/>
              </w:rPr>
            </w:pPr>
            <w:r>
              <w:rPr>
                <w:rFonts w:ascii="Arial" w:cs="Arial" w:eastAsia="Arial" w:hAnsi="Arial"/>
                <w:sz w:val="13"/>
                <w:szCs w:val="13"/>
                <w:b w:val="1"/>
                <w:bCs w:val="1"/>
                <w:color w:val="auto"/>
              </w:rPr>
              <w:t>1 Jan</w:t>
            </w:r>
          </w:p>
        </w:tc>
        <w:tc>
          <w:tcPr>
            <w:tcW w:w="1340" w:type="dxa"/>
            <w:vAlign w:val="bottom"/>
            <w:tcBorders>
              <w:top w:val="single" w:sz="8" w:color="auto"/>
            </w:tcBorders>
            <w:shd w:val="clear" w:color="auto" w:fill="CCEEFF"/>
          </w:tcPr>
          <w:p>
            <w:pPr>
              <w:jc w:val="right"/>
              <w:ind w:right="136"/>
              <w:spacing w:after="0" w:line="138" w:lineRule="exact"/>
              <w:rPr>
                <w:sz w:val="20"/>
                <w:szCs w:val="20"/>
                <w:color w:val="auto"/>
              </w:rPr>
            </w:pPr>
            <w:r>
              <w:rPr>
                <w:rFonts w:ascii="Arial" w:cs="Arial" w:eastAsia="Arial" w:hAnsi="Arial"/>
                <w:sz w:val="13"/>
                <w:szCs w:val="13"/>
                <w:b w:val="1"/>
                <w:bCs w:val="1"/>
                <w:color w:val="auto"/>
              </w:rPr>
              <w:t>Net cash inflow/</w:t>
            </w:r>
          </w:p>
        </w:tc>
        <w:tc>
          <w:tcPr>
            <w:tcW w:w="2660" w:type="dxa"/>
            <w:vAlign w:val="bottom"/>
            <w:tcBorders>
              <w:top w:val="single" w:sz="8" w:color="auto"/>
            </w:tcBorders>
            <w:gridSpan w:val="2"/>
            <w:shd w:val="clear" w:color="auto" w:fill="CCEEFF"/>
          </w:tcPr>
          <w:p>
            <w:pPr>
              <w:jc w:val="right"/>
              <w:ind w:right="196"/>
              <w:spacing w:after="0" w:line="138" w:lineRule="exact"/>
              <w:rPr>
                <w:sz w:val="20"/>
                <w:szCs w:val="20"/>
                <w:color w:val="auto"/>
              </w:rPr>
            </w:pPr>
            <w:r>
              <w:rPr>
                <w:rFonts w:ascii="Arial" w:cs="Arial" w:eastAsia="Arial" w:hAnsi="Arial"/>
                <w:sz w:val="13"/>
                <w:szCs w:val="13"/>
                <w:b w:val="1"/>
                <w:bCs w:val="1"/>
                <w:color w:val="auto"/>
              </w:rPr>
              <w:t>Other non-cash Effects of exchange</w:t>
            </w:r>
          </w:p>
        </w:tc>
        <w:tc>
          <w:tcPr>
            <w:tcW w:w="10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b w:val="1"/>
                <w:bCs w:val="1"/>
                <w:color w:val="auto"/>
              </w:rPr>
              <w:t>31 Dec 2025</w:t>
            </w:r>
          </w:p>
        </w:tc>
        <w:tc>
          <w:tcPr>
            <w:tcW w:w="20" w:type="dxa"/>
            <w:vAlign w:val="bottom"/>
          </w:tcPr>
          <w:p>
            <w:pPr>
              <w:spacing w:after="0"/>
              <w:rPr>
                <w:sz w:val="12"/>
                <w:szCs w:val="12"/>
                <w:color w:val="auto"/>
              </w:rPr>
            </w:pPr>
          </w:p>
        </w:tc>
      </w:tr>
      <w:tr>
        <w:trPr>
          <w:trHeight w:val="170"/>
        </w:trPr>
        <w:tc>
          <w:tcPr>
            <w:tcW w:w="37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2025</w:t>
            </w:r>
          </w:p>
        </w:tc>
        <w:tc>
          <w:tcPr>
            <w:tcW w:w="1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(outflow)</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14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rates</w:t>
            </w:r>
          </w:p>
        </w:tc>
        <w:tc>
          <w:tcPr>
            <w:tcW w:w="100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3"/>
                <w:szCs w:val="13"/>
                <w:color w:val="auto"/>
              </w:rPr>
            </w:pPr>
          </w:p>
        </w:tc>
      </w:tr>
      <w:tr>
        <w:trPr>
          <w:trHeight w:val="169"/>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cash and cash equivalents</w:t>
            </w:r>
          </w:p>
        </w:tc>
        <w:tc>
          <w:tcPr>
            <w:tcW w:w="15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538,785</w:t>
            </w:r>
          </w:p>
        </w:tc>
        <w:tc>
          <w:tcPr>
            <w:tcW w:w="1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77,415</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31,095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647,295</w:t>
            </w:r>
          </w:p>
        </w:tc>
        <w:tc>
          <w:tcPr>
            <w:tcW w:w="20" w:type="dxa"/>
            <w:vAlign w:val="bottom"/>
          </w:tcPr>
          <w:p>
            <w:pPr>
              <w:spacing w:after="0"/>
              <w:rPr>
                <w:sz w:val="14"/>
                <w:szCs w:val="14"/>
                <w:color w:val="auto"/>
              </w:rPr>
            </w:pPr>
          </w:p>
        </w:tc>
      </w:tr>
      <w:tr>
        <w:trPr>
          <w:trHeight w:val="162"/>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cash and cash equivalents</w:t>
            </w:r>
          </w:p>
        </w:tc>
        <w:tc>
          <w:tcPr>
            <w:tcW w:w="1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538,785</w:t>
            </w:r>
          </w:p>
        </w:tc>
        <w:tc>
          <w:tcPr>
            <w:tcW w:w="1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77,415</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31,095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647,295</w:t>
            </w:r>
          </w:p>
        </w:tc>
        <w:tc>
          <w:tcPr>
            <w:tcW w:w="20" w:type="dxa"/>
            <w:vAlign w:val="bottom"/>
          </w:tcPr>
          <w:p>
            <w:pPr>
              <w:spacing w:after="0"/>
              <w:rPr>
                <w:sz w:val="14"/>
                <w:szCs w:val="14"/>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3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20" w:type="dxa"/>
            <w:vAlign w:val="bottom"/>
            <w:gridSpan w:val="2"/>
          </w:tcPr>
          <w:p>
            <w:pPr>
              <w:spacing w:after="0"/>
              <w:rPr>
                <w:sz w:val="23"/>
                <w:szCs w:val="23"/>
                <w:color w:val="auto"/>
              </w:rPr>
            </w:pPr>
          </w:p>
        </w:tc>
      </w:tr>
      <w:tr>
        <w:trPr>
          <w:trHeight w:val="118"/>
        </w:trPr>
        <w:tc>
          <w:tcPr>
            <w:tcW w:w="3780" w:type="dxa"/>
            <w:vAlign w:val="bottom"/>
            <w:tcBorders>
              <w:top w:val="single" w:sz="8" w:color="auto"/>
            </w:tcBorders>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jc w:val="right"/>
              <w:ind w:right="336"/>
              <w:spacing w:after="0" w:line="118" w:lineRule="exact"/>
              <w:rPr>
                <w:sz w:val="20"/>
                <w:szCs w:val="20"/>
                <w:color w:val="auto"/>
              </w:rPr>
            </w:pPr>
            <w:r>
              <w:rPr>
                <w:rFonts w:ascii="Arial" w:cs="Arial" w:eastAsia="Arial" w:hAnsi="Arial"/>
                <w:sz w:val="13"/>
                <w:szCs w:val="13"/>
                <w:b w:val="1"/>
                <w:bCs w:val="1"/>
                <w:color w:val="auto"/>
              </w:rPr>
              <w:t>1 Jan</w:t>
            </w:r>
          </w:p>
        </w:tc>
        <w:tc>
          <w:tcPr>
            <w:tcW w:w="980" w:type="dxa"/>
            <w:vAlign w:val="bottom"/>
            <w:tcBorders>
              <w:top w:val="single" w:sz="8" w:color="auto"/>
            </w:tcBorders>
            <w:shd w:val="clear" w:color="auto" w:fill="CCEEFF"/>
          </w:tcPr>
          <w:p>
            <w:pPr>
              <w:jc w:val="right"/>
              <w:ind w:right="36"/>
              <w:spacing w:after="0" w:line="118" w:lineRule="exact"/>
              <w:rPr>
                <w:sz w:val="20"/>
                <w:szCs w:val="20"/>
                <w:color w:val="auto"/>
              </w:rPr>
            </w:pPr>
            <w:r>
              <w:rPr>
                <w:rFonts w:ascii="Arial" w:cs="Arial" w:eastAsia="Arial" w:hAnsi="Arial"/>
                <w:sz w:val="13"/>
                <w:szCs w:val="13"/>
                <w:b w:val="1"/>
                <w:bCs w:val="1"/>
                <w:color w:val="auto"/>
              </w:rPr>
              <w:t>(Drawn</w:t>
            </w:r>
          </w:p>
        </w:tc>
        <w:tc>
          <w:tcPr>
            <w:tcW w:w="1340" w:type="dxa"/>
            <w:vAlign w:val="bottom"/>
            <w:tcBorders>
              <w:top w:val="single" w:sz="8" w:color="auto"/>
            </w:tcBorders>
            <w:shd w:val="clear" w:color="auto" w:fill="CCEEFF"/>
          </w:tcPr>
          <w:p>
            <w:pPr>
              <w:jc w:val="right"/>
              <w:ind w:right="136"/>
              <w:spacing w:after="0" w:line="118" w:lineRule="exact"/>
              <w:rPr>
                <w:sz w:val="20"/>
                <w:szCs w:val="20"/>
                <w:color w:val="auto"/>
              </w:rPr>
            </w:pPr>
            <w:r>
              <w:rPr>
                <w:rFonts w:ascii="Arial" w:cs="Arial" w:eastAsia="Arial" w:hAnsi="Arial"/>
                <w:sz w:val="13"/>
                <w:szCs w:val="13"/>
                <w:b w:val="1"/>
                <w:bCs w:val="1"/>
                <w:color w:val="auto"/>
              </w:rPr>
              <w:t>Net cash (inflow)/</w:t>
            </w:r>
          </w:p>
        </w:tc>
        <w:tc>
          <w:tcPr>
            <w:tcW w:w="120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Other non-cash</w:t>
            </w:r>
          </w:p>
        </w:tc>
        <w:tc>
          <w:tcPr>
            <w:tcW w:w="1460" w:type="dxa"/>
            <w:vAlign w:val="bottom"/>
            <w:tcBorders>
              <w:top w:val="single" w:sz="8" w:color="auto"/>
            </w:tcBorders>
            <w:shd w:val="clear" w:color="auto" w:fill="CCEEFF"/>
          </w:tcPr>
          <w:p>
            <w:pPr>
              <w:jc w:val="right"/>
              <w:ind w:right="196"/>
              <w:spacing w:after="0" w:line="118" w:lineRule="exact"/>
              <w:rPr>
                <w:sz w:val="20"/>
                <w:szCs w:val="20"/>
                <w:color w:val="auto"/>
              </w:rPr>
            </w:pPr>
            <w:r>
              <w:rPr>
                <w:rFonts w:ascii="Arial" w:cs="Arial" w:eastAsia="Arial" w:hAnsi="Arial"/>
                <w:sz w:val="13"/>
                <w:szCs w:val="13"/>
                <w:b w:val="1"/>
                <w:bCs w:val="1"/>
                <w:color w:val="auto"/>
              </w:rPr>
              <w:t>Effect of exchange</w:t>
            </w:r>
          </w:p>
        </w:tc>
        <w:tc>
          <w:tcPr>
            <w:tcW w:w="100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31 Dec 2025</w:t>
            </w:r>
          </w:p>
        </w:tc>
        <w:tc>
          <w:tcPr>
            <w:tcW w:w="20" w:type="dxa"/>
            <w:vAlign w:val="bottom"/>
          </w:tcPr>
          <w:p>
            <w:pPr>
              <w:spacing w:after="0"/>
              <w:rPr>
                <w:sz w:val="10"/>
                <w:szCs w:val="10"/>
                <w:color w:val="auto"/>
              </w:rPr>
            </w:pPr>
          </w:p>
        </w:tc>
      </w:tr>
      <w:tr>
        <w:trPr>
          <w:trHeight w:val="127"/>
        </w:trPr>
        <w:tc>
          <w:tcPr>
            <w:tcW w:w="378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98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down)/</w:t>
            </w:r>
          </w:p>
        </w:tc>
        <w:tc>
          <w:tcPr>
            <w:tcW w:w="1340" w:type="dxa"/>
            <w:vAlign w:val="bottom"/>
            <w:shd w:val="clear" w:color="auto" w:fill="CCEEFF"/>
          </w:tcPr>
          <w:p>
            <w:pPr>
              <w:jc w:val="right"/>
              <w:ind w:right="136"/>
              <w:spacing w:after="0" w:line="128" w:lineRule="exact"/>
              <w:rPr>
                <w:sz w:val="20"/>
                <w:szCs w:val="20"/>
                <w:color w:val="auto"/>
              </w:rPr>
            </w:pPr>
            <w:r>
              <w:rPr>
                <w:rFonts w:ascii="Arial" w:cs="Arial" w:eastAsia="Arial" w:hAnsi="Arial"/>
                <w:sz w:val="13"/>
                <w:szCs w:val="13"/>
                <w:b w:val="1"/>
                <w:bCs w:val="1"/>
                <w:color w:val="auto"/>
              </w:rPr>
              <w:t>outflow</w:t>
            </w:r>
          </w:p>
        </w:tc>
        <w:tc>
          <w:tcPr>
            <w:tcW w:w="12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adjustments</w:t>
            </w:r>
          </w:p>
        </w:tc>
        <w:tc>
          <w:tcPr>
            <w:tcW w:w="1460" w:type="dxa"/>
            <w:vAlign w:val="bottom"/>
            <w:shd w:val="clear" w:color="auto" w:fill="CCEEFF"/>
          </w:tcPr>
          <w:p>
            <w:pPr>
              <w:jc w:val="right"/>
              <w:ind w:right="196"/>
              <w:spacing w:after="0" w:line="128" w:lineRule="exact"/>
              <w:rPr>
                <w:sz w:val="20"/>
                <w:szCs w:val="20"/>
                <w:color w:val="auto"/>
              </w:rPr>
            </w:pPr>
            <w:r>
              <w:rPr>
                <w:rFonts w:ascii="Arial" w:cs="Arial" w:eastAsia="Arial" w:hAnsi="Arial"/>
                <w:sz w:val="13"/>
                <w:szCs w:val="13"/>
                <w:b w:val="1"/>
                <w:bCs w:val="1"/>
                <w:color w:val="auto"/>
              </w:rPr>
              <w:t>rates</w:t>
            </w: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37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repaid</w:t>
            </w:r>
          </w:p>
        </w:tc>
        <w:tc>
          <w:tcPr>
            <w:tcW w:w="1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780" w:type="dxa"/>
            <w:vAlign w:val="bottom"/>
          </w:tcPr>
          <w:p>
            <w:pPr>
              <w:spacing w:after="0"/>
              <w:rPr>
                <w:sz w:val="13"/>
                <w:szCs w:val="13"/>
                <w:color w:val="auto"/>
              </w:rPr>
            </w:pPr>
          </w:p>
        </w:tc>
        <w:tc>
          <w:tcPr>
            <w:tcW w:w="15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34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3"/>
                <w:szCs w:val="13"/>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5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(176,868)</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41,989</w:t>
            </w:r>
          </w:p>
        </w:tc>
        <w:tc>
          <w:tcPr>
            <w:tcW w:w="1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6,184</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(21,383)</w:t>
            </w:r>
          </w:p>
        </w:tc>
        <w:tc>
          <w:tcPr>
            <w:tcW w:w="14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(3,326)</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(153,404)</w:t>
            </w:r>
          </w:p>
        </w:tc>
        <w:tc>
          <w:tcPr>
            <w:tcW w:w="20" w:type="dxa"/>
            <w:vAlign w:val="bottom"/>
          </w:tcPr>
          <w:p>
            <w:pPr>
              <w:spacing w:after="0"/>
              <w:rPr>
                <w:sz w:val="14"/>
                <w:szCs w:val="14"/>
                <w:color w:val="auto"/>
              </w:rPr>
            </w:pPr>
          </w:p>
        </w:tc>
      </w:tr>
      <w:tr>
        <w:trPr>
          <w:trHeight w:val="16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Senior Secured Credit Facilities, 2026 Notes &amp; New Notes</w:t>
            </w: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(3,426,160)</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29,762</w:t>
            </w:r>
          </w:p>
        </w:tc>
        <w:tc>
          <w:tcPr>
            <w:tcW w:w="1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(5,980)</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(3,402,378)</w:t>
            </w:r>
          </w:p>
        </w:tc>
        <w:tc>
          <w:tcPr>
            <w:tcW w:w="20" w:type="dxa"/>
            <w:vAlign w:val="bottom"/>
          </w:tcPr>
          <w:p>
            <w:pPr>
              <w:spacing w:after="0"/>
              <w:rPr>
                <w:sz w:val="14"/>
                <w:szCs w:val="14"/>
                <w:color w:val="auto"/>
              </w:rPr>
            </w:pPr>
          </w:p>
        </w:tc>
      </w:tr>
      <w:tr>
        <w:trPr>
          <w:trHeight w:val="187"/>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borrowings and lease liabilities</w:t>
            </w:r>
          </w:p>
        </w:tc>
        <w:tc>
          <w:tcPr>
            <w:tcW w:w="1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(3,603,028)</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71,751</w:t>
            </w:r>
          </w:p>
        </w:tc>
        <w:tc>
          <w:tcPr>
            <w:tcW w:w="1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6,184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(27,363)</w:t>
            </w:r>
          </w:p>
        </w:tc>
        <w:tc>
          <w:tcPr>
            <w:tcW w:w="14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(3,326)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(3,555,782)</w:t>
            </w:r>
          </w:p>
        </w:tc>
        <w:tc>
          <w:tcPr>
            <w:tcW w:w="20" w:type="dxa"/>
            <w:vAlign w:val="bottom"/>
          </w:tcPr>
          <w:p>
            <w:pPr>
              <w:spacing w:after="0"/>
              <w:rPr>
                <w:sz w:val="15"/>
                <w:szCs w:val="15"/>
                <w:color w:val="auto"/>
              </w:rPr>
            </w:pPr>
          </w:p>
        </w:tc>
      </w:tr>
      <w:tr>
        <w:trPr>
          <w:trHeight w:val="20"/>
        </w:trPr>
        <w:tc>
          <w:tcPr>
            <w:tcW w:w="37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1"/>
        </w:trPr>
        <w:tc>
          <w:tcPr>
            <w:tcW w:w="3780" w:type="dxa"/>
            <w:vAlign w:val="bottom"/>
          </w:tcPr>
          <w:p>
            <w:pPr>
              <w:spacing w:after="0"/>
              <w:rPr>
                <w:sz w:val="20"/>
                <w:szCs w:val="20"/>
                <w:color w:val="auto"/>
              </w:rPr>
            </w:pPr>
            <w:r>
              <w:rPr>
                <w:rFonts w:ascii="Arial" w:cs="Arial" w:eastAsia="Arial" w:hAnsi="Arial"/>
                <w:sz w:val="13"/>
                <w:szCs w:val="13"/>
                <w:b w:val="1"/>
                <w:bCs w:val="1"/>
                <w:color w:val="auto"/>
              </w:rPr>
              <w:t>22. Share capital</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3780" w:type="dxa"/>
            <w:vAlign w:val="bottom"/>
          </w:tcPr>
          <w:p>
            <w:pPr>
              <w:spacing w:after="0"/>
              <w:rPr>
                <w:sz w:val="20"/>
                <w:szCs w:val="20"/>
                <w:color w:val="auto"/>
              </w:rPr>
            </w:pPr>
            <w:r>
              <w:rPr>
                <w:rFonts w:ascii="Arial" w:cs="Arial" w:eastAsia="Arial" w:hAnsi="Arial"/>
                <w:sz w:val="13"/>
                <w:szCs w:val="13"/>
                <w:b w:val="1"/>
                <w:bCs w:val="1"/>
                <w:i w:val="1"/>
                <w:iCs w:val="1"/>
                <w:color w:val="auto"/>
              </w:rPr>
              <w:t>Group and Company</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3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80" w:type="dxa"/>
            <w:vAlign w:val="bottom"/>
            <w:gridSpan w:val="3"/>
          </w:tcPr>
          <w:p>
            <w:pPr>
              <w:spacing w:after="0"/>
              <w:rPr>
                <w:sz w:val="18"/>
                <w:szCs w:val="18"/>
                <w:color w:val="auto"/>
              </w:rPr>
            </w:pPr>
          </w:p>
        </w:tc>
      </w:tr>
      <w:tr>
        <w:trPr>
          <w:trHeight w:val="170"/>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Authorised share capital:</w:t>
            </w:r>
          </w:p>
        </w:tc>
        <w:tc>
          <w:tcPr>
            <w:tcW w:w="15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No. of Ordinary Shares</w:t>
            </w:r>
          </w:p>
        </w:tc>
        <w:tc>
          <w:tcPr>
            <w:tcW w:w="20" w:type="dxa"/>
            <w:vAlign w:val="bottom"/>
          </w:tcPr>
          <w:p>
            <w:pPr>
              <w:spacing w:after="0"/>
              <w:rPr>
                <w:sz w:val="14"/>
                <w:szCs w:val="14"/>
                <w:color w:val="auto"/>
              </w:rPr>
            </w:pPr>
          </w:p>
        </w:tc>
      </w:tr>
      <w:tr>
        <w:trPr>
          <w:trHeight w:val="15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Ordinary shares of par value €0.06</w:t>
            </w:r>
          </w:p>
        </w:tc>
        <w:tc>
          <w:tcPr>
            <w:tcW w:w="1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100,000,000</w:t>
            </w:r>
          </w:p>
        </w:tc>
        <w:tc>
          <w:tcPr>
            <w:tcW w:w="20" w:type="dxa"/>
            <w:vAlign w:val="bottom"/>
          </w:tcPr>
          <w:p>
            <w:pPr>
              <w:spacing w:after="0"/>
              <w:rPr>
                <w:sz w:val="13"/>
                <w:szCs w:val="13"/>
                <w:color w:val="auto"/>
              </w:rPr>
            </w:pPr>
          </w:p>
        </w:tc>
      </w:tr>
      <w:tr>
        <w:trPr>
          <w:trHeight w:val="278"/>
        </w:trPr>
        <w:tc>
          <w:tcPr>
            <w:tcW w:w="3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r>
      <w:tr>
        <w:trPr>
          <w:trHeight w:val="127"/>
        </w:trPr>
        <w:tc>
          <w:tcPr>
            <w:tcW w:w="37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60" w:type="dxa"/>
            <w:vAlign w:val="bottom"/>
            <w:shd w:val="clear" w:color="auto" w:fill="CCEEFF"/>
          </w:tcPr>
          <w:p>
            <w:pPr>
              <w:jc w:val="right"/>
              <w:ind w:right="416"/>
              <w:spacing w:after="0" w:line="128" w:lineRule="exact"/>
              <w:rPr>
                <w:sz w:val="20"/>
                <w:szCs w:val="20"/>
                <w:color w:val="auto"/>
              </w:rPr>
            </w:pPr>
            <w:r>
              <w:rPr>
                <w:rFonts w:ascii="Arial" w:cs="Arial" w:eastAsia="Arial" w:hAnsi="Arial"/>
                <w:sz w:val="13"/>
                <w:szCs w:val="13"/>
                <w:b w:val="1"/>
                <w:bCs w:val="1"/>
                <w:color w:val="auto"/>
              </w:rPr>
              <w:t>31 December</w:t>
            </w:r>
          </w:p>
        </w:tc>
        <w:tc>
          <w:tcPr>
            <w:tcW w:w="10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37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2025</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2024</w:t>
            </w:r>
          </w:p>
        </w:tc>
      </w:tr>
      <w:tr>
        <w:trPr>
          <w:trHeight w:val="160"/>
        </w:trPr>
        <w:tc>
          <w:tcPr>
            <w:tcW w:w="3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6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Allotted, called up and fully paid</w:t>
            </w:r>
          </w:p>
        </w:tc>
        <w:tc>
          <w:tcPr>
            <w:tcW w:w="1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8"/>
        </w:trPr>
        <w:tc>
          <w:tcPr>
            <w:tcW w:w="5280" w:type="dxa"/>
            <w:vAlign w:val="bottom"/>
            <w:gridSpan w:val="2"/>
          </w:tcPr>
          <w:p>
            <w:pPr>
              <w:ind w:left="20"/>
              <w:spacing w:after="0"/>
              <w:rPr>
                <w:sz w:val="20"/>
                <w:szCs w:val="20"/>
                <w:color w:val="auto"/>
              </w:rPr>
            </w:pPr>
            <w:r>
              <w:rPr>
                <w:rFonts w:ascii="Arial" w:cs="Arial" w:eastAsia="Arial" w:hAnsi="Arial"/>
                <w:sz w:val="13"/>
                <w:szCs w:val="13"/>
                <w:color w:val="auto"/>
              </w:rPr>
              <w:t>76,567,325 (31 December 2024: 80,756,860) ordinary shares of €0.06 each</w:t>
            </w: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6,305</w:t>
            </w:r>
          </w:p>
        </w:tc>
        <w:tc>
          <w:tcPr>
            <w:tcW w:w="1000" w:type="dxa"/>
            <w:vAlign w:val="bottom"/>
          </w:tcPr>
          <w:p>
            <w:pPr>
              <w:jc w:val="right"/>
              <w:spacing w:after="0"/>
              <w:rPr>
                <w:sz w:val="20"/>
                <w:szCs w:val="20"/>
                <w:color w:val="auto"/>
              </w:rPr>
            </w:pPr>
            <w:r>
              <w:rPr>
                <w:rFonts w:ascii="Arial" w:cs="Arial" w:eastAsia="Arial" w:hAnsi="Arial"/>
                <w:sz w:val="13"/>
                <w:szCs w:val="13"/>
                <w:color w:val="auto"/>
              </w:rPr>
              <w:t>6,586</w:t>
            </w:r>
          </w:p>
        </w:tc>
        <w:tc>
          <w:tcPr>
            <w:tcW w:w="20" w:type="dxa"/>
            <w:vAlign w:val="bottom"/>
          </w:tcPr>
          <w:p>
            <w:pPr>
              <w:spacing w:after="0"/>
              <w:rPr>
                <w:sz w:val="15"/>
                <w:szCs w:val="15"/>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0"/>
        </w:trPr>
        <w:tc>
          <w:tcPr>
            <w:tcW w:w="37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0"/>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Issued, fully paid share capital</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beginning of year</w:t>
            </w:r>
          </w:p>
        </w:tc>
        <w:tc>
          <w:tcPr>
            <w:tcW w:w="1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6,586</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6,699</w:t>
            </w:r>
          </w:p>
        </w:tc>
        <w:tc>
          <w:tcPr>
            <w:tcW w:w="20" w:type="dxa"/>
            <w:vAlign w:val="bottom"/>
            <w:shd w:val="clear" w:color="auto" w:fill="CCEEFF"/>
          </w:tcPr>
          <w:p>
            <w:pPr>
              <w:spacing w:after="0"/>
              <w:rPr>
                <w:sz w:val="14"/>
                <w:szCs w:val="14"/>
                <w:color w:val="auto"/>
              </w:rPr>
            </w:pPr>
          </w:p>
        </w:tc>
      </w:tr>
      <w:tr>
        <w:trPr>
          <w:trHeight w:val="170"/>
        </w:trPr>
        <w:tc>
          <w:tcPr>
            <w:tcW w:w="3780" w:type="dxa"/>
            <w:vAlign w:val="bottom"/>
          </w:tcPr>
          <w:p>
            <w:pPr>
              <w:ind w:left="20"/>
              <w:spacing w:after="0"/>
              <w:rPr>
                <w:sz w:val="20"/>
                <w:szCs w:val="20"/>
                <w:color w:val="auto"/>
              </w:rPr>
            </w:pPr>
            <w:r>
              <w:rPr>
                <w:rFonts w:ascii="Arial" w:cs="Arial" w:eastAsia="Arial" w:hAnsi="Arial"/>
                <w:sz w:val="13"/>
                <w:szCs w:val="13"/>
                <w:color w:val="auto"/>
              </w:rPr>
              <w:t>Employee share options exercised</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6</w:t>
            </w:r>
          </w:p>
        </w:tc>
        <w:tc>
          <w:tcPr>
            <w:tcW w:w="1000" w:type="dxa"/>
            <w:vAlign w:val="bottom"/>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share units / performance share units</w:t>
            </w:r>
          </w:p>
        </w:tc>
        <w:tc>
          <w:tcPr>
            <w:tcW w:w="1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15</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shd w:val="clear" w:color="auto" w:fill="CCEEFF"/>
          </w:tcPr>
          <w:p>
            <w:pPr>
              <w:spacing w:after="0"/>
              <w:rPr>
                <w:sz w:val="14"/>
                <w:szCs w:val="14"/>
                <w:color w:val="auto"/>
              </w:rPr>
            </w:pPr>
          </w:p>
        </w:tc>
      </w:tr>
      <w:tr>
        <w:trPr>
          <w:trHeight w:val="17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Repurchase of ordinary shares</w:t>
            </w:r>
          </w:p>
        </w:tc>
        <w:tc>
          <w:tcPr>
            <w:tcW w:w="1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(302)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20" w:type="dxa"/>
            <w:vAlign w:val="bottom"/>
            <w:tcBorders>
              <w:bottom w:val="single" w:sz="8" w:color="auto"/>
            </w:tcBorders>
          </w:tcPr>
          <w:p>
            <w:pPr>
              <w:spacing w:after="0"/>
              <w:rPr>
                <w:sz w:val="14"/>
                <w:szCs w:val="14"/>
                <w:color w:val="auto"/>
              </w:rPr>
            </w:pPr>
          </w:p>
        </w:tc>
      </w:tr>
      <w:tr>
        <w:trPr>
          <w:trHeight w:val="185"/>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15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6,305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6,586</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37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Holders of ordinary shares are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are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280"/>
          </w:cols>
          <w:pgMar w:left="300" w:top="698" w:right="3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22. Share capital </w:t>
      </w:r>
      <w:r>
        <w:rPr>
          <w:rFonts w:ascii="Arial" w:cs="Arial" w:eastAsia="Arial" w:hAnsi="Arial"/>
          <w:sz w:val="13"/>
          <w:szCs w:val="13"/>
          <w:b w:val="1"/>
          <w:bCs w:val="1"/>
          <w:i w:val="1"/>
          <w:iCs w:val="1"/>
          <w:color w:val="auto"/>
        </w:rPr>
        <w:t>(continued)</w:t>
      </w:r>
    </w:p>
    <w:p>
      <w:pPr>
        <w:spacing w:after="0" w:line="394" w:lineRule="exact"/>
        <w:rPr>
          <w:sz w:val="20"/>
          <w:szCs w:val="20"/>
          <w:color w:val="auto"/>
        </w:rPr>
      </w:pPr>
    </w:p>
    <w:p>
      <w:pPr>
        <w:ind w:left="300" w:hanging="295"/>
        <w:spacing w:after="0"/>
        <w:tabs>
          <w:tab w:leader="none" w:pos="300" w:val="left"/>
        </w:tabs>
        <w:numPr>
          <w:ilvl w:val="0"/>
          <w:numId w:val="62"/>
        </w:numPr>
        <w:rPr>
          <w:rFonts w:ascii="Arial" w:cs="Arial" w:eastAsia="Arial" w:hAnsi="Arial"/>
          <w:sz w:val="13"/>
          <w:szCs w:val="13"/>
          <w:i w:val="1"/>
          <w:iCs w:val="1"/>
          <w:color w:val="auto"/>
        </w:rPr>
      </w:pPr>
      <w:r>
        <w:rPr>
          <w:rFonts w:ascii="Arial" w:cs="Arial" w:eastAsia="Arial" w:hAnsi="Arial"/>
          <w:sz w:val="13"/>
          <w:szCs w:val="13"/>
          <w:i w:val="1"/>
          <w:iCs w:val="1"/>
          <w:color w:val="auto"/>
        </w:rPr>
        <w:t>Employee share based payments</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During the year ended 31 December 2025, 86,434 options were exercised by employees at an average exercise price of $112.32 per share for total proceeds of $9.7 million. During the year ended 31 December 2025, 219,133 ordinary shares were issued in respect of certain RSUs and 9,228 ordinary shares were issued in respect of PSUs previously awarded by the Company.</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During the year ended 31 December 2024, 311,040 options were exercised at an average exercise price of $116.31 per share for total proceeds of $36.2 million. During the year ended 31 December 2024, 120,458 ordinary shares were issued in respect of certain RSUs and 9,975 ordinary shares were issued in respect of PSUs previously awarded by the Company.</w:t>
      </w:r>
    </w:p>
    <w:p>
      <w:pPr>
        <w:spacing w:after="0" w:line="159" w:lineRule="exact"/>
        <w:rPr>
          <w:sz w:val="20"/>
          <w:szCs w:val="20"/>
          <w:color w:val="auto"/>
        </w:rPr>
      </w:pPr>
    </w:p>
    <w:p>
      <w:pPr>
        <w:ind w:left="300" w:hanging="295"/>
        <w:spacing w:after="0"/>
        <w:tabs>
          <w:tab w:leader="none" w:pos="30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Share repurchase programme</w:t>
      </w:r>
    </w:p>
    <w:p>
      <w:pPr>
        <w:spacing w:after="0" w:line="17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3"/>
          <w:szCs w:val="13"/>
          <w:color w:val="auto"/>
        </w:rPr>
        <w:t>On 18 February 2025, the Company's Board of Directors authorised an additional share repurchase programme under which the Company may repurchase up to $750.0 million of the outstanding ordinary shares of the Company by way of redemption. On 22 July 2025, the Company's Board of Directors authorised a further additional repurchase programme under which the Company could repurchase up to $500.0 million of the outstanding ordinary shares of the Company by way of redemption.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During the year ended 31 December 2025, 4,504,330 ordinary shares were redeemed by the Company at an average price of $166.51 per share for a total consideration of $750.0 million.</w:t>
      </w:r>
    </w:p>
    <w:p>
      <w:pPr>
        <w:spacing w:after="0" w:line="19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As of 31 December 2025, the Company had remaining authorization (which includes unutilized amounts from previous authorizations) to repurchase up to $750.0 million of ordinary shares under the repurchase programme.</w:t>
      </w:r>
    </w:p>
    <w:p>
      <w:pPr>
        <w:spacing w:after="0" w:line="167"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All ordinary shares that were redeemed under the repurchase programmes were cancelled in accordance with the Constitution of the Company and the nominal value of these shares transferred to other undenominated capital as required under Irish Company law.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shd w:val="clear" w:color="auto" w:fill="CCEEFF"/>
          </w:tcPr>
          <w:p>
            <w:pPr>
              <w:spacing w:after="0"/>
              <w:rPr>
                <w:sz w:val="13"/>
                <w:szCs w:val="13"/>
                <w:color w:val="auto"/>
              </w:rPr>
            </w:pPr>
          </w:p>
        </w:tc>
        <w:tc>
          <w:tcPr>
            <w:tcW w:w="22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Total number</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Average price paid per</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Total number Approximate dollar value of shares that</w:t>
            </w:r>
          </w:p>
        </w:tc>
      </w:tr>
      <w:tr>
        <w:trPr>
          <w:trHeight w:val="127"/>
        </w:trPr>
        <w:tc>
          <w:tcPr>
            <w:tcW w:w="2920" w:type="dxa"/>
            <w:vAlign w:val="bottom"/>
            <w:shd w:val="clear" w:color="auto" w:fill="CCEEFF"/>
          </w:tcPr>
          <w:p>
            <w:pPr>
              <w:spacing w:after="0"/>
              <w:rPr>
                <w:sz w:val="11"/>
                <w:szCs w:val="11"/>
                <w:color w:val="auto"/>
              </w:rPr>
            </w:pPr>
          </w:p>
        </w:tc>
        <w:tc>
          <w:tcPr>
            <w:tcW w:w="222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of shares purchased</w:t>
            </w:r>
          </w:p>
        </w:tc>
        <w:tc>
          <w:tcPr>
            <w:tcW w:w="160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share</w:t>
            </w:r>
          </w:p>
        </w:tc>
        <w:tc>
          <w:tcPr>
            <w:tcW w:w="23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of shares purchased as part of</w:t>
            </w:r>
          </w:p>
        </w:tc>
        <w:tc>
          <w:tcPr>
            <w:tcW w:w="22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may yet be purchased under the</w:t>
            </w:r>
          </w:p>
        </w:tc>
      </w:tr>
      <w:tr>
        <w:trPr>
          <w:trHeight w:val="127"/>
        </w:trPr>
        <w:tc>
          <w:tcPr>
            <w:tcW w:w="29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3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publicly announced programme</w:t>
            </w:r>
          </w:p>
        </w:tc>
        <w:tc>
          <w:tcPr>
            <w:tcW w:w="22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programme</w:t>
            </w:r>
          </w:p>
        </w:tc>
      </w:tr>
      <w:tr>
        <w:trPr>
          <w:trHeight w:val="170"/>
        </w:trPr>
        <w:tc>
          <w:tcPr>
            <w:tcW w:w="292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(in millions)</w:t>
            </w:r>
          </w:p>
        </w:tc>
      </w:tr>
      <w:tr>
        <w:trPr>
          <w:trHeight w:val="159"/>
        </w:trPr>
        <w:tc>
          <w:tcPr>
            <w:tcW w:w="2920" w:type="dxa"/>
            <w:vAlign w:val="bottom"/>
          </w:tcPr>
          <w:p>
            <w:pPr>
              <w:ind w:left="20"/>
              <w:spacing w:after="0"/>
              <w:rPr>
                <w:sz w:val="20"/>
                <w:szCs w:val="20"/>
                <w:color w:val="auto"/>
              </w:rPr>
            </w:pPr>
            <w:r>
              <w:rPr>
                <w:rFonts w:ascii="Arial" w:cs="Arial" w:eastAsia="Arial" w:hAnsi="Arial"/>
                <w:sz w:val="13"/>
                <w:szCs w:val="13"/>
                <w:color w:val="auto"/>
              </w:rPr>
              <w:t>March 12/03/2025 - 19/03/2025</w:t>
            </w:r>
          </w:p>
        </w:tc>
        <w:tc>
          <w:tcPr>
            <w:tcW w:w="2220" w:type="dxa"/>
            <w:vAlign w:val="bottom"/>
          </w:tcPr>
          <w:p>
            <w:pPr>
              <w:jc w:val="right"/>
              <w:ind w:right="96"/>
              <w:spacing w:after="0"/>
              <w:rPr>
                <w:sz w:val="20"/>
                <w:szCs w:val="20"/>
                <w:color w:val="auto"/>
              </w:rPr>
            </w:pPr>
            <w:r>
              <w:rPr>
                <w:rFonts w:ascii="Arial" w:cs="Arial" w:eastAsia="Arial" w:hAnsi="Arial"/>
                <w:sz w:val="13"/>
                <w:szCs w:val="13"/>
                <w:color w:val="auto"/>
              </w:rPr>
              <w:t>1,360,537</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$183.75</w:t>
            </w:r>
          </w:p>
        </w:tc>
        <w:tc>
          <w:tcPr>
            <w:tcW w:w="2320" w:type="dxa"/>
            <w:vAlign w:val="bottom"/>
          </w:tcPr>
          <w:p>
            <w:pPr>
              <w:jc w:val="right"/>
              <w:ind w:right="216"/>
              <w:spacing w:after="0"/>
              <w:rPr>
                <w:sz w:val="20"/>
                <w:szCs w:val="20"/>
                <w:color w:val="auto"/>
              </w:rPr>
            </w:pPr>
            <w:r>
              <w:rPr>
                <w:rFonts w:ascii="Arial" w:cs="Arial" w:eastAsia="Arial" w:hAnsi="Arial"/>
                <w:sz w:val="13"/>
                <w:szCs w:val="13"/>
                <w:color w:val="auto"/>
              </w:rPr>
              <w:t>1,360,537</w:t>
            </w:r>
          </w:p>
        </w:tc>
        <w:tc>
          <w:tcPr>
            <w:tcW w:w="2200" w:type="dxa"/>
            <w:vAlign w:val="bottom"/>
          </w:tcPr>
          <w:p>
            <w:pPr>
              <w:jc w:val="right"/>
              <w:spacing w:after="0"/>
              <w:rPr>
                <w:sz w:val="20"/>
                <w:szCs w:val="20"/>
                <w:color w:val="auto"/>
              </w:rPr>
            </w:pPr>
            <w:r>
              <w:rPr>
                <w:rFonts w:ascii="Arial" w:cs="Arial" w:eastAsia="Arial" w:hAnsi="Arial"/>
                <w:sz w:val="13"/>
                <w:szCs w:val="13"/>
                <w:color w:val="auto"/>
              </w:rPr>
              <w:t>$750.0</w:t>
            </w:r>
          </w:p>
        </w:tc>
      </w:tr>
      <w:tr>
        <w:trPr>
          <w:trHeight w:val="171"/>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June 13/06/2025 - 23/06/2025</w:t>
            </w:r>
          </w:p>
        </w:tc>
        <w:tc>
          <w:tcPr>
            <w:tcW w:w="2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1,717,181</w:t>
            </w:r>
          </w:p>
        </w:tc>
        <w:tc>
          <w:tcPr>
            <w:tcW w:w="1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$145.59</w:t>
            </w:r>
          </w:p>
        </w:tc>
        <w:tc>
          <w:tcPr>
            <w:tcW w:w="23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1,717,181</w:t>
            </w: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August 15/08/2025 - 20/08/2025</w:t>
            </w:r>
          </w:p>
        </w:tc>
        <w:tc>
          <w:tcPr>
            <w:tcW w:w="2220" w:type="dxa"/>
            <w:vAlign w:val="bottom"/>
          </w:tcPr>
          <w:p>
            <w:pPr>
              <w:jc w:val="right"/>
              <w:ind w:right="96"/>
              <w:spacing w:after="0"/>
              <w:rPr>
                <w:sz w:val="20"/>
                <w:szCs w:val="20"/>
                <w:color w:val="auto"/>
              </w:rPr>
            </w:pPr>
            <w:r>
              <w:rPr>
                <w:rFonts w:ascii="Arial" w:cs="Arial" w:eastAsia="Arial" w:hAnsi="Arial"/>
                <w:sz w:val="13"/>
                <w:szCs w:val="13"/>
                <w:color w:val="auto"/>
              </w:rPr>
              <w:t>560,100</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$178.20</w:t>
            </w:r>
          </w:p>
        </w:tc>
        <w:tc>
          <w:tcPr>
            <w:tcW w:w="2320" w:type="dxa"/>
            <w:vAlign w:val="bottom"/>
          </w:tcPr>
          <w:p>
            <w:pPr>
              <w:jc w:val="right"/>
              <w:ind w:right="216"/>
              <w:spacing w:after="0"/>
              <w:rPr>
                <w:sz w:val="20"/>
                <w:szCs w:val="20"/>
                <w:color w:val="auto"/>
              </w:rPr>
            </w:pPr>
            <w:r>
              <w:rPr>
                <w:rFonts w:ascii="Arial" w:cs="Arial" w:eastAsia="Arial" w:hAnsi="Arial"/>
                <w:sz w:val="13"/>
                <w:szCs w:val="13"/>
                <w:color w:val="auto"/>
              </w:rPr>
              <w:t>560,100</w:t>
            </w:r>
          </w:p>
        </w:tc>
        <w:tc>
          <w:tcPr>
            <w:tcW w:w="2200" w:type="dxa"/>
            <w:vAlign w:val="bottom"/>
          </w:tcPr>
          <w:p>
            <w:pPr>
              <w:jc w:val="right"/>
              <w:spacing w:after="0"/>
              <w:rPr>
                <w:sz w:val="20"/>
                <w:szCs w:val="20"/>
                <w:color w:val="auto"/>
              </w:rPr>
            </w:pPr>
            <w:r>
              <w:rPr>
                <w:rFonts w:ascii="Arial" w:cs="Arial" w:eastAsia="Arial" w:hAnsi="Arial"/>
                <w:sz w:val="13"/>
                <w:szCs w:val="13"/>
                <w:color w:val="auto"/>
              </w:rPr>
              <w:t>$900.2</w:t>
            </w:r>
          </w:p>
        </w:tc>
      </w:tr>
      <w:tr>
        <w:trPr>
          <w:trHeight w:val="17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September 10/09/2025 - 19/09/2025</w:t>
            </w:r>
          </w:p>
        </w:tc>
        <w:tc>
          <w:tcPr>
            <w:tcW w:w="2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866,512</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$173.33</w:t>
            </w:r>
          </w:p>
        </w:tc>
        <w:tc>
          <w:tcPr>
            <w:tcW w:w="23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866,512</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$750.0</w:t>
            </w:r>
          </w:p>
        </w:tc>
      </w:tr>
      <w:tr>
        <w:trPr>
          <w:trHeight w:val="160"/>
        </w:trPr>
        <w:tc>
          <w:tcPr>
            <w:tcW w:w="29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4,504,330</w:t>
            </w:r>
          </w:p>
        </w:tc>
        <w:tc>
          <w:tcPr>
            <w:tcW w:w="16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$166.51</w:t>
            </w:r>
          </w:p>
        </w:tc>
        <w:tc>
          <w:tcPr>
            <w:tcW w:w="23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4,504,330</w:t>
            </w:r>
          </w:p>
        </w:tc>
        <w:tc>
          <w:tcPr>
            <w:tcW w:w="2200" w:type="dxa"/>
            <w:vAlign w:val="bottom"/>
            <w:tcBorders>
              <w:bottom w:val="single" w:sz="8" w:color="auto"/>
            </w:tcBorders>
          </w:tcPr>
          <w:p>
            <w:pPr>
              <w:spacing w:after="0"/>
              <w:rPr>
                <w:sz w:val="13"/>
                <w:szCs w:val="13"/>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2024, 2,179,699 ordinary shares were redeemed by the Company at an average price of $229.39 per share for a total consideration of $500.0 million.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shd w:val="clear" w:color="auto" w:fill="CCEEFF"/>
          </w:tcPr>
          <w:p>
            <w:pPr>
              <w:spacing w:after="0"/>
              <w:rPr>
                <w:sz w:val="12"/>
                <w:szCs w:val="12"/>
                <w:color w:val="auto"/>
              </w:rPr>
            </w:pPr>
          </w:p>
        </w:tc>
        <w:tc>
          <w:tcPr>
            <w:tcW w:w="22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Total number</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Average price paid per</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Total number Approximate dollar value of shares that</w:t>
            </w:r>
          </w:p>
        </w:tc>
      </w:tr>
      <w:tr>
        <w:trPr>
          <w:trHeight w:val="127"/>
        </w:trPr>
        <w:tc>
          <w:tcPr>
            <w:tcW w:w="2920" w:type="dxa"/>
            <w:vAlign w:val="bottom"/>
            <w:shd w:val="clear" w:color="auto" w:fill="CCEEFF"/>
          </w:tcPr>
          <w:p>
            <w:pPr>
              <w:spacing w:after="0"/>
              <w:rPr>
                <w:sz w:val="11"/>
                <w:szCs w:val="11"/>
                <w:color w:val="auto"/>
              </w:rPr>
            </w:pPr>
          </w:p>
        </w:tc>
        <w:tc>
          <w:tcPr>
            <w:tcW w:w="222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of shares purchased</w:t>
            </w:r>
          </w:p>
        </w:tc>
        <w:tc>
          <w:tcPr>
            <w:tcW w:w="160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share</w:t>
            </w:r>
          </w:p>
        </w:tc>
        <w:tc>
          <w:tcPr>
            <w:tcW w:w="23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of shares purchased as part of</w:t>
            </w:r>
          </w:p>
        </w:tc>
        <w:tc>
          <w:tcPr>
            <w:tcW w:w="22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may yet be purchased under the</w:t>
            </w:r>
          </w:p>
        </w:tc>
      </w:tr>
      <w:tr>
        <w:trPr>
          <w:trHeight w:val="127"/>
        </w:trPr>
        <w:tc>
          <w:tcPr>
            <w:tcW w:w="29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3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publicly announced programme</w:t>
            </w:r>
          </w:p>
        </w:tc>
        <w:tc>
          <w:tcPr>
            <w:tcW w:w="22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programme</w:t>
            </w:r>
          </w:p>
        </w:tc>
      </w:tr>
      <w:tr>
        <w:trPr>
          <w:trHeight w:val="170"/>
        </w:trPr>
        <w:tc>
          <w:tcPr>
            <w:tcW w:w="292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(in millions)</w:t>
            </w:r>
          </w:p>
        </w:tc>
      </w:tr>
      <w:tr>
        <w:trPr>
          <w:trHeight w:val="159"/>
        </w:trPr>
        <w:tc>
          <w:tcPr>
            <w:tcW w:w="2920" w:type="dxa"/>
            <w:vAlign w:val="bottom"/>
          </w:tcPr>
          <w:p>
            <w:pPr>
              <w:ind w:left="20"/>
              <w:spacing w:after="0"/>
              <w:rPr>
                <w:sz w:val="20"/>
                <w:szCs w:val="20"/>
                <w:color w:val="auto"/>
              </w:rPr>
            </w:pPr>
            <w:r>
              <w:rPr>
                <w:rFonts w:ascii="Arial" w:cs="Arial" w:eastAsia="Arial" w:hAnsi="Arial"/>
                <w:sz w:val="13"/>
                <w:szCs w:val="13"/>
                <w:color w:val="auto"/>
              </w:rPr>
              <w:t>September 18/09/2024 - 25/09/2024</w:t>
            </w:r>
          </w:p>
        </w:tc>
        <w:tc>
          <w:tcPr>
            <w:tcW w:w="2220" w:type="dxa"/>
            <w:vAlign w:val="bottom"/>
          </w:tcPr>
          <w:p>
            <w:pPr>
              <w:jc w:val="right"/>
              <w:ind w:right="96"/>
              <w:spacing w:after="0"/>
              <w:rPr>
                <w:sz w:val="20"/>
                <w:szCs w:val="20"/>
                <w:color w:val="auto"/>
              </w:rPr>
            </w:pPr>
            <w:r>
              <w:rPr>
                <w:rFonts w:ascii="Arial" w:cs="Arial" w:eastAsia="Arial" w:hAnsi="Arial"/>
                <w:sz w:val="13"/>
                <w:szCs w:val="13"/>
                <w:color w:val="auto"/>
              </w:rPr>
              <w:t>337,070</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$296.67</w:t>
            </w:r>
          </w:p>
        </w:tc>
        <w:tc>
          <w:tcPr>
            <w:tcW w:w="2320" w:type="dxa"/>
            <w:vAlign w:val="bottom"/>
          </w:tcPr>
          <w:p>
            <w:pPr>
              <w:jc w:val="right"/>
              <w:ind w:right="216"/>
              <w:spacing w:after="0"/>
              <w:rPr>
                <w:sz w:val="20"/>
                <w:szCs w:val="20"/>
                <w:color w:val="auto"/>
              </w:rPr>
            </w:pPr>
            <w:r>
              <w:rPr>
                <w:rFonts w:ascii="Arial" w:cs="Arial" w:eastAsia="Arial" w:hAnsi="Arial"/>
                <w:sz w:val="13"/>
                <w:szCs w:val="13"/>
                <w:color w:val="auto"/>
              </w:rPr>
              <w:t>337,070</w:t>
            </w:r>
          </w:p>
        </w:tc>
        <w:tc>
          <w:tcPr>
            <w:tcW w:w="2200" w:type="dxa"/>
            <w:vAlign w:val="bottom"/>
          </w:tcPr>
          <w:p>
            <w:pPr>
              <w:jc w:val="right"/>
              <w:spacing w:after="0"/>
              <w:rPr>
                <w:sz w:val="20"/>
                <w:szCs w:val="20"/>
                <w:color w:val="auto"/>
              </w:rPr>
            </w:pPr>
            <w:r>
              <w:rPr>
                <w:rFonts w:ascii="Arial" w:cs="Arial" w:eastAsia="Arial" w:hAnsi="Arial"/>
                <w:sz w:val="13"/>
                <w:szCs w:val="13"/>
                <w:color w:val="auto"/>
              </w:rPr>
              <w:t>$400.0</w:t>
            </w:r>
          </w:p>
        </w:tc>
      </w:tr>
      <w:tr>
        <w:trPr>
          <w:trHeight w:val="171"/>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28/10/2024 - 31/10/2024</w:t>
            </w:r>
          </w:p>
        </w:tc>
        <w:tc>
          <w:tcPr>
            <w:tcW w:w="2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409,512</w:t>
            </w:r>
          </w:p>
        </w:tc>
        <w:tc>
          <w:tcPr>
            <w:tcW w:w="1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$228.57</w:t>
            </w:r>
          </w:p>
        </w:tc>
        <w:tc>
          <w:tcPr>
            <w:tcW w:w="23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409,512</w:t>
            </w: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$556.4</w:t>
            </w: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November 01/11/2024 - 07/11/2024</w:t>
            </w:r>
          </w:p>
        </w:tc>
        <w:tc>
          <w:tcPr>
            <w:tcW w:w="2220" w:type="dxa"/>
            <w:vAlign w:val="bottom"/>
          </w:tcPr>
          <w:p>
            <w:pPr>
              <w:jc w:val="right"/>
              <w:ind w:right="96"/>
              <w:spacing w:after="0"/>
              <w:rPr>
                <w:sz w:val="20"/>
                <w:szCs w:val="20"/>
                <w:color w:val="auto"/>
              </w:rPr>
            </w:pPr>
            <w:r>
              <w:rPr>
                <w:rFonts w:ascii="Arial" w:cs="Arial" w:eastAsia="Arial" w:hAnsi="Arial"/>
                <w:sz w:val="13"/>
                <w:szCs w:val="13"/>
                <w:color w:val="auto"/>
              </w:rPr>
              <w:t>479,524</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$221.87</w:t>
            </w:r>
          </w:p>
        </w:tc>
        <w:tc>
          <w:tcPr>
            <w:tcW w:w="2320" w:type="dxa"/>
            <w:vAlign w:val="bottom"/>
          </w:tcPr>
          <w:p>
            <w:pPr>
              <w:jc w:val="right"/>
              <w:ind w:right="216"/>
              <w:spacing w:after="0"/>
              <w:rPr>
                <w:sz w:val="20"/>
                <w:szCs w:val="20"/>
                <w:color w:val="auto"/>
              </w:rPr>
            </w:pPr>
            <w:r>
              <w:rPr>
                <w:rFonts w:ascii="Arial" w:cs="Arial" w:eastAsia="Arial" w:hAnsi="Arial"/>
                <w:sz w:val="13"/>
                <w:szCs w:val="13"/>
                <w:color w:val="auto"/>
              </w:rPr>
              <w:t>479,524</w:t>
            </w:r>
          </w:p>
        </w:tc>
        <w:tc>
          <w:tcPr>
            <w:tcW w:w="2200" w:type="dxa"/>
            <w:vAlign w:val="bottom"/>
          </w:tcPr>
          <w:p>
            <w:pPr>
              <w:jc w:val="right"/>
              <w:spacing w:after="0"/>
              <w:rPr>
                <w:sz w:val="20"/>
                <w:szCs w:val="20"/>
                <w:color w:val="auto"/>
              </w:rPr>
            </w:pPr>
            <w:r>
              <w:rPr>
                <w:rFonts w:ascii="Arial" w:cs="Arial" w:eastAsia="Arial" w:hAnsi="Arial"/>
                <w:sz w:val="13"/>
                <w:szCs w:val="13"/>
                <w:color w:val="auto"/>
              </w:rPr>
              <w:t>$450.0</w:t>
            </w:r>
          </w:p>
        </w:tc>
      </w:tr>
      <w:tr>
        <w:trPr>
          <w:trHeight w:val="17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December 02/12/2024 - 19/12/2024</w:t>
            </w:r>
          </w:p>
        </w:tc>
        <w:tc>
          <w:tcPr>
            <w:tcW w:w="2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953,593</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$209.73</w:t>
            </w:r>
          </w:p>
        </w:tc>
        <w:tc>
          <w:tcPr>
            <w:tcW w:w="23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953,593</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$250.0</w:t>
            </w:r>
          </w:p>
        </w:tc>
      </w:tr>
      <w:tr>
        <w:trPr>
          <w:trHeight w:val="160"/>
        </w:trPr>
        <w:tc>
          <w:tcPr>
            <w:tcW w:w="29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2,179,699</w:t>
            </w:r>
          </w:p>
        </w:tc>
        <w:tc>
          <w:tcPr>
            <w:tcW w:w="16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$229.39</w:t>
            </w:r>
          </w:p>
        </w:tc>
        <w:tc>
          <w:tcPr>
            <w:tcW w:w="23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2,179,699</w:t>
            </w:r>
          </w:p>
        </w:tc>
        <w:tc>
          <w:tcPr>
            <w:tcW w:w="2200" w:type="dxa"/>
            <w:vAlign w:val="bottom"/>
            <w:tcBorders>
              <w:bottom w:val="single" w:sz="8" w:color="auto"/>
            </w:tcBorders>
          </w:tcPr>
          <w:p>
            <w:pPr>
              <w:spacing w:after="0"/>
              <w:rPr>
                <w:sz w:val="13"/>
                <w:szCs w:val="13"/>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575"/>
        </w:trPr>
        <w:tc>
          <w:tcPr>
            <w:tcW w:w="2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jc w:val="right"/>
              <w:ind w:right="916"/>
              <w:spacing w:after="0"/>
              <w:rPr>
                <w:sz w:val="20"/>
                <w:szCs w:val="20"/>
                <w:color w:val="auto"/>
              </w:rPr>
            </w:pPr>
            <w:r>
              <w:rPr>
                <w:rFonts w:ascii="Arial" w:cs="Arial" w:eastAsia="Arial" w:hAnsi="Arial"/>
                <w:sz w:val="13"/>
                <w:szCs w:val="13"/>
                <w:color w:val="auto"/>
              </w:rPr>
              <w:t>107</w:t>
            </w:r>
          </w:p>
        </w:tc>
        <w:tc>
          <w:tcPr>
            <w:tcW w:w="23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22. Share capital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Under the repurchase programme, a broker purchased or may purchase the Company's shares from time to time on the open market or in privately negotiated transactions in accordance with agreed terms and limitations. The programme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programme were made or will be made independently of and uninfluenced by the Company. The Company confirms that on entering the share repurchase programmes it had no material non-public, price-sensitive or inside information regarding the Company or its securities. Furthermore, the Company will not enter into additional repurchase programmes whilst in possession of such information. The timing and actual number of shares repurchased by way of the redemption will be dependent on market conditions, legal and regulatory requirements and the other terms and limitations contained in the programme. In addition, repurchases under the programme may be suspended or discontinued in certain circumstances in accordance with the agreed terms. Therefore, there can be no assurance as to the timing or number of shares that may be repurchased under the programme.</w:t>
      </w:r>
    </w:p>
    <w:p>
      <w:pPr>
        <w:spacing w:after="0" w:line="363" w:lineRule="exact"/>
        <w:rPr>
          <w:sz w:val="20"/>
          <w:szCs w:val="20"/>
          <w:color w:val="auto"/>
        </w:rPr>
      </w:pPr>
    </w:p>
    <w:p>
      <w:pPr>
        <w:ind w:left="320" w:hanging="315"/>
        <w:spacing w:after="0"/>
        <w:tabs>
          <w:tab w:leader="none" w:pos="32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Capital and reserves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shd w:val="clear" w:color="auto" w:fill="CCEEFF"/>
          </w:tcPr>
          <w:p>
            <w:pPr>
              <w:spacing w:after="0"/>
              <w:rPr>
                <w:sz w:val="13"/>
                <w:szCs w:val="13"/>
                <w:color w:val="auto"/>
              </w:rPr>
            </w:pPr>
          </w:p>
        </w:tc>
        <w:tc>
          <w:tcPr>
            <w:tcW w:w="47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5360" w:type="dxa"/>
            <w:vAlign w:val="bottom"/>
            <w:shd w:val="clear" w:color="auto" w:fill="CCEEFF"/>
          </w:tcPr>
          <w:p>
            <w:pPr>
              <w:spacing w:after="0"/>
              <w:rPr>
                <w:sz w:val="11"/>
                <w:szCs w:val="11"/>
                <w:color w:val="auto"/>
              </w:rPr>
            </w:pPr>
          </w:p>
        </w:tc>
        <w:tc>
          <w:tcPr>
            <w:tcW w:w="478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360" w:type="dxa"/>
            <w:vAlign w:val="bottom"/>
            <w:tcBorders>
              <w:bottom w:val="single" w:sz="8" w:color="auto"/>
            </w:tcBorders>
            <w:shd w:val="clear" w:color="auto" w:fill="CCEEFF"/>
          </w:tcPr>
          <w:p>
            <w:pPr>
              <w:spacing w:after="0"/>
              <w:rPr>
                <w:sz w:val="14"/>
                <w:szCs w:val="14"/>
                <w:color w:val="auto"/>
              </w:rPr>
            </w:pPr>
          </w:p>
        </w:tc>
        <w:tc>
          <w:tcPr>
            <w:tcW w:w="47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360" w:type="dxa"/>
            <w:vAlign w:val="bottom"/>
          </w:tcPr>
          <w:p>
            <w:pPr>
              <w:spacing w:after="0"/>
              <w:rPr>
                <w:sz w:val="14"/>
                <w:szCs w:val="14"/>
                <w:color w:val="auto"/>
              </w:rPr>
            </w:pPr>
          </w:p>
        </w:tc>
        <w:tc>
          <w:tcPr>
            <w:tcW w:w="47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premium</w:t>
            </w:r>
          </w:p>
        </w:tc>
        <w:tc>
          <w:tcPr>
            <w:tcW w:w="47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569,507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559,804</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1,606</w:t>
            </w:r>
          </w:p>
        </w:tc>
        <w:tc>
          <w:tcPr>
            <w:tcW w:w="1140" w:type="dxa"/>
            <w:vAlign w:val="bottom"/>
          </w:tcPr>
          <w:p>
            <w:pPr>
              <w:jc w:val="right"/>
              <w:spacing w:after="0"/>
              <w:rPr>
                <w:sz w:val="20"/>
                <w:szCs w:val="20"/>
                <w:color w:val="auto"/>
              </w:rPr>
            </w:pPr>
            <w:r>
              <w:rPr>
                <w:rFonts w:ascii="Arial" w:cs="Arial" w:eastAsia="Arial" w:hAnsi="Arial"/>
                <w:sz w:val="13"/>
                <w:szCs w:val="13"/>
                <w:color w:val="auto"/>
              </w:rPr>
              <w:t>1,304</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reserve</w:t>
            </w:r>
          </w:p>
        </w:tc>
        <w:tc>
          <w:tcPr>
            <w:tcW w:w="47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384,001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331,838</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Other reserve</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11,799</w:t>
            </w:r>
          </w:p>
        </w:tc>
        <w:tc>
          <w:tcPr>
            <w:tcW w:w="1140" w:type="dxa"/>
            <w:vAlign w:val="bottom"/>
          </w:tcPr>
          <w:p>
            <w:pPr>
              <w:jc w:val="right"/>
              <w:spacing w:after="0"/>
              <w:rPr>
                <w:sz w:val="20"/>
                <w:szCs w:val="20"/>
                <w:color w:val="auto"/>
              </w:rPr>
            </w:pPr>
            <w:r>
              <w:rPr>
                <w:rFonts w:ascii="Arial" w:cs="Arial" w:eastAsia="Arial" w:hAnsi="Arial"/>
                <w:sz w:val="13"/>
                <w:szCs w:val="13"/>
                <w:color w:val="auto"/>
              </w:rPr>
              <w:t>16,454</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reserve</w:t>
            </w:r>
          </w:p>
        </w:tc>
        <w:tc>
          <w:tcPr>
            <w:tcW w:w="47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(74,320)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(233,771)</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Merger reserve</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140" w:type="dxa"/>
            <w:vAlign w:val="bottom"/>
          </w:tcPr>
          <w:p>
            <w:pPr>
              <w:jc w:val="right"/>
              <w:spacing w:after="0"/>
              <w:rPr>
                <w:sz w:val="20"/>
                <w:szCs w:val="20"/>
                <w:color w:val="auto"/>
              </w:rPr>
            </w:pPr>
            <w:r>
              <w:rPr>
                <w:rFonts w:ascii="Arial" w:cs="Arial" w:eastAsia="Arial" w:hAnsi="Arial"/>
                <w:sz w:val="13"/>
                <w:szCs w:val="13"/>
                <w:color w:val="auto"/>
              </w:rPr>
              <w:t>5,656,195</w:t>
            </w:r>
          </w:p>
        </w:tc>
      </w:tr>
      <w:tr>
        <w:trPr>
          <w:trHeight w:val="17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47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2,691,827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3,162,570</w:t>
            </w:r>
          </w:p>
        </w:tc>
      </w:tr>
      <w:tr>
        <w:trPr>
          <w:trHeight w:val="16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7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9,240,615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9,494,394</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undenominated capital</w:t>
      </w:r>
    </w:p>
    <w:p>
      <w:pPr>
        <w:spacing w:after="0" w:line="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Company and transferred from share capital to other undenominated capital as required under Irish Company Law. During the year ended 31 December 2025, 4,504,330 ordinary shares were repurchased and cancelled by the Group (2024: 2,179,699).</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reserve</w:t>
      </w:r>
    </w:p>
    <w:p>
      <w:pPr>
        <w:spacing w:after="0" w:line="9"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 xml:space="preserve">The share-based payment reserve is used to account for share-based payments. The fair value of share-based payments is expensed to the Consolidated Statement of Profit and Loss over their respective period the related services are received, with a corresponding increase in equity. Details of options, RSU's and PSU's granted under their respective plans and the terms attaching thereto are provided in Note 11 </w:t>
      </w:r>
      <w:r>
        <w:rPr>
          <w:rFonts w:ascii="Arial" w:cs="Arial" w:eastAsia="Arial" w:hAnsi="Arial"/>
          <w:sz w:val="13"/>
          <w:szCs w:val="13"/>
          <w:i w:val="1"/>
          <w:iCs w:val="1"/>
          <w:color w:val="auto"/>
        </w:rPr>
        <w:t>Share-based payments</w:t>
      </w:r>
      <w:r>
        <w:rPr>
          <w:rFonts w:ascii="Arial" w:cs="Arial" w:eastAsia="Arial" w:hAnsi="Arial"/>
          <w:sz w:val="13"/>
          <w:szCs w:val="13"/>
          <w:color w:val="auto"/>
        </w:rPr>
        <w:t xml:space="preserve"> in Notes to the Consolidated Financial Statements .</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1280"/>
          </w:cols>
          <w:pgMar w:left="300" w:top="698"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23. Capital and reserves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reserve</w:t>
      </w:r>
    </w:p>
    <w:p>
      <w:pPr>
        <w:jc w:val="both"/>
        <w:spacing w:after="0" w:line="273" w:lineRule="auto"/>
        <w:rPr>
          <w:sz w:val="20"/>
          <w:szCs w:val="20"/>
          <w:color w:val="auto"/>
        </w:rPr>
      </w:pPr>
      <w:r>
        <w:rPr>
          <w:rFonts w:ascii="Arial" w:cs="Arial" w:eastAsia="Arial" w:hAnsi="Arial"/>
          <w:sz w:val="12"/>
          <w:szCs w:val="12"/>
          <w:color w:val="auto"/>
        </w:rPr>
        <w:t>The Group has recognised a non-distributable reserve of $5.7 million in accordance with agreements made between the Group and Enterprise Ireland, an Irish government agency. The requirement for these non-distributable reserves will expire between the period 2028 and 2030. In addition, in 2005 the Group also recognised a capital contribution of $6.1 million being the fair value of outstanding ordinary shares transferred to Mr Peter Gray, formerly Vice Chair of the Board of Directors and formerly Chief Executive Officer, by founding Directors, Dr. John Climax and Dr. Ronan Lambe.</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Group entered into two interest rate cap agreements and an interest rate swap agreement to limit its exposure to changes in the variable interest rate on its Senior Secured Credit Facilities. The interest rate caps and swap are accounted for as cash flow hedges and were considered effective hedges on application of the provisions of IFRS 9. The Group closed the interest rate cap and swap agreements during 2024. The remaining effective portion of the hedges were released to the Consolidated Statement of Profit and Loss during the year ended 31 December 2025 in the amount of $2.4 million.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reserve</w:t>
      </w:r>
    </w:p>
    <w:p>
      <w:pPr>
        <w:spacing w:after="0" w:line="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currency reserve comprises all foreign exchange differences arising from the translation of the financial statements of foreign currency denominated operations of the Group. As at 31 December 2025, this amounted to a cumulative loss of $74.3 million (2024: $233.8 million).</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Merger reserve</w:t>
      </w:r>
    </w:p>
    <w:p>
      <w:pPr>
        <w:spacing w:after="0" w:line="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the Company, merged with and into PRA, the parent of the PRA Health Sciences Group. Upon completion of the Merger, pursuant to the terms of the Merger Agreement, PRA became a wholly owned subsidiary of the Company. The transaction resulted in the issuance of 27,372,427 shares to the former stockholders of PRA. The Company issued these shares at the prevailing market price and recognised the premium of $5,656.2 million on issuance of these shares as a merger reserve as required under Irish Company Law.</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Retained earnings</w:t>
      </w:r>
    </w:p>
    <w:p>
      <w:pPr>
        <w:spacing w:after="0" w:line="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to the profit for the financial year the Group has also recognised the re-measurement of the defined benefit liabilities in this reserve. In 2025, the Group recognised a re-measurement gain on the defined benefit liabilities of $4.7 million (2024: a re-measurement loss of $6.3 million). The Group has recognised a credit of $58.8 million (2024: $53.6 million) in respect of exercised and expired share-based awards that have been transferred from the share-based payment reserve. Further during the year ended 31 December 2025, 4,504,330 (2024: 2,179,699) ordinary shares were redeemed by the Company under the buyback programme for a total consideration of $750.0 million (2024: $500.0 million) which was recorded within retained earnings.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1280"/>
          </w:cols>
          <w:pgMar w:left="300" w:top="698" w:right="3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24. Financial instruments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In the year ended 31 December 2025, the Group restated the prior year financial information. Details of the restatements are contained in Note 1 to the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categorises the carrying value of financial assets and liabilities into the categorisations as presented by IFRS 9 as of 31 December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Borders>
              <w:bottom w:val="single" w:sz="8" w:color="auto"/>
            </w:tcBorders>
            <w:shd w:val="clear" w:color="auto" w:fill="CCEEFF"/>
          </w:tcPr>
          <w:p>
            <w:pPr>
              <w:spacing w:after="0"/>
              <w:rPr>
                <w:sz w:val="14"/>
                <w:szCs w:val="14"/>
                <w:color w:val="auto"/>
              </w:rPr>
            </w:pPr>
          </w:p>
        </w:tc>
        <w:tc>
          <w:tcPr>
            <w:tcW w:w="31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Amortised Cost</w:t>
            </w:r>
          </w:p>
        </w:tc>
        <w:tc>
          <w:tcPr>
            <w:tcW w:w="14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FVOCI</w:t>
            </w:r>
          </w:p>
        </w:tc>
        <w:tc>
          <w:tcPr>
            <w:tcW w:w="14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FVTPL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4220" w:type="dxa"/>
            <w:vAlign w:val="bottom"/>
          </w:tcPr>
          <w:p>
            <w:pPr>
              <w:spacing w:after="0"/>
              <w:rPr>
                <w:sz w:val="13"/>
                <w:szCs w:val="13"/>
                <w:color w:val="auto"/>
              </w:rPr>
            </w:pPr>
          </w:p>
        </w:tc>
        <w:tc>
          <w:tcPr>
            <w:tcW w:w="312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40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Financial assets</w:t>
            </w:r>
          </w:p>
        </w:tc>
        <w:tc>
          <w:tcPr>
            <w:tcW w:w="3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color w:val="auto"/>
              </w:rPr>
              <w:t>Financial assets</w:t>
            </w:r>
          </w:p>
        </w:tc>
        <w:tc>
          <w:tcPr>
            <w:tcW w:w="3120" w:type="dxa"/>
            <w:vAlign w:val="bottom"/>
          </w:tcPr>
          <w:p>
            <w:pPr>
              <w:jc w:val="right"/>
              <w:ind w:right="536"/>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b w:val="1"/>
                <w:bCs w:val="1"/>
                <w:color w:val="auto"/>
              </w:rPr>
              <w:t>82,050</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82,050</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receivables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1,474,898</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1,474,898</w:t>
            </w: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color w:val="auto"/>
              </w:rPr>
              <w:t>Unbilled revenue (contract assets)</w:t>
            </w:r>
          </w:p>
        </w:tc>
        <w:tc>
          <w:tcPr>
            <w:tcW w:w="3120" w:type="dxa"/>
            <w:vAlign w:val="bottom"/>
          </w:tcPr>
          <w:p>
            <w:pPr>
              <w:jc w:val="right"/>
              <w:ind w:right="536"/>
              <w:spacing w:after="0"/>
              <w:rPr>
                <w:sz w:val="20"/>
                <w:szCs w:val="20"/>
                <w:color w:val="auto"/>
              </w:rPr>
            </w:pPr>
            <w:r>
              <w:rPr>
                <w:rFonts w:ascii="Arial" w:cs="Arial" w:eastAsia="Arial" w:hAnsi="Arial"/>
                <w:sz w:val="13"/>
                <w:szCs w:val="13"/>
                <w:b w:val="1"/>
                <w:bCs w:val="1"/>
                <w:color w:val="auto"/>
              </w:rPr>
              <w:t>1,096,592</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1,096,592</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647,295</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647,295</w:t>
            </w:r>
          </w:p>
        </w:tc>
      </w:tr>
      <w:tr>
        <w:trPr>
          <w:trHeight w:val="17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31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46,163</w:t>
            </w:r>
          </w:p>
        </w:tc>
        <w:tc>
          <w:tcPr>
            <w:tcW w:w="146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46,163</w:t>
            </w:r>
          </w:p>
        </w:tc>
      </w:tr>
      <w:tr>
        <w:trPr>
          <w:trHeight w:val="185"/>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1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3,264,948</w:t>
            </w:r>
          </w:p>
        </w:tc>
        <w:tc>
          <w:tcPr>
            <w:tcW w:w="14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82,050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3,346,998</w:t>
            </w: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3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color w:val="auto"/>
              </w:rPr>
              <w:t>Bank credit lines and loan facilities</w:t>
            </w:r>
          </w:p>
        </w:tc>
        <w:tc>
          <w:tcPr>
            <w:tcW w:w="3120" w:type="dxa"/>
            <w:vAlign w:val="bottom"/>
          </w:tcPr>
          <w:p>
            <w:pPr>
              <w:jc w:val="right"/>
              <w:ind w:right="536"/>
              <w:spacing w:after="0"/>
              <w:rPr>
                <w:sz w:val="20"/>
                <w:szCs w:val="20"/>
                <w:color w:val="auto"/>
              </w:rPr>
            </w:pPr>
            <w:r>
              <w:rPr>
                <w:rFonts w:ascii="Arial" w:cs="Arial" w:eastAsia="Arial" w:hAnsi="Arial"/>
                <w:sz w:val="13"/>
                <w:szCs w:val="13"/>
                <w:b w:val="1"/>
                <w:bCs w:val="1"/>
                <w:color w:val="auto"/>
              </w:rPr>
              <w:t>3,402,378</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3,402,378</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24,062</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24,062</w:t>
            </w: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3120" w:type="dxa"/>
            <w:vAlign w:val="bottom"/>
          </w:tcPr>
          <w:p>
            <w:pPr>
              <w:jc w:val="right"/>
              <w:ind w:right="536"/>
              <w:spacing w:after="0"/>
              <w:rPr>
                <w:sz w:val="20"/>
                <w:szCs w:val="20"/>
                <w:color w:val="auto"/>
              </w:rPr>
            </w:pPr>
            <w:r>
              <w:rPr>
                <w:rFonts w:ascii="Arial" w:cs="Arial" w:eastAsia="Arial" w:hAnsi="Arial"/>
                <w:sz w:val="13"/>
                <w:szCs w:val="13"/>
                <w:b w:val="1"/>
                <w:bCs w:val="1"/>
                <w:color w:val="auto"/>
              </w:rPr>
              <w:t>153,404</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153,404</w:t>
            </w: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312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192,117</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192,117</w:t>
            </w:r>
          </w:p>
        </w:tc>
      </w:tr>
      <w:tr>
        <w:trPr>
          <w:trHeight w:val="170"/>
        </w:trPr>
        <w:tc>
          <w:tcPr>
            <w:tcW w:w="4220" w:type="dxa"/>
            <w:vAlign w:val="bottom"/>
          </w:tcPr>
          <w:p>
            <w:pPr>
              <w:ind w:left="20"/>
              <w:spacing w:after="0"/>
              <w:rPr>
                <w:sz w:val="20"/>
                <w:szCs w:val="20"/>
                <w:color w:val="auto"/>
              </w:rPr>
            </w:pPr>
            <w:r>
              <w:rPr>
                <w:rFonts w:ascii="Arial" w:cs="Arial" w:eastAsia="Arial" w:hAnsi="Arial"/>
                <w:sz w:val="13"/>
                <w:szCs w:val="13"/>
                <w:color w:val="auto"/>
              </w:rPr>
              <w:t>Unearned revenue (contract liabilities)</w:t>
            </w:r>
          </w:p>
        </w:tc>
        <w:tc>
          <w:tcPr>
            <w:tcW w:w="3120" w:type="dxa"/>
            <w:vAlign w:val="bottom"/>
          </w:tcPr>
          <w:p>
            <w:pPr>
              <w:jc w:val="right"/>
              <w:ind w:right="536"/>
              <w:spacing w:after="0"/>
              <w:rPr>
                <w:sz w:val="20"/>
                <w:szCs w:val="20"/>
                <w:color w:val="auto"/>
              </w:rPr>
            </w:pPr>
            <w:r>
              <w:rPr>
                <w:rFonts w:ascii="Arial" w:cs="Arial" w:eastAsia="Arial" w:hAnsi="Arial"/>
                <w:sz w:val="13"/>
                <w:szCs w:val="13"/>
                <w:b w:val="1"/>
                <w:bCs w:val="1"/>
                <w:color w:val="auto"/>
              </w:rPr>
              <w:t>1,550,471</w:t>
            </w:r>
          </w:p>
        </w:tc>
        <w:tc>
          <w:tcPr>
            <w:tcW w:w="1460" w:type="dxa"/>
            <w:vAlign w:val="bottom"/>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1,550,471</w:t>
            </w:r>
          </w:p>
        </w:tc>
      </w:tr>
      <w:tr>
        <w:trPr>
          <w:trHeight w:val="17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31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834,099</w:t>
            </w:r>
          </w:p>
        </w:tc>
        <w:tc>
          <w:tcPr>
            <w:tcW w:w="14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834,099</w:t>
            </w:r>
          </w:p>
        </w:tc>
      </w:tr>
      <w:tr>
        <w:trPr>
          <w:trHeight w:val="16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1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6,156,531</w:t>
            </w:r>
          </w:p>
        </w:tc>
        <w:tc>
          <w:tcPr>
            <w:tcW w:w="146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6,156,531</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categorises the carrying value of financial assets and liabilities into the categorisations as presented by IFRS 9 as of 31 December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shd w:val="clear" w:color="auto" w:fill="CCEEFF"/>
          </w:tcPr>
          <w:p>
            <w:pPr>
              <w:spacing w:after="0"/>
              <w:rPr>
                <w:sz w:val="13"/>
                <w:szCs w:val="13"/>
                <w:color w:val="auto"/>
              </w:rPr>
            </w:pPr>
          </w:p>
        </w:tc>
        <w:tc>
          <w:tcPr>
            <w:tcW w:w="314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Amortised Cost</w:t>
            </w:r>
          </w:p>
        </w:tc>
        <w:tc>
          <w:tcPr>
            <w:tcW w:w="14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FVOCI</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FVTPL</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0"/>
        </w:trPr>
        <w:tc>
          <w:tcPr>
            <w:tcW w:w="4200" w:type="dxa"/>
            <w:vAlign w:val="bottom"/>
            <w:tcBorders>
              <w:bottom w:val="single" w:sz="8" w:color="auto"/>
            </w:tcBorders>
            <w:shd w:val="clear" w:color="auto" w:fill="CCEEFF"/>
          </w:tcPr>
          <w:p>
            <w:pPr>
              <w:spacing w:after="0"/>
              <w:rPr>
                <w:sz w:val="14"/>
                <w:szCs w:val="14"/>
                <w:color w:val="auto"/>
              </w:rPr>
            </w:pPr>
          </w:p>
        </w:tc>
        <w:tc>
          <w:tcPr>
            <w:tcW w:w="31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(As Restated)</w:t>
            </w:r>
          </w:p>
        </w:tc>
        <w:tc>
          <w:tcPr>
            <w:tcW w:w="14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0"/>
        </w:trPr>
        <w:tc>
          <w:tcPr>
            <w:tcW w:w="4200" w:type="dxa"/>
            <w:vAlign w:val="bottom"/>
          </w:tcPr>
          <w:p>
            <w:pPr>
              <w:spacing w:after="0"/>
              <w:rPr>
                <w:sz w:val="13"/>
                <w:szCs w:val="13"/>
                <w:color w:val="auto"/>
              </w:rPr>
            </w:pPr>
          </w:p>
        </w:tc>
        <w:tc>
          <w:tcPr>
            <w:tcW w:w="314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Financial assets</w:t>
            </w:r>
          </w:p>
        </w:tc>
        <w:tc>
          <w:tcPr>
            <w:tcW w:w="3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3"/>
                <w:szCs w:val="13"/>
                <w:color w:val="auto"/>
              </w:rPr>
              <w:t>Financial assets</w:t>
            </w:r>
          </w:p>
        </w:tc>
        <w:tc>
          <w:tcPr>
            <w:tcW w:w="3140" w:type="dxa"/>
            <w:vAlign w:val="bottom"/>
          </w:tcPr>
          <w:p>
            <w:pPr>
              <w:jc w:val="right"/>
              <w:ind w:right="536"/>
              <w:spacing w:after="0"/>
              <w:rPr>
                <w:sz w:val="20"/>
                <w:szCs w:val="20"/>
                <w:color w:val="auto"/>
              </w:rPr>
            </w:pPr>
            <w:r>
              <w:rPr>
                <w:rFonts w:ascii="Arial" w:cs="Arial" w:eastAsia="Arial" w:hAnsi="Arial"/>
                <w:sz w:val="13"/>
                <w:szCs w:val="13"/>
                <w:color w:val="auto"/>
              </w:rPr>
              <w:t>—</w:t>
            </w:r>
          </w:p>
        </w:tc>
        <w:tc>
          <w:tcPr>
            <w:tcW w:w="1460" w:type="dxa"/>
            <w:vAlign w:val="bottom"/>
          </w:tcPr>
          <w:p>
            <w:pPr>
              <w:ind w:left="76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57,948</w:t>
            </w:r>
          </w:p>
        </w:tc>
        <w:tc>
          <w:tcPr>
            <w:tcW w:w="1160" w:type="dxa"/>
            <w:vAlign w:val="bottom"/>
          </w:tcPr>
          <w:p>
            <w:pPr>
              <w:jc w:val="right"/>
              <w:spacing w:after="0"/>
              <w:rPr>
                <w:sz w:val="20"/>
                <w:szCs w:val="20"/>
                <w:color w:val="auto"/>
              </w:rPr>
            </w:pPr>
            <w:r>
              <w:rPr>
                <w:rFonts w:ascii="Arial" w:cs="Arial" w:eastAsia="Arial" w:hAnsi="Arial"/>
                <w:sz w:val="13"/>
                <w:szCs w:val="13"/>
                <w:color w:val="auto"/>
              </w:rPr>
              <w:t>57,948</w:t>
            </w:r>
          </w:p>
        </w:tc>
      </w:tr>
      <w:tr>
        <w:trPr>
          <w:trHeight w:val="17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receivables</w:t>
            </w:r>
          </w:p>
        </w:tc>
        <w:tc>
          <w:tcPr>
            <w:tcW w:w="314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1,392,764</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1,392,764</w:t>
            </w:r>
          </w:p>
        </w:tc>
      </w:tr>
      <w:tr>
        <w:trPr>
          <w:trHeight w:val="169"/>
        </w:trPr>
        <w:tc>
          <w:tcPr>
            <w:tcW w:w="4200" w:type="dxa"/>
            <w:vAlign w:val="bottom"/>
          </w:tcPr>
          <w:p>
            <w:pPr>
              <w:ind w:left="20"/>
              <w:spacing w:after="0"/>
              <w:rPr>
                <w:sz w:val="20"/>
                <w:szCs w:val="20"/>
                <w:color w:val="auto"/>
              </w:rPr>
            </w:pPr>
            <w:r>
              <w:rPr>
                <w:rFonts w:ascii="Arial" w:cs="Arial" w:eastAsia="Arial" w:hAnsi="Arial"/>
                <w:sz w:val="13"/>
                <w:szCs w:val="13"/>
                <w:color w:val="auto"/>
              </w:rPr>
              <w:t>Unbilled revenue (contract assets)</w:t>
            </w:r>
          </w:p>
        </w:tc>
        <w:tc>
          <w:tcPr>
            <w:tcW w:w="3140" w:type="dxa"/>
            <w:vAlign w:val="bottom"/>
          </w:tcPr>
          <w:p>
            <w:pPr>
              <w:jc w:val="right"/>
              <w:ind w:right="536"/>
              <w:spacing w:after="0"/>
              <w:rPr>
                <w:sz w:val="20"/>
                <w:szCs w:val="20"/>
                <w:color w:val="auto"/>
              </w:rPr>
            </w:pPr>
            <w:r>
              <w:rPr>
                <w:rFonts w:ascii="Arial" w:cs="Arial" w:eastAsia="Arial" w:hAnsi="Arial"/>
                <w:sz w:val="13"/>
                <w:szCs w:val="13"/>
                <w:color w:val="auto"/>
              </w:rPr>
              <w:t>1,040,174</w:t>
            </w:r>
          </w:p>
        </w:tc>
        <w:tc>
          <w:tcPr>
            <w:tcW w:w="1460" w:type="dxa"/>
            <w:vAlign w:val="bottom"/>
          </w:tcPr>
          <w:p>
            <w:pPr>
              <w:ind w:left="76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1,040,174</w:t>
            </w:r>
          </w:p>
        </w:tc>
      </w:tr>
      <w:tr>
        <w:trPr>
          <w:trHeight w:val="17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14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538,785</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538,785</w:t>
            </w:r>
          </w:p>
        </w:tc>
      </w:tr>
      <w:tr>
        <w:trPr>
          <w:trHeight w:val="16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3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43,124</w:t>
            </w:r>
          </w:p>
        </w:tc>
        <w:tc>
          <w:tcPr>
            <w:tcW w:w="146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43,124</w:t>
            </w:r>
          </w:p>
        </w:tc>
      </w:tr>
      <w:tr>
        <w:trPr>
          <w:trHeight w:val="187"/>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1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3,014,847</w:t>
            </w:r>
          </w:p>
        </w:tc>
        <w:tc>
          <w:tcPr>
            <w:tcW w:w="14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57,948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3,072,795</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2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3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3"/>
                <w:szCs w:val="13"/>
                <w:color w:val="auto"/>
              </w:rPr>
              <w:t>Bank credit lines and loan facilities</w:t>
            </w:r>
          </w:p>
        </w:tc>
        <w:tc>
          <w:tcPr>
            <w:tcW w:w="3140" w:type="dxa"/>
            <w:vAlign w:val="bottom"/>
          </w:tcPr>
          <w:p>
            <w:pPr>
              <w:jc w:val="right"/>
              <w:ind w:right="536"/>
              <w:spacing w:after="0"/>
              <w:rPr>
                <w:sz w:val="20"/>
                <w:szCs w:val="20"/>
                <w:color w:val="auto"/>
              </w:rPr>
            </w:pPr>
            <w:r>
              <w:rPr>
                <w:rFonts w:ascii="Arial" w:cs="Arial" w:eastAsia="Arial" w:hAnsi="Arial"/>
                <w:sz w:val="13"/>
                <w:szCs w:val="13"/>
                <w:color w:val="auto"/>
              </w:rPr>
              <w:t>3,426,160</w:t>
            </w:r>
          </w:p>
        </w:tc>
        <w:tc>
          <w:tcPr>
            <w:tcW w:w="1460" w:type="dxa"/>
            <w:vAlign w:val="bottom"/>
          </w:tcPr>
          <w:p>
            <w:pPr>
              <w:ind w:left="76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3,426,160</w:t>
            </w:r>
          </w:p>
        </w:tc>
      </w:tr>
      <w:tr>
        <w:trPr>
          <w:trHeight w:val="17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314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24,084</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24,084</w:t>
            </w:r>
          </w:p>
        </w:tc>
      </w:tr>
      <w:tr>
        <w:trPr>
          <w:trHeight w:val="169"/>
        </w:trPr>
        <w:tc>
          <w:tcPr>
            <w:tcW w:w="420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3140" w:type="dxa"/>
            <w:vAlign w:val="bottom"/>
          </w:tcPr>
          <w:p>
            <w:pPr>
              <w:jc w:val="right"/>
              <w:ind w:right="536"/>
              <w:spacing w:after="0"/>
              <w:rPr>
                <w:sz w:val="20"/>
                <w:szCs w:val="20"/>
                <w:color w:val="auto"/>
              </w:rPr>
            </w:pPr>
            <w:r>
              <w:rPr>
                <w:rFonts w:ascii="Arial" w:cs="Arial" w:eastAsia="Arial" w:hAnsi="Arial"/>
                <w:sz w:val="13"/>
                <w:szCs w:val="13"/>
                <w:color w:val="auto"/>
              </w:rPr>
              <w:t>176,868</w:t>
            </w:r>
          </w:p>
        </w:tc>
        <w:tc>
          <w:tcPr>
            <w:tcW w:w="1460" w:type="dxa"/>
            <w:vAlign w:val="bottom"/>
          </w:tcPr>
          <w:p>
            <w:pPr>
              <w:ind w:left="76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176,868</w:t>
            </w:r>
          </w:p>
        </w:tc>
      </w:tr>
      <w:tr>
        <w:trPr>
          <w:trHeight w:val="17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314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173,025</w:t>
            </w:r>
          </w:p>
        </w:tc>
        <w:tc>
          <w:tcPr>
            <w:tcW w:w="146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173,025</w:t>
            </w:r>
          </w:p>
        </w:tc>
      </w:tr>
      <w:tr>
        <w:trPr>
          <w:trHeight w:val="169"/>
        </w:trPr>
        <w:tc>
          <w:tcPr>
            <w:tcW w:w="4200" w:type="dxa"/>
            <w:vAlign w:val="bottom"/>
          </w:tcPr>
          <w:p>
            <w:pPr>
              <w:ind w:left="20"/>
              <w:spacing w:after="0"/>
              <w:rPr>
                <w:sz w:val="20"/>
                <w:szCs w:val="20"/>
                <w:color w:val="auto"/>
              </w:rPr>
            </w:pPr>
            <w:r>
              <w:rPr>
                <w:rFonts w:ascii="Arial" w:cs="Arial" w:eastAsia="Arial" w:hAnsi="Arial"/>
                <w:sz w:val="13"/>
                <w:szCs w:val="13"/>
                <w:color w:val="auto"/>
              </w:rPr>
              <w:t>Unearned revenue (contract liabilities)</w:t>
            </w:r>
          </w:p>
        </w:tc>
        <w:tc>
          <w:tcPr>
            <w:tcW w:w="3140" w:type="dxa"/>
            <w:vAlign w:val="bottom"/>
          </w:tcPr>
          <w:p>
            <w:pPr>
              <w:jc w:val="right"/>
              <w:ind w:right="536"/>
              <w:spacing w:after="0"/>
              <w:rPr>
                <w:sz w:val="20"/>
                <w:szCs w:val="20"/>
                <w:color w:val="auto"/>
              </w:rPr>
            </w:pPr>
            <w:r>
              <w:rPr>
                <w:rFonts w:ascii="Arial" w:cs="Arial" w:eastAsia="Arial" w:hAnsi="Arial"/>
                <w:sz w:val="13"/>
                <w:szCs w:val="13"/>
                <w:color w:val="auto"/>
              </w:rPr>
              <w:t>1,467,671</w:t>
            </w:r>
          </w:p>
        </w:tc>
        <w:tc>
          <w:tcPr>
            <w:tcW w:w="1460" w:type="dxa"/>
            <w:vAlign w:val="bottom"/>
          </w:tcPr>
          <w:p>
            <w:pPr>
              <w:ind w:left="76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1,467,671</w:t>
            </w:r>
          </w:p>
        </w:tc>
      </w:tr>
      <w:tr>
        <w:trPr>
          <w:trHeight w:val="170"/>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31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819,789</w:t>
            </w:r>
          </w:p>
        </w:tc>
        <w:tc>
          <w:tcPr>
            <w:tcW w:w="14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819,789</w:t>
            </w:r>
          </w:p>
        </w:tc>
      </w:tr>
      <w:tr>
        <w:trPr>
          <w:trHeight w:val="162"/>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6,087,597</w:t>
            </w:r>
          </w:p>
        </w:tc>
        <w:tc>
          <w:tcPr>
            <w:tcW w:w="146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6,087,597</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2"/>
          <w:szCs w:val="12"/>
          <w:i w:val="1"/>
          <w:iCs w:val="1"/>
          <w:color w:val="auto"/>
        </w:rPr>
        <w:t>Accrued and other liabilities excludes interest on bank credit lines and loan facilities and short term lease liabilities, all of which are presented separately above</w:t>
      </w:r>
      <w:r>
        <w:rPr>
          <w:rFonts w:ascii="Times New Roman" w:cs="Times New Roman" w:eastAsia="Times New Roman" w:hAnsi="Times New Roman"/>
          <w:sz w:val="14"/>
          <w:szCs w:val="14"/>
          <w:color w:val="auto"/>
        </w:rPr>
        <w: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1260"/>
          </w:cols>
          <w:pgMar w:left="300" w:top="698"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The Board of Directors have overall responsibility for the establishment and oversight of the Group’s risk management framework. The Group is exposed to various financial risks in the normal course of its business. The principal financial risks to which it is exposed include credit risks related to the creditworthiness of its customers and counterparties, with which it invests surplus cash funds, liquidity risk associated with the availability of sufficient financial resources to meet liabilities as they fall due, foreign currency risks, including both translation and transaction risk, and interest rate risk.</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Credit risk arises from cash and cash equivalents, deposits with banks and financial institutions, as well as credit exposures to customers, including outstanding accounts receivable, unbilled receivables and other receivables.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Credit risk is managed on a group basis. The ratings required for banks and financial institutions are a minimum rating of BBB+ for overnight maturities and a minimum of A- for any bank deposits greater than overnight and up to three months.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Group’s exposure to credit risk arises predominately in respect of the credit risk assessment of customers. Customer credit risk is managed through application of credit procedures, in particular through risk assessment of new customers, through assessment of credit quality, taking into account their financial position, past experience and other factors. The compliance with credit terms is regularly monitored by line management.</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Revenues on long term contracts are recognised based on an assessment of progress towards completion. Payment terms usually provide either for payments based on the delivery of certain identified milestones, units delivered or monthly payments, according to a contracted payment schedule over the life of the contract. Where there are changes in the scope of a trial or in the services to be provided by us, a change order or amendment is issued which may result either in an increase or decrease in the contract value. The Group also contracts on a “fee-for-service” or “time and materials” basis.</w:t>
      </w:r>
    </w:p>
    <w:p>
      <w:pPr>
        <w:jc w:val="both"/>
        <w:spacing w:after="0" w:line="264" w:lineRule="auto"/>
        <w:rPr>
          <w:sz w:val="20"/>
          <w:szCs w:val="20"/>
          <w:color w:val="auto"/>
        </w:rPr>
      </w:pPr>
      <w:r>
        <w:rPr>
          <w:rFonts w:ascii="Arial" w:cs="Arial" w:eastAsia="Arial" w:hAnsi="Arial"/>
          <w:sz w:val="12"/>
          <w:szCs w:val="12"/>
          <w:color w:val="auto"/>
        </w:rPr>
        <w:t>Contract periods may range from several weeks to several years depending on the nature of the work to be performed. In many cases, an upfront portion of the contract fee is paid at the time the study or trial is started. The balance of the contract fee is generally payable in instalments over the study or trial duration and may be based on the completion of certain performance targets or “milestones”, on units delivered, or on a fixed monthly payment schedule. Instalment payments may be based on key metrics for example target patient enrolment progress or delivery of the study database.</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progress towards completion for clinical service contracts is measured based on total project costs (fees are therefore inclusive of third party costs). Reimbursable costs include payments to investigators, travel and accommodation costs and various other expenses incurred over the course of the clinical trial which are fully reimbursable by the client. Reimbursable expenses are included within the contract and are invoiced on a monthly basis based on actual expenses incurred. Expenses incurred are determined by reference to activity.</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While no customers individually contributed more than 10% of our revenues during the years ended 31 December 2025 and 31 December 2024, our top five customers represented 24.8% and 25.2% (as Restated) of our revenues respectively, our largest customer represented 7.0% and 7.8% (as Restated) of our revenues, respectively, and our top twenty five customers represented 64.0% and</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62.4% (as Restated) of our revenues, respectively. The addition of new customer accounts, particularly large and mid-tier pharma customers and biotech customers have resulted in a reduction in the concentration of revenues from our top five customers.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1280"/>
          </w:cols>
          <w:pgMar w:left="300" w:top="698" w:right="3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maximum exposure of credit risk pertaining to customers is the carrying value of accounts receivable and unbilled revenue balances. The gross value of accounts receivable and unbilled revenue balances, by geographic region, at 31 December 2025 and 31 December 2024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Borders>
              <w:bottom w:val="single" w:sz="8" w:color="auto"/>
            </w:tcBorders>
            <w:shd w:val="clear" w:color="auto" w:fill="CCEEFF"/>
          </w:tcPr>
          <w:p>
            <w:pPr>
              <w:spacing w:after="0"/>
              <w:rPr>
                <w:sz w:val="14"/>
                <w:szCs w:val="14"/>
                <w:color w:val="auto"/>
              </w:rPr>
            </w:pPr>
          </w:p>
        </w:tc>
        <w:tc>
          <w:tcPr>
            <w:tcW w:w="3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Accounts Receivable</w:t>
            </w:r>
          </w:p>
        </w:tc>
        <w:tc>
          <w:tcPr>
            <w:tcW w:w="11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Unbilled Revenue</w:t>
            </w:r>
          </w:p>
        </w:tc>
        <w:tc>
          <w:tcPr>
            <w:tcW w:w="880" w:type="dxa"/>
            <w:vAlign w:val="bottom"/>
            <w:tcBorders>
              <w:bottom w:val="single" w:sz="8" w:color="auto"/>
            </w:tcBorders>
            <w:shd w:val="clear" w:color="auto" w:fill="CCEEFF"/>
          </w:tcPr>
          <w:p>
            <w:pPr>
              <w:spacing w:after="0"/>
              <w:rPr>
                <w:sz w:val="14"/>
                <w:szCs w:val="14"/>
                <w:color w:val="auto"/>
              </w:rPr>
            </w:pPr>
          </w:p>
        </w:tc>
      </w:tr>
      <w:tr>
        <w:trPr>
          <w:trHeight w:val="118"/>
        </w:trPr>
        <w:tc>
          <w:tcPr>
            <w:tcW w:w="4100" w:type="dxa"/>
            <w:vAlign w:val="bottom"/>
          </w:tcPr>
          <w:p>
            <w:pPr>
              <w:spacing w:after="0"/>
              <w:rPr>
                <w:sz w:val="10"/>
                <w:szCs w:val="10"/>
                <w:color w:val="auto"/>
              </w:rPr>
            </w:pPr>
          </w:p>
        </w:tc>
        <w:tc>
          <w:tcPr>
            <w:tcW w:w="3380" w:type="dxa"/>
            <w:vAlign w:val="bottom"/>
          </w:tcPr>
          <w:p>
            <w:pPr>
              <w:jc w:val="right"/>
              <w:ind w:right="616"/>
              <w:spacing w:after="0" w:line="118" w:lineRule="exact"/>
              <w:rPr>
                <w:sz w:val="20"/>
                <w:szCs w:val="20"/>
                <w:color w:val="auto"/>
              </w:rPr>
            </w:pPr>
            <w:r>
              <w:rPr>
                <w:rFonts w:ascii="Arial" w:cs="Arial" w:eastAsia="Arial" w:hAnsi="Arial"/>
                <w:sz w:val="13"/>
                <w:szCs w:val="13"/>
                <w:b w:val="1"/>
                <w:bCs w:val="1"/>
                <w:color w:val="auto"/>
              </w:rPr>
              <w:t>31 December</w:t>
            </w:r>
          </w:p>
        </w:tc>
        <w:tc>
          <w:tcPr>
            <w:tcW w:w="1160" w:type="dxa"/>
            <w:vAlign w:val="bottom"/>
          </w:tcPr>
          <w:p>
            <w:pPr>
              <w:jc w:val="right"/>
              <w:ind w:right="296"/>
              <w:spacing w:after="0" w:line="118" w:lineRule="exact"/>
              <w:rPr>
                <w:sz w:val="20"/>
                <w:szCs w:val="20"/>
                <w:color w:val="auto"/>
              </w:rPr>
            </w:pPr>
            <w:r>
              <w:rPr>
                <w:rFonts w:ascii="Arial" w:cs="Arial" w:eastAsia="Arial" w:hAnsi="Arial"/>
                <w:sz w:val="13"/>
                <w:szCs w:val="13"/>
                <w:color w:val="auto"/>
                <w:w w:val="99"/>
              </w:rPr>
              <w:t>31 December</w:t>
            </w:r>
          </w:p>
        </w:tc>
        <w:tc>
          <w:tcPr>
            <w:tcW w:w="1760" w:type="dxa"/>
            <w:vAlign w:val="bottom"/>
          </w:tcPr>
          <w:p>
            <w:pPr>
              <w:jc w:val="right"/>
              <w:ind w:right="556"/>
              <w:spacing w:after="0" w:line="118" w:lineRule="exact"/>
              <w:rPr>
                <w:sz w:val="20"/>
                <w:szCs w:val="20"/>
                <w:color w:val="auto"/>
              </w:rPr>
            </w:pPr>
            <w:r>
              <w:rPr>
                <w:rFonts w:ascii="Arial" w:cs="Arial" w:eastAsia="Arial" w:hAnsi="Arial"/>
                <w:sz w:val="13"/>
                <w:szCs w:val="13"/>
                <w:b w:val="1"/>
                <w:bCs w:val="1"/>
                <w:color w:val="auto"/>
              </w:rPr>
              <w:t>31 December</w:t>
            </w:r>
          </w:p>
        </w:tc>
        <w:tc>
          <w:tcPr>
            <w:tcW w:w="88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27"/>
        </w:trPr>
        <w:tc>
          <w:tcPr>
            <w:tcW w:w="4100" w:type="dxa"/>
            <w:vAlign w:val="bottom"/>
          </w:tcPr>
          <w:p>
            <w:pPr>
              <w:spacing w:after="0"/>
              <w:rPr>
                <w:sz w:val="11"/>
                <w:szCs w:val="11"/>
                <w:color w:val="auto"/>
              </w:rPr>
            </w:pPr>
          </w:p>
        </w:tc>
        <w:tc>
          <w:tcPr>
            <w:tcW w:w="3380" w:type="dxa"/>
            <w:vAlign w:val="bottom"/>
          </w:tcPr>
          <w:p>
            <w:pPr>
              <w:jc w:val="right"/>
              <w:ind w:right="616"/>
              <w:spacing w:after="0" w:line="128" w:lineRule="exact"/>
              <w:rPr>
                <w:sz w:val="20"/>
                <w:szCs w:val="20"/>
                <w:color w:val="auto"/>
              </w:rPr>
            </w:pPr>
            <w:r>
              <w:rPr>
                <w:rFonts w:ascii="Arial" w:cs="Arial" w:eastAsia="Arial" w:hAnsi="Arial"/>
                <w:sz w:val="13"/>
                <w:szCs w:val="13"/>
                <w:b w:val="1"/>
                <w:bCs w:val="1"/>
                <w:color w:val="auto"/>
              </w:rPr>
              <w:t>2025</w:t>
            </w:r>
          </w:p>
        </w:tc>
        <w:tc>
          <w:tcPr>
            <w:tcW w:w="1160" w:type="dxa"/>
            <w:vAlign w:val="bottom"/>
          </w:tcPr>
          <w:p>
            <w:pPr>
              <w:jc w:val="right"/>
              <w:ind w:right="296"/>
              <w:spacing w:after="0" w:line="128" w:lineRule="exact"/>
              <w:rPr>
                <w:sz w:val="20"/>
                <w:szCs w:val="20"/>
                <w:color w:val="auto"/>
              </w:rPr>
            </w:pPr>
            <w:r>
              <w:rPr>
                <w:rFonts w:ascii="Arial" w:cs="Arial" w:eastAsia="Arial" w:hAnsi="Arial"/>
                <w:sz w:val="13"/>
                <w:szCs w:val="13"/>
                <w:color w:val="auto"/>
              </w:rPr>
              <w:t>2024</w:t>
            </w:r>
          </w:p>
        </w:tc>
        <w:tc>
          <w:tcPr>
            <w:tcW w:w="1760" w:type="dxa"/>
            <w:vAlign w:val="bottom"/>
          </w:tcPr>
          <w:p>
            <w:pPr>
              <w:jc w:val="right"/>
              <w:ind w:right="556"/>
              <w:spacing w:after="0" w:line="128" w:lineRule="exact"/>
              <w:rPr>
                <w:sz w:val="20"/>
                <w:szCs w:val="20"/>
                <w:color w:val="auto"/>
              </w:rPr>
            </w:pPr>
            <w:r>
              <w:rPr>
                <w:rFonts w:ascii="Arial" w:cs="Arial" w:eastAsia="Arial" w:hAnsi="Arial"/>
                <w:sz w:val="13"/>
                <w:szCs w:val="13"/>
                <w:b w:val="1"/>
                <w:bCs w:val="1"/>
                <w:color w:val="auto"/>
              </w:rPr>
              <w:t>2025</w:t>
            </w:r>
          </w:p>
        </w:tc>
        <w:tc>
          <w:tcPr>
            <w:tcW w:w="880" w:type="dxa"/>
            <w:vAlign w:val="bottom"/>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41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98"/>
              </w:rPr>
              <w:t>(As Restated)</w:t>
            </w:r>
          </w:p>
        </w:tc>
        <w:tc>
          <w:tcPr>
            <w:tcW w:w="1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4100" w:type="dxa"/>
            <w:vAlign w:val="bottom"/>
            <w:shd w:val="clear" w:color="auto" w:fill="CCEEFF"/>
          </w:tcPr>
          <w:p>
            <w:pPr>
              <w:spacing w:after="0"/>
              <w:rPr>
                <w:sz w:val="14"/>
                <w:szCs w:val="14"/>
                <w:color w:val="auto"/>
              </w:rPr>
            </w:pPr>
          </w:p>
        </w:tc>
        <w:tc>
          <w:tcPr>
            <w:tcW w:w="3380" w:type="dxa"/>
            <w:vAlign w:val="bottom"/>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$’000</w:t>
            </w:r>
          </w:p>
        </w:tc>
        <w:tc>
          <w:tcPr>
            <w:tcW w:w="11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$’000</w:t>
            </w:r>
          </w:p>
        </w:tc>
        <w:tc>
          <w:tcPr>
            <w:tcW w:w="176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100" w:type="dxa"/>
            <w:vAlign w:val="bottom"/>
          </w:tcPr>
          <w:p>
            <w:pPr>
              <w:ind w:left="20"/>
              <w:spacing w:after="0"/>
              <w:rPr>
                <w:sz w:val="20"/>
                <w:szCs w:val="20"/>
                <w:color w:val="auto"/>
              </w:rPr>
            </w:pPr>
            <w:r>
              <w:rPr>
                <w:rFonts w:ascii="Arial" w:cs="Arial" w:eastAsia="Arial" w:hAnsi="Arial"/>
                <w:sz w:val="13"/>
                <w:szCs w:val="13"/>
                <w:color w:val="auto"/>
              </w:rPr>
              <w:t>Europe</w:t>
            </w:r>
          </w:p>
        </w:tc>
        <w:tc>
          <w:tcPr>
            <w:tcW w:w="3380" w:type="dxa"/>
            <w:vAlign w:val="bottom"/>
          </w:tcPr>
          <w:p>
            <w:pPr>
              <w:jc w:val="right"/>
              <w:ind w:right="656"/>
              <w:spacing w:after="0"/>
              <w:rPr>
                <w:sz w:val="20"/>
                <w:szCs w:val="20"/>
                <w:color w:val="auto"/>
              </w:rPr>
            </w:pPr>
            <w:r>
              <w:rPr>
                <w:rFonts w:ascii="Arial" w:cs="Arial" w:eastAsia="Arial" w:hAnsi="Arial"/>
                <w:sz w:val="13"/>
                <w:szCs w:val="13"/>
                <w:b w:val="1"/>
                <w:bCs w:val="1"/>
                <w:color w:val="auto"/>
              </w:rPr>
              <w:t>1,347,954</w:t>
            </w:r>
          </w:p>
        </w:tc>
        <w:tc>
          <w:tcPr>
            <w:tcW w:w="1160" w:type="dxa"/>
            <w:vAlign w:val="bottom"/>
          </w:tcPr>
          <w:p>
            <w:pPr>
              <w:jc w:val="right"/>
              <w:ind w:right="336"/>
              <w:spacing w:after="0"/>
              <w:rPr>
                <w:sz w:val="20"/>
                <w:szCs w:val="20"/>
                <w:color w:val="auto"/>
              </w:rPr>
            </w:pPr>
            <w:r>
              <w:rPr>
                <w:rFonts w:ascii="Arial" w:cs="Arial" w:eastAsia="Arial" w:hAnsi="Arial"/>
                <w:sz w:val="13"/>
                <w:szCs w:val="13"/>
                <w:color w:val="auto"/>
              </w:rPr>
              <w:t>1,151,056</w:t>
            </w:r>
          </w:p>
        </w:tc>
        <w:tc>
          <w:tcPr>
            <w:tcW w:w="1760" w:type="dxa"/>
            <w:vAlign w:val="bottom"/>
          </w:tcPr>
          <w:p>
            <w:pPr>
              <w:jc w:val="right"/>
              <w:ind w:right="596"/>
              <w:spacing w:after="0"/>
              <w:rPr>
                <w:sz w:val="20"/>
                <w:szCs w:val="20"/>
                <w:color w:val="auto"/>
              </w:rPr>
            </w:pPr>
            <w:r>
              <w:rPr>
                <w:rFonts w:ascii="Arial" w:cs="Arial" w:eastAsia="Arial" w:hAnsi="Arial"/>
                <w:sz w:val="13"/>
                <w:szCs w:val="13"/>
                <w:b w:val="1"/>
                <w:bCs w:val="1"/>
                <w:color w:val="auto"/>
              </w:rPr>
              <w:t>620,192</w:t>
            </w:r>
          </w:p>
        </w:tc>
        <w:tc>
          <w:tcPr>
            <w:tcW w:w="880" w:type="dxa"/>
            <w:vAlign w:val="bottom"/>
          </w:tcPr>
          <w:p>
            <w:pPr>
              <w:jc w:val="right"/>
              <w:spacing w:after="0"/>
              <w:rPr>
                <w:sz w:val="20"/>
                <w:szCs w:val="20"/>
                <w:color w:val="auto"/>
              </w:rPr>
            </w:pPr>
            <w:r>
              <w:rPr>
                <w:rFonts w:ascii="Arial" w:cs="Arial" w:eastAsia="Arial" w:hAnsi="Arial"/>
                <w:sz w:val="13"/>
                <w:szCs w:val="13"/>
                <w:color w:val="auto"/>
              </w:rPr>
              <w:t>506,757</w:t>
            </w:r>
          </w:p>
        </w:tc>
      </w:tr>
      <w:tr>
        <w:trPr>
          <w:trHeight w:val="170"/>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338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131,876</w:t>
            </w:r>
          </w:p>
        </w:tc>
        <w:tc>
          <w:tcPr>
            <w:tcW w:w="11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230,019</w:t>
            </w:r>
          </w:p>
        </w:tc>
        <w:tc>
          <w:tcPr>
            <w:tcW w:w="1760" w:type="dxa"/>
            <w:vAlign w:val="bottom"/>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462,584</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507,141</w:t>
            </w:r>
          </w:p>
        </w:tc>
      </w:tr>
      <w:tr>
        <w:trPr>
          <w:trHeight w:val="17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 of World</w:t>
            </w:r>
          </w:p>
        </w:tc>
        <w:tc>
          <w:tcPr>
            <w:tcW w:w="33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37,387</w:t>
            </w:r>
          </w:p>
        </w:tc>
        <w:tc>
          <w:tcPr>
            <w:tcW w:w="11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47,353</w:t>
            </w:r>
          </w:p>
        </w:tc>
        <w:tc>
          <w:tcPr>
            <w:tcW w:w="17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13,816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26,276</w:t>
            </w:r>
          </w:p>
        </w:tc>
      </w:tr>
      <w:tr>
        <w:trPr>
          <w:trHeight w:val="160"/>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balance</w:t>
            </w:r>
          </w:p>
        </w:tc>
        <w:tc>
          <w:tcPr>
            <w:tcW w:w="338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1,517,217</w:t>
            </w:r>
          </w:p>
        </w:tc>
        <w:tc>
          <w:tcPr>
            <w:tcW w:w="11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1,428,428</w:t>
            </w:r>
          </w:p>
        </w:tc>
        <w:tc>
          <w:tcPr>
            <w:tcW w:w="1760" w:type="dxa"/>
            <w:vAlign w:val="bottom"/>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1,096,592</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1,040,174</w:t>
            </w:r>
          </w:p>
        </w:tc>
      </w:tr>
      <w:tr>
        <w:trPr>
          <w:trHeight w:val="17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Allowance for credit losses</w:t>
            </w:r>
          </w:p>
        </w:tc>
        <w:tc>
          <w:tcPr>
            <w:tcW w:w="33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(42,319)</w:t>
            </w: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(35,664)</w:t>
            </w:r>
          </w:p>
        </w:tc>
        <w:tc>
          <w:tcPr>
            <w:tcW w:w="17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of allowance for credit losses</w:t>
            </w:r>
          </w:p>
        </w:tc>
        <w:tc>
          <w:tcPr>
            <w:tcW w:w="338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1,474,898</w:t>
            </w:r>
          </w:p>
        </w:tc>
        <w:tc>
          <w:tcPr>
            <w:tcW w:w="11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1,392,764</w:t>
            </w:r>
          </w:p>
        </w:tc>
        <w:tc>
          <w:tcPr>
            <w:tcW w:w="17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1,096,592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1,040,174</w:t>
            </w: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Group has four types of financial assets that are subject to the expected credit loss model:</w:t>
      </w:r>
    </w:p>
    <w:p>
      <w:pPr>
        <w:ind w:left="500" w:hanging="240"/>
        <w:spacing w:after="0"/>
        <w:tabs>
          <w:tab w:leader="none" w:pos="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trade receivables (billed amounts) for services provided to customers</w:t>
      </w:r>
    </w:p>
    <w:p>
      <w:pPr>
        <w:ind w:left="500" w:hanging="240"/>
        <w:spacing w:after="0"/>
        <w:tabs>
          <w:tab w:leader="none" w:pos="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unbilled receivables (contract assets) for services provided to customers</w:t>
      </w:r>
    </w:p>
    <w:p>
      <w:pPr>
        <w:ind w:left="500" w:hanging="240"/>
        <w:spacing w:after="0"/>
        <w:tabs>
          <w:tab w:leader="none" w:pos="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other receivables</w:t>
      </w:r>
    </w:p>
    <w:p>
      <w:pPr>
        <w:ind w:left="500" w:hanging="240"/>
        <w:spacing w:after="0"/>
        <w:tabs>
          <w:tab w:leader="none" w:pos="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receivables, contract assets and other receivables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Group applies the IFRS 9 simplified approach to measuring expected credit losses which uses a lifetime expected credit loss for all trade receivables and contract assets.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To measure the expected credit losses, trade receivables and contract assets have been grouped based on shared credit risk characteristics and the days past due. The contract assets relate to unbilled work in progress and have substantially the same risk characteristics as the trade receivables for the same types of contracts. The Group has therefore concluded that the expected loss rates for trade receivables are a reasonable approximation for the loss rates for the contract assets.</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expected loss rates are based on the payment profiles of revenue over a period before 31 December 2025. The historical loss rates are adjusted to reflect current and forward-looking information on macroeconomic factors affecting the ability of the customers to settle receivables. See Note 16 </w:t>
      </w:r>
      <w:r>
        <w:rPr>
          <w:rFonts w:ascii="Arial" w:cs="Arial" w:eastAsia="Arial" w:hAnsi="Arial"/>
          <w:sz w:val="13"/>
          <w:szCs w:val="13"/>
          <w:i w:val="1"/>
          <w:iCs w:val="1"/>
          <w:color w:val="auto"/>
        </w:rPr>
        <w:t>Accounts receivable, unbilled services (contract assets) and unearned revenue (contract liabilities)</w:t>
      </w:r>
      <w:r>
        <w:rPr>
          <w:rFonts w:ascii="Arial" w:cs="Arial" w:eastAsia="Arial" w:hAnsi="Arial"/>
          <w:sz w:val="13"/>
          <w:szCs w:val="13"/>
          <w:color w:val="auto"/>
        </w:rPr>
        <w:t xml:space="preserve"> in Notes to the Consolidated Financial Statements for assessment of the allowance for credit losses for both trade receivables and contract assets.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Trade receivables, other receivables and contract assets are written off when there is no reasonable expectation of recovery. Indicators that there is no reasonable expectation of recovery include, amongst others, the failure of a debtor to engage in a repayment plan with the group, and a failure to make contractual payments for a period of greater than 120 days past due. Impairment losses on trade receivables, other receivables and contract assets are presented as net impairment losses within operating profit. Subsequent recoveries of amounts previously written off are credited against the same line item.</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 and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Group’s liquid and capital resources at 31 December 2025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shd w:val="clear" w:color="auto" w:fill="CCEEFF"/>
          </w:tcPr>
          <w:p>
            <w:pPr>
              <w:spacing w:after="0"/>
              <w:rPr>
                <w:sz w:val="12"/>
                <w:szCs w:val="12"/>
                <w:color w:val="auto"/>
              </w:rPr>
            </w:pPr>
          </w:p>
        </w:tc>
        <w:tc>
          <w:tcPr>
            <w:tcW w:w="46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5540" w:type="dxa"/>
            <w:vAlign w:val="bottom"/>
            <w:shd w:val="clear" w:color="auto" w:fill="CCEEFF"/>
          </w:tcPr>
          <w:p>
            <w:pPr>
              <w:spacing w:after="0"/>
              <w:rPr>
                <w:sz w:val="11"/>
                <w:szCs w:val="11"/>
                <w:color w:val="auto"/>
              </w:rPr>
            </w:pPr>
          </w:p>
        </w:tc>
        <w:tc>
          <w:tcPr>
            <w:tcW w:w="460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540" w:type="dxa"/>
            <w:vAlign w:val="bottom"/>
            <w:tcBorders>
              <w:bottom w:val="single" w:sz="8" w:color="auto"/>
            </w:tcBorders>
            <w:shd w:val="clear" w:color="auto" w:fill="CCEEFF"/>
          </w:tcPr>
          <w:p>
            <w:pPr>
              <w:spacing w:after="0"/>
              <w:rPr>
                <w:sz w:val="14"/>
                <w:szCs w:val="14"/>
                <w:color w:val="auto"/>
              </w:rPr>
            </w:pPr>
          </w:p>
        </w:tc>
        <w:tc>
          <w:tcPr>
            <w:tcW w:w="46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540" w:type="dxa"/>
            <w:vAlign w:val="bottom"/>
          </w:tcPr>
          <w:p>
            <w:pPr>
              <w:spacing w:after="0"/>
              <w:rPr>
                <w:sz w:val="14"/>
                <w:szCs w:val="14"/>
                <w:color w:val="auto"/>
              </w:rPr>
            </w:pPr>
          </w:p>
        </w:tc>
        <w:tc>
          <w:tcPr>
            <w:tcW w:w="46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(Note 19)</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647,295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538,785</w:t>
            </w:r>
          </w:p>
        </w:tc>
      </w:tr>
      <w:tr>
        <w:trPr>
          <w:trHeight w:val="16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liquid resources</w:t>
            </w:r>
          </w:p>
        </w:tc>
        <w:tc>
          <w:tcPr>
            <w:tcW w:w="46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647,295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538,785</w:t>
            </w:r>
          </w:p>
        </w:tc>
      </w:tr>
      <w:tr>
        <w:trPr>
          <w:trHeight w:val="185"/>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9,246,920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9,500,980</w:t>
            </w: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4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 other growth opportunities and share buy backs. The CRO industry is generally not capital intensive. The Group primarily finances its operations and growth through cash flows from operations, together with amounts drawn under negotiated facilities as required.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1280"/>
          </w:cols>
          <w:pgMar w:left="300" w:top="698" w:right="3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The Group’s primary objectives in managing its liquid and capital resources are as follows:</w:t>
      </w:r>
    </w:p>
    <w:p>
      <w:pPr>
        <w:spacing w:after="0" w:line="179" w:lineRule="exact"/>
        <w:rPr>
          <w:sz w:val="20"/>
          <w:szCs w:val="20"/>
          <w:color w:val="auto"/>
        </w:rPr>
      </w:pPr>
    </w:p>
    <w:p>
      <w:pPr>
        <w:ind w:left="500" w:hanging="304"/>
        <w:spacing w:after="0"/>
        <w:tabs>
          <w:tab w:leader="none" w:pos="5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maintain adequate resources to fund its continued operations,</w:t>
      </w:r>
    </w:p>
    <w:p>
      <w:pPr>
        <w:spacing w:after="0" w:line="11" w:lineRule="exact"/>
        <w:rPr>
          <w:rFonts w:ascii="Arial" w:cs="Arial" w:eastAsia="Arial" w:hAnsi="Arial"/>
          <w:sz w:val="13"/>
          <w:szCs w:val="13"/>
          <w:color w:val="auto"/>
        </w:rPr>
      </w:pPr>
    </w:p>
    <w:p>
      <w:pPr>
        <w:ind w:left="500" w:hanging="304"/>
        <w:spacing w:after="0"/>
        <w:tabs>
          <w:tab w:leader="none" w:pos="5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ensure availability of sufficient resources to sustain future development and growth of the business,</w:t>
      </w:r>
    </w:p>
    <w:p>
      <w:pPr>
        <w:ind w:left="500" w:hanging="304"/>
        <w:spacing w:after="0"/>
        <w:tabs>
          <w:tab w:leader="none" w:pos="5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maintain sufficient resources to mitigate risks and unforeseen events which may arise.</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Note 21 </w:t>
      </w:r>
      <w:r>
        <w:rPr>
          <w:rFonts w:ascii="Arial" w:cs="Arial" w:eastAsia="Arial" w:hAnsi="Arial"/>
          <w:sz w:val="13"/>
          <w:szCs w:val="13"/>
          <w:i w:val="1"/>
          <w:iCs w:val="1"/>
          <w:color w:val="auto"/>
        </w:rPr>
        <w:t>Bank credit lines and loan facilities</w:t>
      </w:r>
      <w:r>
        <w:rPr>
          <w:rFonts w:ascii="Arial" w:cs="Arial" w:eastAsia="Arial" w:hAnsi="Arial"/>
          <w:sz w:val="13"/>
          <w:szCs w:val="13"/>
          <w:color w:val="auto"/>
        </w:rPr>
        <w:t xml:space="preserve"> in Notes to the Consolidated Financial Statements</w:t>
      </w:r>
      <w:r>
        <w:rPr>
          <w:rFonts w:ascii="Arial" w:cs="Arial" w:eastAsia="Arial" w:hAnsi="Arial"/>
          <w:sz w:val="13"/>
          <w:szCs w:val="13"/>
          <w:i w:val="1"/>
          <w:iCs w:val="1"/>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On 1 July 2021, the Group completed the acquisition of PRA Health Sciences, Inc. (“PRA”) by means of a merger whereby Indigo Merger Sub, Inc., a Delaware corporation and subsidiary of ICON, merged with and into PRA, the parent of PRA Health Sciences (the “Merger”). In conjunction with the completion of the merger, ICON entered into a credit agreement (the “Credit Agreement”) providing for a senior secured term loan facility of $5,515 million and a senior secured revolving loan facility in an initial aggregate principal amount of $300 million (the “Senior Secured Credit Facilities”).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Credit Facilities, the Group issued $500 million in aggregate principal amount of 2.875% senior secured notes in a private offering (the “2026 Notes”). On 2 May 2023, the Group agreed with its lenders to increase the aggregate principal amount of the senior secured revolving loan facility from $300 million to $500 million.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Notes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On 8 May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Repricing - senior secured term loan facility</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14 March 2024, the parties to the Credit Agreement entered into a Third Amendment to the Credit Agreement (the “Third Amendment”) in connection with the repricing of the senior secured term loan facility and the senior secured revolving credit facility (The Third Amendment in relation to the senior secured revolving credit facility was further amended by the Fourth Amendment as referred to below).</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Repricing and extension - senior secured revolving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On 26 November 2025, the parties to the Credit Agreement entered into a Fourth Amendment (the “Fourth Amendment”) to reprice and extend the senior secured revolving credit facility.</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As a result of the Fourth Amendment, the maturity was extended from a five-year term to a seven-year term ending 1July 2028. Reflecting the Fourth Amendment, the interest rate margin applicable to borrowings under the revolving loan facility will be, at the option of the borrower, either (i) the applicable base rate plus an applicable margin of 0.35% or 0.00%, based on the Company’s current corporate family rating assigned by S&amp;P of BB (or lower) or BB+ (or higher), respectively, or (ii) Term SOFR plus an applicable margin of 1.35%, 1.00%, 0.75%, 0.55%, or 0.40%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1280"/>
          </w:cols>
          <w:pgMar w:left="300" w:top="698" w:right="3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 repayment</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During the year ended 31 December 2025, the Group made mandatory principal repayments of $29.8 million (31 December 2024: mandatory and voluntary principal repayments of $2,304.8 million) of the senior secured term loan facility. There have been no voluntary repayments made during the year ended 31 December 2025. For the year ended 31 December 2024, voluntary repayments resulted in an accelerated charge associated with previously capitalised fees of $16.9 million.</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In addition, during the year ended 31 December 2025, the Group drew $50.0 million (31 December 2024: $318.0 million) of the senior secured revolving loan facility and repaid $50.0 million</w:t>
      </w:r>
    </w:p>
    <w:p>
      <w:pPr>
        <w:spacing w:after="0" w:line="11"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 xml:space="preserve">(31 December 2024: $373.0 million). At 31 December 2025, $nil was drawn under the senior secured revolving loan facility (31 December 2024: $nil). Refer to Note 21 </w:t>
      </w:r>
      <w:r>
        <w:rPr>
          <w:rFonts w:ascii="Arial" w:cs="Arial" w:eastAsia="Arial" w:hAnsi="Arial"/>
          <w:sz w:val="13"/>
          <w:szCs w:val="13"/>
          <w:i w:val="1"/>
          <w:iCs w:val="1"/>
          <w:color w:val="auto"/>
        </w:rPr>
        <w:t>Bank credit lines and loan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facilities </w:t>
      </w:r>
      <w:r>
        <w:rPr>
          <w:rFonts w:ascii="Arial" w:cs="Arial" w:eastAsia="Arial" w:hAnsi="Arial"/>
          <w:sz w:val="13"/>
          <w:szCs w:val="13"/>
          <w:color w:val="auto"/>
        </w:rPr>
        <w:t>in Notes to the Consolidated Financial Statements for further details on the Company's Senior Secured Credit Facilities.</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 ended 31 December 2025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Carrying</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Contractual cash</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Less than</w:t>
            </w:r>
          </w:p>
        </w:tc>
        <w:tc>
          <w:tcPr>
            <w:tcW w:w="13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1-2 years</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2-5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3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flows</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 year</w:t>
            </w:r>
          </w:p>
        </w:tc>
        <w:tc>
          <w:tcPr>
            <w:tcW w:w="1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81"/>
        </w:trPr>
        <w:tc>
          <w:tcPr>
            <w:tcW w:w="3300" w:type="dxa"/>
            <w:vAlign w:val="bottom"/>
            <w:tcBorders>
              <w:bottom w:val="single" w:sz="8" w:color="auto"/>
            </w:tcBorders>
            <w:shd w:val="clear" w:color="auto" w:fill="CCEEFF"/>
          </w:tcPr>
          <w:p>
            <w:pPr>
              <w:spacing w:after="0"/>
              <w:rPr>
                <w:sz w:val="7"/>
                <w:szCs w:val="7"/>
                <w:color w:val="auto"/>
              </w:rPr>
            </w:pPr>
          </w:p>
        </w:tc>
        <w:tc>
          <w:tcPr>
            <w:tcW w:w="166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166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3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credit lines and loan facilities</w:t>
            </w:r>
          </w:p>
        </w:tc>
        <w:tc>
          <w:tcPr>
            <w:tcW w:w="1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(3,402,378)</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(3,416,688)</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(529,762)</w:t>
            </w:r>
          </w:p>
        </w:tc>
        <w:tc>
          <w:tcPr>
            <w:tcW w:w="13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(779,762)</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(1,607,164)</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1660" w:type="dxa"/>
            <w:vAlign w:val="bottom"/>
          </w:tcPr>
          <w:p>
            <w:pPr>
              <w:jc w:val="right"/>
              <w:ind w:right="76"/>
              <w:spacing w:after="0"/>
              <w:rPr>
                <w:sz w:val="20"/>
                <w:szCs w:val="20"/>
                <w:color w:val="auto"/>
              </w:rPr>
            </w:pPr>
            <w:r>
              <w:rPr>
                <w:rFonts w:ascii="Arial" w:cs="Arial" w:eastAsia="Arial" w:hAnsi="Arial"/>
                <w:sz w:val="13"/>
                <w:szCs w:val="13"/>
                <w:color w:val="auto"/>
              </w:rPr>
              <w:t>(24,062)</w:t>
            </w:r>
          </w:p>
        </w:tc>
        <w:tc>
          <w:tcPr>
            <w:tcW w:w="1380" w:type="dxa"/>
            <w:vAlign w:val="bottom"/>
          </w:tcPr>
          <w:p>
            <w:pPr>
              <w:jc w:val="right"/>
              <w:ind w:right="176"/>
              <w:spacing w:after="0"/>
              <w:rPr>
                <w:sz w:val="20"/>
                <w:szCs w:val="20"/>
                <w:color w:val="auto"/>
              </w:rPr>
            </w:pPr>
            <w:r>
              <w:rPr>
                <w:rFonts w:ascii="Arial" w:cs="Arial" w:eastAsia="Arial" w:hAnsi="Arial"/>
                <w:sz w:val="13"/>
                <w:szCs w:val="13"/>
                <w:color w:val="auto"/>
              </w:rPr>
              <w:t>(587,892)</w:t>
            </w: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(175,407)</w:t>
            </w:r>
          </w:p>
        </w:tc>
        <w:tc>
          <w:tcPr>
            <w:tcW w:w="1300" w:type="dxa"/>
            <w:vAlign w:val="bottom"/>
          </w:tcPr>
          <w:p>
            <w:pPr>
              <w:jc w:val="right"/>
              <w:ind w:right="176"/>
              <w:spacing w:after="0"/>
              <w:rPr>
                <w:sz w:val="20"/>
                <w:szCs w:val="20"/>
                <w:color w:val="auto"/>
              </w:rPr>
            </w:pPr>
            <w:r>
              <w:rPr>
                <w:rFonts w:ascii="Arial" w:cs="Arial" w:eastAsia="Arial" w:hAnsi="Arial"/>
                <w:sz w:val="13"/>
                <w:szCs w:val="13"/>
                <w:color w:val="auto"/>
              </w:rPr>
              <w:t>(138,492)</w:t>
            </w: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(173,410)</w:t>
            </w:r>
          </w:p>
        </w:tc>
        <w:tc>
          <w:tcPr>
            <w:tcW w:w="1060" w:type="dxa"/>
            <w:vAlign w:val="bottom"/>
          </w:tcPr>
          <w:p>
            <w:pPr>
              <w:jc w:val="right"/>
              <w:spacing w:after="0"/>
              <w:rPr>
                <w:sz w:val="20"/>
                <w:szCs w:val="20"/>
                <w:color w:val="auto"/>
              </w:rPr>
            </w:pPr>
            <w:r>
              <w:rPr>
                <w:rFonts w:ascii="Arial" w:cs="Arial" w:eastAsia="Arial" w:hAnsi="Arial"/>
                <w:sz w:val="13"/>
                <w:szCs w:val="13"/>
                <w:color w:val="auto"/>
              </w:rPr>
              <w:t>(100,583)</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(153,404)</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(170,404)</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(41,377)</w:t>
            </w:r>
          </w:p>
        </w:tc>
        <w:tc>
          <w:tcPr>
            <w:tcW w:w="13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(35,918)</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(60,104)</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(33,005)</w:t>
            </w: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1660" w:type="dxa"/>
            <w:vAlign w:val="bottom"/>
          </w:tcPr>
          <w:p>
            <w:pPr>
              <w:jc w:val="right"/>
              <w:ind w:right="76"/>
              <w:spacing w:after="0"/>
              <w:rPr>
                <w:sz w:val="20"/>
                <w:szCs w:val="20"/>
                <w:color w:val="auto"/>
              </w:rPr>
            </w:pPr>
            <w:r>
              <w:rPr>
                <w:rFonts w:ascii="Arial" w:cs="Arial" w:eastAsia="Arial" w:hAnsi="Arial"/>
                <w:sz w:val="13"/>
                <w:szCs w:val="13"/>
                <w:color w:val="auto"/>
              </w:rPr>
              <w:t>(69,115)</w:t>
            </w:r>
          </w:p>
        </w:tc>
        <w:tc>
          <w:tcPr>
            <w:tcW w:w="1380" w:type="dxa"/>
            <w:vAlign w:val="bottom"/>
          </w:tcPr>
          <w:p>
            <w:pPr>
              <w:jc w:val="right"/>
              <w:ind w:right="176"/>
              <w:spacing w:after="0"/>
              <w:rPr>
                <w:sz w:val="20"/>
                <w:szCs w:val="20"/>
                <w:color w:val="auto"/>
              </w:rPr>
            </w:pPr>
            <w:r>
              <w:rPr>
                <w:rFonts w:ascii="Arial" w:cs="Arial" w:eastAsia="Arial" w:hAnsi="Arial"/>
                <w:sz w:val="13"/>
                <w:szCs w:val="13"/>
                <w:color w:val="auto"/>
              </w:rPr>
              <w:t>(69,115)</w:t>
            </w:r>
          </w:p>
        </w:tc>
        <w:tc>
          <w:tcPr>
            <w:tcW w:w="12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76"/>
              <w:spacing w:after="0"/>
              <w:rPr>
                <w:sz w:val="20"/>
                <w:szCs w:val="20"/>
                <w:color w:val="auto"/>
              </w:rPr>
            </w:pPr>
            <w:r>
              <w:rPr>
                <w:rFonts w:ascii="Arial" w:cs="Arial" w:eastAsia="Arial" w:hAnsi="Arial"/>
                <w:sz w:val="13"/>
                <w:szCs w:val="13"/>
                <w:color w:val="auto"/>
              </w:rPr>
              <w:t>(4,934)</w:t>
            </w: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(15,671)</w:t>
            </w:r>
          </w:p>
        </w:tc>
        <w:tc>
          <w:tcPr>
            <w:tcW w:w="1060" w:type="dxa"/>
            <w:vAlign w:val="bottom"/>
          </w:tcPr>
          <w:p>
            <w:pPr>
              <w:jc w:val="right"/>
              <w:spacing w:after="0"/>
              <w:rPr>
                <w:sz w:val="20"/>
                <w:szCs w:val="20"/>
                <w:color w:val="auto"/>
              </w:rPr>
            </w:pPr>
            <w:r>
              <w:rPr>
                <w:rFonts w:ascii="Arial" w:cs="Arial" w:eastAsia="Arial" w:hAnsi="Arial"/>
                <w:sz w:val="13"/>
                <w:szCs w:val="13"/>
                <w:color w:val="auto"/>
              </w:rPr>
              <w:t>(48,510)</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(192,117)</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(192,117)</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(192,117)</w:t>
            </w:r>
          </w:p>
        </w:tc>
        <w:tc>
          <w:tcPr>
            <w:tcW w:w="13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and other liabilities**</w:t>
            </w:r>
          </w:p>
        </w:tc>
        <w:tc>
          <w:tcPr>
            <w:tcW w:w="1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(834,024)</w:t>
            </w: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(834,024)</w:t>
            </w: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(834,024)</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3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(4,675,100)</w:t>
            </w:r>
          </w:p>
        </w:tc>
        <w:tc>
          <w:tcPr>
            <w:tcW w:w="1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(5,270,240)</w:t>
            </w: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(1,772,687)</w:t>
            </w:r>
          </w:p>
        </w:tc>
        <w:tc>
          <w:tcPr>
            <w:tcW w:w="13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(959,106)</w:t>
            </w: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(1,856,349)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(682,098)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300" w:type="dxa"/>
            <w:vAlign w:val="bottom"/>
          </w:tcPr>
          <w:p>
            <w:pPr>
              <w:spacing w:after="0"/>
              <w:rPr>
                <w:sz w:val="20"/>
                <w:szCs w:val="20"/>
                <w:color w:val="auto"/>
              </w:rPr>
            </w:pPr>
            <w:r>
              <w:rPr>
                <w:rFonts w:ascii="Arial" w:cs="Arial" w:eastAsia="Arial" w:hAnsi="Arial"/>
                <w:sz w:val="13"/>
                <w:szCs w:val="13"/>
                <w:i w:val="1"/>
                <w:iCs w:val="1"/>
                <w:color w:val="auto"/>
              </w:rPr>
              <w:t>Year ended 31 December 2024</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330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76"/>
              <w:spacing w:after="0" w:line="128" w:lineRule="exact"/>
              <w:rPr>
                <w:sz w:val="20"/>
                <w:szCs w:val="20"/>
                <w:color w:val="auto"/>
              </w:rPr>
            </w:pPr>
            <w:r>
              <w:rPr>
                <w:rFonts w:ascii="Arial" w:cs="Arial" w:eastAsia="Arial" w:hAnsi="Arial"/>
                <w:sz w:val="13"/>
                <w:szCs w:val="13"/>
                <w:b w:val="1"/>
                <w:bCs w:val="1"/>
                <w:color w:val="auto"/>
              </w:rPr>
              <w:t>Carrying</w:t>
            </w:r>
          </w:p>
        </w:tc>
        <w:tc>
          <w:tcPr>
            <w:tcW w:w="138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Contractual cash</w:t>
            </w:r>
          </w:p>
        </w:tc>
        <w:tc>
          <w:tcPr>
            <w:tcW w:w="1280" w:type="dxa"/>
            <w:vAlign w:val="bottom"/>
            <w:shd w:val="clear" w:color="auto" w:fill="CCEEFF"/>
          </w:tcPr>
          <w:p>
            <w:pPr>
              <w:jc w:val="right"/>
              <w:ind w:right="196"/>
              <w:spacing w:after="0" w:line="128" w:lineRule="exact"/>
              <w:rPr>
                <w:sz w:val="20"/>
                <w:szCs w:val="20"/>
                <w:color w:val="auto"/>
              </w:rPr>
            </w:pPr>
            <w:r>
              <w:rPr>
                <w:rFonts w:ascii="Arial" w:cs="Arial" w:eastAsia="Arial" w:hAnsi="Arial"/>
                <w:sz w:val="13"/>
                <w:szCs w:val="13"/>
                <w:b w:val="1"/>
                <w:bCs w:val="1"/>
                <w:color w:val="auto"/>
              </w:rPr>
              <w:t>Less than</w:t>
            </w:r>
          </w:p>
        </w:tc>
        <w:tc>
          <w:tcPr>
            <w:tcW w:w="130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1-2 years</w:t>
            </w:r>
          </w:p>
        </w:tc>
        <w:tc>
          <w:tcPr>
            <w:tcW w:w="128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2-5 years</w:t>
            </w:r>
          </w:p>
        </w:tc>
        <w:tc>
          <w:tcPr>
            <w:tcW w:w="10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7"/>
        </w:trPr>
        <w:tc>
          <w:tcPr>
            <w:tcW w:w="330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76"/>
              <w:spacing w:after="0" w:line="128" w:lineRule="exact"/>
              <w:rPr>
                <w:sz w:val="20"/>
                <w:szCs w:val="20"/>
                <w:color w:val="auto"/>
              </w:rPr>
            </w:pPr>
            <w:r>
              <w:rPr>
                <w:rFonts w:ascii="Arial" w:cs="Arial" w:eastAsia="Arial" w:hAnsi="Arial"/>
                <w:sz w:val="13"/>
                <w:szCs w:val="13"/>
                <w:b w:val="1"/>
                <w:bCs w:val="1"/>
                <w:color w:val="auto"/>
              </w:rPr>
              <w:t>amount</w:t>
            </w:r>
          </w:p>
        </w:tc>
        <w:tc>
          <w:tcPr>
            <w:tcW w:w="138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flows</w:t>
            </w:r>
          </w:p>
        </w:tc>
        <w:tc>
          <w:tcPr>
            <w:tcW w:w="128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1 year</w:t>
            </w:r>
          </w:p>
        </w:tc>
        <w:tc>
          <w:tcPr>
            <w:tcW w:w="130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(As Restated)</w:t>
            </w:r>
          </w:p>
        </w:tc>
        <w:tc>
          <w:tcPr>
            <w:tcW w:w="128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(As Restated)</w:t>
            </w:r>
          </w:p>
        </w:tc>
        <w:tc>
          <w:tcPr>
            <w:tcW w:w="10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70"/>
        </w:trPr>
        <w:tc>
          <w:tcPr>
            <w:tcW w:w="33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(As Restated)</w:t>
            </w:r>
          </w:p>
        </w:tc>
        <w:tc>
          <w:tcPr>
            <w:tcW w:w="13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(As Restated)</w:t>
            </w:r>
          </w:p>
        </w:tc>
        <w:tc>
          <w:tcPr>
            <w:tcW w:w="12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(As Restated)</w:t>
            </w: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166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3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credit lines and loan facilities</w:t>
            </w:r>
          </w:p>
        </w:tc>
        <w:tc>
          <w:tcPr>
            <w:tcW w:w="1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(3,426,160)</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(3,446,450)</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(29,762)</w:t>
            </w:r>
          </w:p>
        </w:tc>
        <w:tc>
          <w:tcPr>
            <w:tcW w:w="13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(529,762)</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(2,386,926)</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1660" w:type="dxa"/>
            <w:vAlign w:val="bottom"/>
          </w:tcPr>
          <w:p>
            <w:pPr>
              <w:jc w:val="right"/>
              <w:ind w:right="76"/>
              <w:spacing w:after="0"/>
              <w:rPr>
                <w:sz w:val="20"/>
                <w:szCs w:val="20"/>
                <w:color w:val="auto"/>
              </w:rPr>
            </w:pPr>
            <w:r>
              <w:rPr>
                <w:rFonts w:ascii="Arial" w:cs="Arial" w:eastAsia="Arial" w:hAnsi="Arial"/>
                <w:sz w:val="13"/>
                <w:szCs w:val="13"/>
                <w:color w:val="auto"/>
              </w:rPr>
              <w:t>(24,084)</w:t>
            </w:r>
          </w:p>
        </w:tc>
        <w:tc>
          <w:tcPr>
            <w:tcW w:w="1380" w:type="dxa"/>
            <w:vAlign w:val="bottom"/>
          </w:tcPr>
          <w:p>
            <w:pPr>
              <w:jc w:val="right"/>
              <w:ind w:right="176"/>
              <w:spacing w:after="0"/>
              <w:rPr>
                <w:sz w:val="20"/>
                <w:szCs w:val="20"/>
                <w:color w:val="auto"/>
              </w:rPr>
            </w:pPr>
            <w:r>
              <w:rPr>
                <w:rFonts w:ascii="Arial" w:cs="Arial" w:eastAsia="Arial" w:hAnsi="Arial"/>
                <w:sz w:val="13"/>
                <w:szCs w:val="13"/>
                <w:color w:val="auto"/>
              </w:rPr>
              <w:t>(793,683)</w:t>
            </w: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(191,319)</w:t>
            </w:r>
          </w:p>
        </w:tc>
        <w:tc>
          <w:tcPr>
            <w:tcW w:w="1300" w:type="dxa"/>
            <w:vAlign w:val="bottom"/>
          </w:tcPr>
          <w:p>
            <w:pPr>
              <w:jc w:val="right"/>
              <w:ind w:right="176"/>
              <w:spacing w:after="0"/>
              <w:rPr>
                <w:sz w:val="20"/>
                <w:szCs w:val="20"/>
                <w:color w:val="auto"/>
              </w:rPr>
            </w:pPr>
            <w:r>
              <w:rPr>
                <w:rFonts w:ascii="Arial" w:cs="Arial" w:eastAsia="Arial" w:hAnsi="Arial"/>
                <w:sz w:val="13"/>
                <w:szCs w:val="13"/>
                <w:color w:val="auto"/>
              </w:rPr>
              <w:t>(180,918)</w:t>
            </w: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(290,863)</w:t>
            </w:r>
          </w:p>
        </w:tc>
        <w:tc>
          <w:tcPr>
            <w:tcW w:w="1060" w:type="dxa"/>
            <w:vAlign w:val="bottom"/>
          </w:tcPr>
          <w:p>
            <w:pPr>
              <w:jc w:val="right"/>
              <w:spacing w:after="0"/>
              <w:rPr>
                <w:sz w:val="20"/>
                <w:szCs w:val="20"/>
                <w:color w:val="auto"/>
              </w:rPr>
            </w:pPr>
            <w:r>
              <w:rPr>
                <w:rFonts w:ascii="Arial" w:cs="Arial" w:eastAsia="Arial" w:hAnsi="Arial"/>
                <w:sz w:val="13"/>
                <w:szCs w:val="13"/>
                <w:color w:val="auto"/>
              </w:rPr>
              <w:t>(130,583)</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(176,868)</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(199,674)</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(42,931)</w:t>
            </w:r>
          </w:p>
        </w:tc>
        <w:tc>
          <w:tcPr>
            <w:tcW w:w="13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(38,445)</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(73,251)</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(45,047)</w:t>
            </w: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1660" w:type="dxa"/>
            <w:vAlign w:val="bottom"/>
          </w:tcPr>
          <w:p>
            <w:pPr>
              <w:jc w:val="right"/>
              <w:ind w:right="76"/>
              <w:spacing w:after="0"/>
              <w:rPr>
                <w:sz w:val="20"/>
                <w:szCs w:val="20"/>
                <w:color w:val="auto"/>
              </w:rPr>
            </w:pPr>
            <w:r>
              <w:rPr>
                <w:rFonts w:ascii="Arial" w:cs="Arial" w:eastAsia="Arial" w:hAnsi="Arial"/>
                <w:sz w:val="13"/>
                <w:szCs w:val="13"/>
                <w:color w:val="auto"/>
              </w:rPr>
              <w:t>(79,762)</w:t>
            </w:r>
          </w:p>
        </w:tc>
        <w:tc>
          <w:tcPr>
            <w:tcW w:w="1380" w:type="dxa"/>
            <w:vAlign w:val="bottom"/>
          </w:tcPr>
          <w:p>
            <w:pPr>
              <w:jc w:val="right"/>
              <w:ind w:right="176"/>
              <w:spacing w:after="0"/>
              <w:rPr>
                <w:sz w:val="20"/>
                <w:szCs w:val="20"/>
                <w:color w:val="auto"/>
              </w:rPr>
            </w:pPr>
            <w:r>
              <w:rPr>
                <w:rFonts w:ascii="Arial" w:cs="Arial" w:eastAsia="Arial" w:hAnsi="Arial"/>
                <w:sz w:val="13"/>
                <w:szCs w:val="13"/>
                <w:color w:val="auto"/>
              </w:rPr>
              <w:t>(79,762)</w:t>
            </w:r>
          </w:p>
        </w:tc>
        <w:tc>
          <w:tcPr>
            <w:tcW w:w="12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76"/>
              <w:spacing w:after="0"/>
              <w:rPr>
                <w:sz w:val="20"/>
                <w:szCs w:val="20"/>
                <w:color w:val="auto"/>
              </w:rPr>
            </w:pPr>
            <w:r>
              <w:rPr>
                <w:rFonts w:ascii="Arial" w:cs="Arial" w:eastAsia="Arial" w:hAnsi="Arial"/>
                <w:sz w:val="13"/>
                <w:szCs w:val="13"/>
                <w:color w:val="auto"/>
              </w:rPr>
              <w:t>(5,195)</w:t>
            </w: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(15,583)</w:t>
            </w:r>
          </w:p>
        </w:tc>
        <w:tc>
          <w:tcPr>
            <w:tcW w:w="1060" w:type="dxa"/>
            <w:vAlign w:val="bottom"/>
          </w:tcPr>
          <w:p>
            <w:pPr>
              <w:jc w:val="right"/>
              <w:spacing w:after="0"/>
              <w:rPr>
                <w:sz w:val="20"/>
                <w:szCs w:val="20"/>
                <w:color w:val="auto"/>
              </w:rPr>
            </w:pPr>
            <w:r>
              <w:rPr>
                <w:rFonts w:ascii="Arial" w:cs="Arial" w:eastAsia="Arial" w:hAnsi="Arial"/>
                <w:sz w:val="13"/>
                <w:szCs w:val="13"/>
                <w:color w:val="auto"/>
              </w:rPr>
              <w:t>(58,984)</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(173,025)</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(173,025)</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(173,025)</w:t>
            </w:r>
          </w:p>
        </w:tc>
        <w:tc>
          <w:tcPr>
            <w:tcW w:w="13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and other liabilities**</w:t>
            </w:r>
          </w:p>
        </w:tc>
        <w:tc>
          <w:tcPr>
            <w:tcW w:w="1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(819,748)</w:t>
            </w: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(819,748)</w:t>
            </w: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(819,748)</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3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(4,699,647)</w:t>
            </w:r>
          </w:p>
        </w:tc>
        <w:tc>
          <w:tcPr>
            <w:tcW w:w="1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(5,512,342)</w:t>
            </w: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(1,256,785)</w:t>
            </w:r>
          </w:p>
        </w:tc>
        <w:tc>
          <w:tcPr>
            <w:tcW w:w="13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(754,320)</w:t>
            </w: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(2,766,623)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(734,614)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Non-current other liabilities above excludes deferred government grants (2025: $0.6 million and 2024: $0.6 million).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**Accrued and other liabilities excludes interest on senior notes presented separately above, deferred government grants (2025: </w:t>
      </w:r>
      <w:r>
        <w:rPr>
          <w:rFonts w:ascii="Arial" w:cs="Arial" w:eastAsia="Arial" w:hAnsi="Arial"/>
          <w:sz w:val="12"/>
          <w:szCs w:val="12"/>
          <w:color w:val="auto"/>
        </w:rPr>
        <w:t>$0.08 million</w:t>
      </w:r>
      <w:r>
        <w:rPr>
          <w:rFonts w:ascii="Arial" w:cs="Arial" w:eastAsia="Arial" w:hAnsi="Arial"/>
          <w:sz w:val="12"/>
          <w:szCs w:val="12"/>
          <w:i w:val="1"/>
          <w:iCs w:val="1"/>
          <w:color w:val="auto"/>
        </w:rPr>
        <w:t xml:space="preserve"> and 2024: </w:t>
      </w:r>
      <w:r>
        <w:rPr>
          <w:rFonts w:ascii="Arial" w:cs="Arial" w:eastAsia="Arial" w:hAnsi="Arial"/>
          <w:sz w:val="12"/>
          <w:szCs w:val="12"/>
          <w:color w:val="auto"/>
        </w:rPr>
        <w:t>$0.04 million</w:t>
      </w:r>
      <w:r>
        <w:rPr>
          <w:rFonts w:ascii="Arial" w:cs="Arial" w:eastAsia="Arial" w:hAnsi="Arial"/>
          <w:sz w:val="12"/>
          <w:szCs w:val="12"/>
          <w:i w:val="1"/>
          <w:iCs w:val="1"/>
          <w:color w:val="auto"/>
        </w:rPr>
        <w:t>) and current lease liabilities (2025:</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$36.3 million </w:t>
      </w:r>
      <w:r>
        <w:rPr>
          <w:rFonts w:ascii="Times New Roman" w:cs="Times New Roman" w:eastAsia="Times New Roman" w:hAnsi="Times New Roman"/>
          <w:sz w:val="14"/>
          <w:szCs w:val="14"/>
          <w:color w:val="auto"/>
        </w:rPr>
        <w:t>and</w:t>
      </w:r>
      <w:r>
        <w:rPr>
          <w:rFonts w:ascii="Arial" w:cs="Arial" w:eastAsia="Arial" w:hAnsi="Arial"/>
          <w:sz w:val="13"/>
          <w:szCs w:val="13"/>
          <w:color w:val="auto"/>
        </w:rPr>
        <w:t xml:space="preserve"> </w:t>
      </w:r>
      <w:r>
        <w:rPr>
          <w:rFonts w:ascii="Arial" w:cs="Arial" w:eastAsia="Arial" w:hAnsi="Arial"/>
          <w:sz w:val="13"/>
          <w:szCs w:val="13"/>
          <w:i w:val="1"/>
          <w:iCs w:val="1"/>
          <w:color w:val="auto"/>
        </w:rPr>
        <w:t>2024</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$36.8 million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Group is subject to a number of foreign currency risks given the global nature of its operations. The principal foreign currency risks to which the business is subject to include both foreign currency translation risk and foreign currency transaction risk.</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Although domiciled in Ireland, the Group reports its results in U.S. dollars. As a consequence, the results of our non-U.S. based operations, when translated into U.S. dollars, could be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11280"/>
          </w:cols>
          <w:pgMar w:left="300" w:top="698" w:right="3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Group is also subject to foreign currency transaction exposures as the currency in which its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The Group regularly reviews its foreign currency exposures and usually negotiates currency fluctuation clauses in its contracts which allow for price negotiation if certain exchange rate triggers occur. We had no open foreign currency contracts as at 31 December 2025 or 31 December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20"/>
                <w:szCs w:val="20"/>
                <w:color w:val="auto"/>
              </w:rPr>
            </w:pPr>
            <w:r>
              <w:rPr>
                <w:rFonts w:ascii="Arial" w:cs="Arial" w:eastAsia="Arial" w:hAnsi="Arial"/>
                <w:sz w:val="13"/>
                <w:szCs w:val="13"/>
                <w:color w:val="auto"/>
              </w:rPr>
              <w:t>The following significant exchange rates applied during the year:</w:t>
            </w:r>
          </w:p>
        </w:tc>
        <w:tc>
          <w:tcPr>
            <w:tcW w:w="1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15"/>
        </w:trPr>
        <w:tc>
          <w:tcPr>
            <w:tcW w:w="5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170"/>
        </w:trPr>
        <w:tc>
          <w:tcPr>
            <w:tcW w:w="532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Average Rate</w:t>
            </w:r>
          </w:p>
        </w:tc>
        <w:tc>
          <w:tcPr>
            <w:tcW w:w="100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Closing Rate</w:t>
            </w:r>
          </w:p>
        </w:tc>
      </w:tr>
      <w:tr>
        <w:trPr>
          <w:trHeight w:val="160"/>
        </w:trPr>
        <w:tc>
          <w:tcPr>
            <w:tcW w:w="5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b w:val="1"/>
                <w:bCs w:val="1"/>
                <w:color w:val="auto"/>
                <w:w w:val="96"/>
              </w:rPr>
              <w:t>2025</w:t>
            </w:r>
          </w:p>
        </w:tc>
        <w:tc>
          <w:tcPr>
            <w:tcW w:w="198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color w:val="auto"/>
              </w:rPr>
              <w:t>2024</w:t>
            </w:r>
          </w:p>
        </w:tc>
        <w:tc>
          <w:tcPr>
            <w:tcW w:w="100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b w:val="1"/>
                <w:bCs w:val="1"/>
                <w:color w:val="auto"/>
                <w:w w:val="96"/>
              </w:rPr>
              <w:t>2025</w:t>
            </w:r>
          </w:p>
        </w:tc>
        <w:tc>
          <w:tcPr>
            <w:tcW w:w="196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color w:val="auto"/>
                <w:w w:val="96"/>
              </w:rPr>
              <w:t>2024</w:t>
            </w:r>
          </w:p>
        </w:tc>
      </w:tr>
      <w:tr>
        <w:trPr>
          <w:trHeight w:val="16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Euro:USD</w:t>
            </w:r>
          </w:p>
        </w:tc>
        <w:tc>
          <w:tcPr>
            <w:tcW w:w="1000" w:type="dxa"/>
            <w:vAlign w:val="bottom"/>
            <w:shd w:val="clear" w:color="auto" w:fill="CCEEFF"/>
          </w:tcPr>
          <w:p>
            <w:pPr>
              <w:jc w:val="center"/>
              <w:ind w:left="416"/>
              <w:spacing w:after="0"/>
              <w:rPr>
                <w:sz w:val="20"/>
                <w:szCs w:val="20"/>
                <w:color w:val="auto"/>
              </w:rPr>
            </w:pPr>
            <w:r>
              <w:rPr>
                <w:rFonts w:ascii="Arial" w:cs="Arial" w:eastAsia="Arial" w:hAnsi="Arial"/>
                <w:sz w:val="13"/>
                <w:szCs w:val="13"/>
                <w:b w:val="1"/>
                <w:bCs w:val="1"/>
                <w:color w:val="auto"/>
              </w:rPr>
              <w:t>1.1222</w:t>
            </w:r>
          </w:p>
        </w:tc>
        <w:tc>
          <w:tcPr>
            <w:tcW w:w="1980" w:type="dxa"/>
            <w:vAlign w:val="bottom"/>
            <w:shd w:val="clear" w:color="auto" w:fill="CCEEFF"/>
          </w:tcPr>
          <w:p>
            <w:pPr>
              <w:jc w:val="center"/>
              <w:ind w:left="416"/>
              <w:spacing w:after="0"/>
              <w:rPr>
                <w:sz w:val="20"/>
                <w:szCs w:val="20"/>
                <w:color w:val="auto"/>
              </w:rPr>
            </w:pPr>
            <w:r>
              <w:rPr>
                <w:rFonts w:ascii="Arial" w:cs="Arial" w:eastAsia="Arial" w:hAnsi="Arial"/>
                <w:sz w:val="13"/>
                <w:szCs w:val="13"/>
                <w:color w:val="auto"/>
                <w:w w:val="95"/>
              </w:rPr>
              <w:t>1.0854</w:t>
            </w:r>
          </w:p>
        </w:tc>
        <w:tc>
          <w:tcPr>
            <w:tcW w:w="1000" w:type="dxa"/>
            <w:vAlign w:val="bottom"/>
            <w:shd w:val="clear" w:color="auto" w:fill="CCEEFF"/>
          </w:tcPr>
          <w:p>
            <w:pPr>
              <w:jc w:val="center"/>
              <w:ind w:left="396"/>
              <w:spacing w:after="0"/>
              <w:rPr>
                <w:sz w:val="20"/>
                <w:szCs w:val="20"/>
                <w:color w:val="auto"/>
              </w:rPr>
            </w:pPr>
            <w:r>
              <w:rPr>
                <w:rFonts w:ascii="Arial" w:cs="Arial" w:eastAsia="Arial" w:hAnsi="Arial"/>
                <w:sz w:val="13"/>
                <w:szCs w:val="13"/>
                <w:b w:val="1"/>
                <w:bCs w:val="1"/>
                <w:color w:val="auto"/>
                <w:w w:val="95"/>
              </w:rPr>
              <w:t>1.1746</w:t>
            </w:r>
          </w:p>
        </w:tc>
        <w:tc>
          <w:tcPr>
            <w:tcW w:w="1960" w:type="dxa"/>
            <w:vAlign w:val="bottom"/>
            <w:shd w:val="clear" w:color="auto" w:fill="CCEEFF"/>
          </w:tcPr>
          <w:p>
            <w:pPr>
              <w:jc w:val="center"/>
              <w:ind w:left="416"/>
              <w:spacing w:after="0"/>
              <w:rPr>
                <w:sz w:val="20"/>
                <w:szCs w:val="20"/>
                <w:color w:val="auto"/>
              </w:rPr>
            </w:pPr>
            <w:r>
              <w:rPr>
                <w:rFonts w:ascii="Arial" w:cs="Arial" w:eastAsia="Arial" w:hAnsi="Arial"/>
                <w:sz w:val="13"/>
                <w:szCs w:val="13"/>
                <w:color w:val="auto"/>
              </w:rPr>
              <w:t>1.0354</w:t>
            </w:r>
          </w:p>
        </w:tc>
      </w:tr>
      <w:tr>
        <w:trPr>
          <w:trHeight w:val="17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Sterling:USD</w:t>
            </w:r>
          </w:p>
        </w:tc>
        <w:tc>
          <w:tcPr>
            <w:tcW w:w="100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b w:val="1"/>
                <w:bCs w:val="1"/>
                <w:color w:val="auto"/>
              </w:rPr>
              <w:t>1.3150</w:t>
            </w:r>
          </w:p>
        </w:tc>
        <w:tc>
          <w:tcPr>
            <w:tcW w:w="198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color w:val="auto"/>
                <w:w w:val="95"/>
              </w:rPr>
              <w:t>1.2809</w:t>
            </w:r>
          </w:p>
        </w:tc>
        <w:tc>
          <w:tcPr>
            <w:tcW w:w="1000" w:type="dxa"/>
            <w:vAlign w:val="bottom"/>
            <w:tcBorders>
              <w:bottom w:val="single" w:sz="8" w:color="auto"/>
            </w:tcBorders>
          </w:tcPr>
          <w:p>
            <w:pPr>
              <w:jc w:val="center"/>
              <w:ind w:left="396"/>
              <w:spacing w:after="0"/>
              <w:rPr>
                <w:sz w:val="20"/>
                <w:szCs w:val="20"/>
                <w:color w:val="auto"/>
              </w:rPr>
            </w:pPr>
            <w:r>
              <w:rPr>
                <w:rFonts w:ascii="Arial" w:cs="Arial" w:eastAsia="Arial" w:hAnsi="Arial"/>
                <w:sz w:val="13"/>
                <w:szCs w:val="13"/>
                <w:b w:val="1"/>
                <w:bCs w:val="1"/>
                <w:color w:val="auto"/>
                <w:w w:val="95"/>
              </w:rPr>
              <w:t>1.3475</w:t>
            </w:r>
          </w:p>
        </w:tc>
        <w:tc>
          <w:tcPr>
            <w:tcW w:w="196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color w:val="auto"/>
              </w:rPr>
              <w:t>1.2516</w:t>
            </w: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simultaneous ten percent strengthening or weakening of the US Dollar, Euro and Sterling against all other currencies (which remained constant) would have increased or decreased profit before tax by $30.8 million, $22.7 million and $43.6 million respectively (31 December 2024: $71.0 million, $6.8 million and $86.5 million respectively) as a consequence of the retranslation of foreign currency denominated financial assets and liabilities at those dates.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Group is exposed to interest rate risk in respect of its cash and cash equivalents. The Group's treasury function actively manages its available cash resources and invests surplus cash balances to ensure optimum returns for the Company. Funds may be invested in the form of floating rate notes and medium term minimum “A-” rated corporate securities. The Group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the Group has variable rate debt, fluctuations in interest rates affect its business. The Group attempts to minimise interest rate risk by issuing fixed term debt to provide a mix of fixed and floating rate debt in the Group's debt portfolio. At 31 December 2025, 73% of the Group's outstanding debt is at a fixed interest rate (31 December 2024: 73%).</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During the year ended 31 December 2024, the Group's exposure to interest rate fluctuations significantly reduced with the voluntary and mandatory repayments of the senior secured term loan facility (refer to Note 21 </w:t>
      </w:r>
      <w:r>
        <w:rPr>
          <w:rFonts w:ascii="Arial" w:cs="Arial" w:eastAsia="Arial" w:hAnsi="Arial"/>
          <w:sz w:val="13"/>
          <w:szCs w:val="13"/>
          <w:i w:val="1"/>
          <w:iCs w:val="1"/>
          <w:color w:val="auto"/>
        </w:rPr>
        <w:t>Bank credit lines and loan facilities</w:t>
      </w:r>
      <w:r>
        <w:rPr>
          <w:rFonts w:ascii="Arial" w:cs="Arial" w:eastAsia="Arial" w:hAnsi="Arial"/>
          <w:sz w:val="13"/>
          <w:szCs w:val="13"/>
          <w:color w:val="auto"/>
        </w:rPr>
        <w:t xml:space="preserve"> in Notes to the Consolidated Financial Statements). Given this reduction and the repricing of the Senior Secured Credit facilities, the Company closed the 2022 Caps and 2022 Swap agreements at that time.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Group regularly evaluates its debt arrangements, as well as market conditions, and explores the opportunity to modify its existing arrangements or pursue additional financing arrangements that may result in the issuance of new debt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analysis below represents the hypothetical change in the net interest payable of a 1% movement in market interest rates.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shd w:val="clear" w:color="auto" w:fill="CCEEFF"/>
          </w:tcPr>
          <w:p>
            <w:pPr>
              <w:spacing w:after="0"/>
              <w:rPr>
                <w:sz w:val="14"/>
                <w:szCs w:val="14"/>
                <w:color w:val="auto"/>
              </w:rPr>
            </w:pPr>
          </w:p>
        </w:tc>
        <w:tc>
          <w:tcPr>
            <w:tcW w:w="5100" w:type="dxa"/>
            <w:vAlign w:val="bottom"/>
            <w:shd w:val="clear" w:color="auto" w:fill="CCEEFF"/>
          </w:tcPr>
          <w:p>
            <w:pPr>
              <w:spacing w:after="0"/>
              <w:rPr>
                <w:sz w:val="14"/>
                <w:szCs w:val="14"/>
                <w:color w:val="auto"/>
              </w:rPr>
            </w:pPr>
          </w:p>
        </w:tc>
        <w:tc>
          <w:tcPr>
            <w:tcW w:w="2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Interest Income</w:t>
            </w:r>
          </w:p>
        </w:tc>
        <w:tc>
          <w:tcPr>
            <w:tcW w:w="12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Interest Costs*</w:t>
            </w:r>
          </w:p>
        </w:tc>
        <w:tc>
          <w:tcPr>
            <w:tcW w:w="780" w:type="dxa"/>
            <w:vAlign w:val="bottom"/>
            <w:tcBorders>
              <w:bottom w:val="single" w:sz="8" w:color="auto"/>
            </w:tcBorders>
            <w:shd w:val="clear" w:color="auto" w:fill="CCEEFF"/>
          </w:tcPr>
          <w:p>
            <w:pPr>
              <w:spacing w:after="0"/>
              <w:rPr>
                <w:sz w:val="14"/>
                <w:szCs w:val="14"/>
                <w:color w:val="auto"/>
              </w:rPr>
            </w:pPr>
          </w:p>
        </w:tc>
      </w:tr>
      <w:tr>
        <w:trPr>
          <w:trHeight w:val="160"/>
        </w:trPr>
        <w:tc>
          <w:tcPr>
            <w:tcW w:w="22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2025</w:t>
            </w:r>
          </w:p>
        </w:tc>
        <w:tc>
          <w:tcPr>
            <w:tcW w:w="12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2024</w:t>
            </w:r>
          </w:p>
        </w:tc>
        <w:tc>
          <w:tcPr>
            <w:tcW w:w="17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220" w:type="dxa"/>
            <w:vAlign w:val="bottom"/>
            <w:shd w:val="clear" w:color="auto" w:fill="CCEEFF"/>
          </w:tcPr>
          <w:p>
            <w:pPr>
              <w:spacing w:after="0"/>
              <w:rPr>
                <w:sz w:val="13"/>
                <w:szCs w:val="13"/>
                <w:color w:val="auto"/>
              </w:rPr>
            </w:pPr>
          </w:p>
        </w:tc>
        <w:tc>
          <w:tcPr>
            <w:tcW w:w="5100" w:type="dxa"/>
            <w:vAlign w:val="bottom"/>
            <w:shd w:val="clear" w:color="auto" w:fill="CCEEFF"/>
          </w:tcPr>
          <w:p>
            <w:pPr>
              <w:spacing w:after="0"/>
              <w:rPr>
                <w:sz w:val="13"/>
                <w:szCs w:val="13"/>
                <w:color w:val="auto"/>
              </w:rPr>
            </w:pPr>
          </w:p>
        </w:tc>
        <w:tc>
          <w:tcPr>
            <w:tcW w:w="224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$’000</w:t>
            </w:r>
          </w:p>
        </w:tc>
        <w:tc>
          <w:tcPr>
            <w:tcW w:w="172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$’000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As reported</w:t>
            </w:r>
          </w:p>
        </w:tc>
        <w:tc>
          <w:tcPr>
            <w:tcW w:w="2240" w:type="dxa"/>
            <w:vAlign w:val="bottom"/>
          </w:tcPr>
          <w:p>
            <w:pPr>
              <w:jc w:val="right"/>
              <w:ind w:right="756"/>
              <w:spacing w:after="0"/>
              <w:rPr>
                <w:sz w:val="20"/>
                <w:szCs w:val="20"/>
                <w:color w:val="auto"/>
              </w:rPr>
            </w:pPr>
            <w:r>
              <w:rPr>
                <w:rFonts w:ascii="Arial" w:cs="Arial" w:eastAsia="Arial" w:hAnsi="Arial"/>
                <w:sz w:val="13"/>
                <w:szCs w:val="13"/>
                <w:b w:val="1"/>
                <w:bCs w:val="1"/>
                <w:color w:val="auto"/>
              </w:rPr>
              <w:t>7,109</w:t>
            </w:r>
          </w:p>
        </w:tc>
        <w:tc>
          <w:tcPr>
            <w:tcW w:w="1200" w:type="dxa"/>
            <w:vAlign w:val="bottom"/>
          </w:tcPr>
          <w:p>
            <w:pPr>
              <w:jc w:val="right"/>
              <w:ind w:right="456"/>
              <w:spacing w:after="0"/>
              <w:rPr>
                <w:sz w:val="20"/>
                <w:szCs w:val="20"/>
                <w:color w:val="auto"/>
              </w:rPr>
            </w:pPr>
            <w:r>
              <w:rPr>
                <w:rFonts w:ascii="Arial" w:cs="Arial" w:eastAsia="Arial" w:hAnsi="Arial"/>
                <w:sz w:val="13"/>
                <w:szCs w:val="13"/>
                <w:color w:val="auto"/>
              </w:rPr>
              <w:t>8,609</w:t>
            </w:r>
          </w:p>
        </w:tc>
        <w:tc>
          <w:tcPr>
            <w:tcW w:w="1720" w:type="dxa"/>
            <w:vAlign w:val="bottom"/>
          </w:tcPr>
          <w:p>
            <w:pPr>
              <w:jc w:val="right"/>
              <w:ind w:right="696"/>
              <w:spacing w:after="0"/>
              <w:rPr>
                <w:sz w:val="20"/>
                <w:szCs w:val="20"/>
                <w:color w:val="auto"/>
              </w:rPr>
            </w:pPr>
            <w:r>
              <w:rPr>
                <w:rFonts w:ascii="Arial" w:cs="Arial" w:eastAsia="Arial" w:hAnsi="Arial"/>
                <w:sz w:val="13"/>
                <w:szCs w:val="13"/>
                <w:b w:val="1"/>
                <w:bCs w:val="1"/>
                <w:color w:val="auto"/>
              </w:rPr>
              <w:t>197,490</w:t>
            </w:r>
          </w:p>
        </w:tc>
        <w:tc>
          <w:tcPr>
            <w:tcW w:w="780" w:type="dxa"/>
            <w:vAlign w:val="bottom"/>
          </w:tcPr>
          <w:p>
            <w:pPr>
              <w:jc w:val="right"/>
              <w:spacing w:after="0"/>
              <w:rPr>
                <w:sz w:val="20"/>
                <w:szCs w:val="20"/>
                <w:color w:val="auto"/>
              </w:rPr>
            </w:pPr>
            <w:r>
              <w:rPr>
                <w:rFonts w:ascii="Arial" w:cs="Arial" w:eastAsia="Arial" w:hAnsi="Arial"/>
                <w:sz w:val="13"/>
                <w:szCs w:val="13"/>
                <w:color w:val="auto"/>
              </w:rPr>
              <w:t>237,237</w:t>
            </w:r>
          </w:p>
        </w:tc>
      </w:tr>
      <w:tr>
        <w:trPr>
          <w:trHeight w:val="170"/>
        </w:trPr>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w:t>
            </w:r>
          </w:p>
        </w:tc>
        <w:tc>
          <w:tcPr>
            <w:tcW w:w="2240" w:type="dxa"/>
            <w:vAlign w:val="bottom"/>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12,253</w:t>
            </w:r>
          </w:p>
        </w:tc>
        <w:tc>
          <w:tcPr>
            <w:tcW w:w="12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13,639</w:t>
            </w:r>
          </w:p>
        </w:tc>
        <w:tc>
          <w:tcPr>
            <w:tcW w:w="172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206,998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254,987</w:t>
            </w:r>
          </w:p>
        </w:tc>
      </w:tr>
      <w:tr>
        <w:trPr>
          <w:trHeight w:val="170"/>
        </w:trPr>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5"/>
              </w:rPr>
              <w:t>1%</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Decrease</w:t>
            </w:r>
          </w:p>
        </w:tc>
        <w:tc>
          <w:tcPr>
            <w:tcW w:w="224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1,965</w:t>
            </w: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3,579</w:t>
            </w:r>
          </w:p>
        </w:tc>
        <w:tc>
          <w:tcPr>
            <w:tcW w:w="172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187,982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219,487</w:t>
            </w:r>
          </w:p>
        </w:tc>
      </w:tr>
    </w:tbl>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31 December 2025, 73% of the interest costs fixed due to the 2026 Notes and New Notes. $6.0 million financing fees have been allocated to interest cost which are not impacted by a change in interest rate. Interest costs above excludes interest on lease liabilities.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1280"/>
          </w:cols>
          <w:pgMar w:left="300" w:top="698" w:right="3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Derivatives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Group previously entered into interest rate cap and swap agreements for purposes of managing its exposure to interest rate fluctuations.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29 November 2022, the Group entered into two interest rate cap agreements (“2022 Caps”) with an initial total notional value of $2,101 million to limit its exposure to changes in the variable interest rate on its Senior Secured Credit Facilities. Interest on the 2022 Caps began accruing on 30 December 2022 and the interest rate caps were due to expire on 31 December 2024. Under the terms of the interest rate caps, the Group had paid a fixed rate of 0.42% and received a variable rate equal to the amount that the three-month SOFR rate exceeds 4.75%.</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29 November 2022, the Group entered into an interest rate swap agreement (“2022 Swap”) with an initial notional value of $1,101 million to limit its exposure to changes in the variable interest rate on its Senior Secured Credit Facilities. Interest on the 2022 Swap was due to begin accruing on 31 December 2024 and the interest rate swap was due to expire on 30 September 2026. Under the terms of the interest rate swap, the Group would have paid a fixed rate of 3.4% and would have received a variable rate of interest equal to the three-month SOFR on the 2022 Swap.</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2022 Caps and the 2022 Swap were designated as cash flow hedges. Gains and losses were initially reported as a component of other comprehensive income/loss and subsequently recognised in net income.</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During the year ended 31 December 2024, the Group’s exposure to interest rate fluctuations significantly reduced with the voluntary and mandatory repayments of the senior secured term loan facility (refer to Note 21 </w:t>
      </w:r>
      <w:r>
        <w:rPr>
          <w:rFonts w:ascii="Arial" w:cs="Arial" w:eastAsia="Arial" w:hAnsi="Arial"/>
          <w:sz w:val="13"/>
          <w:szCs w:val="13"/>
          <w:i w:val="1"/>
          <w:iCs w:val="1"/>
          <w:color w:val="auto"/>
        </w:rPr>
        <w:t>Bank credit lines and loan facilities</w:t>
      </w:r>
      <w:r>
        <w:rPr>
          <w:rFonts w:ascii="Arial" w:cs="Arial" w:eastAsia="Arial" w:hAnsi="Arial"/>
          <w:sz w:val="13"/>
          <w:szCs w:val="13"/>
          <w:color w:val="auto"/>
        </w:rPr>
        <w:t xml:space="preserve"> in Notes to the Consolidated Financial Statements). Given this reduction and the repricing of the Senior Secured Credit facilities (in March 2024), the Group closed the 2022 Caps and 2022 Swap agreements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Group held no derivative financial instruments as at 31 December 2025 and 31 December 2024.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2025, 73% of the Company's outstanding debt is at a fixed interest rate (31 December 2024: 73%).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2025, the Company recognised a gain of $nil (31 December 2024: $5.0 million) within other comprehensive income / loss after a reclassification of $2.4 million</w:t>
      </w:r>
    </w:p>
    <w:p>
      <w:pPr>
        <w:spacing w:after="0"/>
        <w:rPr>
          <w:sz w:val="20"/>
          <w:szCs w:val="20"/>
          <w:color w:val="auto"/>
        </w:rPr>
      </w:pPr>
      <w:r>
        <w:rPr>
          <w:rFonts w:ascii="Arial" w:cs="Arial" w:eastAsia="Arial" w:hAnsi="Arial"/>
          <w:sz w:val="13"/>
          <w:szCs w:val="13"/>
          <w:color w:val="auto"/>
        </w:rPr>
        <w:t>(31 December 2024: $13.9 million) from other comprehensive income / loss to the Consolidated Statement of Profit and Loss.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Certain financial instruments are measured in the Statement of Financial Position at fair value using a fair value hierarchy of valuation inputs. The fair value of financial assets together with the carrying amounts shown in the Statement of Financial Position is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2025</w:t>
            </w:r>
          </w:p>
        </w:tc>
        <w:tc>
          <w:tcPr>
            <w:tcW w:w="7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9"/>
              </w:rPr>
              <w:t>31 December 2024</w:t>
            </w:r>
          </w:p>
        </w:tc>
        <w:tc>
          <w:tcPr>
            <w:tcW w:w="7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r>
      <w:tr>
        <w:trPr>
          <w:trHeight w:val="118"/>
        </w:trPr>
        <w:tc>
          <w:tcPr>
            <w:tcW w:w="3020" w:type="dxa"/>
            <w:vAlign w:val="bottom"/>
          </w:tcPr>
          <w:p>
            <w:pPr>
              <w:spacing w:after="0"/>
              <w:rPr>
                <w:sz w:val="10"/>
                <w:szCs w:val="10"/>
                <w:color w:val="auto"/>
              </w:rPr>
            </w:pPr>
          </w:p>
        </w:tc>
        <w:tc>
          <w:tcPr>
            <w:tcW w:w="1260" w:type="dxa"/>
            <w:vAlign w:val="bottom"/>
          </w:tcPr>
          <w:p>
            <w:pPr>
              <w:ind w:left="460"/>
              <w:spacing w:after="0" w:line="118" w:lineRule="exact"/>
              <w:rPr>
                <w:sz w:val="20"/>
                <w:szCs w:val="20"/>
                <w:color w:val="auto"/>
              </w:rPr>
            </w:pPr>
            <w:r>
              <w:rPr>
                <w:rFonts w:ascii="Arial" w:cs="Arial" w:eastAsia="Arial" w:hAnsi="Arial"/>
                <w:sz w:val="13"/>
                <w:szCs w:val="13"/>
                <w:b w:val="1"/>
                <w:bCs w:val="1"/>
                <w:color w:val="auto"/>
              </w:rPr>
              <w:t>Carrying</w:t>
            </w:r>
          </w:p>
        </w:tc>
        <w:tc>
          <w:tcPr>
            <w:tcW w:w="1380" w:type="dxa"/>
            <w:vAlign w:val="bottom"/>
          </w:tcPr>
          <w:p>
            <w:pPr>
              <w:jc w:val="right"/>
              <w:ind w:right="516"/>
              <w:spacing w:after="0" w:line="118" w:lineRule="exact"/>
              <w:rPr>
                <w:sz w:val="20"/>
                <w:szCs w:val="20"/>
                <w:color w:val="auto"/>
              </w:rPr>
            </w:pPr>
            <w:r>
              <w:rPr>
                <w:rFonts w:ascii="Arial" w:cs="Arial" w:eastAsia="Arial" w:hAnsi="Arial"/>
                <w:sz w:val="13"/>
                <w:szCs w:val="13"/>
                <w:b w:val="1"/>
                <w:bCs w:val="1"/>
                <w:color w:val="auto"/>
              </w:rPr>
              <w:t>Level 1</w:t>
            </w:r>
          </w:p>
        </w:tc>
        <w:tc>
          <w:tcPr>
            <w:tcW w:w="740" w:type="dxa"/>
            <w:vAlign w:val="bottom"/>
          </w:tcPr>
          <w:p>
            <w:pPr>
              <w:jc w:val="right"/>
              <w:ind w:right="236"/>
              <w:spacing w:after="0" w:line="118" w:lineRule="exact"/>
              <w:rPr>
                <w:sz w:val="20"/>
                <w:szCs w:val="20"/>
                <w:color w:val="auto"/>
              </w:rPr>
            </w:pPr>
            <w:r>
              <w:rPr>
                <w:rFonts w:ascii="Arial" w:cs="Arial" w:eastAsia="Arial" w:hAnsi="Arial"/>
                <w:sz w:val="13"/>
                <w:szCs w:val="13"/>
                <w:b w:val="1"/>
                <w:bCs w:val="1"/>
                <w:color w:val="auto"/>
                <w:w w:val="95"/>
              </w:rPr>
              <w:t>Level 2</w:t>
            </w:r>
          </w:p>
        </w:tc>
        <w:tc>
          <w:tcPr>
            <w:tcW w:w="980" w:type="dxa"/>
            <w:vAlign w:val="bottom"/>
          </w:tcPr>
          <w:p>
            <w:pPr>
              <w:ind w:left="300"/>
              <w:spacing w:after="0" w:line="118" w:lineRule="exact"/>
              <w:rPr>
                <w:sz w:val="20"/>
                <w:szCs w:val="20"/>
                <w:color w:val="auto"/>
              </w:rPr>
            </w:pPr>
            <w:r>
              <w:rPr>
                <w:rFonts w:ascii="Arial" w:cs="Arial" w:eastAsia="Arial" w:hAnsi="Arial"/>
                <w:sz w:val="13"/>
                <w:szCs w:val="13"/>
                <w:b w:val="1"/>
                <w:bCs w:val="1"/>
                <w:color w:val="auto"/>
              </w:rPr>
              <w:t>Level 3</w:t>
            </w:r>
          </w:p>
        </w:tc>
        <w:tc>
          <w:tcPr>
            <w:tcW w:w="1040" w:type="dxa"/>
            <w:vAlign w:val="bottom"/>
          </w:tcPr>
          <w:p>
            <w:pPr>
              <w:ind w:left="260"/>
              <w:spacing w:after="0" w:line="118" w:lineRule="exact"/>
              <w:rPr>
                <w:sz w:val="20"/>
                <w:szCs w:val="20"/>
                <w:color w:val="auto"/>
              </w:rPr>
            </w:pPr>
            <w:r>
              <w:rPr>
                <w:rFonts w:ascii="Arial" w:cs="Arial" w:eastAsia="Arial" w:hAnsi="Arial"/>
                <w:sz w:val="13"/>
                <w:szCs w:val="13"/>
                <w:color w:val="auto"/>
              </w:rPr>
              <w:t>Carrying</w:t>
            </w:r>
          </w:p>
        </w:tc>
        <w:tc>
          <w:tcPr>
            <w:tcW w:w="1360" w:type="dxa"/>
            <w:vAlign w:val="bottom"/>
          </w:tcPr>
          <w:p>
            <w:pPr>
              <w:jc w:val="right"/>
              <w:ind w:right="536"/>
              <w:spacing w:after="0" w:line="118" w:lineRule="exact"/>
              <w:rPr>
                <w:sz w:val="20"/>
                <w:szCs w:val="20"/>
                <w:color w:val="auto"/>
              </w:rPr>
            </w:pPr>
            <w:r>
              <w:rPr>
                <w:rFonts w:ascii="Arial" w:cs="Arial" w:eastAsia="Arial" w:hAnsi="Arial"/>
                <w:sz w:val="13"/>
                <w:szCs w:val="13"/>
                <w:color w:val="auto"/>
              </w:rPr>
              <w:t>Level 1</w:t>
            </w:r>
          </w:p>
        </w:tc>
        <w:tc>
          <w:tcPr>
            <w:tcW w:w="740" w:type="dxa"/>
            <w:vAlign w:val="bottom"/>
          </w:tcPr>
          <w:p>
            <w:pPr>
              <w:jc w:val="right"/>
              <w:ind w:right="236"/>
              <w:spacing w:after="0" w:line="118" w:lineRule="exact"/>
              <w:rPr>
                <w:sz w:val="20"/>
                <w:szCs w:val="20"/>
                <w:color w:val="auto"/>
              </w:rPr>
            </w:pPr>
            <w:r>
              <w:rPr>
                <w:rFonts w:ascii="Arial" w:cs="Arial" w:eastAsia="Arial" w:hAnsi="Arial"/>
                <w:sz w:val="13"/>
                <w:szCs w:val="13"/>
                <w:color w:val="auto"/>
              </w:rPr>
              <w:t>Level 2</w:t>
            </w:r>
          </w:p>
        </w:tc>
        <w:tc>
          <w:tcPr>
            <w:tcW w:w="740" w:type="dxa"/>
            <w:vAlign w:val="bottom"/>
          </w:tcPr>
          <w:p>
            <w:pPr>
              <w:jc w:val="right"/>
              <w:spacing w:after="0" w:line="118" w:lineRule="exact"/>
              <w:rPr>
                <w:sz w:val="20"/>
                <w:szCs w:val="20"/>
                <w:color w:val="auto"/>
              </w:rPr>
            </w:pPr>
            <w:r>
              <w:rPr>
                <w:rFonts w:ascii="Arial" w:cs="Arial" w:eastAsia="Arial" w:hAnsi="Arial"/>
                <w:sz w:val="13"/>
                <w:szCs w:val="13"/>
                <w:color w:val="auto"/>
              </w:rPr>
              <w:t>Level 3</w:t>
            </w:r>
          </w:p>
        </w:tc>
      </w:tr>
      <w:tr>
        <w:trPr>
          <w:trHeight w:val="173"/>
        </w:trPr>
        <w:tc>
          <w:tcPr>
            <w:tcW w:w="3020" w:type="dxa"/>
            <w:vAlign w:val="bottom"/>
          </w:tcPr>
          <w:p>
            <w:pPr>
              <w:spacing w:after="0"/>
              <w:rPr>
                <w:sz w:val="15"/>
                <w:szCs w:val="15"/>
                <w:color w:val="auto"/>
              </w:rPr>
            </w:pPr>
          </w:p>
        </w:tc>
        <w:tc>
          <w:tcPr>
            <w:tcW w:w="1260" w:type="dxa"/>
            <w:vAlign w:val="bottom"/>
          </w:tcPr>
          <w:p>
            <w:pPr>
              <w:jc w:val="center"/>
              <w:ind w:left="236"/>
              <w:spacing w:after="0"/>
              <w:rPr>
                <w:sz w:val="20"/>
                <w:szCs w:val="20"/>
                <w:color w:val="auto"/>
              </w:rPr>
            </w:pPr>
            <w:r>
              <w:rPr>
                <w:rFonts w:ascii="Arial" w:cs="Arial" w:eastAsia="Arial" w:hAnsi="Arial"/>
                <w:sz w:val="13"/>
                <w:szCs w:val="13"/>
                <w:b w:val="1"/>
                <w:bCs w:val="1"/>
                <w:color w:val="auto"/>
                <w:w w:val="97"/>
              </w:rPr>
              <w:t>Amount</w:t>
            </w:r>
          </w:p>
        </w:tc>
        <w:tc>
          <w:tcPr>
            <w:tcW w:w="1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ind w:left="340"/>
              <w:spacing w:after="0"/>
              <w:rPr>
                <w:sz w:val="20"/>
                <w:szCs w:val="20"/>
                <w:color w:val="auto"/>
              </w:rPr>
            </w:pPr>
            <w:r>
              <w:rPr>
                <w:rFonts w:ascii="Arial" w:cs="Arial" w:eastAsia="Arial" w:hAnsi="Arial"/>
                <w:sz w:val="13"/>
                <w:szCs w:val="13"/>
                <w:color w:val="auto"/>
              </w:rPr>
              <w:t>Amount</w:t>
            </w: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1"/>
        </w:trPr>
        <w:tc>
          <w:tcPr>
            <w:tcW w:w="30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160"/>
        </w:trPr>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ind w:left="700"/>
              <w:spacing w:after="0"/>
              <w:rPr>
                <w:sz w:val="20"/>
                <w:szCs w:val="20"/>
                <w:color w:val="auto"/>
              </w:rPr>
            </w:pPr>
            <w:r>
              <w:rPr>
                <w:rFonts w:ascii="Arial" w:cs="Arial" w:eastAsia="Arial" w:hAnsi="Arial"/>
                <w:sz w:val="13"/>
                <w:szCs w:val="13"/>
                <w:b w:val="1"/>
                <w:bCs w:val="1"/>
                <w:color w:val="auto"/>
              </w:rPr>
              <w:t>$’000</w:t>
            </w:r>
          </w:p>
        </w:tc>
        <w:tc>
          <w:tcPr>
            <w:tcW w:w="13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7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0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$’000</w:t>
            </w:r>
          </w:p>
        </w:tc>
        <w:tc>
          <w:tcPr>
            <w:tcW w:w="136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$’000</w:t>
            </w:r>
          </w:p>
        </w:tc>
        <w:tc>
          <w:tcPr>
            <w:tcW w:w="7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Financial assets measured at fair value</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020" w:type="dxa"/>
            <w:vAlign w:val="bottom"/>
            <w:tcBorders>
              <w:bottom w:val="single" w:sz="8" w:color="auto"/>
            </w:tcBorders>
            <w:shd w:val="clear" w:color="auto" w:fill="CCEEFF"/>
          </w:tcPr>
          <w:p>
            <w:pPr>
              <w:ind w:left="20"/>
              <w:spacing w:after="0" w:line="170" w:lineRule="exact"/>
              <w:rPr>
                <w:sz w:val="20"/>
                <w:szCs w:val="20"/>
                <w:color w:val="auto"/>
              </w:rPr>
            </w:pPr>
            <w:r>
              <w:rPr>
                <w:rFonts w:ascii="Arial" w:cs="Arial" w:eastAsia="Arial" w:hAnsi="Arial"/>
                <w:sz w:val="13"/>
                <w:szCs w:val="13"/>
                <w:color w:val="auto"/>
                <w:w w:val="98"/>
              </w:rPr>
              <w:t>Financial assets at fair value through profit and loss</w:t>
            </w:r>
            <w:r>
              <w:rPr>
                <w:rFonts w:ascii="Arial" w:cs="Arial" w:eastAsia="Arial" w:hAnsi="Arial"/>
                <w:sz w:val="16"/>
                <w:szCs w:val="16"/>
                <w:color w:val="auto"/>
                <w:w w:val="98"/>
                <w:vertAlign w:val="superscript"/>
              </w:rPr>
              <w:t>1</w:t>
            </w:r>
          </w:p>
        </w:tc>
        <w:tc>
          <w:tcPr>
            <w:tcW w:w="1260" w:type="dxa"/>
            <w:vAlign w:val="bottom"/>
            <w:tcBorders>
              <w:bottom w:val="single" w:sz="8" w:color="auto"/>
            </w:tcBorders>
            <w:shd w:val="clear" w:color="auto" w:fill="CCEEFF"/>
          </w:tcPr>
          <w:p>
            <w:pPr>
              <w:jc w:val="center"/>
              <w:ind w:left="256"/>
              <w:spacing w:after="0"/>
              <w:rPr>
                <w:sz w:val="20"/>
                <w:szCs w:val="20"/>
                <w:color w:val="auto"/>
              </w:rPr>
            </w:pPr>
            <w:r>
              <w:rPr>
                <w:rFonts w:ascii="Arial" w:cs="Arial" w:eastAsia="Arial" w:hAnsi="Arial"/>
                <w:sz w:val="13"/>
                <w:szCs w:val="13"/>
                <w:b w:val="1"/>
                <w:bCs w:val="1"/>
                <w:color w:val="auto"/>
                <w:w w:val="95"/>
              </w:rPr>
              <w:t>79,550</w:t>
            </w:r>
          </w:p>
        </w:tc>
        <w:tc>
          <w:tcPr>
            <w:tcW w:w="13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79,550</w:t>
            </w:r>
          </w:p>
        </w:tc>
        <w:tc>
          <w:tcPr>
            <w:tcW w:w="10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54,448</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54,448</w:t>
            </w:r>
          </w:p>
        </w:tc>
      </w:tr>
      <w:tr>
        <w:trPr>
          <w:trHeight w:val="16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Assets</w:t>
            </w:r>
          </w:p>
        </w:tc>
        <w:tc>
          <w:tcPr>
            <w:tcW w:w="1260" w:type="dxa"/>
            <w:vAlign w:val="bottom"/>
            <w:tcBorders>
              <w:bottom w:val="single" w:sz="8" w:color="auto"/>
            </w:tcBorders>
          </w:tcPr>
          <w:p>
            <w:pPr>
              <w:jc w:val="center"/>
              <w:ind w:left="256"/>
              <w:spacing w:after="0"/>
              <w:rPr>
                <w:sz w:val="20"/>
                <w:szCs w:val="20"/>
                <w:color w:val="auto"/>
              </w:rPr>
            </w:pPr>
            <w:r>
              <w:rPr>
                <w:rFonts w:ascii="Arial" w:cs="Arial" w:eastAsia="Arial" w:hAnsi="Arial"/>
                <w:sz w:val="13"/>
                <w:szCs w:val="13"/>
                <w:b w:val="1"/>
                <w:bCs w:val="1"/>
                <w:color w:val="auto"/>
                <w:w w:val="95"/>
              </w:rPr>
              <w:t>79,550</w:t>
            </w:r>
          </w:p>
        </w:tc>
        <w:tc>
          <w:tcPr>
            <w:tcW w:w="13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79,550</w:t>
            </w: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54,448</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54,448</w:t>
            </w: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Relates to investments in equity excluding investments in equity securities recorded at cost, net of impairment of $2.5 million (31 December 2024: $3.5 million) .</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carrying values of accounts receivable (less provision for loss), unbilled revenue (contract assets), other current assets, cash and cash equivalents and other non-current assets are carried at amortised cost and assumed to be approximate to their fair values due to the short-term nature of these balances. As such their fair values have not been disclosed.</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Long-term financial assets carried at fair value result in gains or losses being recognised in the Consolidated Statement of Profit and Loss. The fair value of long-term financial assets meet the definition of equity securities without readily determinable fair values and are measured on the basis of level 3 inputs as the funds are not traded on an exchange and data is not published in respect of the funds. The valuation model is based on the net asset value of the fund as prepared by an independent appraiser.</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The carrying values of accounts payable, accrued and other liabilities and provisions and other non-current liabilities are carried at amortised cost and assumed to be approximate to their fair values.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1280"/>
          </w:cols>
          <w:pgMar w:left="300" w:top="698" w:right="3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Financial instruments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reconciliation from the opening balances to the closing balances for Level 3 fair values: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Borders>
              <w:bottom w:val="single" w:sz="8" w:color="auto"/>
            </w:tcBorders>
            <w:shd w:val="clear" w:color="auto" w:fill="CCEEFF"/>
          </w:tcPr>
          <w:p>
            <w:pPr>
              <w:spacing w:after="0"/>
              <w:rPr>
                <w:sz w:val="14"/>
                <w:szCs w:val="14"/>
                <w:color w:val="auto"/>
              </w:rPr>
            </w:pPr>
          </w:p>
        </w:tc>
        <w:tc>
          <w:tcPr>
            <w:tcW w:w="4760" w:type="dxa"/>
            <w:vAlign w:val="bottom"/>
            <w:tcBorders>
              <w:bottom w:val="single" w:sz="8" w:color="auto"/>
            </w:tcBorders>
            <w:shd w:val="clear" w:color="auto" w:fill="CCEEFF"/>
          </w:tcPr>
          <w:p>
            <w:pPr>
              <w:spacing w:after="0"/>
              <w:rPr>
                <w:sz w:val="14"/>
                <w:szCs w:val="14"/>
                <w:color w:val="auto"/>
              </w:rPr>
            </w:pPr>
          </w:p>
        </w:tc>
        <w:tc>
          <w:tcPr>
            <w:tcW w:w="2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2025</w:t>
            </w: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 2024</w:t>
            </w:r>
          </w:p>
        </w:tc>
      </w:tr>
      <w:tr>
        <w:trPr>
          <w:trHeight w:val="160"/>
        </w:trPr>
        <w:tc>
          <w:tcPr>
            <w:tcW w:w="8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2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Opening balance</w:t>
            </w:r>
          </w:p>
        </w:tc>
        <w:tc>
          <w:tcPr>
            <w:tcW w:w="2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54,448</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46,804</w:t>
            </w:r>
          </w:p>
        </w:tc>
        <w:tc>
          <w:tcPr>
            <w:tcW w:w="60" w:type="dxa"/>
            <w:vAlign w:val="bottom"/>
            <w:shd w:val="clear" w:color="auto" w:fill="CCEEFF"/>
          </w:tcPr>
          <w:p>
            <w:pPr>
              <w:spacing w:after="0"/>
              <w:rPr>
                <w:sz w:val="14"/>
                <w:szCs w:val="14"/>
                <w:color w:val="auto"/>
              </w:rPr>
            </w:pPr>
          </w:p>
        </w:tc>
      </w:tr>
      <w:tr>
        <w:trPr>
          <w:trHeight w:val="170"/>
        </w:trPr>
        <w:tc>
          <w:tcPr>
            <w:tcW w:w="4840" w:type="dxa"/>
            <w:vAlign w:val="bottom"/>
            <w:gridSpan w:val="2"/>
          </w:tcPr>
          <w:p>
            <w:pPr>
              <w:ind w:left="20"/>
              <w:spacing w:after="0"/>
              <w:rPr>
                <w:sz w:val="20"/>
                <w:szCs w:val="20"/>
                <w:color w:val="auto"/>
              </w:rPr>
            </w:pPr>
            <w:r>
              <w:rPr>
                <w:rFonts w:ascii="Arial" w:cs="Arial" w:eastAsia="Arial" w:hAnsi="Arial"/>
                <w:sz w:val="13"/>
                <w:szCs w:val="13"/>
                <w:color w:val="auto"/>
              </w:rPr>
              <w:t>Additions / (payments) / other movements during the year</w:t>
            </w:r>
          </w:p>
        </w:tc>
        <w:tc>
          <w:tcPr>
            <w:tcW w:w="2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right"/>
              <w:ind w:right="176"/>
              <w:spacing w:after="0"/>
              <w:rPr>
                <w:sz w:val="20"/>
                <w:szCs w:val="20"/>
                <w:color w:val="auto"/>
              </w:rPr>
            </w:pPr>
            <w:r>
              <w:rPr>
                <w:rFonts w:ascii="Arial" w:cs="Arial" w:eastAsia="Arial" w:hAnsi="Arial"/>
                <w:sz w:val="13"/>
                <w:szCs w:val="13"/>
                <w:b w:val="1"/>
                <w:bCs w:val="1"/>
                <w:color w:val="auto"/>
              </w:rPr>
              <w:t>11,218</w:t>
            </w:r>
          </w:p>
        </w:tc>
        <w:tc>
          <w:tcPr>
            <w:tcW w:w="1240" w:type="dxa"/>
            <w:vAlign w:val="bottom"/>
          </w:tcPr>
          <w:p>
            <w:pPr>
              <w:jc w:val="right"/>
              <w:spacing w:after="0"/>
              <w:rPr>
                <w:sz w:val="20"/>
                <w:szCs w:val="20"/>
                <w:color w:val="auto"/>
              </w:rPr>
            </w:pPr>
            <w:r>
              <w:rPr>
                <w:rFonts w:ascii="Arial" w:cs="Arial" w:eastAsia="Arial" w:hAnsi="Arial"/>
                <w:sz w:val="13"/>
                <w:szCs w:val="13"/>
                <w:color w:val="auto"/>
              </w:rPr>
              <w:t>10,971</w:t>
            </w:r>
          </w:p>
        </w:tc>
        <w:tc>
          <w:tcPr>
            <w:tcW w:w="60" w:type="dxa"/>
            <w:vAlign w:val="bottom"/>
          </w:tcPr>
          <w:p>
            <w:pPr>
              <w:spacing w:after="0"/>
              <w:rPr>
                <w:sz w:val="14"/>
                <w:szCs w:val="14"/>
                <w:color w:val="auto"/>
              </w:rPr>
            </w:pPr>
          </w:p>
        </w:tc>
      </w:tr>
      <w:tr>
        <w:trPr>
          <w:trHeight w:val="170"/>
        </w:trPr>
        <w:tc>
          <w:tcPr>
            <w:tcW w:w="48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Increase / (decrease) in fair value recognised in profit and loss</w:t>
            </w:r>
          </w:p>
        </w:tc>
        <w:tc>
          <w:tcPr>
            <w:tcW w:w="2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13,884</w:t>
            </w: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(3,327)</w:t>
            </w:r>
          </w:p>
        </w:tc>
      </w:tr>
      <w:tr>
        <w:trPr>
          <w:trHeight w:val="160"/>
        </w:trPr>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Closing balance</w:t>
            </w:r>
          </w:p>
        </w:tc>
        <w:tc>
          <w:tcPr>
            <w:tcW w:w="2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79,550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54,448</w:t>
            </w:r>
          </w:p>
        </w:tc>
        <w:tc>
          <w:tcPr>
            <w:tcW w:w="60" w:type="dxa"/>
            <w:vAlign w:val="bottom"/>
            <w:tcBorders>
              <w:bottom w:val="single" w:sz="8" w:color="auto"/>
            </w:tcBorders>
          </w:tcPr>
          <w:p>
            <w:pPr>
              <w:spacing w:after="0"/>
              <w:rPr>
                <w:sz w:val="13"/>
                <w:szCs w:val="13"/>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8360" w:type="dxa"/>
            <w:vAlign w:val="bottom"/>
            <w:tcBorders>
              <w:bottom w:val="single" w:sz="8" w:color="auto"/>
            </w:tcBorders>
            <w:gridSpan w:val="3"/>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94"/>
        </w:trPr>
        <w:tc>
          <w:tcPr>
            <w:tcW w:w="8440" w:type="dxa"/>
            <w:vAlign w:val="bottom"/>
            <w:gridSpan w:val="4"/>
          </w:tcPr>
          <w:p>
            <w:pPr>
              <w:spacing w:after="0"/>
              <w:rPr>
                <w:sz w:val="20"/>
                <w:szCs w:val="20"/>
                <w:color w:val="auto"/>
              </w:rPr>
            </w:pPr>
            <w:r>
              <w:rPr>
                <w:rFonts w:ascii="Arial" w:cs="Arial" w:eastAsia="Arial" w:hAnsi="Arial"/>
                <w:sz w:val="13"/>
                <w:szCs w:val="13"/>
                <w:color w:val="auto"/>
              </w:rPr>
              <w:t>There have been no transfers between level 1/2 financial instruments and level 3 financial instruments during the current or prior financial year.</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6"/>
        </w:trPr>
        <w:tc>
          <w:tcPr>
            <w:tcW w:w="4840" w:type="dxa"/>
            <w:vAlign w:val="bottom"/>
            <w:gridSpan w:val="2"/>
          </w:tcPr>
          <w:p>
            <w:pPr>
              <w:spacing w:after="0"/>
              <w:rPr>
                <w:sz w:val="20"/>
                <w:szCs w:val="20"/>
                <w:color w:val="auto"/>
              </w:rPr>
            </w:pPr>
            <w:r>
              <w:rPr>
                <w:rFonts w:ascii="Arial" w:cs="Arial" w:eastAsia="Arial" w:hAnsi="Arial"/>
                <w:sz w:val="13"/>
                <w:szCs w:val="13"/>
                <w:b w:val="1"/>
                <w:bCs w:val="1"/>
                <w:color w:val="auto"/>
              </w:rPr>
              <w:t>25. Leases</w:t>
            </w:r>
          </w:p>
        </w:tc>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48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Right-of-use assets</w:t>
            </w:r>
          </w:p>
        </w:tc>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4"/>
        </w:trPr>
        <w:tc>
          <w:tcPr>
            <w:tcW w:w="4840" w:type="dxa"/>
            <w:vAlign w:val="bottom"/>
            <w:gridSpan w:val="2"/>
          </w:tcPr>
          <w:p>
            <w:pPr>
              <w:spacing w:after="0"/>
              <w:rPr>
                <w:sz w:val="20"/>
                <w:szCs w:val="20"/>
                <w:color w:val="auto"/>
              </w:rPr>
            </w:pPr>
            <w:r>
              <w:rPr>
                <w:rFonts w:ascii="Arial" w:cs="Arial" w:eastAsia="Arial" w:hAnsi="Arial"/>
                <w:sz w:val="13"/>
                <w:szCs w:val="13"/>
                <w:color w:val="auto"/>
              </w:rPr>
              <w:t>The Group has recorded the following for right-of-use assets:</w:t>
            </w:r>
          </w:p>
        </w:tc>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170"/>
        </w:trPr>
        <w:tc>
          <w:tcPr>
            <w:tcW w:w="80" w:type="dxa"/>
            <w:vAlign w:val="bottom"/>
          </w:tcPr>
          <w:p>
            <w:pPr>
              <w:spacing w:after="0"/>
              <w:rPr>
                <w:sz w:val="14"/>
                <w:szCs w:val="14"/>
                <w:color w:val="auto"/>
              </w:rPr>
            </w:pPr>
          </w:p>
        </w:tc>
        <w:tc>
          <w:tcPr>
            <w:tcW w:w="4760" w:type="dxa"/>
            <w:vAlign w:val="bottom"/>
            <w:tcBorders>
              <w:bottom w:val="single" w:sz="8" w:color="auto"/>
            </w:tcBorders>
            <w:shd w:val="clear" w:color="auto" w:fill="CCEEFF"/>
          </w:tcPr>
          <w:p>
            <w:pPr>
              <w:spacing w:after="0"/>
              <w:rPr>
                <w:sz w:val="14"/>
                <w:szCs w:val="14"/>
                <w:color w:val="auto"/>
              </w:rPr>
            </w:pPr>
          </w:p>
        </w:tc>
        <w:tc>
          <w:tcPr>
            <w:tcW w:w="23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Premises</w:t>
            </w:r>
          </w:p>
        </w:tc>
        <w:tc>
          <w:tcPr>
            <w:tcW w:w="1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Equipment</w:t>
            </w:r>
          </w:p>
        </w:tc>
        <w:tc>
          <w:tcPr>
            <w:tcW w:w="15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Motor vehicles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r>
      <w:tr>
        <w:trPr>
          <w:trHeight w:val="160"/>
        </w:trPr>
        <w:tc>
          <w:tcPr>
            <w:tcW w:w="8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30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52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60" w:type="dxa"/>
            <w:vAlign w:val="bottom"/>
          </w:tcPr>
          <w:p>
            <w:pPr>
              <w:spacing w:after="0"/>
              <w:rPr>
                <w:sz w:val="13"/>
                <w:szCs w:val="13"/>
                <w:color w:val="auto"/>
              </w:rPr>
            </w:pPr>
          </w:p>
        </w:tc>
      </w:tr>
      <w:tr>
        <w:trPr>
          <w:trHeight w:val="170"/>
        </w:trPr>
        <w:tc>
          <w:tcPr>
            <w:tcW w:w="80" w:type="dxa"/>
            <w:vAlign w:val="bottom"/>
          </w:tcPr>
          <w:p>
            <w:pPr>
              <w:spacing w:after="0"/>
              <w:rPr>
                <w:sz w:val="14"/>
                <w:szCs w:val="14"/>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2025</w:t>
            </w:r>
          </w:p>
        </w:tc>
        <w:tc>
          <w:tcPr>
            <w:tcW w:w="230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31,940</w:t>
            </w:r>
          </w:p>
        </w:tc>
        <w:tc>
          <w:tcPr>
            <w:tcW w:w="13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78</w:t>
            </w:r>
          </w:p>
        </w:tc>
        <w:tc>
          <w:tcPr>
            <w:tcW w:w="15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5,630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37,648</w:t>
            </w:r>
          </w:p>
        </w:tc>
        <w:tc>
          <w:tcPr>
            <w:tcW w:w="6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4760" w:type="dxa"/>
            <w:vAlign w:val="bottom"/>
          </w:tcPr>
          <w:p>
            <w:pPr>
              <w:ind w:left="20"/>
              <w:spacing w:after="0"/>
              <w:rPr>
                <w:sz w:val="20"/>
                <w:szCs w:val="20"/>
                <w:color w:val="auto"/>
              </w:rPr>
            </w:pPr>
            <w:r>
              <w:rPr>
                <w:rFonts w:ascii="Arial" w:cs="Arial" w:eastAsia="Arial" w:hAnsi="Arial"/>
                <w:sz w:val="13"/>
                <w:szCs w:val="13"/>
                <w:color w:val="auto"/>
              </w:rPr>
              <w:t>Right-of-use assets at 31 December 2025</w:t>
            </w:r>
          </w:p>
        </w:tc>
        <w:tc>
          <w:tcPr>
            <w:tcW w:w="2300" w:type="dxa"/>
            <w:vAlign w:val="bottom"/>
          </w:tcPr>
          <w:p>
            <w:pPr>
              <w:jc w:val="right"/>
              <w:ind w:right="376"/>
              <w:spacing w:after="0"/>
              <w:rPr>
                <w:sz w:val="20"/>
                <w:szCs w:val="20"/>
                <w:color w:val="auto"/>
              </w:rPr>
            </w:pPr>
            <w:r>
              <w:rPr>
                <w:rFonts w:ascii="Arial" w:cs="Arial" w:eastAsia="Arial" w:hAnsi="Arial"/>
                <w:sz w:val="13"/>
                <w:szCs w:val="13"/>
                <w:b w:val="1"/>
                <w:bCs w:val="1"/>
                <w:color w:val="auto"/>
              </w:rPr>
              <w:t>113,003</w:t>
            </w:r>
          </w:p>
        </w:tc>
        <w:tc>
          <w:tcPr>
            <w:tcW w:w="1300" w:type="dxa"/>
            <w:vAlign w:val="bottom"/>
          </w:tcPr>
          <w:p>
            <w:pPr>
              <w:jc w:val="right"/>
              <w:ind w:right="196"/>
              <w:spacing w:after="0"/>
              <w:rPr>
                <w:sz w:val="20"/>
                <w:szCs w:val="20"/>
                <w:color w:val="auto"/>
              </w:rPr>
            </w:pPr>
            <w:r>
              <w:rPr>
                <w:rFonts w:ascii="Arial" w:cs="Arial" w:eastAsia="Arial" w:hAnsi="Arial"/>
                <w:sz w:val="13"/>
                <w:szCs w:val="13"/>
                <w:b w:val="1"/>
                <w:bCs w:val="1"/>
                <w:color w:val="auto"/>
              </w:rPr>
              <w:t>75</w:t>
            </w:r>
          </w:p>
        </w:tc>
        <w:tc>
          <w:tcPr>
            <w:tcW w:w="1520" w:type="dxa"/>
            <w:vAlign w:val="bottom"/>
          </w:tcPr>
          <w:p>
            <w:pPr>
              <w:jc w:val="right"/>
              <w:ind w:right="236"/>
              <w:spacing w:after="0"/>
              <w:rPr>
                <w:sz w:val="20"/>
                <w:szCs w:val="20"/>
                <w:color w:val="auto"/>
              </w:rPr>
            </w:pPr>
            <w:r>
              <w:rPr>
                <w:rFonts w:ascii="Arial" w:cs="Arial" w:eastAsia="Arial" w:hAnsi="Arial"/>
                <w:sz w:val="13"/>
                <w:szCs w:val="13"/>
                <w:b w:val="1"/>
                <w:bCs w:val="1"/>
                <w:color w:val="auto"/>
              </w:rPr>
              <w:t>10,041</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123,119</w:t>
            </w:r>
          </w:p>
        </w:tc>
        <w:tc>
          <w:tcPr>
            <w:tcW w:w="6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2024</w:t>
            </w:r>
          </w:p>
        </w:tc>
        <w:tc>
          <w:tcPr>
            <w:tcW w:w="23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33,933</w:t>
            </w:r>
          </w:p>
        </w:tc>
        <w:tc>
          <w:tcPr>
            <w:tcW w:w="13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119</w:t>
            </w:r>
          </w:p>
        </w:tc>
        <w:tc>
          <w:tcPr>
            <w:tcW w:w="15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6,962</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41,014</w:t>
            </w:r>
          </w:p>
        </w:tc>
        <w:tc>
          <w:tcPr>
            <w:tcW w:w="60" w:type="dxa"/>
            <w:vAlign w:val="bottom"/>
          </w:tcPr>
          <w:p>
            <w:pPr>
              <w:spacing w:after="0"/>
              <w:rPr>
                <w:sz w:val="14"/>
                <w:szCs w:val="14"/>
                <w:color w:val="auto"/>
              </w:rPr>
            </w:pPr>
          </w:p>
        </w:tc>
      </w:tr>
      <w:tr>
        <w:trPr>
          <w:trHeight w:val="169"/>
        </w:trPr>
        <w:tc>
          <w:tcPr>
            <w:tcW w:w="80" w:type="dxa"/>
            <w:vAlign w:val="bottom"/>
          </w:tcPr>
          <w:p>
            <w:pPr>
              <w:spacing w:after="0"/>
              <w:rPr>
                <w:sz w:val="14"/>
                <w:szCs w:val="14"/>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2024</w:t>
            </w:r>
          </w:p>
        </w:tc>
        <w:tc>
          <w:tcPr>
            <w:tcW w:w="23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133,640</w:t>
            </w: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84</w:t>
            </w: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9,581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143,305</w:t>
            </w:r>
          </w:p>
        </w:tc>
        <w:tc>
          <w:tcPr>
            <w:tcW w:w="60" w:type="dxa"/>
            <w:vAlign w:val="bottom"/>
          </w:tcPr>
          <w:p>
            <w:pPr>
              <w:spacing w:after="0"/>
              <w:rPr>
                <w:sz w:val="14"/>
                <w:szCs w:val="14"/>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Additions to right-of-use assets during 2025 were $18.4 million (2024: $64.8 million).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 at 31 December 2025 was 5.96 years (2024: 6.56 years ).</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year ended 31 December 2025, as a result of office consolidations, certain Right-of-use assets have been impaired to the extent they are considered onerous and an impairment loss of $3.7 million was recorded (2024: $13.8 million) - s</w:t>
      </w:r>
      <w:r>
        <w:rPr>
          <w:rFonts w:ascii="Arial" w:cs="Arial" w:eastAsia="Arial" w:hAnsi="Arial"/>
          <w:sz w:val="13"/>
          <w:szCs w:val="13"/>
          <w:i w:val="1"/>
          <w:iCs w:val="1"/>
          <w:color w:val="auto"/>
        </w:rPr>
        <w:t>ee</w:t>
      </w:r>
      <w:r>
        <w:rPr>
          <w:rFonts w:ascii="Arial" w:cs="Arial" w:eastAsia="Arial" w:hAnsi="Arial"/>
          <w:sz w:val="13"/>
          <w:szCs w:val="13"/>
          <w:color w:val="auto"/>
        </w:rPr>
        <w:t xml:space="preserve"> Note 9 </w:t>
      </w:r>
      <w:r>
        <w:rPr>
          <w:rFonts w:ascii="Arial" w:cs="Arial" w:eastAsia="Arial" w:hAnsi="Arial"/>
          <w:sz w:val="13"/>
          <w:szCs w:val="13"/>
          <w:i w:val="1"/>
          <w:iCs w:val="1"/>
          <w:color w:val="auto"/>
        </w:rPr>
        <w:t>Exceptional items</w:t>
      </w:r>
      <w:r>
        <w:rPr>
          <w:rFonts w:ascii="Arial" w:cs="Arial" w:eastAsia="Arial" w:hAnsi="Arial"/>
          <w:sz w:val="13"/>
          <w:szCs w:val="13"/>
          <w:color w:val="auto"/>
        </w:rPr>
        <w:t xml:space="preserve"> in Notes to the Consolidated Financial Statements</w:t>
      </w:r>
      <w:r>
        <w:rPr>
          <w:rFonts w:ascii="Arial" w:cs="Arial" w:eastAsia="Arial" w:hAnsi="Arial"/>
          <w:sz w:val="13"/>
          <w:szCs w:val="13"/>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 liabilities</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Set out below are the carrying amounts of lease liabilities at each reporting date. Current lease liabilities have been included in accrued and other liabilities in the Consolidated Statement of Financial Position.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Borders>
              <w:bottom w:val="single" w:sz="8" w:color="auto"/>
            </w:tcBorders>
            <w:shd w:val="clear" w:color="auto" w:fill="CCEEFF"/>
          </w:tcPr>
          <w:p>
            <w:pPr>
              <w:spacing w:after="0"/>
              <w:rPr>
                <w:sz w:val="14"/>
                <w:szCs w:val="14"/>
                <w:color w:val="auto"/>
              </w:rPr>
            </w:pPr>
          </w:p>
        </w:tc>
        <w:tc>
          <w:tcPr>
            <w:tcW w:w="5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2024</w:t>
            </w:r>
          </w:p>
        </w:tc>
      </w:tr>
      <w:tr>
        <w:trPr>
          <w:trHeight w:val="160"/>
        </w:trPr>
        <w:tc>
          <w:tcPr>
            <w:tcW w:w="4680" w:type="dxa"/>
            <w:vAlign w:val="bottom"/>
          </w:tcPr>
          <w:p>
            <w:pPr>
              <w:spacing w:after="0"/>
              <w:rPr>
                <w:sz w:val="13"/>
                <w:szCs w:val="13"/>
                <w:color w:val="auto"/>
              </w:rPr>
            </w:pPr>
          </w:p>
        </w:tc>
        <w:tc>
          <w:tcPr>
            <w:tcW w:w="52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52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36,282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36,783</w:t>
            </w:r>
          </w:p>
        </w:tc>
      </w:tr>
      <w:tr>
        <w:trPr>
          <w:trHeight w:val="17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w:t>
            </w:r>
          </w:p>
        </w:tc>
        <w:tc>
          <w:tcPr>
            <w:tcW w:w="52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117,122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140,085</w:t>
            </w:r>
          </w:p>
        </w:tc>
      </w:tr>
      <w:tr>
        <w:trPr>
          <w:trHeight w:val="185"/>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5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153,404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176,868</w:t>
            </w: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5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Total lease payments for the year ended 31 December 2025 were $48.2 million (2024: $47.7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ectPr>
          <w:pgSz w:w="11900" w:h="16838" w:orient="portrait"/>
          <w:cols w:equalWidth="0" w:num="1">
            <w:col w:w="11280"/>
          </w:cols>
          <w:pgMar w:left="300" w:top="698" w:right="3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25. Leases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Future minimum lease payments under non-cancelable leases as of 31 December 2025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 w:type="dxa"/>
            <w:vAlign w:val="bottom"/>
          </w:tcPr>
          <w:p>
            <w:pPr>
              <w:spacing w:after="0"/>
              <w:rPr>
                <w:sz w:val="14"/>
                <w:szCs w:val="14"/>
                <w:color w:val="auto"/>
              </w:rPr>
            </w:pPr>
          </w:p>
        </w:tc>
        <w:tc>
          <w:tcPr>
            <w:tcW w:w="5900" w:type="dxa"/>
            <w:vAlign w:val="bottom"/>
            <w:tcBorders>
              <w:bottom w:val="single" w:sz="8" w:color="auto"/>
            </w:tcBorders>
            <w:shd w:val="clear" w:color="auto" w:fill="CCEEFF"/>
          </w:tcPr>
          <w:p>
            <w:pPr>
              <w:spacing w:after="0"/>
              <w:rPr>
                <w:sz w:val="14"/>
                <w:szCs w:val="14"/>
                <w:color w:val="auto"/>
              </w:rPr>
            </w:pPr>
          </w:p>
        </w:tc>
        <w:tc>
          <w:tcPr>
            <w:tcW w:w="40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 2025</w:t>
            </w:r>
          </w:p>
        </w:tc>
      </w:tr>
      <w:tr>
        <w:trPr>
          <w:trHeight w:val="160"/>
        </w:trPr>
        <w:tc>
          <w:tcPr>
            <w:tcW w:w="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0" w:type="dxa"/>
            <w:vAlign w:val="bottom"/>
          </w:tcPr>
          <w:p>
            <w:pPr>
              <w:spacing w:after="0"/>
              <w:rPr>
                <w:sz w:val="14"/>
                <w:szCs w:val="14"/>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40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41,377</w:t>
            </w:r>
          </w:p>
        </w:tc>
      </w:tr>
      <w:tr>
        <w:trPr>
          <w:trHeight w:val="169"/>
        </w:trPr>
        <w:tc>
          <w:tcPr>
            <w:tcW w:w="5940" w:type="dxa"/>
            <w:vAlign w:val="bottom"/>
            <w:gridSpan w:val="2"/>
          </w:tcPr>
          <w:p>
            <w:pPr>
              <w:ind w:left="60"/>
              <w:spacing w:after="0"/>
              <w:rPr>
                <w:sz w:val="20"/>
                <w:szCs w:val="20"/>
                <w:color w:val="auto"/>
              </w:rPr>
            </w:pPr>
            <w:r>
              <w:rPr>
                <w:rFonts w:ascii="Arial" w:cs="Arial" w:eastAsia="Arial" w:hAnsi="Arial"/>
                <w:sz w:val="13"/>
                <w:szCs w:val="13"/>
                <w:color w:val="auto"/>
              </w:rPr>
              <w:t>2027</w:t>
            </w:r>
          </w:p>
        </w:tc>
        <w:tc>
          <w:tcPr>
            <w:tcW w:w="400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3"/>
                <w:szCs w:val="13"/>
                <w:color w:val="auto"/>
              </w:rPr>
              <w:t>35,918</w:t>
            </w:r>
          </w:p>
        </w:tc>
      </w:tr>
      <w:tr>
        <w:trPr>
          <w:trHeight w:val="171"/>
        </w:trPr>
        <w:tc>
          <w:tcPr>
            <w:tcW w:w="40" w:type="dxa"/>
            <w:vAlign w:val="bottom"/>
          </w:tcPr>
          <w:p>
            <w:pPr>
              <w:spacing w:after="0"/>
              <w:rPr>
                <w:sz w:val="14"/>
                <w:szCs w:val="14"/>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40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27,618</w:t>
            </w:r>
          </w:p>
        </w:tc>
      </w:tr>
      <w:tr>
        <w:trPr>
          <w:trHeight w:val="169"/>
        </w:trPr>
        <w:tc>
          <w:tcPr>
            <w:tcW w:w="5940" w:type="dxa"/>
            <w:vAlign w:val="bottom"/>
            <w:gridSpan w:val="2"/>
          </w:tcPr>
          <w:p>
            <w:pPr>
              <w:ind w:left="60"/>
              <w:spacing w:after="0"/>
              <w:rPr>
                <w:sz w:val="20"/>
                <w:szCs w:val="20"/>
                <w:color w:val="auto"/>
              </w:rPr>
            </w:pPr>
            <w:r>
              <w:rPr>
                <w:rFonts w:ascii="Arial" w:cs="Arial" w:eastAsia="Arial" w:hAnsi="Arial"/>
                <w:sz w:val="13"/>
                <w:szCs w:val="13"/>
                <w:color w:val="auto"/>
              </w:rPr>
              <w:t>2029</w:t>
            </w:r>
          </w:p>
        </w:tc>
        <w:tc>
          <w:tcPr>
            <w:tcW w:w="400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3"/>
                <w:szCs w:val="13"/>
                <w:color w:val="auto"/>
              </w:rPr>
              <w:t>20,106</w:t>
            </w:r>
          </w:p>
        </w:tc>
      </w:tr>
      <w:tr>
        <w:trPr>
          <w:trHeight w:val="171"/>
        </w:trPr>
        <w:tc>
          <w:tcPr>
            <w:tcW w:w="40" w:type="dxa"/>
            <w:vAlign w:val="bottom"/>
          </w:tcPr>
          <w:p>
            <w:pPr>
              <w:spacing w:after="0"/>
              <w:rPr>
                <w:sz w:val="14"/>
                <w:szCs w:val="14"/>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2030</w:t>
            </w:r>
          </w:p>
        </w:tc>
        <w:tc>
          <w:tcPr>
            <w:tcW w:w="40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12,380</w:t>
            </w:r>
          </w:p>
        </w:tc>
      </w:tr>
      <w:tr>
        <w:trPr>
          <w:trHeight w:val="169"/>
        </w:trPr>
        <w:tc>
          <w:tcPr>
            <w:tcW w:w="40" w:type="dxa"/>
            <w:vAlign w:val="bottom"/>
          </w:tcPr>
          <w:p>
            <w:pPr>
              <w:spacing w:after="0"/>
              <w:rPr>
                <w:sz w:val="14"/>
                <w:szCs w:val="14"/>
                <w:color w:val="auto"/>
              </w:rPr>
            </w:pP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Thereafter</w:t>
            </w:r>
          </w:p>
        </w:tc>
        <w:tc>
          <w:tcPr>
            <w:tcW w:w="4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33,005</w:t>
            </w:r>
          </w:p>
        </w:tc>
      </w:tr>
      <w:tr>
        <w:trPr>
          <w:trHeight w:val="162"/>
        </w:trPr>
        <w:tc>
          <w:tcPr>
            <w:tcW w:w="40" w:type="dxa"/>
            <w:vAlign w:val="bottom"/>
          </w:tcPr>
          <w:p>
            <w:pPr>
              <w:spacing w:after="0"/>
              <w:rPr>
                <w:sz w:val="14"/>
                <w:szCs w:val="14"/>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future minimum lease payments</w:t>
            </w:r>
          </w:p>
        </w:tc>
        <w:tc>
          <w:tcPr>
            <w:tcW w:w="40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170,404</w:t>
            </w:r>
          </w:p>
        </w:tc>
      </w:tr>
      <w:tr>
        <w:trPr>
          <w:trHeight w:val="169"/>
        </w:trPr>
        <w:tc>
          <w:tcPr>
            <w:tcW w:w="40" w:type="dxa"/>
            <w:vAlign w:val="bottom"/>
          </w:tcPr>
          <w:p>
            <w:pPr>
              <w:spacing w:after="0"/>
              <w:rPr>
                <w:sz w:val="14"/>
                <w:szCs w:val="14"/>
                <w:color w:val="auto"/>
              </w:rPr>
            </w:pP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Lease imputed interest</w:t>
            </w:r>
          </w:p>
        </w:tc>
        <w:tc>
          <w:tcPr>
            <w:tcW w:w="4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(17,000)</w:t>
            </w:r>
          </w:p>
        </w:tc>
      </w:tr>
      <w:tr>
        <w:trPr>
          <w:trHeight w:val="185"/>
        </w:trPr>
        <w:tc>
          <w:tcPr>
            <w:tcW w:w="40" w:type="dxa"/>
            <w:vAlign w:val="bottom"/>
          </w:tcPr>
          <w:p>
            <w:pPr>
              <w:spacing w:after="0"/>
              <w:rPr>
                <w:sz w:val="15"/>
                <w:szCs w:val="15"/>
                <w:color w:val="auto"/>
              </w:rPr>
            </w:pPr>
          </w:p>
        </w:tc>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0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153,404</w:t>
            </w:r>
          </w:p>
        </w:tc>
      </w:tr>
      <w:tr>
        <w:trPr>
          <w:trHeight w:val="20"/>
        </w:trPr>
        <w:tc>
          <w:tcPr>
            <w:tcW w:w="40" w:type="dxa"/>
            <w:vAlign w:val="bottom"/>
          </w:tcPr>
          <w:p>
            <w:pPr>
              <w:spacing w:after="0" w:line="20" w:lineRule="exact"/>
              <w:rPr>
                <w:sz w:val="1"/>
                <w:szCs w:val="1"/>
                <w:color w:val="auto"/>
              </w:rPr>
            </w:pPr>
          </w:p>
        </w:tc>
        <w:tc>
          <w:tcPr>
            <w:tcW w:w="5900" w:type="dxa"/>
            <w:vAlign w:val="bottom"/>
            <w:tcBorders>
              <w:top w:val="single" w:sz="8" w:color="CCEEFF"/>
              <w:bottom w:val="single" w:sz="8" w:color="auto"/>
            </w:tcBorders>
          </w:tcPr>
          <w:p>
            <w:pPr>
              <w:spacing w:after="0" w:line="20" w:lineRule="exact"/>
              <w:rPr>
                <w:sz w:val="1"/>
                <w:szCs w:val="1"/>
                <w:color w:val="auto"/>
              </w:rPr>
            </w:pPr>
          </w:p>
        </w:tc>
        <w:tc>
          <w:tcPr>
            <w:tcW w:w="40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381"/>
        </w:trPr>
        <w:tc>
          <w:tcPr>
            <w:tcW w:w="59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Amounts recognised in profit or loss</w:t>
            </w:r>
          </w:p>
        </w:tc>
        <w:tc>
          <w:tcPr>
            <w:tcW w:w="4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4"/>
        </w:trPr>
        <w:tc>
          <w:tcPr>
            <w:tcW w:w="5940" w:type="dxa"/>
            <w:vAlign w:val="bottom"/>
            <w:gridSpan w:val="2"/>
          </w:tcPr>
          <w:p>
            <w:pPr>
              <w:spacing w:after="0"/>
              <w:rPr>
                <w:sz w:val="20"/>
                <w:szCs w:val="20"/>
                <w:color w:val="auto"/>
              </w:rPr>
            </w:pPr>
            <w:r>
              <w:rPr>
                <w:rFonts w:ascii="Arial" w:cs="Arial" w:eastAsia="Arial" w:hAnsi="Arial"/>
                <w:sz w:val="13"/>
                <w:szCs w:val="13"/>
                <w:color w:val="auto"/>
              </w:rPr>
              <w:t>The following amounts were recognised in profit and loss:</w:t>
            </w:r>
          </w:p>
        </w:tc>
        <w:tc>
          <w:tcPr>
            <w:tcW w:w="4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70"/>
        </w:trPr>
        <w:tc>
          <w:tcPr>
            <w:tcW w:w="40" w:type="dxa"/>
            <w:vAlign w:val="bottom"/>
            <w:tcBorders>
              <w:bottom w:val="single" w:sz="8" w:color="auto"/>
            </w:tcBorders>
            <w:shd w:val="clear" w:color="auto" w:fill="CCEEFF"/>
          </w:tcPr>
          <w:p>
            <w:pPr>
              <w:spacing w:after="0"/>
              <w:rPr>
                <w:sz w:val="14"/>
                <w:szCs w:val="14"/>
                <w:color w:val="auto"/>
              </w:rPr>
            </w:pPr>
          </w:p>
        </w:tc>
        <w:tc>
          <w:tcPr>
            <w:tcW w:w="5900" w:type="dxa"/>
            <w:vAlign w:val="bottom"/>
            <w:tcBorders>
              <w:bottom w:val="single" w:sz="8" w:color="auto"/>
            </w:tcBorders>
            <w:shd w:val="clear" w:color="auto" w:fill="CCEEFF"/>
          </w:tcPr>
          <w:p>
            <w:pPr>
              <w:spacing w:after="0"/>
              <w:rPr>
                <w:sz w:val="14"/>
                <w:szCs w:val="14"/>
                <w:color w:val="auto"/>
              </w:rPr>
            </w:pPr>
          </w:p>
        </w:tc>
        <w:tc>
          <w:tcPr>
            <w:tcW w:w="4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2024</w:t>
            </w:r>
          </w:p>
        </w:tc>
      </w:tr>
      <w:tr>
        <w:trPr>
          <w:trHeight w:val="160"/>
        </w:trPr>
        <w:tc>
          <w:tcPr>
            <w:tcW w:w="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400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40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37,648</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41,014</w:t>
            </w:r>
          </w:p>
        </w:tc>
      </w:tr>
      <w:tr>
        <w:trPr>
          <w:trHeight w:val="170"/>
        </w:trPr>
        <w:tc>
          <w:tcPr>
            <w:tcW w:w="5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Interest on lease liabilities</w:t>
            </w:r>
          </w:p>
        </w:tc>
        <w:tc>
          <w:tcPr>
            <w:tcW w:w="40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6,184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5,379</w:t>
            </w: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Of the total cost of $43.8 million incurred in the year ended 31 December 2025, $31.5 million is recorded within other operating expenses, $6.1 million is recorded within direct costs and $6.2 million is recorded within finance costs. During 2025, the Group had income from sub-leases of $2.9 million.</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Of the total cost of $46.4 million incurred in the year ended 31 December 2024, $33.3 million is recorded within other operating expenses, $7.7 million is recorded within direct costs and $5.4 million is recorded within finance costs. During 2024, the Group had income from sub-leases of $1.6 million.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1280"/>
          </w:cols>
          <w:pgMar w:left="300" w:top="698" w:right="3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 Commitments and contingencies</w:t>
      </w:r>
    </w:p>
    <w:p>
      <w:pPr>
        <w:spacing w:after="0" w:line="394" w:lineRule="exact"/>
        <w:rPr>
          <w:sz w:val="20"/>
          <w:szCs w:val="20"/>
          <w:color w:val="auto"/>
        </w:rPr>
      </w:pPr>
    </w:p>
    <w:p>
      <w:pPr>
        <w:ind w:left="260" w:hanging="255"/>
        <w:spacing w:after="0"/>
        <w:tabs>
          <w:tab w:leader="none" w:pos="26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Capital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capital commitments for the purchase of property, plant, equipment and computer software were authorised by the Group at 31 December 2025 and 31 December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shd w:val="clear" w:color="auto" w:fill="CCEEFF"/>
          </w:tcPr>
          <w:p>
            <w:pPr>
              <w:spacing w:after="0"/>
              <w:rPr>
                <w:sz w:val="13"/>
                <w:szCs w:val="13"/>
                <w:color w:val="auto"/>
              </w:rPr>
            </w:pPr>
          </w:p>
        </w:tc>
        <w:tc>
          <w:tcPr>
            <w:tcW w:w="52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900" w:type="dxa"/>
            <w:vAlign w:val="bottom"/>
            <w:tcBorders>
              <w:bottom w:val="single" w:sz="8" w:color="auto"/>
            </w:tcBorders>
            <w:shd w:val="clear" w:color="auto" w:fill="CCEEFF"/>
          </w:tcPr>
          <w:p>
            <w:pPr>
              <w:spacing w:after="0"/>
              <w:rPr>
                <w:sz w:val="14"/>
                <w:szCs w:val="14"/>
                <w:color w:val="auto"/>
              </w:rPr>
            </w:pPr>
          </w:p>
        </w:tc>
        <w:tc>
          <w:tcPr>
            <w:tcW w:w="5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4900" w:type="dxa"/>
            <w:vAlign w:val="bottom"/>
          </w:tcPr>
          <w:p>
            <w:pPr>
              <w:spacing w:after="0"/>
              <w:rPr>
                <w:sz w:val="13"/>
                <w:szCs w:val="13"/>
                <w:color w:val="auto"/>
              </w:rPr>
            </w:pPr>
          </w:p>
        </w:tc>
        <w:tc>
          <w:tcPr>
            <w:tcW w:w="52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Contracted for</w:t>
            </w:r>
          </w:p>
        </w:tc>
        <w:tc>
          <w:tcPr>
            <w:tcW w:w="5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172,627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128,639</w:t>
            </w:r>
          </w:p>
        </w:tc>
      </w:tr>
      <w:tr>
        <w:trPr>
          <w:trHeight w:val="16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172,627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128,639</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00" w:hanging="295"/>
        <w:spacing w:after="0"/>
        <w:tabs>
          <w:tab w:leader="none" w:pos="30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Contractual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Group contractual obligations and commercial commitments as at 31 December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Borders>
              <w:bottom w:val="single" w:sz="8" w:color="auto"/>
            </w:tcBorders>
            <w:shd w:val="clear" w:color="auto" w:fill="CCEEFF"/>
          </w:tcPr>
          <w:p>
            <w:pPr>
              <w:spacing w:after="0"/>
              <w:rPr>
                <w:sz w:val="14"/>
                <w:szCs w:val="14"/>
                <w:color w:val="auto"/>
              </w:rPr>
            </w:pPr>
          </w:p>
        </w:tc>
        <w:tc>
          <w:tcPr>
            <w:tcW w:w="2820" w:type="dxa"/>
            <w:vAlign w:val="bottom"/>
            <w:tcBorders>
              <w:bottom w:val="single" w:sz="8" w:color="auto"/>
            </w:tcBorders>
            <w:shd w:val="clear" w:color="auto" w:fill="CCEEFF"/>
          </w:tcPr>
          <w:p>
            <w:pPr>
              <w:spacing w:after="0"/>
              <w:rPr>
                <w:sz w:val="14"/>
                <w:szCs w:val="14"/>
                <w:color w:val="auto"/>
              </w:rPr>
            </w:pPr>
          </w:p>
        </w:tc>
        <w:tc>
          <w:tcPr>
            <w:tcW w:w="23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Payments due by period</w:t>
            </w:r>
          </w:p>
        </w:tc>
        <w:tc>
          <w:tcPr>
            <w:tcW w:w="1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118"/>
        </w:trPr>
        <w:tc>
          <w:tcPr>
            <w:tcW w:w="3520" w:type="dxa"/>
            <w:vAlign w:val="bottom"/>
          </w:tcPr>
          <w:p>
            <w:pPr>
              <w:spacing w:after="0"/>
              <w:rPr>
                <w:sz w:val="10"/>
                <w:szCs w:val="10"/>
                <w:color w:val="auto"/>
              </w:rPr>
            </w:pPr>
          </w:p>
        </w:tc>
        <w:tc>
          <w:tcPr>
            <w:tcW w:w="282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Total</w:t>
            </w:r>
          </w:p>
        </w:tc>
        <w:tc>
          <w:tcPr>
            <w:tcW w:w="2340" w:type="dxa"/>
            <w:vAlign w:val="bottom"/>
          </w:tcPr>
          <w:p>
            <w:pPr>
              <w:jc w:val="right"/>
              <w:ind w:right="1016"/>
              <w:spacing w:after="0" w:line="118" w:lineRule="exact"/>
              <w:rPr>
                <w:sz w:val="20"/>
                <w:szCs w:val="20"/>
                <w:color w:val="auto"/>
              </w:rPr>
            </w:pPr>
            <w:r>
              <w:rPr>
                <w:rFonts w:ascii="Arial" w:cs="Arial" w:eastAsia="Arial" w:hAnsi="Arial"/>
                <w:sz w:val="13"/>
                <w:szCs w:val="13"/>
                <w:b w:val="1"/>
                <w:bCs w:val="1"/>
                <w:color w:val="auto"/>
              </w:rPr>
              <w:t>Less than</w:t>
            </w:r>
          </w:p>
        </w:tc>
        <w:tc>
          <w:tcPr>
            <w:tcW w:w="1360" w:type="dxa"/>
            <w:vAlign w:val="bottom"/>
          </w:tcPr>
          <w:p>
            <w:pPr>
              <w:jc w:val="right"/>
              <w:ind w:right="556"/>
              <w:spacing w:after="0" w:line="118" w:lineRule="exact"/>
              <w:rPr>
                <w:sz w:val="20"/>
                <w:szCs w:val="20"/>
                <w:color w:val="auto"/>
              </w:rPr>
            </w:pPr>
            <w:r>
              <w:rPr>
                <w:rFonts w:ascii="Arial" w:cs="Arial" w:eastAsia="Arial" w:hAnsi="Arial"/>
                <w:sz w:val="13"/>
                <w:szCs w:val="13"/>
                <w:b w:val="1"/>
                <w:bCs w:val="1"/>
                <w:color w:val="auto"/>
              </w:rPr>
              <w:t>1 to 5</w:t>
            </w:r>
          </w:p>
        </w:tc>
        <w:tc>
          <w:tcPr>
            <w:tcW w:w="12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More than</w:t>
            </w:r>
          </w:p>
        </w:tc>
      </w:tr>
      <w:tr>
        <w:trPr>
          <w:trHeight w:val="170"/>
        </w:trPr>
        <w:tc>
          <w:tcPr>
            <w:tcW w:w="35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b w:val="1"/>
                <w:bCs w:val="1"/>
                <w:color w:val="auto"/>
              </w:rPr>
              <w:t>1 year</w:t>
            </w: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years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0"/>
        </w:trPr>
        <w:tc>
          <w:tcPr>
            <w:tcW w:w="3520" w:type="dxa"/>
            <w:vAlign w:val="bottom"/>
            <w:shd w:val="clear" w:color="auto" w:fill="CCEEFF"/>
          </w:tcPr>
          <w:p>
            <w:pPr>
              <w:spacing w:after="0"/>
              <w:rPr>
                <w:sz w:val="13"/>
                <w:szCs w:val="13"/>
                <w:color w:val="auto"/>
              </w:rPr>
            </w:pPr>
          </w:p>
        </w:tc>
        <w:tc>
          <w:tcPr>
            <w:tcW w:w="282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2340" w:type="dxa"/>
            <w:vAlign w:val="bottom"/>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rPr>
              <w:t>$’000</w:t>
            </w:r>
          </w:p>
        </w:tc>
        <w:tc>
          <w:tcPr>
            <w:tcW w:w="136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6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Capital commitments</w:t>
            </w:r>
          </w:p>
        </w:tc>
        <w:tc>
          <w:tcPr>
            <w:tcW w:w="28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172,627</w:t>
            </w:r>
          </w:p>
        </w:tc>
        <w:tc>
          <w:tcPr>
            <w:tcW w:w="234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color w:val="auto"/>
              </w:rPr>
              <w:t>150,192</w:t>
            </w: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22,435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contractual obligations</w:t>
            </w:r>
          </w:p>
        </w:tc>
        <w:tc>
          <w:tcPr>
            <w:tcW w:w="28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172,627</w:t>
            </w:r>
          </w:p>
        </w:tc>
        <w:tc>
          <w:tcPr>
            <w:tcW w:w="234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b w:val="1"/>
                <w:bCs w:val="1"/>
                <w:color w:val="auto"/>
              </w:rPr>
              <w:t>150,192</w:t>
            </w:r>
          </w:p>
        </w:tc>
        <w:tc>
          <w:tcPr>
            <w:tcW w:w="13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22,435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Group entered into subscription agreements with a number of funds (see Note 18 </w:t>
      </w:r>
      <w:r>
        <w:rPr>
          <w:rFonts w:ascii="Arial" w:cs="Arial" w:eastAsia="Arial" w:hAnsi="Arial"/>
          <w:sz w:val="13"/>
          <w:szCs w:val="13"/>
          <w:i w:val="1"/>
          <w:iCs w:val="1"/>
          <w:color w:val="auto"/>
        </w:rPr>
        <w:t>Financial asset investments</w:t>
      </w:r>
      <w:r>
        <w:rPr>
          <w:rFonts w:ascii="Arial" w:cs="Arial" w:eastAsia="Arial" w:hAnsi="Arial"/>
          <w:sz w:val="13"/>
          <w:szCs w:val="13"/>
          <w:color w:val="auto"/>
        </w:rPr>
        <w:t xml:space="preserve"> in Notes to the Consolidated Financial Statements). During the year ended 31 December 2025, net capital totalling $10.8 million had been advanced under the terms of the subscription agreements (2024: $13.1 million). The Group had committed to future investments of</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$137.1 million (2024: $102.2 million</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in respect of these funds (In addition to the capital commitments included in the table above). The timing of the commitment is not specified in the subscription agreements.</w:t>
      </w:r>
    </w:p>
    <w:p>
      <w:pPr>
        <w:spacing w:after="0" w:line="167" w:lineRule="exact"/>
        <w:rPr>
          <w:sz w:val="20"/>
          <w:szCs w:val="20"/>
          <w:color w:val="auto"/>
        </w:rPr>
      </w:pPr>
    </w:p>
    <w:p>
      <w:pPr>
        <w:ind w:left="300" w:hanging="295"/>
        <w:spacing w:after="0"/>
        <w:tabs>
          <w:tab w:leader="none" w:pos="30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Guarantees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 Guarantees in respect of borrowings of subsidiaries</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 xml:space="preserve">ICON plc and certain other subsidiaries within the Group have guaranteed the Senior Secured Credit Facilities and Senior Secured Notes as set out in Note 21 </w:t>
      </w:r>
      <w:r>
        <w:rPr>
          <w:rFonts w:ascii="Arial" w:cs="Arial" w:eastAsia="Arial" w:hAnsi="Arial"/>
          <w:sz w:val="13"/>
          <w:szCs w:val="13"/>
          <w:i w:val="1"/>
          <w:iCs w:val="1"/>
          <w:color w:val="auto"/>
        </w:rPr>
        <w:t>Bank credit lines and loan facilities</w:t>
      </w:r>
      <w:r>
        <w:rPr>
          <w:rFonts w:ascii="Arial" w:cs="Arial" w:eastAsia="Arial" w:hAnsi="Arial"/>
          <w:sz w:val="13"/>
          <w:szCs w:val="13"/>
          <w:color w:val="auto"/>
        </w:rPr>
        <w:t xml:space="preserve"> in Notes to the Consolidated Financial Statements</w:t>
      </w:r>
      <w:r>
        <w:rPr>
          <w:rFonts w:ascii="Arial" w:cs="Arial" w:eastAsia="Arial" w:hAnsi="Arial"/>
          <w:sz w:val="13"/>
          <w:szCs w:val="13"/>
          <w:i w:val="1"/>
          <w:iCs w:val="1"/>
          <w:color w:val="auto"/>
        </w:rPr>
        <w:t>.</w:t>
      </w:r>
      <w:r>
        <w:rPr>
          <w:rFonts w:ascii="Arial" w:cs="Arial" w:eastAsia="Arial" w:hAnsi="Arial"/>
          <w:sz w:val="13"/>
          <w:szCs w:val="13"/>
          <w:color w:val="auto"/>
        </w:rPr>
        <w:t xml:space="preserve"> The Group does not expect any material loss to arise from these guarantees.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(ii) Section 357 Guarantees</w:t>
      </w:r>
    </w:p>
    <w:p>
      <w:pPr>
        <w:spacing w:after="0" w:line="190"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Company has guaranteed all of the commitments and liabilities referred to in Section 357(1) (b) of the Companies Act in respect of the whole of the financial year ending 31 December 2025 for the subsidiary companies listed below. These subsidiaries are availing of the exemption under Section 357 of the Companies Act not to file statutory financial statements.</w:t>
      </w:r>
    </w:p>
    <w:p>
      <w:pPr>
        <w:spacing w:after="0" w:line="167" w:lineRule="exact"/>
        <w:rPr>
          <w:sz w:val="20"/>
          <w:szCs w:val="20"/>
          <w:color w:val="auto"/>
        </w:rPr>
      </w:pP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Clinical Research Limited</w:t>
      </w:r>
    </w:p>
    <w:p>
      <w:pPr>
        <w:spacing w:after="0" w:line="11" w:lineRule="exact"/>
        <w:rPr>
          <w:rFonts w:ascii="Arial" w:cs="Arial" w:eastAsia="Arial" w:hAnsi="Arial"/>
          <w:sz w:val="13"/>
          <w:szCs w:val="13"/>
          <w:color w:val="auto"/>
        </w:rPr>
      </w:pP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Holdings Unlimited Company</w:t>
      </w: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Clinical Research Property Holdings (Ireland) Limited</w:t>
      </w:r>
    </w:p>
    <w:p>
      <w:pPr>
        <w:ind w:left="1020" w:hanging="552"/>
        <w:spacing w:after="0" w:line="221" w:lineRule="auto"/>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Clinical Research Property Development (Ireland) Limited</w:t>
      </w: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Holdings Clinical Research International Limited</w:t>
      </w: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Accellacare Limited</w:t>
      </w: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Global Treasury Unlimited Company</w:t>
      </w: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Clinical Global Holdings Unlimited Company</w:t>
      </w:r>
    </w:p>
    <w:p>
      <w:pPr>
        <w:ind w:left="1020" w:hanging="552"/>
        <w:spacing w:after="0" w:line="221" w:lineRule="auto"/>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Operational Financing Unlimited Company</w:t>
      </w: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Operational Holdings Unlimited Company</w:t>
      </w: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Clinical Research Holdings (Ireland) Unlimited Company</w:t>
      </w:r>
    </w:p>
    <w:p>
      <w:pPr>
        <w:ind w:left="1020" w:hanging="552"/>
        <w:spacing w:after="0"/>
        <w:tabs>
          <w:tab w:leader="none" w:pos="10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ICON Investments Six Designated Activity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ectPr>
          <w:pgSz w:w="11900" w:h="16838" w:orient="portrait"/>
          <w:cols w:equalWidth="0" w:num="1">
            <w:col w:w="11280"/>
          </w:cols>
          <w:pgMar w:left="300" w:top="698" w:right="3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ind w:left="320" w:hanging="315"/>
        <w:spacing w:after="0"/>
        <w:tabs>
          <w:tab w:leader="none" w:pos="32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39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Other than as described below, 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unfavourable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favour.</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The Company, its former Chief Executive Officer, and its former Chief Financial Officer were named as defendants in two class action lawsuits involving similar claims, filed in the United States District Court for the Eastern District of New York on 10 February 2025 (Shing v. ICON plc, et al.) and 2 April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w:t>
      </w:r>
      <w:r>
        <w:rPr>
          <w:rFonts w:ascii="Arial" w:cs="Arial" w:eastAsia="Arial" w:hAnsi="Arial"/>
          <w:sz w:val="13"/>
          <w:szCs w:val="13"/>
          <w:i w:val="1"/>
          <w:iCs w:val="1"/>
          <w:color w:val="auto"/>
        </w:rPr>
        <w:t>In re ICON plc Securities Litigation</w:t>
      </w:r>
      <w:r>
        <w:rPr>
          <w:rFonts w:ascii="Arial" w:cs="Arial" w:eastAsia="Arial" w:hAnsi="Arial"/>
          <w:sz w:val="13"/>
          <w:szCs w:val="13"/>
          <w:color w:val="auto"/>
        </w:rPr>
        <w:t>, No. 2:25-cv-00763 (the “Putative Class Action”). Lead plaintiffs and lead counsel for the putative class were appointed on 10 June 2025. On 12 September 2025, the lead plaintiffs filed an amended complaint that names the Company’s current Chief Executive Officer in addition to the original defendants.</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On 12 November 2025, the defendants filed a motion to dismiss the amended complaint. Lead plaintiffs filed an opposition on 13 January 2026. On 13 February 2026, the parties filed a stipulation that the lead plaintiffs may file a further amended complaint within 30 days after the Company publicly reports full-year 2025 results. Given the preliminary stage of the litigation and inherent uncertainties in light of the forthcoming further amended complaint, we are unable at this time to form a view as to whether an adverse outcome is either probable or remote or to estimate the amount or range of potential loss in the event of an adverse outcome.</w:t>
      </w: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28. Related parties</w:t>
      </w:r>
    </w:p>
    <w:p>
      <w:pPr>
        <w:spacing w:after="0" w:line="192" w:lineRule="exact"/>
        <w:rPr>
          <w:sz w:val="20"/>
          <w:szCs w:val="20"/>
          <w:color w:val="auto"/>
        </w:rPr>
      </w:pPr>
    </w:p>
    <w:p>
      <w:pPr>
        <w:ind w:left="260" w:hanging="255"/>
        <w:spacing w:after="0"/>
        <w:tabs>
          <w:tab w:leader="none" w:pos="260"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Transactions with Directors and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total compensation of the Directors and Executive Officers being CEO and CFO (key management remuneration) for the years ended 31 December 2025 and 2024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shd w:val="clear" w:color="auto" w:fill="CCEEFF"/>
          </w:tcPr>
          <w:p>
            <w:pPr>
              <w:spacing w:after="0"/>
              <w:rPr>
                <w:sz w:val="13"/>
                <w:szCs w:val="13"/>
                <w:color w:val="auto"/>
              </w:rPr>
            </w:pPr>
          </w:p>
        </w:tc>
        <w:tc>
          <w:tcPr>
            <w:tcW w:w="47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31 December</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240" w:type="dxa"/>
            <w:vAlign w:val="bottom"/>
            <w:tcBorders>
              <w:bottom w:val="single" w:sz="8" w:color="auto"/>
            </w:tcBorders>
            <w:shd w:val="clear" w:color="auto" w:fill="CCEEFF"/>
          </w:tcPr>
          <w:p>
            <w:pPr>
              <w:spacing w:after="0"/>
              <w:rPr>
                <w:sz w:val="14"/>
                <w:szCs w:val="14"/>
                <w:color w:val="auto"/>
              </w:rPr>
            </w:pPr>
          </w:p>
        </w:tc>
        <w:tc>
          <w:tcPr>
            <w:tcW w:w="4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5240" w:type="dxa"/>
            <w:vAlign w:val="bottom"/>
          </w:tcPr>
          <w:p>
            <w:pPr>
              <w:spacing w:after="0"/>
              <w:rPr>
                <w:sz w:val="13"/>
                <w:szCs w:val="13"/>
                <w:color w:val="auto"/>
              </w:rPr>
            </w:pPr>
          </w:p>
        </w:tc>
        <w:tc>
          <w:tcPr>
            <w:tcW w:w="47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Salary and fees</w:t>
            </w:r>
          </w:p>
        </w:tc>
        <w:tc>
          <w:tcPr>
            <w:tcW w:w="474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3,747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3,145</w:t>
            </w:r>
          </w:p>
        </w:tc>
      </w:tr>
      <w:tr>
        <w:trPr>
          <w:trHeight w:val="170"/>
        </w:trPr>
        <w:tc>
          <w:tcPr>
            <w:tcW w:w="5240" w:type="dxa"/>
            <w:vAlign w:val="bottom"/>
          </w:tcPr>
          <w:p>
            <w:pPr>
              <w:ind w:left="20"/>
              <w:spacing w:after="0"/>
              <w:rPr>
                <w:sz w:val="20"/>
                <w:szCs w:val="20"/>
                <w:color w:val="auto"/>
              </w:rPr>
            </w:pPr>
            <w:r>
              <w:rPr>
                <w:rFonts w:ascii="Arial" w:cs="Arial" w:eastAsia="Arial" w:hAnsi="Arial"/>
                <w:sz w:val="13"/>
                <w:szCs w:val="13"/>
                <w:color w:val="auto"/>
              </w:rPr>
              <w:t>All other compensation</w:t>
            </w:r>
          </w:p>
        </w:tc>
        <w:tc>
          <w:tcPr>
            <w:tcW w:w="4740" w:type="dxa"/>
            <w:vAlign w:val="bottom"/>
          </w:tcPr>
          <w:p>
            <w:pPr>
              <w:jc w:val="right"/>
              <w:ind w:right="456"/>
              <w:spacing w:after="0"/>
              <w:rPr>
                <w:sz w:val="20"/>
                <w:szCs w:val="20"/>
                <w:color w:val="auto"/>
              </w:rPr>
            </w:pPr>
            <w:r>
              <w:rPr>
                <w:rFonts w:ascii="Arial" w:cs="Arial" w:eastAsia="Arial" w:hAnsi="Arial"/>
                <w:sz w:val="13"/>
                <w:szCs w:val="13"/>
                <w:b w:val="1"/>
                <w:bCs w:val="1"/>
                <w:color w:val="auto"/>
              </w:rPr>
              <w:t>1,452</w:t>
            </w:r>
          </w:p>
        </w:tc>
        <w:tc>
          <w:tcPr>
            <w:tcW w:w="128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contributions</w:t>
            </w:r>
          </w:p>
        </w:tc>
        <w:tc>
          <w:tcPr>
            <w:tcW w:w="474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207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r>
      <w:tr>
        <w:trPr>
          <w:trHeight w:val="17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payment expense</w:t>
            </w:r>
          </w:p>
        </w:tc>
        <w:tc>
          <w:tcPr>
            <w:tcW w:w="47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25,453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4,717</w:t>
            </w:r>
          </w:p>
        </w:tc>
      </w:tr>
      <w:tr>
        <w:trPr>
          <w:trHeight w:val="18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7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30,859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8,145</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4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Details of ordinary shares, share options, RSUs and PSUs held by the Directors and Executive Officers and details of transactions entered into by Directors and Key Executive Officers in shares and share options of the Company during the year ended 31 December 2025 are set out in Note 10 </w:t>
      </w:r>
      <w:r>
        <w:rPr>
          <w:rFonts w:ascii="Arial" w:cs="Arial" w:eastAsia="Arial" w:hAnsi="Arial"/>
          <w:sz w:val="13"/>
          <w:szCs w:val="13"/>
          <w:i w:val="1"/>
          <w:iCs w:val="1"/>
          <w:color w:val="auto"/>
        </w:rPr>
        <w:t>Payroll and related benefits</w:t>
      </w:r>
      <w:r>
        <w:rPr>
          <w:rFonts w:ascii="Arial" w:cs="Arial" w:eastAsia="Arial" w:hAnsi="Arial"/>
          <w:sz w:val="13"/>
          <w:szCs w:val="13"/>
          <w:color w:val="auto"/>
        </w:rPr>
        <w:t xml:space="preserve"> in Notes to the Consolidated Financial Statements.</w:t>
      </w:r>
    </w:p>
    <w:p>
      <w:pPr>
        <w:spacing w:after="0" w:line="148" w:lineRule="exact"/>
        <w:rPr>
          <w:sz w:val="20"/>
          <w:szCs w:val="20"/>
          <w:color w:val="auto"/>
        </w:rPr>
      </w:pPr>
    </w:p>
    <w:p>
      <w:pPr>
        <w:ind w:left="280" w:hanging="275"/>
        <w:spacing w:after="0"/>
        <w:tabs>
          <w:tab w:leader="none" w:pos="280"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t>Other related party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subsidiaries of the Group earned revenue of $0.4 million (31 December 2024: $0.3 million) from Corvus Pharmaceuticals. Dr. Linda Grais serves as a Director and shareholder of</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Corvus Pharmaceuticals. At 31 December 2025, $0.1 million (31 December 2024: $0.1 million) was noted as due from Corvus Pharmaceuticals .</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 subsidiaries of the Group earned revenue of $nil (31 December 2024: $nil) from Afimmune Limited. Dr. John Climax is the Chief Executive Officer and a Director and shareholder of</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Afimmune Limited. At 31 December 2025, $0.1 million was noted as due from Afimmune Limited (31 December 2024: $0.1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ectPr>
          <w:pgSz w:w="11900" w:h="16838" w:orient="portrait"/>
          <w:cols w:equalWidth="0" w:num="1">
            <w:col w:w="11280"/>
          </w:cols>
          <w:pgMar w:left="300" w:top="698" w:right="3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29. Subsequent events</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The Group has evaluated subsequent events from 31 December 2025 through 25 June 2026, the date at which the consolidated financial statements were available to be issued.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Bridge Secured Credit Facility</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27 April 2026, ICON Global Treasury Unlimited Company (the “Bridge Facility Borrower”) entered into a bridge facility credit agreement for an aggregate principal amount of $500 million (the "Bridge Secured Credit Facility"). The proceeds of the Bridge Secured Credit Facility may be used to discharge and repay in full $500 million aggregate principal amount of 2.875% Senior Secured Notes (the “2026 Notes”) issued by a subsidiary of the Group in July 2021. The Bridge Secured Credit Facility will mature on 26 April 2027.</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borrowings under the Bridge Secured Credit Facility do not amortise and are due at final maturity. The interest rate margin applicable to borrowings under the Bridge Secured Credit Facility is USD Term SOFR plus a fixed calendared applicable margin ranging from 1.00% to 2.25%. At 25 June 2026 , the applicable margin was 1.00%.</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Bridge Facility Borrower’s obligations under the Bridge Secured Credit Facility are guaranteed by ICON and the subsidiary guarantors party thereto. The Bridge Secured Credit Facility is secured by a lien on substantially all of the assets (subject to certain exceptions) of ICON, the Bridge Facility Borrower and each of the subsidiary guarantors, and the Bridge Secured Credit Facility will have a first-priority lien on such assets which will rank pari passu with the lien securing ICON’s other first lien secured indebtedness and is subject to other permitted liens. The Company is permitted to make voluntary prepayments under the Bridge Secured Credit Facility without premium or penalty (subject to customary break funding payments).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Bridge Secured Credit Facility contains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Bridge Secured Credit Facility provides that, upon the occurrence of certain events of default, the obligations under the credit agreement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monetary judgments, material pension-plan events, change of control and other customary events of default.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Disposal of Symphony Health Solutions Corporation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8 May 2026, ICON completed the disposition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 $37.5 million. As a result, ICON holds a minority equity interest in HealthVerity. As of 8 May 2026, the Company’s investment in HealthVerity has been recorded at a carrying value of $nil.</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Waivers to the debt agreements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27 April 2026, the parties (limited to the borrowers and revolving lenders under the senior secured revolving loan facility only) to the Credit Agreement (as defined below) entered into a Consent to Credit Agreement pursuant to which such revolving lenders agreed to provide a limited and temporary waiver of the requirement to deliver certain financial statements under the senior secured revolving credit facility in connection with the borrowings thereunder. The waiver applied solely for the specified consent period ending 31 May 2026.</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18 May 2026, the Company launched a consent and waiver to the Credit Agreement (applicable to all facilities thereunder) in order to request that the requisite lenders thereunder agree to (i) waive the technical default caused by the Company’s late delivery of its Annual Report on Form 20-F for the fiscal year ending 31 December 2025, (ii) provide an extension of the delivery of the Company’s Annual Report on Form 20-F for the fiscal year ending 31 December 2025 to 16 July 2026 and (iii) provide an extension of the delivery of the Company’s quarterly financial statements for the fiscal quarter ending 31 March 2026 to 31 July 2026. Consent to the waiver was received on 22 May 2026.</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filed its Annual Report on Form 20-F for the year ended 31 December 2025 on 27 May 2026. On 29 May 2026, the Annual Report on Form 20-F that was subject to the 27 April 2026 and 18 May 2026 waivers was delivered to the requisite parties under the Credit Agreement.</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The Group has determined that there are no other items to disclose.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121</w:t>
      </w:r>
    </w:p>
    <w:p>
      <w:pPr>
        <w:sectPr>
          <w:pgSz w:w="11900" w:h="16838" w:orient="portrait"/>
          <w:cols w:equalWidth="0" w:num="1">
            <w:col w:w="11280"/>
          </w:cols>
          <w:pgMar w:left="300" w:top="698" w:right="3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As at 31 December 2025 the Group had the following principal subsidiary undertakings: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800" w:type="dxa"/>
            <w:vAlign w:val="bottom"/>
            <w:shd w:val="clear" w:color="auto" w:fill="CCEEFF"/>
          </w:tcPr>
          <w:p>
            <w:pPr>
              <w:ind w:left="102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220" w:type="dxa"/>
            <w:vAlign w:val="bottom"/>
            <w:tcBorders>
              <w:bottom w:val="single" w:sz="8" w:color="auto"/>
            </w:tcBorders>
            <w:shd w:val="clear" w:color="auto" w:fill="CCEEFF"/>
          </w:tcPr>
          <w:p>
            <w:pPr>
              <w:spacing w:after="0"/>
              <w:rPr>
                <w:sz w:val="14"/>
                <w:szCs w:val="14"/>
                <w:color w:val="auto"/>
              </w:rPr>
            </w:pPr>
          </w:p>
        </w:tc>
        <w:tc>
          <w:tcPr>
            <w:tcW w:w="348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22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S.A.</w:t>
            </w:r>
          </w:p>
        </w:tc>
        <w:tc>
          <w:tcPr>
            <w:tcW w:w="3480" w:type="dxa"/>
            <w:vAlign w:val="bottom"/>
          </w:tcPr>
          <w:p>
            <w:pPr>
              <w:ind w:left="420"/>
              <w:spacing w:after="0" w:line="118" w:lineRule="exact"/>
              <w:rPr>
                <w:sz w:val="20"/>
                <w:szCs w:val="20"/>
                <w:color w:val="auto"/>
              </w:rPr>
            </w:pPr>
            <w:r>
              <w:rPr>
                <w:rFonts w:ascii="Arial" w:cs="Arial" w:eastAsia="Arial" w:hAnsi="Arial"/>
                <w:sz w:val="13"/>
                <w:szCs w:val="13"/>
                <w:color w:val="auto"/>
              </w:rPr>
              <w:t>Cecilia Grierson 255, Floor 6°</w:t>
            </w:r>
          </w:p>
        </w:tc>
        <w:tc>
          <w:tcPr>
            <w:tcW w:w="2800" w:type="dxa"/>
            <w:vAlign w:val="bottom"/>
          </w:tcPr>
          <w:p>
            <w:pPr>
              <w:ind w:left="102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City of Buenos Aires</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C1107CPE</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Argentina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S.A.</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Cecilia Grierson 255, Floor 6°</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City of Buenos Aires</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C1107CPE</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Argentina</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PTY Limited</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Suite 201,</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7"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Level 2, 2-4 Lyon Park Road,</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Macquarie Park</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NSW 2113</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Australia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CRO Pty Ltd</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Suite 104, Level 1,</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109 Oxford Street, Bondi Junction,</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NSW 2022, Sydney,</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Australia</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Medpass International Pty Ltd</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Level 2,</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Pier 8, Shop 9,</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23 Hickson Road,</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Millers Point,</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NSW 2000</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Australia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Pty Limited</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 ICON Clinical Research Pty Ltd.</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Suite 201, Level 2</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2-4 Lyon Park Road</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Macquarie Park</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NSW 2113</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Australia</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Austria GmbH</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Pyrkergasse 10/6</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1190 Vienna</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Austria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Austria GmbH</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Tegetthoffstraße 7</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1010 Vienna, Austria</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IMP-Logistics Bel, FLLC</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28, Malinina st. bld.4,</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Liter A 1-2/k,</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Office #3,</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Minsk</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Republic of Belarus 220101</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Belgium B.V.</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Kardinaal Mercierplein 2</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2800 Mechelen</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Belgium</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RPS Bermuda, Ltd.</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Victoria Place, 5th Floor</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31 Victoria Street</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Hamilton HM 10 Bermuda</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Pesquisas Clínicas Ltda.</w:t>
            </w:r>
          </w:p>
        </w:tc>
        <w:tc>
          <w:tcPr>
            <w:tcW w:w="348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Av. Ibirapuera 2332,</w:t>
            </w:r>
          </w:p>
        </w:tc>
        <w:tc>
          <w:tcPr>
            <w:tcW w:w="280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Torre II 4º Andar,</w:t>
            </w:r>
          </w:p>
        </w:tc>
        <w:tc>
          <w:tcPr>
            <w:tcW w:w="2800" w:type="dxa"/>
            <w:vAlign w:val="bottom"/>
            <w:shd w:val="clear" w:color="auto" w:fill="CCEEFF"/>
          </w:tcPr>
          <w:p>
            <w:pPr>
              <w:ind w:left="1020"/>
              <w:spacing w:after="0" w:line="128" w:lineRule="exact"/>
              <w:rPr>
                <w:sz w:val="20"/>
                <w:szCs w:val="20"/>
                <w:color w:val="auto"/>
              </w:rPr>
            </w:pPr>
            <w:r>
              <w:rPr>
                <w:rFonts w:ascii="Arial" w:cs="Arial" w:eastAsia="Arial" w:hAnsi="Arial"/>
                <w:sz w:val="13"/>
                <w:szCs w:val="13"/>
                <w:color w:val="auto"/>
              </w:rPr>
              <w:t>services</w:t>
            </w: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São Paulo, SP,</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20" w:type="dxa"/>
            <w:vAlign w:val="bottom"/>
            <w:shd w:val="clear" w:color="auto" w:fill="CCEEFF"/>
          </w:tcPr>
          <w:p>
            <w:pPr>
              <w:spacing w:after="0"/>
              <w:rPr>
                <w:sz w:val="11"/>
                <w:szCs w:val="11"/>
                <w:color w:val="auto"/>
              </w:rPr>
            </w:pPr>
          </w:p>
        </w:tc>
        <w:tc>
          <w:tcPr>
            <w:tcW w:w="348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Brazil,</w:t>
            </w:r>
          </w:p>
        </w:tc>
        <w:tc>
          <w:tcPr>
            <w:tcW w:w="2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20" w:type="dxa"/>
            <w:vAlign w:val="bottom"/>
            <w:shd w:val="clear" w:color="auto" w:fill="CCEEFF"/>
          </w:tcPr>
          <w:p>
            <w:pPr>
              <w:spacing w:after="0"/>
              <w:rPr>
                <w:sz w:val="14"/>
                <w:szCs w:val="14"/>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CEP 04028-003</w:t>
            </w:r>
          </w:p>
        </w:tc>
        <w:tc>
          <w:tcPr>
            <w:tcW w:w="2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Ltda.</w:t>
            </w: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Av. Ibirapuera 2332,</w:t>
            </w:r>
          </w:p>
        </w:tc>
        <w:tc>
          <w:tcPr>
            <w:tcW w:w="2800" w:type="dxa"/>
            <w:vAlign w:val="bottom"/>
          </w:tcPr>
          <w:p>
            <w:pPr>
              <w:ind w:left="10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Torre II 4º Andar,</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São Paulo, SP,</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Brazil,</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220" w:type="dxa"/>
            <w:vAlign w:val="bottom"/>
          </w:tcPr>
          <w:p>
            <w:pPr>
              <w:spacing w:after="0"/>
              <w:rPr>
                <w:sz w:val="14"/>
                <w:szCs w:val="14"/>
                <w:color w:val="auto"/>
              </w:rPr>
            </w:pPr>
          </w:p>
        </w:tc>
        <w:tc>
          <w:tcPr>
            <w:tcW w:w="3480" w:type="dxa"/>
            <w:vAlign w:val="bottom"/>
          </w:tcPr>
          <w:p>
            <w:pPr>
              <w:ind w:left="420"/>
              <w:spacing w:after="0"/>
              <w:rPr>
                <w:sz w:val="20"/>
                <w:szCs w:val="20"/>
                <w:color w:val="auto"/>
              </w:rPr>
            </w:pPr>
            <w:r>
              <w:rPr>
                <w:rFonts w:ascii="Arial" w:cs="Arial" w:eastAsia="Arial" w:hAnsi="Arial"/>
                <w:sz w:val="13"/>
                <w:szCs w:val="13"/>
                <w:color w:val="auto"/>
              </w:rPr>
              <w:t>CEP 04028-003</w:t>
            </w: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30"/>
        </w:trPr>
        <w:tc>
          <w:tcPr>
            <w:tcW w:w="3220" w:type="dxa"/>
            <w:vAlign w:val="bottom"/>
          </w:tcPr>
          <w:p>
            <w:pPr>
              <w:ind w:left="20"/>
              <w:spacing w:after="0" w:line="130" w:lineRule="exact"/>
              <w:rPr>
                <w:sz w:val="20"/>
                <w:szCs w:val="20"/>
                <w:color w:val="auto"/>
              </w:rPr>
            </w:pPr>
            <w:r>
              <w:rPr>
                <w:rFonts w:ascii="Arial" w:cs="Arial" w:eastAsia="Arial" w:hAnsi="Arial"/>
                <w:sz w:val="13"/>
                <w:szCs w:val="13"/>
                <w:color w:val="auto"/>
              </w:rPr>
              <w:t>RPS do Brasil Serviços de Pesquisas Ltda.</w:t>
            </w:r>
          </w:p>
        </w:tc>
        <w:tc>
          <w:tcPr>
            <w:tcW w:w="3480" w:type="dxa"/>
            <w:vAlign w:val="bottom"/>
          </w:tcPr>
          <w:p>
            <w:pPr>
              <w:ind w:left="420"/>
              <w:spacing w:after="0" w:line="130" w:lineRule="exact"/>
              <w:rPr>
                <w:sz w:val="20"/>
                <w:szCs w:val="20"/>
                <w:color w:val="auto"/>
              </w:rPr>
            </w:pPr>
            <w:r>
              <w:rPr>
                <w:rFonts w:ascii="Arial" w:cs="Arial" w:eastAsia="Arial" w:hAnsi="Arial"/>
                <w:sz w:val="13"/>
                <w:szCs w:val="13"/>
                <w:color w:val="auto"/>
              </w:rPr>
              <w:t>Av. Ibirapuera 2332,</w:t>
            </w:r>
          </w:p>
        </w:tc>
        <w:tc>
          <w:tcPr>
            <w:tcW w:w="2800" w:type="dxa"/>
            <w:vAlign w:val="bottom"/>
          </w:tcPr>
          <w:p>
            <w:pPr>
              <w:ind w:left="1020"/>
              <w:spacing w:after="0" w:line="130"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220" w:type="dxa"/>
            <w:vAlign w:val="bottom"/>
          </w:tcPr>
          <w:p>
            <w:pPr>
              <w:spacing w:after="0"/>
              <w:rPr>
                <w:sz w:val="11"/>
                <w:szCs w:val="11"/>
                <w:color w:val="auto"/>
              </w:rPr>
            </w:pPr>
          </w:p>
        </w:tc>
        <w:tc>
          <w:tcPr>
            <w:tcW w:w="3480" w:type="dxa"/>
            <w:vAlign w:val="bottom"/>
          </w:tcPr>
          <w:p>
            <w:pPr>
              <w:ind w:left="420"/>
              <w:spacing w:after="0" w:line="128" w:lineRule="exact"/>
              <w:rPr>
                <w:sz w:val="20"/>
                <w:szCs w:val="20"/>
                <w:color w:val="auto"/>
              </w:rPr>
            </w:pPr>
            <w:r>
              <w:rPr>
                <w:rFonts w:ascii="Arial" w:cs="Arial" w:eastAsia="Arial" w:hAnsi="Arial"/>
                <w:sz w:val="13"/>
                <w:szCs w:val="13"/>
                <w:color w:val="auto"/>
              </w:rPr>
              <w:t>Torre II 4º Andar,</w:t>
            </w:r>
          </w:p>
        </w:tc>
        <w:tc>
          <w:tcPr>
            <w:tcW w:w="28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39"/>
        </w:trPr>
        <w:tc>
          <w:tcPr>
            <w:tcW w:w="3220" w:type="dxa"/>
            <w:vAlign w:val="bottom"/>
          </w:tcPr>
          <w:p>
            <w:pPr>
              <w:spacing w:after="0"/>
              <w:rPr>
                <w:sz w:val="12"/>
                <w:szCs w:val="12"/>
                <w:color w:val="auto"/>
              </w:rPr>
            </w:pPr>
          </w:p>
        </w:tc>
        <w:tc>
          <w:tcPr>
            <w:tcW w:w="3480" w:type="dxa"/>
            <w:vAlign w:val="bottom"/>
          </w:tcPr>
          <w:p>
            <w:pPr>
              <w:ind w:left="420"/>
              <w:spacing w:after="0" w:line="139" w:lineRule="exact"/>
              <w:rPr>
                <w:sz w:val="20"/>
                <w:szCs w:val="20"/>
                <w:color w:val="auto"/>
              </w:rPr>
            </w:pPr>
            <w:r>
              <w:rPr>
                <w:rFonts w:ascii="Arial" w:cs="Arial" w:eastAsia="Arial" w:hAnsi="Arial"/>
                <w:sz w:val="13"/>
                <w:szCs w:val="13"/>
                <w:color w:val="auto"/>
              </w:rPr>
              <w:t>São Paulo, SP,</w:t>
            </w:r>
          </w:p>
        </w:tc>
        <w:tc>
          <w:tcPr>
            <w:tcW w:w="2800" w:type="dxa"/>
            <w:vAlign w:val="bottom"/>
          </w:tcPr>
          <w:p>
            <w:pPr>
              <w:spacing w:after="0"/>
              <w:rPr>
                <w:sz w:val="12"/>
                <w:szCs w:val="12"/>
                <w:color w:val="auto"/>
              </w:rPr>
            </w:pPr>
          </w:p>
        </w:tc>
        <w:tc>
          <w:tcPr>
            <w:tcW w:w="17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48195" cy="431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431165"/>
                    </a:xfrm>
                    <a:prstGeom prst="rect">
                      <a:avLst/>
                    </a:prstGeom>
                    <a:noFill/>
                  </pic:spPr>
                </pic:pic>
              </a:graphicData>
            </a:graphic>
          </wp:anchor>
        </w:drawing>
      </w:r>
    </w:p>
    <w:p>
      <w:pPr>
        <w:ind w:left="3640"/>
        <w:spacing w:after="0" w:line="204" w:lineRule="auto"/>
        <w:rPr>
          <w:sz w:val="20"/>
          <w:szCs w:val="20"/>
          <w:color w:val="auto"/>
        </w:rPr>
      </w:pPr>
      <w:r>
        <w:rPr>
          <w:rFonts w:ascii="Arial" w:cs="Arial" w:eastAsia="Arial" w:hAnsi="Arial"/>
          <w:sz w:val="13"/>
          <w:szCs w:val="13"/>
          <w:color w:val="auto"/>
        </w:rPr>
        <w:t>Brazil,</w:t>
      </w:r>
    </w:p>
    <w:p>
      <w:pPr>
        <w:ind w:left="3640"/>
        <w:spacing w:after="0"/>
        <w:rPr>
          <w:sz w:val="20"/>
          <w:szCs w:val="20"/>
          <w:color w:val="auto"/>
        </w:rPr>
      </w:pPr>
      <w:r>
        <w:rPr>
          <w:rFonts w:ascii="Arial" w:cs="Arial" w:eastAsia="Arial" w:hAnsi="Arial"/>
          <w:sz w:val="13"/>
          <w:szCs w:val="13"/>
          <w:color w:val="auto"/>
        </w:rPr>
        <w:t>CEP 04028-003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122</w:t>
      </w:r>
    </w:p>
    <w:p>
      <w:pPr>
        <w:sectPr>
          <w:pgSz w:w="11900" w:h="16838" w:orient="portrait"/>
          <w:cols w:equalWidth="0" w:num="1">
            <w:col w:w="11260"/>
          </w:cols>
          <w:pgMar w:left="300" w:top="698"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184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340" w:type="dxa"/>
            <w:vAlign w:val="bottom"/>
            <w:tcBorders>
              <w:bottom w:val="single" w:sz="8" w:color="auto"/>
            </w:tcBorders>
            <w:shd w:val="clear" w:color="auto" w:fill="CCEEFF"/>
          </w:tcPr>
          <w:p>
            <w:pPr>
              <w:spacing w:after="0"/>
              <w:rPr>
                <w:sz w:val="14"/>
                <w:szCs w:val="14"/>
                <w:color w:val="auto"/>
              </w:rPr>
            </w:pPr>
          </w:p>
        </w:tc>
        <w:tc>
          <w:tcPr>
            <w:tcW w:w="43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340" w:type="dxa"/>
            <w:vAlign w:val="bottom"/>
          </w:tcPr>
          <w:p>
            <w:pPr>
              <w:ind w:left="20"/>
              <w:spacing w:after="0" w:line="118" w:lineRule="exact"/>
              <w:rPr>
                <w:sz w:val="20"/>
                <w:szCs w:val="20"/>
                <w:color w:val="auto"/>
              </w:rPr>
            </w:pPr>
            <w:r>
              <w:rPr>
                <w:rFonts w:ascii="Arial" w:cs="Arial" w:eastAsia="Arial" w:hAnsi="Arial"/>
                <w:sz w:val="13"/>
                <w:szCs w:val="13"/>
                <w:color w:val="auto"/>
              </w:rPr>
              <w:t>RPS China Inc.</w:t>
            </w:r>
          </w:p>
        </w:tc>
        <w:tc>
          <w:tcPr>
            <w:tcW w:w="4320" w:type="dxa"/>
            <w:vAlign w:val="bottom"/>
          </w:tcPr>
          <w:p>
            <w:pPr>
              <w:ind w:left="300"/>
              <w:spacing w:after="0" w:line="118" w:lineRule="exact"/>
              <w:rPr>
                <w:sz w:val="20"/>
                <w:szCs w:val="20"/>
                <w:color w:val="auto"/>
              </w:rPr>
            </w:pPr>
            <w:r>
              <w:rPr>
                <w:rFonts w:ascii="Arial" w:cs="Arial" w:eastAsia="Arial" w:hAnsi="Arial"/>
                <w:sz w:val="13"/>
                <w:szCs w:val="13"/>
                <w:color w:val="auto"/>
              </w:rPr>
              <w:t>c/o Vistra Corporate Services Centre, Wickhams Cay II, Road Town,</w:t>
            </w:r>
          </w:p>
        </w:tc>
        <w:tc>
          <w:tcPr>
            <w:tcW w:w="1840" w:type="dxa"/>
            <w:vAlign w:val="bottom"/>
          </w:tcPr>
          <w:p>
            <w:pPr>
              <w:ind w:left="60"/>
              <w:spacing w:after="0" w:line="11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68"/>
        </w:trPr>
        <w:tc>
          <w:tcPr>
            <w:tcW w:w="334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Arial" w:cs="Arial" w:eastAsia="Arial" w:hAnsi="Arial"/>
                <w:sz w:val="13"/>
                <w:szCs w:val="13"/>
                <w:color w:val="auto"/>
              </w:rPr>
              <w:t>Tortola, VG1110, British Virgin Islands</w:t>
            </w: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EOOD</w:t>
            </w:r>
          </w:p>
        </w:tc>
        <w:tc>
          <w:tcPr>
            <w:tcW w:w="43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2A, Saborna Str.,</w:t>
            </w:r>
          </w:p>
        </w:tc>
        <w:tc>
          <w:tcPr>
            <w:tcW w:w="1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4320" w:type="dxa"/>
            <w:vAlign w:val="bottom"/>
            <w:shd w:val="clear" w:color="auto" w:fill="CCEEFF"/>
          </w:tcPr>
          <w:p>
            <w:pPr>
              <w:ind w:left="300"/>
              <w:spacing w:after="0" w:line="128" w:lineRule="exact"/>
              <w:rPr>
                <w:sz w:val="20"/>
                <w:szCs w:val="20"/>
                <w:color w:val="auto"/>
              </w:rPr>
            </w:pPr>
            <w:r>
              <w:rPr>
                <w:rFonts w:ascii="Arial" w:cs="Arial" w:eastAsia="Arial" w:hAnsi="Arial"/>
                <w:sz w:val="13"/>
                <w:szCs w:val="13"/>
                <w:color w:val="auto"/>
              </w:rPr>
              <w:t>4th floor, Sofia – 1000,</w:t>
            </w:r>
          </w:p>
        </w:tc>
        <w:tc>
          <w:tcPr>
            <w:tcW w:w="18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40" w:type="dxa"/>
            <w:vAlign w:val="bottom"/>
            <w:shd w:val="clear" w:color="auto" w:fill="CCEEFF"/>
          </w:tcPr>
          <w:p>
            <w:pPr>
              <w:spacing w:after="0"/>
              <w:rPr>
                <w:sz w:val="14"/>
                <w:szCs w:val="14"/>
                <w:color w:val="auto"/>
              </w:rPr>
            </w:pP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Republic of Bulgaria</w:t>
            </w:r>
          </w:p>
        </w:tc>
        <w:tc>
          <w:tcPr>
            <w:tcW w:w="18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KCR CRO Ltd.</w:t>
            </w: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17 Henrik Ibsen Street, EM Building, Floor 3, Sofia, Bulgaria, 1407,</w:t>
            </w:r>
          </w:p>
        </w:tc>
        <w:tc>
          <w:tcPr>
            <w:tcW w:w="184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34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Arial" w:cs="Arial" w:eastAsia="Arial" w:hAnsi="Arial"/>
                <w:sz w:val="13"/>
                <w:szCs w:val="13"/>
                <w:color w:val="auto"/>
              </w:rPr>
              <w:t>Bulgaria</w:t>
            </w: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Bulgaria EOOD</w:t>
            </w:r>
          </w:p>
        </w:tc>
        <w:tc>
          <w:tcPr>
            <w:tcW w:w="43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51b Bulgaria Blvd., Floor 4</w:t>
            </w:r>
          </w:p>
        </w:tc>
        <w:tc>
          <w:tcPr>
            <w:tcW w:w="1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4320" w:type="dxa"/>
            <w:vAlign w:val="bottom"/>
            <w:shd w:val="clear" w:color="auto" w:fill="CCEEFF"/>
          </w:tcPr>
          <w:p>
            <w:pPr>
              <w:ind w:left="300"/>
              <w:spacing w:after="0" w:line="128" w:lineRule="exact"/>
              <w:rPr>
                <w:sz w:val="20"/>
                <w:szCs w:val="20"/>
                <w:color w:val="auto"/>
              </w:rPr>
            </w:pPr>
            <w:r>
              <w:rPr>
                <w:rFonts w:ascii="Arial" w:cs="Arial" w:eastAsia="Arial" w:hAnsi="Arial"/>
                <w:sz w:val="13"/>
                <w:szCs w:val="13"/>
                <w:color w:val="auto"/>
              </w:rPr>
              <w:t>Sofia,</w:t>
            </w:r>
          </w:p>
        </w:tc>
        <w:tc>
          <w:tcPr>
            <w:tcW w:w="18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40" w:type="dxa"/>
            <w:vAlign w:val="bottom"/>
            <w:shd w:val="clear" w:color="auto" w:fill="CCEEFF"/>
          </w:tcPr>
          <w:p>
            <w:pPr>
              <w:spacing w:after="0"/>
              <w:rPr>
                <w:sz w:val="14"/>
                <w:szCs w:val="14"/>
                <w:color w:val="auto"/>
              </w:rPr>
            </w:pP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Bulgaria 1404</w:t>
            </w:r>
          </w:p>
        </w:tc>
        <w:tc>
          <w:tcPr>
            <w:tcW w:w="18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3065613 Nova Scotia Company</w:t>
            </w: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1741 Lower Water Street,</w:t>
            </w:r>
          </w:p>
        </w:tc>
        <w:tc>
          <w:tcPr>
            <w:tcW w:w="1840" w:type="dxa"/>
            <w:vAlign w:val="bottom"/>
          </w:tcPr>
          <w:p>
            <w:pPr>
              <w:ind w:left="6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Suite 600</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Halifax,</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Nova Scotia B3J 0J2,</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4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Arial" w:cs="Arial" w:eastAsia="Arial" w:hAnsi="Arial"/>
                <w:sz w:val="13"/>
                <w:szCs w:val="13"/>
                <w:color w:val="auto"/>
              </w:rPr>
              <w:t>Canada</w:t>
            </w: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(Canada) Inc.</w:t>
            </w:r>
          </w:p>
        </w:tc>
        <w:tc>
          <w:tcPr>
            <w:tcW w:w="43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1, Place Ville Marie,</w:t>
            </w:r>
          </w:p>
        </w:tc>
        <w:tc>
          <w:tcPr>
            <w:tcW w:w="1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4320" w:type="dxa"/>
            <w:vAlign w:val="bottom"/>
            <w:shd w:val="clear" w:color="auto" w:fill="CCEEFF"/>
          </w:tcPr>
          <w:p>
            <w:pPr>
              <w:ind w:left="300"/>
              <w:spacing w:after="0" w:line="128" w:lineRule="exact"/>
              <w:rPr>
                <w:sz w:val="20"/>
                <w:szCs w:val="20"/>
                <w:color w:val="auto"/>
              </w:rPr>
            </w:pPr>
            <w:r>
              <w:rPr>
                <w:rFonts w:ascii="Arial" w:cs="Arial" w:eastAsia="Arial" w:hAnsi="Arial"/>
                <w:sz w:val="13"/>
                <w:szCs w:val="13"/>
                <w:color w:val="auto"/>
              </w:rPr>
              <w:t>Suite 3000,</w:t>
            </w:r>
          </w:p>
        </w:tc>
        <w:tc>
          <w:tcPr>
            <w:tcW w:w="18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4320" w:type="dxa"/>
            <w:vAlign w:val="bottom"/>
            <w:shd w:val="clear" w:color="auto" w:fill="CCEEFF"/>
          </w:tcPr>
          <w:p>
            <w:pPr>
              <w:ind w:left="300"/>
              <w:spacing w:after="0" w:line="128" w:lineRule="exact"/>
              <w:rPr>
                <w:sz w:val="20"/>
                <w:szCs w:val="20"/>
                <w:color w:val="auto"/>
              </w:rPr>
            </w:pPr>
            <w:r>
              <w:rPr>
                <w:rFonts w:ascii="Arial" w:cs="Arial" w:eastAsia="Arial" w:hAnsi="Arial"/>
                <w:sz w:val="13"/>
                <w:szCs w:val="13"/>
                <w:color w:val="auto"/>
              </w:rPr>
              <w:t>Montréal QC H3B 4N8,</w:t>
            </w:r>
          </w:p>
        </w:tc>
        <w:tc>
          <w:tcPr>
            <w:tcW w:w="18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40" w:type="dxa"/>
            <w:vAlign w:val="bottom"/>
            <w:shd w:val="clear" w:color="auto" w:fill="CCEEFF"/>
          </w:tcPr>
          <w:p>
            <w:pPr>
              <w:spacing w:after="0"/>
              <w:rPr>
                <w:sz w:val="14"/>
                <w:szCs w:val="14"/>
                <w:color w:val="auto"/>
              </w:rPr>
            </w:pP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Canada</w:t>
            </w:r>
          </w:p>
        </w:tc>
        <w:tc>
          <w:tcPr>
            <w:tcW w:w="18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ULC</w:t>
            </w: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1741 Lower Water Street,</w:t>
            </w:r>
          </w:p>
        </w:tc>
        <w:tc>
          <w:tcPr>
            <w:tcW w:w="184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Suite 600</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Halifax,</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Nova Scotia B3J 0J2,</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4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Arial" w:cs="Arial" w:eastAsia="Arial" w:hAnsi="Arial"/>
                <w:sz w:val="13"/>
                <w:szCs w:val="13"/>
                <w:color w:val="auto"/>
              </w:rPr>
              <w:t>Canada</w:t>
            </w: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Services de Recherche Pharmaceutique Srl</w:t>
            </w: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1741 Lower Water Street,</w:t>
            </w:r>
          </w:p>
        </w:tc>
        <w:tc>
          <w:tcPr>
            <w:tcW w:w="1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100%</w:t>
            </w:r>
          </w:p>
        </w:tc>
      </w:tr>
      <w:tr>
        <w:trPr>
          <w:trHeight w:val="149"/>
        </w:trPr>
        <w:tc>
          <w:tcPr>
            <w:tcW w:w="3340" w:type="dxa"/>
            <w:vAlign w:val="bottom"/>
            <w:shd w:val="clear" w:color="auto" w:fill="CCEEFF"/>
          </w:tcPr>
          <w:p>
            <w:pPr>
              <w:spacing w:after="0"/>
              <w:rPr>
                <w:sz w:val="12"/>
                <w:szCs w:val="12"/>
                <w:color w:val="auto"/>
              </w:rPr>
            </w:pP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Suite 600</w:t>
            </w:r>
          </w:p>
        </w:tc>
        <w:tc>
          <w:tcPr>
            <w:tcW w:w="1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59"/>
        </w:trPr>
        <w:tc>
          <w:tcPr>
            <w:tcW w:w="3340" w:type="dxa"/>
            <w:vAlign w:val="bottom"/>
            <w:shd w:val="clear" w:color="auto" w:fill="CCEEFF"/>
          </w:tcPr>
          <w:p>
            <w:pPr>
              <w:spacing w:after="0"/>
              <w:rPr>
                <w:sz w:val="13"/>
                <w:szCs w:val="13"/>
                <w:color w:val="auto"/>
              </w:rPr>
            </w:pP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Halifax,</w:t>
            </w:r>
          </w:p>
        </w:tc>
        <w:tc>
          <w:tcPr>
            <w:tcW w:w="18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159"/>
        </w:trPr>
        <w:tc>
          <w:tcPr>
            <w:tcW w:w="3340" w:type="dxa"/>
            <w:vAlign w:val="bottom"/>
            <w:shd w:val="clear" w:color="auto" w:fill="CCEEFF"/>
          </w:tcPr>
          <w:p>
            <w:pPr>
              <w:spacing w:after="0"/>
              <w:rPr>
                <w:sz w:val="13"/>
                <w:szCs w:val="13"/>
                <w:color w:val="auto"/>
              </w:rPr>
            </w:pP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Nova Scotia B3J 0J2,</w:t>
            </w:r>
          </w:p>
        </w:tc>
        <w:tc>
          <w:tcPr>
            <w:tcW w:w="18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171"/>
        </w:trPr>
        <w:tc>
          <w:tcPr>
            <w:tcW w:w="3340" w:type="dxa"/>
            <w:vAlign w:val="bottom"/>
            <w:tcBorders>
              <w:bottom w:val="single" w:sz="8" w:color="CCEEFF"/>
            </w:tcBorders>
            <w:shd w:val="clear" w:color="auto" w:fill="CCEEFF"/>
          </w:tcPr>
          <w:p>
            <w:pPr>
              <w:spacing w:after="0"/>
              <w:rPr>
                <w:sz w:val="14"/>
                <w:szCs w:val="14"/>
                <w:color w:val="auto"/>
              </w:rPr>
            </w:pPr>
          </w:p>
        </w:tc>
        <w:tc>
          <w:tcPr>
            <w:tcW w:w="4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Canada</w:t>
            </w:r>
          </w:p>
        </w:tc>
        <w:tc>
          <w:tcPr>
            <w:tcW w:w="184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Oxford Outcomes LTD.</w:t>
            </w: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19th Floor</w:t>
            </w:r>
          </w:p>
        </w:tc>
        <w:tc>
          <w:tcPr>
            <w:tcW w:w="184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885 West Georgia Street</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Vancouver BC V6C 3H4</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4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Arial" w:cs="Arial" w:eastAsia="Arial" w:hAnsi="Arial"/>
                <w:sz w:val="13"/>
                <w:szCs w:val="13"/>
                <w:color w:val="auto"/>
              </w:rPr>
              <w:t>Canada</w:t>
            </w: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Life Sciences Canada Inc.</w:t>
            </w: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9"/>
              </w:rPr>
              <w:t>5420 North Service Road, Suite 206, Burlington, ON L7L 6C7,Canada</w:t>
            </w:r>
          </w:p>
        </w:tc>
        <w:tc>
          <w:tcPr>
            <w:tcW w:w="1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ICON Chile Limitada</w:t>
            </w: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Avenida Mariano Sánchez Fontecilla 310</w:t>
            </w:r>
          </w:p>
        </w:tc>
        <w:tc>
          <w:tcPr>
            <w:tcW w:w="184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Las Condes</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Santiago</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Región Metropolitana</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7550296</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4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Arial" w:cs="Arial" w:eastAsia="Arial" w:hAnsi="Arial"/>
                <w:sz w:val="13"/>
                <w:szCs w:val="13"/>
                <w:color w:val="auto"/>
              </w:rPr>
              <w:t>Chile</w:t>
            </w: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Health Sciences Chile SpA</w:t>
            </w:r>
          </w:p>
        </w:tc>
        <w:tc>
          <w:tcPr>
            <w:tcW w:w="43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Miraflores 222 piso 28</w:t>
            </w:r>
          </w:p>
        </w:tc>
        <w:tc>
          <w:tcPr>
            <w:tcW w:w="1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340" w:type="dxa"/>
            <w:vAlign w:val="bottom"/>
            <w:shd w:val="clear" w:color="auto" w:fill="CCEEFF"/>
          </w:tcPr>
          <w:p>
            <w:pPr>
              <w:spacing w:after="0"/>
              <w:rPr>
                <w:sz w:val="14"/>
                <w:szCs w:val="14"/>
                <w:color w:val="auto"/>
              </w:rPr>
            </w:pP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Santiago, Chile</w:t>
            </w:r>
          </w:p>
        </w:tc>
        <w:tc>
          <w:tcPr>
            <w:tcW w:w="18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(Beijing No.2) Co., Ltd</w:t>
            </w: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Floor 2, Building 5,</w:t>
            </w:r>
          </w:p>
        </w:tc>
        <w:tc>
          <w:tcPr>
            <w:tcW w:w="184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Hongda Industrial park,</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No. 8, Hongda North Road,</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Beijing Economic-Technological Development Area,</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4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Arial" w:cs="Arial" w:eastAsia="Arial" w:hAnsi="Arial"/>
                <w:sz w:val="13"/>
                <w:szCs w:val="13"/>
                <w:color w:val="auto"/>
              </w:rPr>
              <w:t>Beijing, China</w:t>
            </w: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(Beijing) Co., Ltd</w:t>
            </w:r>
          </w:p>
        </w:tc>
        <w:tc>
          <w:tcPr>
            <w:tcW w:w="432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color w:val="auto"/>
              </w:rPr>
              <w:t>Floor 1</w:t>
            </w:r>
          </w:p>
        </w:tc>
        <w:tc>
          <w:tcPr>
            <w:tcW w:w="1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4320" w:type="dxa"/>
            <w:vAlign w:val="bottom"/>
            <w:shd w:val="clear" w:color="auto" w:fill="CCEEFF"/>
          </w:tcPr>
          <w:p>
            <w:pPr>
              <w:ind w:left="300"/>
              <w:spacing w:after="0" w:line="128" w:lineRule="exact"/>
              <w:rPr>
                <w:sz w:val="20"/>
                <w:szCs w:val="20"/>
                <w:color w:val="auto"/>
              </w:rPr>
            </w:pPr>
            <w:r>
              <w:rPr>
                <w:rFonts w:ascii="Arial" w:cs="Arial" w:eastAsia="Arial" w:hAnsi="Arial"/>
                <w:sz w:val="13"/>
                <w:szCs w:val="13"/>
                <w:color w:val="auto"/>
              </w:rPr>
              <w:t>Building No. 5,</w:t>
            </w:r>
          </w:p>
        </w:tc>
        <w:tc>
          <w:tcPr>
            <w:tcW w:w="18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4320" w:type="dxa"/>
            <w:vAlign w:val="bottom"/>
            <w:shd w:val="clear" w:color="auto" w:fill="CCEEFF"/>
          </w:tcPr>
          <w:p>
            <w:pPr>
              <w:ind w:left="300"/>
              <w:spacing w:after="0" w:line="128" w:lineRule="exact"/>
              <w:rPr>
                <w:sz w:val="20"/>
                <w:szCs w:val="20"/>
                <w:color w:val="auto"/>
              </w:rPr>
            </w:pPr>
            <w:r>
              <w:rPr>
                <w:rFonts w:ascii="Arial" w:cs="Arial" w:eastAsia="Arial" w:hAnsi="Arial"/>
                <w:sz w:val="13"/>
                <w:szCs w:val="13"/>
                <w:color w:val="auto"/>
              </w:rPr>
              <w:t>No. 8 Hongda North Road,</w:t>
            </w:r>
          </w:p>
        </w:tc>
        <w:tc>
          <w:tcPr>
            <w:tcW w:w="18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4320" w:type="dxa"/>
            <w:vAlign w:val="bottom"/>
            <w:shd w:val="clear" w:color="auto" w:fill="CCEEFF"/>
          </w:tcPr>
          <w:p>
            <w:pPr>
              <w:ind w:left="300"/>
              <w:spacing w:after="0" w:line="128" w:lineRule="exact"/>
              <w:rPr>
                <w:sz w:val="20"/>
                <w:szCs w:val="20"/>
                <w:color w:val="auto"/>
              </w:rPr>
            </w:pPr>
            <w:r>
              <w:rPr>
                <w:rFonts w:ascii="Arial" w:cs="Arial" w:eastAsia="Arial" w:hAnsi="Arial"/>
                <w:sz w:val="13"/>
                <w:szCs w:val="13"/>
                <w:color w:val="auto"/>
              </w:rPr>
              <w:t>Beijing Economic-Technologies</w:t>
            </w:r>
          </w:p>
        </w:tc>
        <w:tc>
          <w:tcPr>
            <w:tcW w:w="18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4320" w:type="dxa"/>
            <w:vAlign w:val="bottom"/>
            <w:shd w:val="clear" w:color="auto" w:fill="CCEEFF"/>
          </w:tcPr>
          <w:p>
            <w:pPr>
              <w:ind w:left="300"/>
              <w:spacing w:after="0" w:line="128" w:lineRule="exact"/>
              <w:rPr>
                <w:sz w:val="20"/>
                <w:szCs w:val="20"/>
                <w:color w:val="auto"/>
              </w:rPr>
            </w:pPr>
            <w:r>
              <w:rPr>
                <w:rFonts w:ascii="Arial" w:cs="Arial" w:eastAsia="Arial" w:hAnsi="Arial"/>
                <w:sz w:val="13"/>
                <w:szCs w:val="13"/>
                <w:color w:val="auto"/>
              </w:rPr>
              <w:t>Developement Zone,</w:t>
            </w:r>
          </w:p>
        </w:tc>
        <w:tc>
          <w:tcPr>
            <w:tcW w:w="18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40" w:type="dxa"/>
            <w:vAlign w:val="bottom"/>
            <w:shd w:val="clear" w:color="auto" w:fill="CCEEFF"/>
          </w:tcPr>
          <w:p>
            <w:pPr>
              <w:spacing w:after="0"/>
              <w:rPr>
                <w:sz w:val="14"/>
                <w:szCs w:val="14"/>
                <w:color w:val="auto"/>
              </w:rPr>
            </w:pPr>
          </w:p>
        </w:tc>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Beijing, China</w:t>
            </w:r>
          </w:p>
        </w:tc>
        <w:tc>
          <w:tcPr>
            <w:tcW w:w="18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China, Inc.</w:t>
            </w: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Room 301, Floor 3, Building No. 5, Hongda Industrial Park, No. 8</w:t>
            </w:r>
          </w:p>
        </w:tc>
        <w:tc>
          <w:tcPr>
            <w:tcW w:w="184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4320" w:type="dxa"/>
            <w:vAlign w:val="bottom"/>
          </w:tcPr>
          <w:p>
            <w:pPr>
              <w:ind w:left="300"/>
              <w:spacing w:after="0" w:line="128" w:lineRule="exact"/>
              <w:rPr>
                <w:sz w:val="20"/>
                <w:szCs w:val="20"/>
                <w:color w:val="auto"/>
              </w:rPr>
            </w:pPr>
            <w:r>
              <w:rPr>
                <w:rFonts w:ascii="Arial" w:cs="Arial" w:eastAsia="Arial" w:hAnsi="Arial"/>
                <w:sz w:val="13"/>
                <w:szCs w:val="13"/>
                <w:color w:val="auto"/>
              </w:rPr>
              <w:t>Hongda North Road, Beijing Economic-Technological Development</w:t>
            </w: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34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Arial" w:cs="Arial" w:eastAsia="Arial" w:hAnsi="Arial"/>
                <w:sz w:val="13"/>
                <w:szCs w:val="13"/>
                <w:color w:val="auto"/>
              </w:rPr>
              <w:t>Area, Beijing, China</w:t>
            </w: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84"/>
        </w:trPr>
        <w:tc>
          <w:tcPr>
            <w:tcW w:w="3340" w:type="dxa"/>
            <w:vAlign w:val="bottom"/>
          </w:tcPr>
          <w:p>
            <w:pPr>
              <w:spacing w:after="0"/>
              <w:rPr>
                <w:sz w:val="24"/>
                <w:szCs w:val="24"/>
                <w:color w:val="auto"/>
              </w:rPr>
            </w:pPr>
          </w:p>
        </w:tc>
        <w:tc>
          <w:tcPr>
            <w:tcW w:w="4320" w:type="dxa"/>
            <w:vAlign w:val="bottom"/>
          </w:tcPr>
          <w:p>
            <w:pPr>
              <w:ind w:left="2200"/>
              <w:spacing w:after="0"/>
              <w:rPr>
                <w:sz w:val="20"/>
                <w:szCs w:val="20"/>
                <w:color w:val="auto"/>
              </w:rPr>
            </w:pPr>
            <w:r>
              <w:rPr>
                <w:rFonts w:ascii="Arial" w:cs="Arial" w:eastAsia="Arial" w:hAnsi="Arial"/>
                <w:sz w:val="13"/>
                <w:szCs w:val="13"/>
                <w:color w:val="auto"/>
              </w:rPr>
              <w:t>123</w:t>
            </w:r>
          </w:p>
        </w:tc>
        <w:tc>
          <w:tcPr>
            <w:tcW w:w="18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0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2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20" w:type="dxa"/>
            <w:vAlign w:val="bottom"/>
          </w:tcPr>
          <w:p>
            <w:pPr>
              <w:ind w:left="20"/>
              <w:spacing w:after="0" w:line="118" w:lineRule="exact"/>
              <w:rPr>
                <w:sz w:val="20"/>
                <w:szCs w:val="20"/>
                <w:color w:val="auto"/>
              </w:rPr>
            </w:pPr>
            <w:r>
              <w:rPr>
                <w:rFonts w:ascii="Arial" w:cs="Arial" w:eastAsia="Arial" w:hAnsi="Arial"/>
                <w:sz w:val="13"/>
                <w:szCs w:val="13"/>
                <w:color w:val="auto"/>
              </w:rPr>
              <w:t>PRA Health Sciences Colombia Ltda.</w:t>
            </w:r>
          </w:p>
        </w:tc>
        <w:tc>
          <w:tcPr>
            <w:tcW w:w="4040" w:type="dxa"/>
            <w:vAlign w:val="bottom"/>
          </w:tcPr>
          <w:p>
            <w:pPr>
              <w:ind w:left="220"/>
              <w:spacing w:after="0" w:line="118" w:lineRule="exact"/>
              <w:rPr>
                <w:sz w:val="20"/>
                <w:szCs w:val="20"/>
                <w:color w:val="auto"/>
              </w:rPr>
            </w:pPr>
            <w:r>
              <w:rPr>
                <w:rFonts w:ascii="Arial" w:cs="Arial" w:eastAsia="Arial" w:hAnsi="Arial"/>
                <w:sz w:val="13"/>
                <w:szCs w:val="13"/>
                <w:color w:val="auto"/>
              </w:rPr>
              <w:t>Calle 116 No. 7 – 15</w:t>
            </w:r>
          </w:p>
        </w:tc>
        <w:tc>
          <w:tcPr>
            <w:tcW w:w="2040" w:type="dxa"/>
            <w:vAlign w:val="bottom"/>
          </w:tcPr>
          <w:p>
            <w:pPr>
              <w:ind w:left="26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Torre Cusezar Oficina 1002</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Bogotá</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Cundinamarca</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Colombia</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Arial" w:cs="Arial" w:eastAsia="Arial" w:hAnsi="Arial"/>
                <w:sz w:val="13"/>
                <w:szCs w:val="13"/>
                <w:color w:val="auto"/>
              </w:rPr>
              <w:t>110111</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Costa Rica, LTDA.</w:t>
            </w:r>
          </w:p>
        </w:tc>
        <w:tc>
          <w:tcPr>
            <w:tcW w:w="40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Sabana Business Center, piso 11</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04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Bulevar Rohrmoser y Calle 68</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04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San José,</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Costa Rica 10108</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ICON Research Ltd.</w:t>
            </w: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Radnicka cesta 80,</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Zagreb,</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Arial" w:cs="Arial" w:eastAsia="Arial" w:hAnsi="Arial"/>
                <w:sz w:val="13"/>
                <w:szCs w:val="13"/>
                <w:color w:val="auto"/>
              </w:rPr>
              <w:t>Croatia</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 Research Associates Ltd.</w:t>
            </w:r>
          </w:p>
        </w:tc>
        <w:tc>
          <w:tcPr>
            <w:tcW w:w="40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(BDO)</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04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Radnička cesta 180,</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10 000 Zagreb, Croatia</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Czech Republic s.r.o.</w:t>
            </w: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V parku 2335/20,</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Chodov, Praha 4</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PSČ 148 00</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Arial" w:cs="Arial" w:eastAsia="Arial" w:hAnsi="Arial"/>
                <w:sz w:val="13"/>
                <w:szCs w:val="13"/>
                <w:color w:val="auto"/>
              </w:rPr>
              <w:t>Czech Republic</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1"/>
                <w:szCs w:val="11"/>
                <w:color w:val="auto"/>
              </w:rPr>
              <w:t xml:space="preserve">KCR Czech Republic a.s., (in Liquidation) </w:t>
            </w:r>
            <w:r>
              <w:rPr>
                <w:rFonts w:ascii="Arial" w:cs="Arial" w:eastAsia="Arial" w:hAnsi="Arial"/>
                <w:sz w:val="14"/>
                <w:szCs w:val="14"/>
                <w:color w:val="auto"/>
                <w:vertAlign w:val="superscript"/>
              </w:rPr>
              <w:t>4</w:t>
            </w:r>
          </w:p>
        </w:tc>
        <w:tc>
          <w:tcPr>
            <w:tcW w:w="40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Purkyňova 74/2, Nové Město, 110 00 Prague 1,</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Czech Republic</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Nordic Countries A/S</w:t>
            </w: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c/o Keller Advokatfirma, H.C. Andersens Boulevard 48,</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Arial" w:cs="Arial" w:eastAsia="Arial" w:hAnsi="Arial"/>
                <w:sz w:val="13"/>
                <w:szCs w:val="13"/>
                <w:color w:val="auto"/>
              </w:rPr>
              <w:t>1. th., DK-1553 København V., Denmark</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Denmark ApS</w:t>
            </w:r>
          </w:p>
        </w:tc>
        <w:tc>
          <w:tcPr>
            <w:tcW w:w="40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c/o Keller Advokatfirma, H.C. Andersens Boulevard 48,</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 th., DK-1553 København V., Denmark</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Egypt Limited Liability Company</w:t>
            </w: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40 Road 254, Shell Building,</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5th Floor</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Degla, Maadi,</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11431 Cairo,</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Arial" w:cs="Arial" w:eastAsia="Arial" w:hAnsi="Arial"/>
                <w:sz w:val="13"/>
                <w:szCs w:val="13"/>
                <w:color w:val="auto"/>
              </w:rPr>
              <w:t>Egypt</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Baltics OÜ</w:t>
            </w:r>
          </w:p>
        </w:tc>
        <w:tc>
          <w:tcPr>
            <w:tcW w:w="40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Harju maakond, Tallinn,</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04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Pohja-Tallinna Iinnaosa,</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04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Pohja pst 25, 10415,</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Estonia</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RPS Estonia OÜ</w:t>
            </w: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Pärnu road 22</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Arial" w:cs="Arial" w:eastAsia="Arial" w:hAnsi="Arial"/>
                <w:sz w:val="13"/>
                <w:szCs w:val="13"/>
                <w:color w:val="auto"/>
              </w:rPr>
              <w:t>10141 Tallinn, Republic of Estonia</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International Finland Oy</w:t>
            </w:r>
          </w:p>
        </w:tc>
        <w:tc>
          <w:tcPr>
            <w:tcW w:w="40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Mannerheimintie 12B,</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04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00100 Helsinki</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Finland</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Finland Oy</w:t>
            </w: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c/o BDO Oy, Tax and Legal</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Porkkalankatu 3</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00180 HELSINKI</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Arial" w:cs="Arial" w:eastAsia="Arial" w:hAnsi="Arial"/>
                <w:sz w:val="13"/>
                <w:szCs w:val="13"/>
                <w:color w:val="auto"/>
              </w:rPr>
              <w:t>Finland</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S.A.R.L.</w:t>
            </w:r>
          </w:p>
        </w:tc>
        <w:tc>
          <w:tcPr>
            <w:tcW w:w="40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Tour Légende, Quartier de la Défense, 21 place de la Défense,</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Puteaux, 92800, France</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Mapi Research Trust</w:t>
            </w: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27 rue de la Villette,</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7"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3</w:t>
            </w:r>
          </w:p>
        </w:tc>
      </w:tr>
      <w:tr>
        <w:trPr>
          <w:trHeight w:val="127"/>
        </w:trPr>
        <w:tc>
          <w:tcPr>
            <w:tcW w:w="3420" w:type="dxa"/>
            <w:vAlign w:val="bottom"/>
          </w:tcPr>
          <w:p>
            <w:pPr>
              <w:spacing w:after="0"/>
              <w:rPr>
                <w:sz w:val="11"/>
                <w:szCs w:val="11"/>
                <w:color w:val="auto"/>
              </w:rPr>
            </w:pP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69003 Lyon,</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Arial" w:cs="Arial" w:eastAsia="Arial" w:hAnsi="Arial"/>
                <w:sz w:val="13"/>
                <w:szCs w:val="13"/>
                <w:color w:val="auto"/>
              </w:rPr>
              <w:t>France</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Oncacare France SAS</w:t>
            </w:r>
          </w:p>
        </w:tc>
        <w:tc>
          <w:tcPr>
            <w:tcW w:w="40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Tour Légende, Quartier de la Défense, 21 place de la Défense,</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Puteaux, 92800, France</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France S.A.S.</w:t>
            </w:r>
          </w:p>
        </w:tc>
        <w:tc>
          <w:tcPr>
            <w:tcW w:w="4040" w:type="dxa"/>
            <w:vAlign w:val="bottom"/>
          </w:tcPr>
          <w:p>
            <w:pPr>
              <w:ind w:left="220"/>
              <w:spacing w:after="0" w:line="128" w:lineRule="exact"/>
              <w:rPr>
                <w:sz w:val="20"/>
                <w:szCs w:val="20"/>
                <w:color w:val="auto"/>
              </w:rPr>
            </w:pPr>
            <w:r>
              <w:rPr>
                <w:rFonts w:ascii="Arial" w:cs="Arial" w:eastAsia="Arial" w:hAnsi="Arial"/>
                <w:sz w:val="13"/>
                <w:szCs w:val="13"/>
                <w:color w:val="auto"/>
              </w:rPr>
              <w:t>Tour Légende, Quartier de la Défense, 21 place de la Défense,</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Arial" w:cs="Arial" w:eastAsia="Arial" w:hAnsi="Arial"/>
                <w:sz w:val="13"/>
                <w:szCs w:val="13"/>
                <w:color w:val="auto"/>
              </w:rPr>
              <w:t>Puteaux, 92800, France</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IMP Logistics Georgia LLC</w:t>
            </w:r>
          </w:p>
        </w:tc>
        <w:tc>
          <w:tcPr>
            <w:tcW w:w="40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Mtatsminda District</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04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Freedom Square N4 (Plot 66/4)</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Tbilisi, Georgia</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3420" w:type="dxa"/>
            <w:vAlign w:val="bottom"/>
          </w:tcPr>
          <w:p>
            <w:pPr>
              <w:spacing w:after="0"/>
              <w:rPr>
                <w:sz w:val="24"/>
                <w:szCs w:val="24"/>
                <w:color w:val="auto"/>
              </w:rPr>
            </w:pPr>
          </w:p>
        </w:tc>
        <w:tc>
          <w:tcPr>
            <w:tcW w:w="4040" w:type="dxa"/>
            <w:vAlign w:val="bottom"/>
          </w:tcPr>
          <w:p>
            <w:pPr>
              <w:ind w:left="2120"/>
              <w:spacing w:after="0"/>
              <w:rPr>
                <w:sz w:val="20"/>
                <w:szCs w:val="20"/>
                <w:color w:val="auto"/>
              </w:rPr>
            </w:pPr>
            <w:r>
              <w:rPr>
                <w:rFonts w:ascii="Arial" w:cs="Arial" w:eastAsia="Arial" w:hAnsi="Arial"/>
                <w:sz w:val="13"/>
                <w:szCs w:val="13"/>
                <w:color w:val="auto"/>
              </w:rPr>
              <w:t>124</w:t>
            </w: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74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20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560" w:type="dxa"/>
            <w:vAlign w:val="bottom"/>
            <w:tcBorders>
              <w:bottom w:val="single" w:sz="8" w:color="auto"/>
            </w:tcBorders>
            <w:shd w:val="clear" w:color="auto" w:fill="CCEEFF"/>
          </w:tcPr>
          <w:p>
            <w:pPr>
              <w:spacing w:after="0"/>
              <w:rPr>
                <w:sz w:val="14"/>
                <w:szCs w:val="14"/>
                <w:color w:val="auto"/>
              </w:rPr>
            </w:pPr>
          </w:p>
        </w:tc>
        <w:tc>
          <w:tcPr>
            <w:tcW w:w="374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59"/>
        </w:trPr>
        <w:tc>
          <w:tcPr>
            <w:tcW w:w="3560" w:type="dxa"/>
            <w:vAlign w:val="bottom"/>
          </w:tcPr>
          <w:p>
            <w:pPr>
              <w:ind w:left="20"/>
              <w:spacing w:after="0"/>
              <w:rPr>
                <w:sz w:val="20"/>
                <w:szCs w:val="20"/>
                <w:color w:val="auto"/>
              </w:rPr>
            </w:pPr>
            <w:r>
              <w:rPr>
                <w:rFonts w:ascii="Arial" w:cs="Arial" w:eastAsia="Arial" w:hAnsi="Arial"/>
                <w:sz w:val="13"/>
                <w:szCs w:val="13"/>
                <w:color w:val="auto"/>
              </w:rPr>
              <w:t>KCR LLC</w:t>
            </w:r>
          </w:p>
        </w:tc>
        <w:tc>
          <w:tcPr>
            <w:tcW w:w="3740" w:type="dxa"/>
            <w:vAlign w:val="bottom"/>
          </w:tcPr>
          <w:p>
            <w:pPr>
              <w:ind w:left="80"/>
              <w:spacing w:after="0"/>
              <w:rPr>
                <w:sz w:val="20"/>
                <w:szCs w:val="20"/>
                <w:color w:val="auto"/>
              </w:rPr>
            </w:pPr>
            <w:r>
              <w:rPr>
                <w:rFonts w:ascii="Arial" w:cs="Arial" w:eastAsia="Arial" w:hAnsi="Arial"/>
                <w:sz w:val="13"/>
                <w:szCs w:val="13"/>
                <w:color w:val="auto"/>
              </w:rPr>
              <w:t>Mtatsminda District, Freedom Square N4, Tbilisi, Georgia</w:t>
            </w:r>
          </w:p>
        </w:tc>
        <w:tc>
          <w:tcPr>
            <w:tcW w:w="2200" w:type="dxa"/>
            <w:vAlign w:val="bottom"/>
          </w:tcPr>
          <w:p>
            <w:pPr>
              <w:ind w:left="420"/>
              <w:spacing w:after="0"/>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rPr>
                <w:sz w:val="20"/>
                <w:szCs w:val="20"/>
                <w:color w:val="auto"/>
              </w:rPr>
            </w:pPr>
            <w:r>
              <w:rPr>
                <w:rFonts w:ascii="Arial" w:cs="Arial" w:eastAsia="Arial" w:hAnsi="Arial"/>
                <w:sz w:val="13"/>
                <w:szCs w:val="13"/>
                <w:color w:val="auto"/>
              </w:rPr>
              <w:t>100%</w:t>
            </w: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Georgia LLC</w:t>
            </w:r>
          </w:p>
        </w:tc>
        <w:tc>
          <w:tcPr>
            <w:tcW w:w="37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42-42a (Building No. 1)</w:t>
            </w:r>
          </w:p>
        </w:tc>
        <w:tc>
          <w:tcPr>
            <w:tcW w:w="22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Alexander Kazbegi Avenue</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Vake-Saburtalo District</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Tbilisi, Georgia</w:t>
            </w:r>
          </w:p>
        </w:tc>
        <w:tc>
          <w:tcPr>
            <w:tcW w:w="2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7" w:lineRule="exact"/>
              <w:rPr>
                <w:sz w:val="20"/>
                <w:szCs w:val="20"/>
                <w:color w:val="auto"/>
              </w:rPr>
            </w:pPr>
            <w:r>
              <w:rPr>
                <w:rFonts w:ascii="Arial" w:cs="Arial" w:eastAsia="Arial" w:hAnsi="Arial"/>
                <w:sz w:val="11"/>
                <w:szCs w:val="11"/>
                <w:color w:val="auto"/>
              </w:rPr>
              <w:t>Averion Europe GmbH i.L (in Liquidation)</w:t>
            </w:r>
            <w:r>
              <w:rPr>
                <w:rFonts w:ascii="Arial" w:cs="Arial" w:eastAsia="Arial" w:hAnsi="Arial"/>
                <w:sz w:val="14"/>
                <w:szCs w:val="14"/>
                <w:color w:val="auto"/>
                <w:vertAlign w:val="superscript"/>
              </w:rPr>
              <w:t>5</w:t>
            </w: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Konrad-Zuse-Platz 11</w:t>
            </w:r>
          </w:p>
        </w:tc>
        <w:tc>
          <w:tcPr>
            <w:tcW w:w="2200" w:type="dxa"/>
            <w:vAlign w:val="bottom"/>
          </w:tcPr>
          <w:p>
            <w:pPr>
              <w:ind w:left="42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81829 München</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740" w:type="dxa"/>
            <w:vAlign w:val="bottom"/>
          </w:tcPr>
          <w:p>
            <w:pPr>
              <w:ind w:left="80"/>
              <w:spacing w:after="0"/>
              <w:rPr>
                <w:sz w:val="20"/>
                <w:szCs w:val="20"/>
                <w:color w:val="auto"/>
              </w:rPr>
            </w:pPr>
            <w:r>
              <w:rPr>
                <w:rFonts w:ascii="Arial" w:cs="Arial" w:eastAsia="Arial" w:hAnsi="Arial"/>
                <w:sz w:val="13"/>
                <w:szCs w:val="13"/>
                <w:color w:val="auto"/>
              </w:rPr>
              <w:t>Germany</w:t>
            </w:r>
          </w:p>
        </w:tc>
        <w:tc>
          <w:tcPr>
            <w:tcW w:w="22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Germany GmbH</w:t>
            </w:r>
          </w:p>
        </w:tc>
        <w:tc>
          <w:tcPr>
            <w:tcW w:w="37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Heinrich-Hertz-Straße 26</w:t>
            </w:r>
          </w:p>
        </w:tc>
        <w:tc>
          <w:tcPr>
            <w:tcW w:w="22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63225</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Langen</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Hessen</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Germany</w:t>
            </w:r>
          </w:p>
        </w:tc>
        <w:tc>
          <w:tcPr>
            <w:tcW w:w="2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9"/>
        </w:trPr>
        <w:tc>
          <w:tcPr>
            <w:tcW w:w="3560" w:type="dxa"/>
            <w:vAlign w:val="bottom"/>
          </w:tcPr>
          <w:p>
            <w:pPr>
              <w:ind w:left="20"/>
              <w:spacing w:after="0"/>
              <w:rPr>
                <w:sz w:val="20"/>
                <w:szCs w:val="20"/>
                <w:color w:val="auto"/>
              </w:rPr>
            </w:pPr>
            <w:r>
              <w:rPr>
                <w:rFonts w:ascii="Arial" w:cs="Arial" w:eastAsia="Arial" w:hAnsi="Arial"/>
                <w:sz w:val="13"/>
                <w:szCs w:val="13"/>
                <w:color w:val="auto"/>
              </w:rPr>
              <w:t>KCR CRO GmbH</w:t>
            </w:r>
          </w:p>
        </w:tc>
        <w:tc>
          <w:tcPr>
            <w:tcW w:w="3740" w:type="dxa"/>
            <w:vAlign w:val="bottom"/>
          </w:tcPr>
          <w:p>
            <w:pPr>
              <w:ind w:left="80"/>
              <w:spacing w:after="0"/>
              <w:rPr>
                <w:sz w:val="20"/>
                <w:szCs w:val="20"/>
                <w:color w:val="auto"/>
              </w:rPr>
            </w:pPr>
            <w:r>
              <w:rPr>
                <w:rFonts w:ascii="Arial" w:cs="Arial" w:eastAsia="Arial" w:hAnsi="Arial"/>
                <w:sz w:val="13"/>
                <w:szCs w:val="13"/>
                <w:color w:val="auto"/>
              </w:rPr>
              <w:t>Heinrich-Hertz-Straße 26, 63225, Langen, Germany</w:t>
            </w:r>
          </w:p>
        </w:tc>
        <w:tc>
          <w:tcPr>
            <w:tcW w:w="2200" w:type="dxa"/>
            <w:vAlign w:val="bottom"/>
          </w:tcPr>
          <w:p>
            <w:pPr>
              <w:ind w:left="420"/>
              <w:spacing w:after="0"/>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rPr>
                <w:sz w:val="20"/>
                <w:szCs w:val="20"/>
                <w:color w:val="auto"/>
              </w:rPr>
            </w:pPr>
            <w:r>
              <w:rPr>
                <w:rFonts w:ascii="Arial" w:cs="Arial" w:eastAsia="Arial" w:hAnsi="Arial"/>
                <w:sz w:val="13"/>
                <w:szCs w:val="13"/>
                <w:color w:val="auto"/>
              </w:rPr>
              <w:t>100%</w:t>
            </w: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Placement GmbH (in liquidation)</w:t>
            </w:r>
          </w:p>
        </w:tc>
        <w:tc>
          <w:tcPr>
            <w:tcW w:w="37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Am Kupfergraben 4 - 4 a,</w:t>
            </w:r>
          </w:p>
        </w:tc>
        <w:tc>
          <w:tcPr>
            <w:tcW w:w="22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Pergamon Palais,</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10117 Berlin,</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Germany</w:t>
            </w:r>
          </w:p>
        </w:tc>
        <w:tc>
          <w:tcPr>
            <w:tcW w:w="2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Oncacare (Germany) GmbH</w:t>
            </w: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Heinrich-Hertz-Straße 26</w:t>
            </w:r>
          </w:p>
        </w:tc>
        <w:tc>
          <w:tcPr>
            <w:tcW w:w="2200" w:type="dxa"/>
            <w:vAlign w:val="bottom"/>
          </w:tcPr>
          <w:p>
            <w:pPr>
              <w:ind w:left="42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63225</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Langen</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Hessen</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740" w:type="dxa"/>
            <w:vAlign w:val="bottom"/>
          </w:tcPr>
          <w:p>
            <w:pPr>
              <w:ind w:left="80"/>
              <w:spacing w:after="0"/>
              <w:rPr>
                <w:sz w:val="20"/>
                <w:szCs w:val="20"/>
                <w:color w:val="auto"/>
              </w:rPr>
            </w:pPr>
            <w:r>
              <w:rPr>
                <w:rFonts w:ascii="Arial" w:cs="Arial" w:eastAsia="Arial" w:hAnsi="Arial"/>
                <w:sz w:val="13"/>
                <w:szCs w:val="13"/>
                <w:color w:val="auto"/>
              </w:rPr>
              <w:t>Germany</w:t>
            </w:r>
          </w:p>
        </w:tc>
        <w:tc>
          <w:tcPr>
            <w:tcW w:w="22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Greece A.E.</w:t>
            </w:r>
          </w:p>
        </w:tc>
        <w:tc>
          <w:tcPr>
            <w:tcW w:w="37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81 Ifigeneias Street</w:t>
            </w:r>
          </w:p>
        </w:tc>
        <w:tc>
          <w:tcPr>
            <w:tcW w:w="22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Nea Ionia 142 31</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Attikis,</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Athens,</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Greece</w:t>
            </w:r>
          </w:p>
        </w:tc>
        <w:tc>
          <w:tcPr>
            <w:tcW w:w="2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Guatemala, S.A.</w:t>
            </w: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5 Avenida 5-55, Zona 14</w:t>
            </w:r>
          </w:p>
        </w:tc>
        <w:tc>
          <w:tcPr>
            <w:tcW w:w="2200" w:type="dxa"/>
            <w:vAlign w:val="bottom"/>
          </w:tcPr>
          <w:p>
            <w:pPr>
              <w:ind w:left="4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Edificio Europlaza World Business Center</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Torre II, Nivel 9</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Guatemala City,</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740" w:type="dxa"/>
            <w:vAlign w:val="bottom"/>
          </w:tcPr>
          <w:p>
            <w:pPr>
              <w:ind w:left="80"/>
              <w:spacing w:after="0"/>
              <w:rPr>
                <w:sz w:val="20"/>
                <w:szCs w:val="20"/>
                <w:color w:val="auto"/>
              </w:rPr>
            </w:pPr>
            <w:r>
              <w:rPr>
                <w:rFonts w:ascii="Arial" w:cs="Arial" w:eastAsia="Arial" w:hAnsi="Arial"/>
                <w:sz w:val="13"/>
                <w:szCs w:val="13"/>
                <w:color w:val="auto"/>
              </w:rPr>
              <w:t>Guatemala</w:t>
            </w:r>
          </w:p>
        </w:tc>
        <w:tc>
          <w:tcPr>
            <w:tcW w:w="22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Hong Kong Limited</w:t>
            </w:r>
          </w:p>
        </w:tc>
        <w:tc>
          <w:tcPr>
            <w:tcW w:w="37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Unit 4333 &amp; 4335C, 43/F</w:t>
            </w:r>
          </w:p>
        </w:tc>
        <w:tc>
          <w:tcPr>
            <w:tcW w:w="22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AIA Tower, 183 Electric Road</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North Point, Hong Kong</w:t>
            </w:r>
          </w:p>
        </w:tc>
        <w:tc>
          <w:tcPr>
            <w:tcW w:w="2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(Hong Kong) Limited</w:t>
            </w: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Unit 4321 &amp; 4336A, 43/F</w:t>
            </w:r>
          </w:p>
        </w:tc>
        <w:tc>
          <w:tcPr>
            <w:tcW w:w="2200" w:type="dxa"/>
            <w:vAlign w:val="bottom"/>
          </w:tcPr>
          <w:p>
            <w:pPr>
              <w:ind w:left="4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AIA Tower, 183 Electric Road</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740" w:type="dxa"/>
            <w:vAlign w:val="bottom"/>
          </w:tcPr>
          <w:p>
            <w:pPr>
              <w:ind w:left="80"/>
              <w:spacing w:after="0"/>
              <w:rPr>
                <w:sz w:val="20"/>
                <w:szCs w:val="20"/>
                <w:color w:val="auto"/>
              </w:rPr>
            </w:pPr>
            <w:r>
              <w:rPr>
                <w:rFonts w:ascii="Arial" w:cs="Arial" w:eastAsia="Arial" w:hAnsi="Arial"/>
                <w:sz w:val="13"/>
                <w:szCs w:val="13"/>
                <w:color w:val="auto"/>
              </w:rPr>
              <w:t>North Point, Hong Kong</w:t>
            </w:r>
          </w:p>
        </w:tc>
        <w:tc>
          <w:tcPr>
            <w:tcW w:w="22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Limited Liability Company</w:t>
            </w:r>
          </w:p>
        </w:tc>
        <w:tc>
          <w:tcPr>
            <w:tcW w:w="37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Szepvolgyi ut 39</w:t>
            </w:r>
          </w:p>
        </w:tc>
        <w:tc>
          <w:tcPr>
            <w:tcW w:w="22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HU-1037 Budapest</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Hungary</w:t>
            </w:r>
          </w:p>
        </w:tc>
        <w:tc>
          <w:tcPr>
            <w:tcW w:w="2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w w:val="99"/>
              </w:rPr>
              <w:t>Pharmaceutical Research Associates Hungary Research and</w:t>
            </w: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Szepvolgyi ut 39</w:t>
            </w:r>
          </w:p>
        </w:tc>
        <w:tc>
          <w:tcPr>
            <w:tcW w:w="2200" w:type="dxa"/>
            <w:vAlign w:val="bottom"/>
          </w:tcPr>
          <w:p>
            <w:pPr>
              <w:ind w:left="42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Development Ltd.</w:t>
            </w: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HU-1037 Budapest</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740" w:type="dxa"/>
            <w:vAlign w:val="bottom"/>
          </w:tcPr>
          <w:p>
            <w:pPr>
              <w:ind w:left="80"/>
              <w:spacing w:after="0"/>
              <w:rPr>
                <w:sz w:val="20"/>
                <w:szCs w:val="20"/>
                <w:color w:val="auto"/>
              </w:rPr>
            </w:pPr>
            <w:r>
              <w:rPr>
                <w:rFonts w:ascii="Arial" w:cs="Arial" w:eastAsia="Arial" w:hAnsi="Arial"/>
                <w:sz w:val="13"/>
                <w:szCs w:val="13"/>
                <w:color w:val="auto"/>
              </w:rPr>
              <w:t>Hungary</w:t>
            </w:r>
          </w:p>
        </w:tc>
        <w:tc>
          <w:tcPr>
            <w:tcW w:w="22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Iceland ehf.</w:t>
            </w:r>
          </w:p>
        </w:tc>
        <w:tc>
          <w:tcPr>
            <w:tcW w:w="37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Skipholti 50D</w:t>
            </w:r>
          </w:p>
        </w:tc>
        <w:tc>
          <w:tcPr>
            <w:tcW w:w="22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560" w:type="dxa"/>
            <w:vAlign w:val="bottom"/>
            <w:shd w:val="clear" w:color="auto" w:fill="CCEEFF"/>
          </w:tcPr>
          <w:p>
            <w:pPr>
              <w:spacing w:after="0"/>
              <w:rPr>
                <w:sz w:val="14"/>
                <w:szCs w:val="14"/>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105 Reykjavik, Iceland</w:t>
            </w:r>
          </w:p>
        </w:tc>
        <w:tc>
          <w:tcPr>
            <w:tcW w:w="2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India Private Limited</w:t>
            </w: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CHENNAI ONE IT PARK ITE/ITES SEZ North Block</w:t>
            </w:r>
          </w:p>
        </w:tc>
        <w:tc>
          <w:tcPr>
            <w:tcW w:w="2200" w:type="dxa"/>
            <w:vAlign w:val="bottom"/>
          </w:tcPr>
          <w:p>
            <w:pPr>
              <w:ind w:left="42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Block B, 4th Floor, Thoraipakkam</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Chennai</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Tamil Nadu-TN</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60" w:type="dxa"/>
            <w:vAlign w:val="bottom"/>
          </w:tcPr>
          <w:p>
            <w:pPr>
              <w:spacing w:after="0"/>
              <w:rPr>
                <w:sz w:val="11"/>
                <w:szCs w:val="11"/>
                <w:color w:val="auto"/>
              </w:rPr>
            </w:pPr>
          </w:p>
        </w:tc>
        <w:tc>
          <w:tcPr>
            <w:tcW w:w="3740" w:type="dxa"/>
            <w:vAlign w:val="bottom"/>
          </w:tcPr>
          <w:p>
            <w:pPr>
              <w:ind w:left="80"/>
              <w:spacing w:after="0" w:line="128" w:lineRule="exact"/>
              <w:rPr>
                <w:sz w:val="20"/>
                <w:szCs w:val="20"/>
                <w:color w:val="auto"/>
              </w:rPr>
            </w:pPr>
            <w:r>
              <w:rPr>
                <w:rFonts w:ascii="Arial" w:cs="Arial" w:eastAsia="Arial" w:hAnsi="Arial"/>
                <w:sz w:val="13"/>
                <w:szCs w:val="13"/>
                <w:color w:val="auto"/>
              </w:rPr>
              <w:t>600097</w:t>
            </w: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60" w:type="dxa"/>
            <w:vAlign w:val="bottom"/>
          </w:tcPr>
          <w:p>
            <w:pPr>
              <w:spacing w:after="0"/>
              <w:rPr>
                <w:sz w:val="14"/>
                <w:szCs w:val="14"/>
                <w:color w:val="auto"/>
              </w:rPr>
            </w:pPr>
          </w:p>
        </w:tc>
        <w:tc>
          <w:tcPr>
            <w:tcW w:w="3740" w:type="dxa"/>
            <w:vAlign w:val="bottom"/>
          </w:tcPr>
          <w:p>
            <w:pPr>
              <w:ind w:left="80"/>
              <w:spacing w:after="0"/>
              <w:rPr>
                <w:sz w:val="20"/>
                <w:szCs w:val="20"/>
                <w:color w:val="auto"/>
              </w:rPr>
            </w:pPr>
            <w:r>
              <w:rPr>
                <w:rFonts w:ascii="Arial" w:cs="Arial" w:eastAsia="Arial" w:hAnsi="Arial"/>
                <w:sz w:val="13"/>
                <w:szCs w:val="13"/>
                <w:color w:val="auto"/>
              </w:rPr>
              <w:t>India</w:t>
            </w:r>
          </w:p>
        </w:tc>
        <w:tc>
          <w:tcPr>
            <w:tcW w:w="22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India Private Limited</w:t>
            </w:r>
          </w:p>
        </w:tc>
        <w:tc>
          <w:tcPr>
            <w:tcW w:w="37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Level 3, Level 4, Block 1,</w:t>
            </w:r>
          </w:p>
        </w:tc>
        <w:tc>
          <w:tcPr>
            <w:tcW w:w="22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Prestige Blue Chip Software Park</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Municipal No 9, Hosur Road,</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Adugodi, Madiwala Range, Ward No 63,</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60" w:type="dxa"/>
            <w:vAlign w:val="bottom"/>
            <w:shd w:val="clear" w:color="auto" w:fill="CCEEFF"/>
          </w:tcPr>
          <w:p>
            <w:pPr>
              <w:spacing w:after="0"/>
              <w:rPr>
                <w:sz w:val="11"/>
                <w:szCs w:val="11"/>
                <w:color w:val="auto"/>
              </w:rPr>
            </w:pPr>
          </w:p>
        </w:tc>
        <w:tc>
          <w:tcPr>
            <w:tcW w:w="374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Bangalore – 560029</w:t>
            </w:r>
          </w:p>
        </w:tc>
        <w:tc>
          <w:tcPr>
            <w:tcW w:w="2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60" w:type="dxa"/>
            <w:vAlign w:val="bottom"/>
            <w:shd w:val="clear" w:color="auto" w:fill="CCEEFF"/>
          </w:tcPr>
          <w:p>
            <w:pPr>
              <w:spacing w:after="0"/>
              <w:rPr>
                <w:sz w:val="14"/>
                <w:szCs w:val="14"/>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Karnataka</w:t>
            </w:r>
          </w:p>
        </w:tc>
        <w:tc>
          <w:tcPr>
            <w:tcW w:w="2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3560" w:type="dxa"/>
            <w:vAlign w:val="bottom"/>
          </w:tcPr>
          <w:p>
            <w:pPr>
              <w:spacing w:after="0"/>
              <w:rPr>
                <w:sz w:val="24"/>
                <w:szCs w:val="24"/>
                <w:color w:val="auto"/>
              </w:rPr>
            </w:pPr>
          </w:p>
        </w:tc>
        <w:tc>
          <w:tcPr>
            <w:tcW w:w="3740" w:type="dxa"/>
            <w:vAlign w:val="bottom"/>
          </w:tcPr>
          <w:p>
            <w:pPr>
              <w:ind w:left="1980"/>
              <w:spacing w:after="0"/>
              <w:rPr>
                <w:sz w:val="20"/>
                <w:szCs w:val="20"/>
                <w:color w:val="auto"/>
              </w:rPr>
            </w:pPr>
            <w:r>
              <w:rPr>
                <w:rFonts w:ascii="Arial" w:cs="Arial" w:eastAsia="Arial" w:hAnsi="Arial"/>
                <w:sz w:val="13"/>
                <w:szCs w:val="13"/>
                <w:color w:val="auto"/>
              </w:rPr>
              <w:t>125</w:t>
            </w:r>
          </w:p>
        </w:tc>
        <w:tc>
          <w:tcPr>
            <w:tcW w:w="22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4280" w:type="dxa"/>
            <w:vAlign w:val="bottom"/>
            <w:shd w:val="clear" w:color="auto" w:fill="CCEEFF"/>
          </w:tcPr>
          <w:p>
            <w:pPr>
              <w:ind w:left="2300"/>
              <w:spacing w:after="0"/>
              <w:rPr>
                <w:sz w:val="20"/>
                <w:szCs w:val="20"/>
                <w:color w:val="auto"/>
              </w:rPr>
            </w:pPr>
            <w:r>
              <w:rPr>
                <w:rFonts w:ascii="Arial" w:cs="Arial" w:eastAsia="Arial" w:hAnsi="Arial"/>
                <w:sz w:val="13"/>
                <w:szCs w:val="13"/>
                <w:b w:val="1"/>
                <w:bCs w:val="1"/>
                <w:color w:val="auto"/>
              </w:rPr>
              <w:t>Nature of business</w:t>
            </w:r>
          </w:p>
        </w:tc>
        <w:tc>
          <w:tcPr>
            <w:tcW w:w="15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0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spacing w:after="0"/>
              <w:rPr>
                <w:sz w:val="14"/>
                <w:szCs w:val="14"/>
                <w:color w:val="auto"/>
              </w:rPr>
            </w:pPr>
          </w:p>
        </w:tc>
        <w:tc>
          <w:tcPr>
            <w:tcW w:w="42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00" w:type="dxa"/>
            <w:vAlign w:val="bottom"/>
          </w:tcPr>
          <w:p>
            <w:pPr>
              <w:ind w:left="20"/>
              <w:spacing w:after="0" w:line="118" w:lineRule="exact"/>
              <w:rPr>
                <w:sz w:val="20"/>
                <w:szCs w:val="20"/>
                <w:color w:val="auto"/>
              </w:rPr>
            </w:pPr>
            <w:r>
              <w:rPr>
                <w:rFonts w:ascii="Arial" w:cs="Arial" w:eastAsia="Arial" w:hAnsi="Arial"/>
                <w:sz w:val="13"/>
                <w:szCs w:val="13"/>
                <w:color w:val="auto"/>
              </w:rPr>
              <w:t>Accellacare Limited</w:t>
            </w:r>
          </w:p>
        </w:tc>
        <w:tc>
          <w:tcPr>
            <w:tcW w:w="1820" w:type="dxa"/>
            <w:vAlign w:val="bottom"/>
          </w:tcPr>
          <w:p>
            <w:pPr>
              <w:ind w:left="40"/>
              <w:spacing w:after="0" w:line="11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18" w:lineRule="exact"/>
              <w:rPr>
                <w:sz w:val="20"/>
                <w:szCs w:val="20"/>
                <w:color w:val="auto"/>
              </w:rPr>
            </w:pPr>
            <w:r>
              <w:rPr>
                <w:rFonts w:ascii="Arial" w:cs="Arial" w:eastAsia="Arial" w:hAnsi="Arial"/>
                <w:sz w:val="13"/>
                <w:szCs w:val="13"/>
                <w:color w:val="auto"/>
              </w:rPr>
              <w:t>Clinical research services</w:t>
            </w:r>
          </w:p>
        </w:tc>
        <w:tc>
          <w:tcPr>
            <w:tcW w:w="1560" w:type="dxa"/>
            <w:vAlign w:val="bottom"/>
          </w:tcPr>
          <w:p>
            <w:pPr>
              <w:ind w:left="1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68"/>
        </w:trPr>
        <w:tc>
          <w:tcPr>
            <w:tcW w:w="360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29"/>
        </w:trPr>
        <w:tc>
          <w:tcPr>
            <w:tcW w:w="36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(LR) Limited</w:t>
            </w:r>
          </w:p>
        </w:tc>
        <w:tc>
          <w:tcPr>
            <w:tcW w:w="18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Clinical research services</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70"/>
        </w:trPr>
        <w:tc>
          <w:tcPr>
            <w:tcW w:w="360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27"/>
        </w:trPr>
        <w:tc>
          <w:tcPr>
            <w:tcW w:w="3600" w:type="dxa"/>
            <w:vAlign w:val="bottom"/>
          </w:tcPr>
          <w:p>
            <w:pPr>
              <w:ind w:left="20"/>
              <w:spacing w:after="0" w:line="128" w:lineRule="exact"/>
              <w:rPr>
                <w:sz w:val="20"/>
                <w:szCs w:val="20"/>
                <w:color w:val="auto"/>
              </w:rPr>
            </w:pPr>
            <w:r>
              <w:rPr>
                <w:rFonts w:ascii="Arial" w:cs="Arial" w:eastAsia="Arial" w:hAnsi="Arial"/>
                <w:sz w:val="13"/>
                <w:szCs w:val="13"/>
                <w:color w:val="auto"/>
              </w:rPr>
              <w:t>ICON Clinical Global Holdings Unlimited Company</w:t>
            </w: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Investment holding company</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68"/>
        </w:trPr>
        <w:tc>
          <w:tcPr>
            <w:tcW w:w="360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29"/>
        </w:trPr>
        <w:tc>
          <w:tcPr>
            <w:tcW w:w="36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ICON Clinical Research Holdings (Ireland) Unlimited Company</w:t>
            </w:r>
          </w:p>
        </w:tc>
        <w:tc>
          <w:tcPr>
            <w:tcW w:w="18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Investment holding company</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70"/>
        </w:trPr>
        <w:tc>
          <w:tcPr>
            <w:tcW w:w="360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27"/>
        </w:trPr>
        <w:tc>
          <w:tcPr>
            <w:tcW w:w="36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Limited</w:t>
            </w: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Clinical research services</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68"/>
        </w:trPr>
        <w:tc>
          <w:tcPr>
            <w:tcW w:w="360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29"/>
        </w:trPr>
        <w:tc>
          <w:tcPr>
            <w:tcW w:w="36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Property Development (Ireland)</w:t>
            </w:r>
          </w:p>
        </w:tc>
        <w:tc>
          <w:tcPr>
            <w:tcW w:w="18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Property management company</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Limited</w:t>
            </w: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70"/>
        </w:trPr>
        <w:tc>
          <w:tcPr>
            <w:tcW w:w="360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27"/>
        </w:trPr>
        <w:tc>
          <w:tcPr>
            <w:tcW w:w="36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Property Holdings (Ireland) Limited</w:t>
            </w: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Property management company</w:t>
            </w:r>
          </w:p>
        </w:tc>
        <w:tc>
          <w:tcPr>
            <w:tcW w:w="1560" w:type="dxa"/>
            <w:vAlign w:val="bottom"/>
          </w:tcPr>
          <w:p>
            <w:pPr>
              <w:ind w:left="120"/>
              <w:spacing w:after="0" w:line="127"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68"/>
        </w:trPr>
        <w:tc>
          <w:tcPr>
            <w:tcW w:w="360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29"/>
        </w:trPr>
        <w:tc>
          <w:tcPr>
            <w:tcW w:w="36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Global Treasury Unlimited Company</w:t>
            </w:r>
          </w:p>
        </w:tc>
        <w:tc>
          <w:tcPr>
            <w:tcW w:w="18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Investment holding and financing</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ind w:left="2300"/>
              <w:spacing w:after="0" w:line="128" w:lineRule="exact"/>
              <w:rPr>
                <w:sz w:val="20"/>
                <w:szCs w:val="20"/>
                <w:color w:val="auto"/>
              </w:rPr>
            </w:pPr>
            <w:r>
              <w:rPr>
                <w:rFonts w:ascii="Arial" w:cs="Arial" w:eastAsia="Arial" w:hAnsi="Arial"/>
                <w:sz w:val="13"/>
                <w:szCs w:val="13"/>
                <w:color w:val="auto"/>
              </w:rPr>
              <w:t>company</w:t>
            </w: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70"/>
        </w:trPr>
        <w:tc>
          <w:tcPr>
            <w:tcW w:w="360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27"/>
        </w:trPr>
        <w:tc>
          <w:tcPr>
            <w:tcW w:w="3600" w:type="dxa"/>
            <w:vAlign w:val="bottom"/>
          </w:tcPr>
          <w:p>
            <w:pPr>
              <w:ind w:left="20"/>
              <w:spacing w:after="0" w:line="128" w:lineRule="exact"/>
              <w:rPr>
                <w:sz w:val="20"/>
                <w:szCs w:val="20"/>
                <w:color w:val="auto"/>
              </w:rPr>
            </w:pPr>
            <w:r>
              <w:rPr>
                <w:rFonts w:ascii="Arial" w:cs="Arial" w:eastAsia="Arial" w:hAnsi="Arial"/>
                <w:sz w:val="13"/>
                <w:szCs w:val="13"/>
                <w:color w:val="auto"/>
              </w:rPr>
              <w:t>ICON Holdings Clinical Research International Limited</w:t>
            </w: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Investment holding company</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68"/>
        </w:trPr>
        <w:tc>
          <w:tcPr>
            <w:tcW w:w="360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29"/>
        </w:trPr>
        <w:tc>
          <w:tcPr>
            <w:tcW w:w="36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Holdings Unlimited Company</w:t>
            </w:r>
          </w:p>
        </w:tc>
        <w:tc>
          <w:tcPr>
            <w:tcW w:w="18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Investment holding company</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70"/>
        </w:trPr>
        <w:tc>
          <w:tcPr>
            <w:tcW w:w="360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27"/>
        </w:trPr>
        <w:tc>
          <w:tcPr>
            <w:tcW w:w="3600" w:type="dxa"/>
            <w:vAlign w:val="bottom"/>
          </w:tcPr>
          <w:p>
            <w:pPr>
              <w:ind w:left="20"/>
              <w:spacing w:after="0" w:line="128" w:lineRule="exact"/>
              <w:rPr>
                <w:sz w:val="20"/>
                <w:szCs w:val="20"/>
                <w:color w:val="auto"/>
              </w:rPr>
            </w:pPr>
            <w:r>
              <w:rPr>
                <w:rFonts w:ascii="Arial" w:cs="Arial" w:eastAsia="Arial" w:hAnsi="Arial"/>
                <w:sz w:val="13"/>
                <w:szCs w:val="13"/>
                <w:color w:val="auto"/>
              </w:rPr>
              <w:t>ICON Investments Four Unlimited Company (in Liquidation)</w:t>
            </w: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Investment holding</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and financing</w:t>
            </w: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company</w:t>
            </w: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68"/>
        </w:trPr>
        <w:tc>
          <w:tcPr>
            <w:tcW w:w="360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29"/>
        </w:trPr>
        <w:tc>
          <w:tcPr>
            <w:tcW w:w="36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Investments Six Designated Activity Company</w:t>
            </w:r>
          </w:p>
        </w:tc>
        <w:tc>
          <w:tcPr>
            <w:tcW w:w="18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South County Business Park,</w:t>
            </w:r>
          </w:p>
        </w:tc>
        <w:tc>
          <w:tcPr>
            <w:tcW w:w="4280" w:type="dxa"/>
            <w:vAlign w:val="bottom"/>
            <w:shd w:val="clear" w:color="auto" w:fill="CCEEFF"/>
          </w:tcPr>
          <w:p>
            <w:pPr>
              <w:ind w:left="2300"/>
              <w:spacing w:after="0" w:line="129" w:lineRule="exact"/>
              <w:rPr>
                <w:sz w:val="20"/>
                <w:szCs w:val="20"/>
                <w:color w:val="auto"/>
              </w:rPr>
            </w:pPr>
            <w:r>
              <w:rPr>
                <w:rFonts w:ascii="Arial" w:cs="Arial" w:eastAsia="Arial" w:hAnsi="Arial"/>
                <w:sz w:val="13"/>
                <w:szCs w:val="13"/>
                <w:color w:val="auto"/>
              </w:rPr>
              <w:t>Investment holding</w:t>
            </w:r>
          </w:p>
        </w:tc>
        <w:tc>
          <w:tcPr>
            <w:tcW w:w="1560" w:type="dxa"/>
            <w:vAlign w:val="bottom"/>
            <w:shd w:val="clear" w:color="auto" w:fill="CCEEFF"/>
          </w:tcPr>
          <w:p>
            <w:pPr>
              <w:ind w:left="120"/>
              <w:spacing w:after="0" w:line="129"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shd w:val="clear" w:color="auto" w:fill="CCEEFF"/>
          </w:tcPr>
          <w:p>
            <w:pPr>
              <w:ind w:left="2300"/>
              <w:spacing w:after="0" w:line="128" w:lineRule="exact"/>
              <w:rPr>
                <w:sz w:val="20"/>
                <w:szCs w:val="20"/>
                <w:color w:val="auto"/>
              </w:rPr>
            </w:pPr>
            <w:r>
              <w:rPr>
                <w:rFonts w:ascii="Arial" w:cs="Arial" w:eastAsia="Arial" w:hAnsi="Arial"/>
                <w:sz w:val="13"/>
                <w:szCs w:val="13"/>
                <w:color w:val="auto"/>
              </w:rPr>
              <w:t>and financing</w:t>
            </w: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shd w:val="clear" w:color="auto" w:fill="CCEEFF"/>
          </w:tcPr>
          <w:p>
            <w:pPr>
              <w:ind w:left="2300"/>
              <w:spacing w:after="0" w:line="128" w:lineRule="exact"/>
              <w:rPr>
                <w:sz w:val="20"/>
                <w:szCs w:val="20"/>
                <w:color w:val="auto"/>
              </w:rPr>
            </w:pPr>
            <w:r>
              <w:rPr>
                <w:rFonts w:ascii="Arial" w:cs="Arial" w:eastAsia="Arial" w:hAnsi="Arial"/>
                <w:sz w:val="13"/>
                <w:szCs w:val="13"/>
                <w:color w:val="auto"/>
              </w:rPr>
              <w:t>company</w:t>
            </w:r>
          </w:p>
        </w:tc>
        <w:tc>
          <w:tcPr>
            <w:tcW w:w="1560" w:type="dxa"/>
            <w:vAlign w:val="bottom"/>
            <w:shd w:val="clear" w:color="auto" w:fill="CCEEFF"/>
          </w:tcPr>
          <w:p>
            <w:pPr>
              <w:spacing w:after="0"/>
              <w:rPr>
                <w:sz w:val="11"/>
                <w:szCs w:val="11"/>
                <w:color w:val="auto"/>
              </w:rPr>
            </w:pPr>
          </w:p>
        </w:tc>
      </w:tr>
      <w:tr>
        <w:trPr>
          <w:trHeight w:val="127"/>
        </w:trPr>
        <w:tc>
          <w:tcPr>
            <w:tcW w:w="36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70"/>
        </w:trPr>
        <w:tc>
          <w:tcPr>
            <w:tcW w:w="360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27"/>
        </w:trPr>
        <w:tc>
          <w:tcPr>
            <w:tcW w:w="3600" w:type="dxa"/>
            <w:vAlign w:val="bottom"/>
          </w:tcPr>
          <w:p>
            <w:pPr>
              <w:ind w:left="20"/>
              <w:spacing w:after="0" w:line="128" w:lineRule="exact"/>
              <w:rPr>
                <w:sz w:val="20"/>
                <w:szCs w:val="20"/>
                <w:color w:val="auto"/>
              </w:rPr>
            </w:pPr>
            <w:r>
              <w:rPr>
                <w:rFonts w:ascii="Arial" w:cs="Arial" w:eastAsia="Arial" w:hAnsi="Arial"/>
                <w:sz w:val="13"/>
                <w:szCs w:val="13"/>
                <w:color w:val="auto"/>
              </w:rPr>
              <w:t>ICON Operational Financing Unlimited Company</w:t>
            </w: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South County Business Park,</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Investment holding and financing</w:t>
            </w:r>
          </w:p>
        </w:tc>
        <w:tc>
          <w:tcPr>
            <w:tcW w:w="15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Leopardstown,</w:t>
            </w:r>
          </w:p>
        </w:tc>
        <w:tc>
          <w:tcPr>
            <w:tcW w:w="4280" w:type="dxa"/>
            <w:vAlign w:val="bottom"/>
          </w:tcPr>
          <w:p>
            <w:pPr>
              <w:ind w:left="2300"/>
              <w:spacing w:after="0" w:line="128" w:lineRule="exact"/>
              <w:rPr>
                <w:sz w:val="20"/>
                <w:szCs w:val="20"/>
                <w:color w:val="auto"/>
              </w:rPr>
            </w:pPr>
            <w:r>
              <w:rPr>
                <w:rFonts w:ascii="Arial" w:cs="Arial" w:eastAsia="Arial" w:hAnsi="Arial"/>
                <w:sz w:val="13"/>
                <w:szCs w:val="13"/>
                <w:color w:val="auto"/>
              </w:rPr>
              <w:t>company</w:t>
            </w: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Dublin 18</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1820" w:type="dxa"/>
            <w:vAlign w:val="bottom"/>
          </w:tcPr>
          <w:p>
            <w:pPr>
              <w:ind w:left="40"/>
              <w:spacing w:after="0" w:line="128" w:lineRule="exact"/>
              <w:rPr>
                <w:sz w:val="20"/>
                <w:szCs w:val="20"/>
                <w:color w:val="auto"/>
              </w:rPr>
            </w:pPr>
            <w:r>
              <w:rPr>
                <w:rFonts w:ascii="Arial" w:cs="Arial" w:eastAsia="Arial" w:hAnsi="Arial"/>
                <w:sz w:val="13"/>
                <w:szCs w:val="13"/>
                <w:color w:val="auto"/>
              </w:rPr>
              <w:t>Republic of Ireland</w:t>
            </w:r>
          </w:p>
        </w:tc>
        <w:tc>
          <w:tcPr>
            <w:tcW w:w="4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67"/>
        </w:trPr>
        <w:tc>
          <w:tcPr>
            <w:tcW w:w="360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D18 X5R3</w:t>
            </w: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584"/>
        </w:trPr>
        <w:tc>
          <w:tcPr>
            <w:tcW w:w="3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126</w:t>
            </w:r>
          </w:p>
        </w:tc>
        <w:tc>
          <w:tcPr>
            <w:tcW w:w="15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880" w:type="dxa"/>
            <w:vAlign w:val="bottom"/>
            <w:shd w:val="clear" w:color="auto" w:fill="CCEEFF"/>
          </w:tcPr>
          <w:p>
            <w:pPr>
              <w:ind w:left="46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68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Nature of business</w:t>
            </w:r>
          </w:p>
        </w:tc>
        <w:tc>
          <w:tcPr>
            <w:tcW w:w="15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180" w:type="dxa"/>
            <w:vAlign w:val="bottom"/>
            <w:tcBorders>
              <w:bottom w:val="single" w:sz="8" w:color="auto"/>
            </w:tcBorders>
            <w:shd w:val="clear" w:color="auto" w:fill="CCEEFF"/>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Group</w:t>
            </w:r>
          </w:p>
        </w:tc>
      </w:tr>
      <w:tr>
        <w:trPr>
          <w:trHeight w:val="118"/>
        </w:trPr>
        <w:tc>
          <w:tcPr>
            <w:tcW w:w="3180" w:type="dxa"/>
            <w:vAlign w:val="bottom"/>
          </w:tcPr>
          <w:p>
            <w:pPr>
              <w:ind w:left="20"/>
              <w:spacing w:after="0" w:line="118" w:lineRule="exact"/>
              <w:rPr>
                <w:sz w:val="20"/>
                <w:szCs w:val="20"/>
                <w:color w:val="auto"/>
              </w:rPr>
            </w:pPr>
            <w:r>
              <w:rPr>
                <w:rFonts w:ascii="Arial" w:cs="Arial" w:eastAsia="Arial" w:hAnsi="Arial"/>
                <w:sz w:val="13"/>
                <w:szCs w:val="13"/>
                <w:color w:val="auto"/>
              </w:rPr>
              <w:t>ICON Operational Holdings Unlimited Company</w:t>
            </w:r>
          </w:p>
        </w:tc>
        <w:tc>
          <w:tcPr>
            <w:tcW w:w="3880" w:type="dxa"/>
            <w:vAlign w:val="bottom"/>
          </w:tcPr>
          <w:p>
            <w:pPr>
              <w:ind w:left="460"/>
              <w:spacing w:after="0" w:line="118" w:lineRule="exact"/>
              <w:rPr>
                <w:sz w:val="20"/>
                <w:szCs w:val="20"/>
                <w:color w:val="auto"/>
              </w:rPr>
            </w:pPr>
            <w:r>
              <w:rPr>
                <w:rFonts w:ascii="Arial" w:cs="Arial" w:eastAsia="Arial" w:hAnsi="Arial"/>
                <w:sz w:val="13"/>
                <w:szCs w:val="13"/>
                <w:color w:val="auto"/>
              </w:rPr>
              <w:t>South County Business Park,</w:t>
            </w:r>
          </w:p>
        </w:tc>
        <w:tc>
          <w:tcPr>
            <w:tcW w:w="2680" w:type="dxa"/>
            <w:vAlign w:val="bottom"/>
          </w:tcPr>
          <w:p>
            <w:pPr>
              <w:ind w:left="660"/>
              <w:spacing w:after="0" w:line="118" w:lineRule="exact"/>
              <w:rPr>
                <w:sz w:val="20"/>
                <w:szCs w:val="20"/>
                <w:color w:val="auto"/>
              </w:rPr>
            </w:pPr>
            <w:r>
              <w:rPr>
                <w:rFonts w:ascii="Arial" w:cs="Arial" w:eastAsia="Arial" w:hAnsi="Arial"/>
                <w:sz w:val="13"/>
                <w:szCs w:val="13"/>
                <w:color w:val="auto"/>
              </w:rPr>
              <w:t>Investment holding company</w:t>
            </w:r>
          </w:p>
        </w:tc>
        <w:tc>
          <w:tcPr>
            <w:tcW w:w="1520" w:type="dxa"/>
            <w:vAlign w:val="bottom"/>
          </w:tcPr>
          <w:p>
            <w:pPr>
              <w:ind w:left="8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Leopardstown,</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Dublin 18</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Republic of Ireland</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1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auto"/>
              </w:rPr>
              <w:t>D18 X5R3</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Oncacare Limited</w:t>
            </w:r>
          </w:p>
        </w:tc>
        <w:tc>
          <w:tcPr>
            <w:tcW w:w="3880" w:type="dxa"/>
            <w:vAlign w:val="bottom"/>
            <w:shd w:val="clear" w:color="auto" w:fill="CCEEFF"/>
          </w:tcPr>
          <w:p>
            <w:pPr>
              <w:ind w:left="460"/>
              <w:spacing w:after="0" w:line="129" w:lineRule="exact"/>
              <w:rPr>
                <w:sz w:val="20"/>
                <w:szCs w:val="20"/>
                <w:color w:val="auto"/>
              </w:rPr>
            </w:pPr>
            <w:r>
              <w:rPr>
                <w:rFonts w:ascii="Arial" w:cs="Arial" w:eastAsia="Arial" w:hAnsi="Arial"/>
                <w:sz w:val="13"/>
                <w:szCs w:val="13"/>
                <w:color w:val="auto"/>
              </w:rPr>
              <w:t>South County Business Park,</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Leopardstown,</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Dublin 18</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Republic of Ireland</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180" w:type="dxa"/>
            <w:vAlign w:val="bottom"/>
            <w:shd w:val="clear" w:color="auto" w:fill="CCEEFF"/>
          </w:tcPr>
          <w:p>
            <w:pPr>
              <w:spacing w:after="0"/>
              <w:rPr>
                <w:sz w:val="14"/>
                <w:szCs w:val="14"/>
                <w:color w:val="auto"/>
              </w:rPr>
            </w:pPr>
          </w:p>
        </w:tc>
        <w:tc>
          <w:tcPr>
            <w:tcW w:w="38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D18 X5R3</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18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Israel Ltd.</w:t>
            </w: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Building E, 13th Floor</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4 Haharash Street</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Hod Hasharon</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1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auto"/>
              </w:rPr>
              <w:t>4524402 Israel</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Israel Ltd.</w:t>
            </w:r>
          </w:p>
        </w:tc>
        <w:tc>
          <w:tcPr>
            <w:tcW w:w="3880" w:type="dxa"/>
            <w:vAlign w:val="bottom"/>
            <w:shd w:val="clear" w:color="auto" w:fill="CCEEFF"/>
          </w:tcPr>
          <w:p>
            <w:pPr>
              <w:ind w:left="460"/>
              <w:spacing w:after="0" w:line="129" w:lineRule="exact"/>
              <w:rPr>
                <w:sz w:val="20"/>
                <w:szCs w:val="20"/>
                <w:color w:val="auto"/>
              </w:rPr>
            </w:pPr>
            <w:r>
              <w:rPr>
                <w:rFonts w:ascii="Arial" w:cs="Arial" w:eastAsia="Arial" w:hAnsi="Arial"/>
                <w:sz w:val="13"/>
                <w:szCs w:val="13"/>
                <w:color w:val="auto"/>
              </w:rPr>
              <w:t>Building E, 13th Floor</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 services</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4 Haharash Street</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Hod Hasharon</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180" w:type="dxa"/>
            <w:vAlign w:val="bottom"/>
            <w:shd w:val="clear" w:color="auto" w:fill="CCEEFF"/>
          </w:tcPr>
          <w:p>
            <w:pPr>
              <w:spacing w:after="0"/>
              <w:rPr>
                <w:sz w:val="14"/>
                <w:szCs w:val="14"/>
                <w:color w:val="auto"/>
              </w:rPr>
            </w:pPr>
          </w:p>
        </w:tc>
        <w:tc>
          <w:tcPr>
            <w:tcW w:w="38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4524402 Israel</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180" w:type="dxa"/>
            <w:vAlign w:val="bottom"/>
          </w:tcPr>
          <w:p>
            <w:pPr>
              <w:ind w:left="20"/>
              <w:spacing w:after="0" w:line="128" w:lineRule="exact"/>
              <w:rPr>
                <w:sz w:val="20"/>
                <w:szCs w:val="20"/>
                <w:color w:val="auto"/>
              </w:rPr>
            </w:pPr>
            <w:r>
              <w:rPr>
                <w:rFonts w:ascii="Arial" w:cs="Arial" w:eastAsia="Arial" w:hAnsi="Arial"/>
                <w:sz w:val="13"/>
                <w:szCs w:val="13"/>
                <w:color w:val="auto"/>
              </w:rPr>
              <w:t>Oncacare Italy S.r.l</w:t>
            </w: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Via Benigno Crespi, n. 19</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20159</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Milano</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1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auto"/>
              </w:rPr>
              <w:t>Italy</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Italy S.r.l.</w:t>
            </w:r>
          </w:p>
        </w:tc>
        <w:tc>
          <w:tcPr>
            <w:tcW w:w="3880" w:type="dxa"/>
            <w:vAlign w:val="bottom"/>
            <w:shd w:val="clear" w:color="auto" w:fill="CCEEFF"/>
          </w:tcPr>
          <w:p>
            <w:pPr>
              <w:ind w:left="460"/>
              <w:spacing w:after="0" w:line="129" w:lineRule="exact"/>
              <w:rPr>
                <w:sz w:val="20"/>
                <w:szCs w:val="20"/>
                <w:color w:val="auto"/>
              </w:rPr>
            </w:pPr>
            <w:r>
              <w:rPr>
                <w:rFonts w:ascii="Arial" w:cs="Arial" w:eastAsia="Arial" w:hAnsi="Arial"/>
                <w:sz w:val="13"/>
                <w:szCs w:val="13"/>
                <w:color w:val="auto"/>
              </w:rPr>
              <w:t>Via Porlezza, No. 12</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 services</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Milan</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20123</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180" w:type="dxa"/>
            <w:vAlign w:val="bottom"/>
            <w:shd w:val="clear" w:color="auto" w:fill="CCEEFF"/>
          </w:tcPr>
          <w:p>
            <w:pPr>
              <w:spacing w:after="0"/>
              <w:rPr>
                <w:sz w:val="14"/>
                <w:szCs w:val="14"/>
                <w:color w:val="auto"/>
              </w:rPr>
            </w:pPr>
          </w:p>
        </w:tc>
        <w:tc>
          <w:tcPr>
            <w:tcW w:w="38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Italy</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18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GK</w:t>
            </w: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1-3 Kyutaro-machi 4-chome,</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Chuo-ku,</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Osaka 541-0056</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1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auto"/>
              </w:rPr>
              <w:t>Japan</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Investments Limited</w:t>
            </w:r>
          </w:p>
        </w:tc>
        <w:tc>
          <w:tcPr>
            <w:tcW w:w="3880" w:type="dxa"/>
            <w:vAlign w:val="bottom"/>
            <w:shd w:val="clear" w:color="auto" w:fill="CCEEFF"/>
          </w:tcPr>
          <w:p>
            <w:pPr>
              <w:ind w:left="460"/>
              <w:spacing w:after="0" w:line="129" w:lineRule="exact"/>
              <w:rPr>
                <w:sz w:val="20"/>
                <w:szCs w:val="20"/>
                <w:color w:val="auto"/>
              </w:rPr>
            </w:pPr>
            <w:r>
              <w:rPr>
                <w:rFonts w:ascii="Arial" w:cs="Arial" w:eastAsia="Arial" w:hAnsi="Arial"/>
                <w:sz w:val="13"/>
                <w:szCs w:val="13"/>
                <w:color w:val="auto"/>
              </w:rPr>
              <w:t>22 Grenville Street</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Investment holding company</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St Helier</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JE4 8PX</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180" w:type="dxa"/>
            <w:vAlign w:val="bottom"/>
            <w:shd w:val="clear" w:color="auto" w:fill="CCEEFF"/>
          </w:tcPr>
          <w:p>
            <w:pPr>
              <w:spacing w:after="0"/>
              <w:rPr>
                <w:sz w:val="14"/>
                <w:szCs w:val="14"/>
                <w:color w:val="auto"/>
              </w:rPr>
            </w:pPr>
          </w:p>
        </w:tc>
        <w:tc>
          <w:tcPr>
            <w:tcW w:w="38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Jersey</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18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Kenya Limited</w:t>
            </w: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LR No. 1870/1/176, ALN House,</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Eldama Ravine Close,</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off Eldama Ravine Road, Westlands</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1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auto"/>
              </w:rPr>
              <w:t>PO Box 764, Sarit Centre, Nairobi, Kenya 00606</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Latvia SIA</w:t>
            </w:r>
          </w:p>
        </w:tc>
        <w:tc>
          <w:tcPr>
            <w:tcW w:w="3880" w:type="dxa"/>
            <w:vAlign w:val="bottom"/>
            <w:shd w:val="clear" w:color="auto" w:fill="CCEEFF"/>
          </w:tcPr>
          <w:p>
            <w:pPr>
              <w:ind w:left="460"/>
              <w:spacing w:after="0" w:line="129" w:lineRule="exact"/>
              <w:rPr>
                <w:sz w:val="20"/>
                <w:szCs w:val="20"/>
                <w:color w:val="auto"/>
              </w:rPr>
            </w:pPr>
            <w:r>
              <w:rPr>
                <w:rFonts w:ascii="Arial" w:cs="Arial" w:eastAsia="Arial" w:hAnsi="Arial"/>
                <w:sz w:val="13"/>
                <w:szCs w:val="13"/>
                <w:color w:val="auto"/>
              </w:rPr>
              <w:t>Blaumaņa iela 22</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Clinical research services</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1011 Riga,</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180" w:type="dxa"/>
            <w:vAlign w:val="bottom"/>
            <w:shd w:val="clear" w:color="auto" w:fill="CCEEFF"/>
          </w:tcPr>
          <w:p>
            <w:pPr>
              <w:spacing w:after="0"/>
              <w:rPr>
                <w:sz w:val="14"/>
                <w:szCs w:val="14"/>
                <w:color w:val="auto"/>
              </w:rPr>
            </w:pPr>
          </w:p>
        </w:tc>
        <w:tc>
          <w:tcPr>
            <w:tcW w:w="38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Latvia</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180" w:type="dxa"/>
            <w:vAlign w:val="bottom"/>
          </w:tcPr>
          <w:p>
            <w:pPr>
              <w:ind w:left="20"/>
              <w:spacing w:after="0" w:line="128" w:lineRule="exact"/>
              <w:rPr>
                <w:sz w:val="20"/>
                <w:szCs w:val="20"/>
                <w:color w:val="auto"/>
              </w:rPr>
            </w:pPr>
            <w:r>
              <w:rPr>
                <w:rFonts w:ascii="Arial" w:cs="Arial" w:eastAsia="Arial" w:hAnsi="Arial"/>
                <w:sz w:val="13"/>
                <w:szCs w:val="13"/>
                <w:color w:val="auto"/>
              </w:rPr>
              <w:t>UAB RPS Lithuania</w:t>
            </w: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Upês street 21,</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LT-08128 Vilnius,</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31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auto"/>
              </w:rPr>
              <w:t>Lithuania</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9"/>
        </w:trPr>
        <w:tc>
          <w:tcPr>
            <w:tcW w:w="3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Luxembourg S.à r.l.</w:t>
            </w:r>
          </w:p>
        </w:tc>
        <w:tc>
          <w:tcPr>
            <w:tcW w:w="3880" w:type="dxa"/>
            <w:vAlign w:val="bottom"/>
            <w:shd w:val="clear" w:color="auto" w:fill="CCEEFF"/>
          </w:tcPr>
          <w:p>
            <w:pPr>
              <w:ind w:left="460"/>
              <w:spacing w:after="0" w:line="129" w:lineRule="exact"/>
              <w:rPr>
                <w:sz w:val="20"/>
                <w:szCs w:val="20"/>
                <w:color w:val="auto"/>
              </w:rPr>
            </w:pPr>
            <w:r>
              <w:rPr>
                <w:rFonts w:ascii="Arial" w:cs="Arial" w:eastAsia="Arial" w:hAnsi="Arial"/>
                <w:sz w:val="13"/>
                <w:szCs w:val="13"/>
                <w:color w:val="auto"/>
              </w:rPr>
              <w:t>61, rue de Rollingergrund</w:t>
            </w:r>
          </w:p>
        </w:tc>
        <w:tc>
          <w:tcPr>
            <w:tcW w:w="26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Holding and Investment Company</w:t>
            </w:r>
          </w:p>
        </w:tc>
        <w:tc>
          <w:tcPr>
            <w:tcW w:w="15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shd w:val="clear" w:color="auto" w:fill="CCEEFF"/>
          </w:tcPr>
          <w:p>
            <w:pPr>
              <w:spacing w:after="0"/>
              <w:rPr>
                <w:sz w:val="11"/>
                <w:szCs w:val="11"/>
                <w:color w:val="auto"/>
              </w:rPr>
            </w:pPr>
          </w:p>
        </w:tc>
        <w:tc>
          <w:tcPr>
            <w:tcW w:w="388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rPr>
              <w:t>L-2440</w:t>
            </w:r>
          </w:p>
        </w:tc>
        <w:tc>
          <w:tcPr>
            <w:tcW w:w="26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70"/>
        </w:trPr>
        <w:tc>
          <w:tcPr>
            <w:tcW w:w="3180" w:type="dxa"/>
            <w:vAlign w:val="bottom"/>
            <w:shd w:val="clear" w:color="auto" w:fill="CCEEFF"/>
          </w:tcPr>
          <w:p>
            <w:pPr>
              <w:spacing w:after="0"/>
              <w:rPr>
                <w:sz w:val="14"/>
                <w:szCs w:val="14"/>
                <w:color w:val="auto"/>
              </w:rPr>
            </w:pPr>
          </w:p>
        </w:tc>
        <w:tc>
          <w:tcPr>
            <w:tcW w:w="38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Luxembourg</w:t>
            </w:r>
          </w:p>
        </w:tc>
        <w:tc>
          <w:tcPr>
            <w:tcW w:w="26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27"/>
        </w:trPr>
        <w:tc>
          <w:tcPr>
            <w:tcW w:w="3180" w:type="dxa"/>
            <w:vAlign w:val="bottom"/>
          </w:tcPr>
          <w:p>
            <w:pPr>
              <w:ind w:left="20"/>
              <w:spacing w:after="0" w:line="128" w:lineRule="exact"/>
              <w:rPr>
                <w:sz w:val="20"/>
                <w:szCs w:val="20"/>
                <w:color w:val="auto"/>
              </w:rPr>
            </w:pPr>
            <w:r>
              <w:rPr>
                <w:rFonts w:ascii="Arial" w:cs="Arial" w:eastAsia="Arial" w:hAnsi="Arial"/>
                <w:sz w:val="13"/>
                <w:szCs w:val="13"/>
                <w:color w:val="auto"/>
              </w:rPr>
              <w:t>ICON CRO Malaysia Sdn. Bhd.</w:t>
            </w: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Level 11</w:t>
            </w:r>
          </w:p>
        </w:tc>
        <w:tc>
          <w:tcPr>
            <w:tcW w:w="2680" w:type="dxa"/>
            <w:vAlign w:val="bottom"/>
          </w:tcPr>
          <w:p>
            <w:pPr>
              <w:ind w:left="660"/>
              <w:spacing w:after="0" w:line="128"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1 Sentral</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Jalan Rakyat</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Kuala Lumpur Sentral</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50470 Kuala Lumpur</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7"/>
        </w:trPr>
        <w:tc>
          <w:tcPr>
            <w:tcW w:w="31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3"/>
                <w:szCs w:val="13"/>
                <w:color w:val="auto"/>
              </w:rPr>
              <w:t>Malaysia</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30"/>
        </w:trPr>
        <w:tc>
          <w:tcPr>
            <w:tcW w:w="3180" w:type="dxa"/>
            <w:vAlign w:val="bottom"/>
          </w:tcPr>
          <w:p>
            <w:pPr>
              <w:ind w:left="20"/>
              <w:spacing w:after="0" w:line="130" w:lineRule="exact"/>
              <w:rPr>
                <w:sz w:val="20"/>
                <w:szCs w:val="20"/>
                <w:color w:val="auto"/>
              </w:rPr>
            </w:pPr>
            <w:r>
              <w:rPr>
                <w:rFonts w:ascii="Arial" w:cs="Arial" w:eastAsia="Arial" w:hAnsi="Arial"/>
                <w:sz w:val="13"/>
                <w:szCs w:val="13"/>
                <w:color w:val="auto"/>
              </w:rPr>
              <w:t>RPS Malaysia Sdn. Bhd.</w:t>
            </w:r>
          </w:p>
        </w:tc>
        <w:tc>
          <w:tcPr>
            <w:tcW w:w="3880" w:type="dxa"/>
            <w:vAlign w:val="bottom"/>
          </w:tcPr>
          <w:p>
            <w:pPr>
              <w:ind w:left="460"/>
              <w:spacing w:after="0" w:line="130" w:lineRule="exact"/>
              <w:rPr>
                <w:sz w:val="20"/>
                <w:szCs w:val="20"/>
                <w:color w:val="auto"/>
              </w:rPr>
            </w:pPr>
            <w:r>
              <w:rPr>
                <w:rFonts w:ascii="Arial" w:cs="Arial" w:eastAsia="Arial" w:hAnsi="Arial"/>
                <w:sz w:val="13"/>
                <w:szCs w:val="13"/>
                <w:color w:val="auto"/>
              </w:rPr>
              <w:t>Level 13, Menara 1 Sentrum</w:t>
            </w:r>
          </w:p>
        </w:tc>
        <w:tc>
          <w:tcPr>
            <w:tcW w:w="2680" w:type="dxa"/>
            <w:vAlign w:val="bottom"/>
          </w:tcPr>
          <w:p>
            <w:pPr>
              <w:ind w:left="660"/>
              <w:spacing w:after="0" w:line="130" w:lineRule="exact"/>
              <w:rPr>
                <w:sz w:val="20"/>
                <w:szCs w:val="20"/>
                <w:color w:val="auto"/>
              </w:rPr>
            </w:pPr>
            <w:r>
              <w:rPr>
                <w:rFonts w:ascii="Arial" w:cs="Arial" w:eastAsia="Arial" w:hAnsi="Arial"/>
                <w:sz w:val="13"/>
                <w:szCs w:val="13"/>
                <w:color w:val="auto"/>
              </w:rPr>
              <w:t>Clinical research services</w:t>
            </w:r>
          </w:p>
        </w:tc>
        <w:tc>
          <w:tcPr>
            <w:tcW w:w="1520" w:type="dxa"/>
            <w:vAlign w:val="bottom"/>
          </w:tcPr>
          <w:p>
            <w:pPr>
              <w:ind w:left="80"/>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201, Jalan Tun Sambanthan</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7"/>
        </w:trPr>
        <w:tc>
          <w:tcPr>
            <w:tcW w:w="3180" w:type="dxa"/>
            <w:vAlign w:val="bottom"/>
          </w:tcPr>
          <w:p>
            <w:pPr>
              <w:spacing w:after="0"/>
              <w:rPr>
                <w:sz w:val="11"/>
                <w:szCs w:val="11"/>
                <w:color w:val="auto"/>
              </w:rPr>
            </w:pPr>
          </w:p>
        </w:tc>
        <w:tc>
          <w:tcPr>
            <w:tcW w:w="3880" w:type="dxa"/>
            <w:vAlign w:val="bottom"/>
          </w:tcPr>
          <w:p>
            <w:pPr>
              <w:ind w:left="460"/>
              <w:spacing w:after="0" w:line="128" w:lineRule="exact"/>
              <w:rPr>
                <w:sz w:val="20"/>
                <w:szCs w:val="20"/>
                <w:color w:val="auto"/>
              </w:rPr>
            </w:pPr>
            <w:r>
              <w:rPr>
                <w:rFonts w:ascii="Arial" w:cs="Arial" w:eastAsia="Arial" w:hAnsi="Arial"/>
                <w:sz w:val="13"/>
                <w:szCs w:val="13"/>
                <w:color w:val="auto"/>
              </w:rPr>
              <w:t>Brickfields</w:t>
            </w: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39"/>
        </w:trPr>
        <w:tc>
          <w:tcPr>
            <w:tcW w:w="3180" w:type="dxa"/>
            <w:vAlign w:val="bottom"/>
          </w:tcPr>
          <w:p>
            <w:pPr>
              <w:spacing w:after="0"/>
              <w:rPr>
                <w:sz w:val="12"/>
                <w:szCs w:val="12"/>
                <w:color w:val="auto"/>
              </w:rPr>
            </w:pPr>
          </w:p>
        </w:tc>
        <w:tc>
          <w:tcPr>
            <w:tcW w:w="3880" w:type="dxa"/>
            <w:vAlign w:val="bottom"/>
          </w:tcPr>
          <w:p>
            <w:pPr>
              <w:ind w:left="460"/>
              <w:spacing w:after="0" w:line="139" w:lineRule="exact"/>
              <w:rPr>
                <w:sz w:val="20"/>
                <w:szCs w:val="20"/>
                <w:color w:val="auto"/>
              </w:rPr>
            </w:pPr>
            <w:r>
              <w:rPr>
                <w:rFonts w:ascii="Arial" w:cs="Arial" w:eastAsia="Arial" w:hAnsi="Arial"/>
                <w:sz w:val="13"/>
                <w:szCs w:val="13"/>
                <w:color w:val="auto"/>
              </w:rPr>
              <w:t>50470 Kuala Lumpur</w:t>
            </w:r>
          </w:p>
        </w:tc>
        <w:tc>
          <w:tcPr>
            <w:tcW w:w="2680" w:type="dxa"/>
            <w:vAlign w:val="bottom"/>
          </w:tcPr>
          <w:p>
            <w:pPr>
              <w:spacing w:after="0"/>
              <w:rPr>
                <w:sz w:val="12"/>
                <w:szCs w:val="12"/>
                <w:color w:val="auto"/>
              </w:rPr>
            </w:pPr>
          </w:p>
        </w:tc>
        <w:tc>
          <w:tcPr>
            <w:tcW w:w="15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48195" cy="511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511810"/>
                    </a:xfrm>
                    <a:prstGeom prst="rect">
                      <a:avLst/>
                    </a:prstGeom>
                    <a:noFill/>
                  </pic:spPr>
                </pic:pic>
              </a:graphicData>
            </a:graphic>
          </wp:anchor>
        </w:drawing>
      </w:r>
    </w:p>
    <w:p>
      <w:pPr>
        <w:ind w:left="3640"/>
        <w:spacing w:after="0" w:line="204" w:lineRule="auto"/>
        <w:rPr>
          <w:sz w:val="20"/>
          <w:szCs w:val="20"/>
          <w:color w:val="auto"/>
        </w:rPr>
      </w:pPr>
      <w:r>
        <w:rPr>
          <w:rFonts w:ascii="Arial" w:cs="Arial" w:eastAsia="Arial" w:hAnsi="Arial"/>
          <w:sz w:val="13"/>
          <w:szCs w:val="13"/>
          <w:color w:val="auto"/>
        </w:rPr>
        <w:t>Wilayah Persekutuan</w:t>
      </w:r>
    </w:p>
    <w:p>
      <w:pPr>
        <w:ind w:left="3640"/>
        <w:spacing w:after="0"/>
        <w:rPr>
          <w:sz w:val="20"/>
          <w:szCs w:val="20"/>
          <w:color w:val="auto"/>
        </w:rPr>
      </w:pPr>
      <w:r>
        <w:rPr>
          <w:rFonts w:ascii="Arial" w:cs="Arial" w:eastAsia="Arial" w:hAnsi="Arial"/>
          <w:sz w:val="13"/>
          <w:szCs w:val="13"/>
          <w:color w:val="auto"/>
        </w:rPr>
        <w:t>Malaysia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127</w:t>
      </w:r>
    </w:p>
    <w:p>
      <w:pPr>
        <w:sectPr>
          <w:pgSz w:w="11900" w:h="16838" w:orient="portrait"/>
          <w:cols w:equalWidth="0" w:num="1">
            <w:col w:w="11260"/>
          </w:cols>
          <w:pgMar w:left="300" w:top="698"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0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19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58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58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México, S.A. de C.V.</w:t>
            </w:r>
          </w:p>
        </w:tc>
        <w:tc>
          <w:tcPr>
            <w:tcW w:w="4020" w:type="dxa"/>
            <w:vAlign w:val="bottom"/>
          </w:tcPr>
          <w:p>
            <w:pPr>
              <w:ind w:left="60"/>
              <w:spacing w:after="0" w:line="118" w:lineRule="exact"/>
              <w:rPr>
                <w:sz w:val="20"/>
                <w:szCs w:val="20"/>
                <w:color w:val="auto"/>
              </w:rPr>
            </w:pPr>
            <w:r>
              <w:rPr>
                <w:rFonts w:ascii="Arial" w:cs="Arial" w:eastAsia="Arial" w:hAnsi="Arial"/>
                <w:sz w:val="13"/>
                <w:szCs w:val="13"/>
                <w:color w:val="auto"/>
              </w:rPr>
              <w:t>Avenida Insurgentes Sur 1271, Piso 17, Interior 1701, Colonia</w:t>
            </w:r>
          </w:p>
        </w:tc>
        <w:tc>
          <w:tcPr>
            <w:tcW w:w="1900" w:type="dxa"/>
            <w:vAlign w:val="bottom"/>
          </w:tcPr>
          <w:p>
            <w:pPr>
              <w:ind w:left="12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68"/>
        </w:trPr>
        <w:tc>
          <w:tcPr>
            <w:tcW w:w="358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3"/>
                <w:szCs w:val="13"/>
                <w:color w:val="auto"/>
              </w:rPr>
              <w:t>Extremadura Insurgentes, Benito Juarez, CDMX, CP 03740, Mexico</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Pharmaceutical Research Associates Mexico S. de R.L. de C.</w:t>
            </w:r>
          </w:p>
        </w:tc>
        <w:tc>
          <w:tcPr>
            <w:tcW w:w="4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Avenida Insurgentes Sur 1271</w:t>
            </w:r>
          </w:p>
        </w:tc>
        <w:tc>
          <w:tcPr>
            <w:tcW w:w="19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V.</w:t>
            </w: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Piso 16</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Interior 1601</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Colonia Extremadura Insurgentes</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CP 03740</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Benito Juarez</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CDMX</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Mexico</w:t>
            </w:r>
          </w:p>
        </w:tc>
        <w:tc>
          <w:tcPr>
            <w:tcW w:w="19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RPS Research México, S. de R.L. de C.V.</w:t>
            </w: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Avenida Insurgentes Sur 1271, Piso 17, Interior 1701, Colonia</w:t>
            </w:r>
          </w:p>
        </w:tc>
        <w:tc>
          <w:tcPr>
            <w:tcW w:w="1900" w:type="dxa"/>
            <w:vAlign w:val="bottom"/>
          </w:tcPr>
          <w:p>
            <w:pPr>
              <w:ind w:left="12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58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3"/>
                <w:szCs w:val="13"/>
                <w:color w:val="auto"/>
              </w:rPr>
              <w:t>Extremadura Insurgentes, Benito Juarez, CDMX, CP 03740, Mexico</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Servicios, S. de R.L. de C.V.</w:t>
            </w:r>
          </w:p>
        </w:tc>
        <w:tc>
          <w:tcPr>
            <w:tcW w:w="4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Avenida Insurgentes Sur 1271, Piso 17, Interior 1701, Colonia</w:t>
            </w:r>
          </w:p>
        </w:tc>
        <w:tc>
          <w:tcPr>
            <w:tcW w:w="19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580" w:type="dxa"/>
            <w:vAlign w:val="bottom"/>
            <w:shd w:val="clear" w:color="auto" w:fill="CCEEFF"/>
          </w:tcPr>
          <w:p>
            <w:pPr>
              <w:spacing w:after="0"/>
              <w:rPr>
                <w:sz w:val="14"/>
                <w:szCs w:val="14"/>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Extremadura Insurgentes, Benito Juarez, CDMX, CP 03740, Mexico</w:t>
            </w:r>
          </w:p>
        </w:tc>
        <w:tc>
          <w:tcPr>
            <w:tcW w:w="19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B.V.</w:t>
            </w: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Van Swietenlaan 6</w:t>
            </w:r>
          </w:p>
        </w:tc>
        <w:tc>
          <w:tcPr>
            <w:tcW w:w="190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9728 NZ, Groningen</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3"/>
                <w:szCs w:val="13"/>
                <w:color w:val="auto"/>
              </w:rPr>
              <w:t>The Netherlands</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Group B.V.</w:t>
            </w:r>
          </w:p>
        </w:tc>
        <w:tc>
          <w:tcPr>
            <w:tcW w:w="4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Van Swietenlaan 6</w:t>
            </w:r>
          </w:p>
        </w:tc>
        <w:tc>
          <w:tcPr>
            <w:tcW w:w="19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9728 NZ, Groningen</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The Netherlands</w:t>
            </w:r>
          </w:p>
        </w:tc>
        <w:tc>
          <w:tcPr>
            <w:tcW w:w="19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PRA International Operations B.V.</w:t>
            </w: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Van Swietenlaan 6</w:t>
            </w:r>
          </w:p>
        </w:tc>
        <w:tc>
          <w:tcPr>
            <w:tcW w:w="190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9728 NZ, Groningen</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3"/>
                <w:szCs w:val="13"/>
                <w:color w:val="auto"/>
              </w:rPr>
              <w:t>The Netherlands</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Netherlands B.V.</w:t>
            </w:r>
          </w:p>
        </w:tc>
        <w:tc>
          <w:tcPr>
            <w:tcW w:w="4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Eduard van Beinumstraat 28,</w:t>
            </w:r>
          </w:p>
        </w:tc>
        <w:tc>
          <w:tcPr>
            <w:tcW w:w="19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2 Amsterdam Tower, 12e verdieping, 1077CZ</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Amsterdam, The Netherlands</w:t>
            </w:r>
          </w:p>
        </w:tc>
        <w:tc>
          <w:tcPr>
            <w:tcW w:w="19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(New Zealand) Limited</w:t>
            </w: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Anthony Harper</w:t>
            </w:r>
          </w:p>
        </w:tc>
        <w:tc>
          <w:tcPr>
            <w:tcW w:w="190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Level 9, Anthony Harper Tower</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62 Worcester Boulevard</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Christchurch</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8140 NZ</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3"/>
                <w:szCs w:val="13"/>
                <w:color w:val="auto"/>
              </w:rPr>
              <w:t>New Zealand</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New Zealand Limited</w:t>
            </w:r>
          </w:p>
        </w:tc>
        <w:tc>
          <w:tcPr>
            <w:tcW w:w="4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Anthony Harper</w:t>
            </w:r>
          </w:p>
        </w:tc>
        <w:tc>
          <w:tcPr>
            <w:tcW w:w="19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Level 9, Anthony Harper Tower</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62 Worcester Boulevard</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Christchurch</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8140 NZ</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New Zealand</w:t>
            </w:r>
          </w:p>
        </w:tc>
        <w:tc>
          <w:tcPr>
            <w:tcW w:w="19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RPS Research Norway AS</w:t>
            </w: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c/o EconPartner AS</w:t>
            </w:r>
          </w:p>
        </w:tc>
        <w:tc>
          <w:tcPr>
            <w:tcW w:w="190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Dronning Mauds gate 15</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3"/>
                <w:szCs w:val="13"/>
                <w:color w:val="auto"/>
              </w:rPr>
              <w:t>0250 Oslo, Norway</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Panama Inc.</w:t>
            </w:r>
          </w:p>
        </w:tc>
        <w:tc>
          <w:tcPr>
            <w:tcW w:w="4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Urbanización Nuevo Reparto el Carmen No. 58</w:t>
            </w:r>
          </w:p>
        </w:tc>
        <w:tc>
          <w:tcPr>
            <w:tcW w:w="19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Calle Primera, Edificio Moreno &amp; Moreno. Local Planta Baja,</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Distrito de Panamá, Panamá</w:t>
            </w:r>
          </w:p>
        </w:tc>
        <w:tc>
          <w:tcPr>
            <w:tcW w:w="19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8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Perú S.A.</w:t>
            </w: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Av. Paseo de la República 5895</w:t>
            </w:r>
          </w:p>
        </w:tc>
        <w:tc>
          <w:tcPr>
            <w:tcW w:w="190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Oficina 606</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Miraflores</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80" w:type="dxa"/>
            <w:vAlign w:val="bottom"/>
          </w:tcPr>
          <w:p>
            <w:pPr>
              <w:spacing w:after="0"/>
              <w:rPr>
                <w:sz w:val="11"/>
                <w:szCs w:val="11"/>
                <w:color w:val="auto"/>
              </w:rPr>
            </w:pPr>
          </w:p>
        </w:tc>
        <w:tc>
          <w:tcPr>
            <w:tcW w:w="4020" w:type="dxa"/>
            <w:vAlign w:val="bottom"/>
          </w:tcPr>
          <w:p>
            <w:pPr>
              <w:ind w:left="60"/>
              <w:spacing w:after="0" w:line="128" w:lineRule="exact"/>
              <w:rPr>
                <w:sz w:val="20"/>
                <w:szCs w:val="20"/>
                <w:color w:val="auto"/>
              </w:rPr>
            </w:pPr>
            <w:r>
              <w:rPr>
                <w:rFonts w:ascii="Arial" w:cs="Arial" w:eastAsia="Arial" w:hAnsi="Arial"/>
                <w:sz w:val="13"/>
                <w:szCs w:val="13"/>
                <w:color w:val="auto"/>
              </w:rPr>
              <w:t>Lima 18</w:t>
            </w:r>
          </w:p>
        </w:tc>
        <w:tc>
          <w:tcPr>
            <w:tcW w:w="19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8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3"/>
                <w:szCs w:val="13"/>
                <w:color w:val="auto"/>
              </w:rPr>
              <w:t>Perú</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Perú S.A.C.</w:t>
            </w:r>
          </w:p>
        </w:tc>
        <w:tc>
          <w:tcPr>
            <w:tcW w:w="4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Av. Paseo de la República 5895</w:t>
            </w:r>
          </w:p>
        </w:tc>
        <w:tc>
          <w:tcPr>
            <w:tcW w:w="19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Oficina 606</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Miraflores</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80" w:type="dxa"/>
            <w:vAlign w:val="bottom"/>
            <w:shd w:val="clear" w:color="auto" w:fill="CCEEFF"/>
          </w:tcPr>
          <w:p>
            <w:pPr>
              <w:spacing w:after="0"/>
              <w:rPr>
                <w:sz w:val="11"/>
                <w:szCs w:val="11"/>
                <w:color w:val="auto"/>
              </w:rPr>
            </w:pPr>
          </w:p>
        </w:tc>
        <w:tc>
          <w:tcPr>
            <w:tcW w:w="402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Lima 18</w:t>
            </w:r>
          </w:p>
        </w:tc>
        <w:tc>
          <w:tcPr>
            <w:tcW w:w="19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80" w:type="dxa"/>
            <w:vAlign w:val="bottom"/>
            <w:shd w:val="clear" w:color="auto" w:fill="CCEEFF"/>
          </w:tcPr>
          <w:p>
            <w:pPr>
              <w:spacing w:after="0"/>
              <w:rPr>
                <w:sz w:val="14"/>
                <w:szCs w:val="14"/>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Perú</w:t>
            </w:r>
          </w:p>
        </w:tc>
        <w:tc>
          <w:tcPr>
            <w:tcW w:w="19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3580" w:type="dxa"/>
            <w:vAlign w:val="bottom"/>
          </w:tcPr>
          <w:p>
            <w:pPr>
              <w:spacing w:after="0"/>
              <w:rPr>
                <w:sz w:val="24"/>
                <w:szCs w:val="24"/>
                <w:color w:val="auto"/>
              </w:rPr>
            </w:pPr>
          </w:p>
        </w:tc>
        <w:tc>
          <w:tcPr>
            <w:tcW w:w="4020" w:type="dxa"/>
            <w:vAlign w:val="bottom"/>
          </w:tcPr>
          <w:p>
            <w:pPr>
              <w:ind w:left="1960"/>
              <w:spacing w:after="0"/>
              <w:rPr>
                <w:sz w:val="20"/>
                <w:szCs w:val="20"/>
                <w:color w:val="auto"/>
              </w:rPr>
            </w:pPr>
            <w:r>
              <w:rPr>
                <w:rFonts w:ascii="Arial" w:cs="Arial" w:eastAsia="Arial" w:hAnsi="Arial"/>
                <w:sz w:val="13"/>
                <w:szCs w:val="13"/>
                <w:color w:val="auto"/>
              </w:rPr>
              <w:t>128</w:t>
            </w:r>
          </w:p>
        </w:tc>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1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0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360" w:type="dxa"/>
            <w:vAlign w:val="bottom"/>
            <w:tcBorders>
              <w:bottom w:val="single" w:sz="8" w:color="auto"/>
            </w:tcBorders>
            <w:shd w:val="clear" w:color="auto" w:fill="CCEEFF"/>
          </w:tcPr>
          <w:p>
            <w:pPr>
              <w:spacing w:after="0"/>
              <w:rPr>
                <w:sz w:val="14"/>
                <w:szCs w:val="14"/>
                <w:color w:val="auto"/>
              </w:rPr>
            </w:pPr>
          </w:p>
        </w:tc>
        <w:tc>
          <w:tcPr>
            <w:tcW w:w="41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36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Services Philippines, Inc.</w:t>
            </w:r>
          </w:p>
        </w:tc>
        <w:tc>
          <w:tcPr>
            <w:tcW w:w="4100" w:type="dxa"/>
            <w:vAlign w:val="bottom"/>
          </w:tcPr>
          <w:p>
            <w:pPr>
              <w:ind w:left="280"/>
              <w:spacing w:after="0" w:line="118" w:lineRule="exact"/>
              <w:rPr>
                <w:sz w:val="20"/>
                <w:szCs w:val="20"/>
                <w:color w:val="auto"/>
              </w:rPr>
            </w:pPr>
            <w:r>
              <w:rPr>
                <w:rFonts w:ascii="Arial" w:cs="Arial" w:eastAsia="Arial" w:hAnsi="Arial"/>
                <w:sz w:val="13"/>
                <w:szCs w:val="13"/>
                <w:color w:val="auto"/>
              </w:rPr>
              <w:t>24th Floor Salcedo Towers,</w:t>
            </w:r>
          </w:p>
        </w:tc>
        <w:tc>
          <w:tcPr>
            <w:tcW w:w="2040" w:type="dxa"/>
            <w:vAlign w:val="bottom"/>
          </w:tcPr>
          <w:p>
            <w:pPr>
              <w:ind w:left="26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169 H.V. Dela Costa Street,</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Salcedo Village,</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Makati City,</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3"/>
                <w:szCs w:val="13"/>
                <w:color w:val="auto"/>
              </w:rPr>
              <w:t>Philippines 1227</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Philippines, Inc.</w:t>
            </w:r>
          </w:p>
        </w:tc>
        <w:tc>
          <w:tcPr>
            <w:tcW w:w="410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24th Floor Salcedo Towers,</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169 H.V. Dela Costa Street,</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Salcedo Village,</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Makati City,</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Philippines 1227</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Curandus Sp z o.o.</w:t>
            </w:r>
          </w:p>
        </w:tc>
        <w:tc>
          <w:tcPr>
            <w:tcW w:w="4100" w:type="dxa"/>
            <w:vAlign w:val="bottom"/>
          </w:tcPr>
          <w:p>
            <w:pPr>
              <w:ind w:left="280"/>
              <w:spacing w:after="0"/>
              <w:rPr>
                <w:sz w:val="20"/>
                <w:szCs w:val="20"/>
                <w:color w:val="auto"/>
              </w:rPr>
            </w:pPr>
            <w:r>
              <w:rPr>
                <w:rFonts w:ascii="Arial" w:cs="Arial" w:eastAsia="Arial" w:hAnsi="Arial"/>
                <w:sz w:val="13"/>
                <w:szCs w:val="13"/>
                <w:color w:val="auto"/>
              </w:rPr>
              <w:t>ul. Prosta 68, 00-838 Warszawa, Poland</w:t>
            </w:r>
          </w:p>
        </w:tc>
        <w:tc>
          <w:tcPr>
            <w:tcW w:w="2040" w:type="dxa"/>
            <w:vAlign w:val="bottom"/>
          </w:tcPr>
          <w:p>
            <w:pPr>
              <w:ind w:left="260"/>
              <w:spacing w:after="0"/>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rPr>
                <w:sz w:val="20"/>
                <w:szCs w:val="20"/>
                <w:color w:val="auto"/>
              </w:rPr>
            </w:pPr>
            <w:r>
              <w:rPr>
                <w:rFonts w:ascii="Arial" w:cs="Arial" w:eastAsia="Arial" w:hAnsi="Arial"/>
                <w:sz w:val="13"/>
                <w:szCs w:val="13"/>
                <w:color w:val="auto"/>
              </w:rPr>
              <w:t>100%</w:t>
            </w: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Poland Sp z o.o.</w:t>
            </w:r>
          </w:p>
        </w:tc>
        <w:tc>
          <w:tcPr>
            <w:tcW w:w="410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Proximo 1</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ul. Prosta 68</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Warsaw</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Poland</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KCR Placement Sp z o.o.</w:t>
            </w:r>
          </w:p>
        </w:tc>
        <w:tc>
          <w:tcPr>
            <w:tcW w:w="4100" w:type="dxa"/>
            <w:vAlign w:val="bottom"/>
          </w:tcPr>
          <w:p>
            <w:pPr>
              <w:ind w:left="280"/>
              <w:spacing w:after="0"/>
              <w:rPr>
                <w:sz w:val="20"/>
                <w:szCs w:val="20"/>
                <w:color w:val="auto"/>
              </w:rPr>
            </w:pPr>
            <w:r>
              <w:rPr>
                <w:rFonts w:ascii="Arial" w:cs="Arial" w:eastAsia="Arial" w:hAnsi="Arial"/>
                <w:sz w:val="13"/>
                <w:szCs w:val="13"/>
                <w:color w:val="auto"/>
              </w:rPr>
              <w:t>ul. Prosta 68, 00-838 Warszawa, Poland</w:t>
            </w:r>
          </w:p>
        </w:tc>
        <w:tc>
          <w:tcPr>
            <w:tcW w:w="2040" w:type="dxa"/>
            <w:vAlign w:val="bottom"/>
          </w:tcPr>
          <w:p>
            <w:pPr>
              <w:ind w:left="260"/>
              <w:spacing w:after="0"/>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rPr>
                <w:sz w:val="20"/>
                <w:szCs w:val="20"/>
                <w:color w:val="auto"/>
              </w:rPr>
            </w:pPr>
            <w:r>
              <w:rPr>
                <w:rFonts w:ascii="Arial" w:cs="Arial" w:eastAsia="Arial" w:hAnsi="Arial"/>
                <w:sz w:val="13"/>
                <w:szCs w:val="13"/>
                <w:color w:val="auto"/>
              </w:rPr>
              <w:t>100%</w:t>
            </w: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KCR S.A.</w:t>
            </w:r>
          </w:p>
        </w:tc>
        <w:tc>
          <w:tcPr>
            <w:tcW w:w="4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ul. Prosta 68, 00-838 Warszawa, Poland</w:t>
            </w:r>
          </w:p>
        </w:tc>
        <w:tc>
          <w:tcPr>
            <w:tcW w:w="2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Sp. z o.o.</w:t>
            </w: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Proximo 1</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ul. Prosta 68</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Warsaw</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3"/>
                <w:szCs w:val="13"/>
                <w:color w:val="auto"/>
              </w:rPr>
              <w:t>Poland</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Symphony Clinical Research Sp z.o.o.</w:t>
            </w:r>
          </w:p>
        </w:tc>
        <w:tc>
          <w:tcPr>
            <w:tcW w:w="410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ul. Potokowa 26</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80-283</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Gdansk</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Poland</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PRA International Portugal, Unipessoal, Lda.</w:t>
            </w: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Av. da Republica, 50-10</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1069-211,</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Lisboa,</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3"/>
                <w:szCs w:val="13"/>
                <w:color w:val="auto"/>
              </w:rPr>
              <w:t>Portugal</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Puerto Rico, Inc.</w:t>
            </w:r>
          </w:p>
        </w:tc>
        <w:tc>
          <w:tcPr>
            <w:tcW w:w="410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257 Calle Tetuan</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2nd Floor</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San Juan</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00901</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Puerto Rico</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S.R.L.</w:t>
            </w: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8th Floor,</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246c Caleca Floresca, Sector 1,</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Bucharest 14476</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3"/>
                <w:szCs w:val="13"/>
                <w:color w:val="auto"/>
              </w:rPr>
              <w:t>Romania</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Romania S.R.L.</w:t>
            </w:r>
          </w:p>
        </w:tc>
        <w:tc>
          <w:tcPr>
            <w:tcW w:w="410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8th Floor, Sky Tower</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246c Caleca Floresca</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Bucharest 14476</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Romania</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(Rus) LLC</w:t>
            </w: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Premises 2/4, 9 Zemlyanoy Val,</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Moscow, 105064,</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3"/>
                <w:szCs w:val="13"/>
                <w:color w:val="auto"/>
              </w:rPr>
              <w:t>Russian Federation</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Joint Stock Company IMP Logistics</w:t>
            </w:r>
          </w:p>
        </w:tc>
        <w:tc>
          <w:tcPr>
            <w:tcW w:w="410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8, Energetikov str, v. Lesnoy Gorodok Odintsovsky city disctrict</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360" w:type="dxa"/>
            <w:vAlign w:val="bottom"/>
            <w:shd w:val="clear" w:color="auto" w:fill="CCEEFF"/>
          </w:tcPr>
          <w:p>
            <w:pPr>
              <w:spacing w:after="0"/>
              <w:rPr>
                <w:sz w:val="14"/>
                <w:szCs w:val="14"/>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Moscow region Russia 143080</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KCR LLC</w:t>
            </w: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Premises 2/4, 9 Zemlyanoy Val,</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Moscow, 105064,</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6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3"/>
                <w:szCs w:val="13"/>
                <w:color w:val="auto"/>
              </w:rPr>
              <w:t>Russian Federation</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doo Beograd</w:t>
            </w:r>
          </w:p>
        </w:tc>
        <w:tc>
          <w:tcPr>
            <w:tcW w:w="410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4th Floor,</w:t>
            </w:r>
          </w:p>
        </w:tc>
        <w:tc>
          <w:tcPr>
            <w:tcW w:w="20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Bulevar Zorana Djindjica 64a,</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41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11070 Belgrade,</w:t>
            </w: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60" w:type="dxa"/>
            <w:vAlign w:val="bottom"/>
            <w:shd w:val="clear" w:color="auto" w:fill="CCEEFF"/>
          </w:tcPr>
          <w:p>
            <w:pPr>
              <w:spacing w:after="0"/>
              <w:rPr>
                <w:sz w:val="14"/>
                <w:szCs w:val="14"/>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Serbia</w:t>
            </w:r>
          </w:p>
        </w:tc>
        <w:tc>
          <w:tcPr>
            <w:tcW w:w="2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doo Beograd</w:t>
            </w: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4th Floor,</w:t>
            </w:r>
          </w:p>
        </w:tc>
        <w:tc>
          <w:tcPr>
            <w:tcW w:w="2040" w:type="dxa"/>
            <w:vAlign w:val="bottom"/>
          </w:tcPr>
          <w:p>
            <w:pPr>
              <w:ind w:left="26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Bulevar Zorana Djindjica 64a,</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4100" w:type="dxa"/>
            <w:vAlign w:val="bottom"/>
          </w:tcPr>
          <w:p>
            <w:pPr>
              <w:ind w:left="280"/>
              <w:spacing w:after="0" w:line="128" w:lineRule="exact"/>
              <w:rPr>
                <w:sz w:val="20"/>
                <w:szCs w:val="20"/>
                <w:color w:val="auto"/>
              </w:rPr>
            </w:pPr>
            <w:r>
              <w:rPr>
                <w:rFonts w:ascii="Arial" w:cs="Arial" w:eastAsia="Arial" w:hAnsi="Arial"/>
                <w:sz w:val="13"/>
                <w:szCs w:val="13"/>
                <w:color w:val="auto"/>
              </w:rPr>
              <w:t>11070 Belgrade,</w:t>
            </w:r>
          </w:p>
        </w:tc>
        <w:tc>
          <w:tcPr>
            <w:tcW w:w="20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36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3"/>
                <w:szCs w:val="13"/>
                <w:color w:val="auto"/>
              </w:rPr>
              <w:t>Serbia</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84"/>
        </w:trPr>
        <w:tc>
          <w:tcPr>
            <w:tcW w:w="3360" w:type="dxa"/>
            <w:vAlign w:val="bottom"/>
          </w:tcPr>
          <w:p>
            <w:pPr>
              <w:spacing w:after="0"/>
              <w:rPr>
                <w:sz w:val="24"/>
                <w:szCs w:val="24"/>
                <w:color w:val="auto"/>
              </w:rPr>
            </w:pPr>
          </w:p>
        </w:tc>
        <w:tc>
          <w:tcPr>
            <w:tcW w:w="4100" w:type="dxa"/>
            <w:vAlign w:val="bottom"/>
          </w:tcPr>
          <w:p>
            <w:pPr>
              <w:ind w:left="2180"/>
              <w:spacing w:after="0"/>
              <w:rPr>
                <w:sz w:val="20"/>
                <w:szCs w:val="20"/>
                <w:color w:val="auto"/>
              </w:rPr>
            </w:pPr>
            <w:r>
              <w:rPr>
                <w:rFonts w:ascii="Arial" w:cs="Arial" w:eastAsia="Arial" w:hAnsi="Arial"/>
                <w:sz w:val="13"/>
                <w:szCs w:val="13"/>
                <w:color w:val="auto"/>
              </w:rPr>
              <w:t>129</w:t>
            </w: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7"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42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260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80" w:type="dxa"/>
            <w:vAlign w:val="bottom"/>
            <w:tcBorders>
              <w:bottom w:val="single" w:sz="8" w:color="auto"/>
            </w:tcBorders>
            <w:shd w:val="clear" w:color="auto" w:fill="CCEEFF"/>
          </w:tcPr>
          <w:p>
            <w:pPr>
              <w:spacing w:after="0"/>
              <w:rPr>
                <w:sz w:val="14"/>
                <w:szCs w:val="14"/>
                <w:color w:val="auto"/>
              </w:rPr>
            </w:pPr>
          </w:p>
        </w:tc>
        <w:tc>
          <w:tcPr>
            <w:tcW w:w="3420" w:type="dxa"/>
            <w:vAlign w:val="bottom"/>
            <w:tcBorders>
              <w:bottom w:val="single" w:sz="8" w:color="auto"/>
            </w:tcBorders>
            <w:shd w:val="clear" w:color="auto" w:fill="CCEEFF"/>
          </w:tcPr>
          <w:p>
            <w:pPr>
              <w:spacing w:after="0"/>
              <w:rPr>
                <w:sz w:val="14"/>
                <w:szCs w:val="14"/>
                <w:color w:val="auto"/>
              </w:rPr>
            </w:pPr>
          </w:p>
        </w:tc>
        <w:tc>
          <w:tcPr>
            <w:tcW w:w="260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8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(Pte) Limited</w:t>
            </w:r>
          </w:p>
        </w:tc>
        <w:tc>
          <w:tcPr>
            <w:tcW w:w="3420" w:type="dxa"/>
            <w:vAlign w:val="bottom"/>
          </w:tcPr>
          <w:p>
            <w:pPr>
              <w:ind w:left="160"/>
              <w:spacing w:after="0" w:line="118" w:lineRule="exact"/>
              <w:rPr>
                <w:sz w:val="20"/>
                <w:szCs w:val="20"/>
                <w:color w:val="auto"/>
              </w:rPr>
            </w:pPr>
            <w:r>
              <w:rPr>
                <w:rFonts w:ascii="Arial" w:cs="Arial" w:eastAsia="Arial" w:hAnsi="Arial"/>
                <w:sz w:val="13"/>
                <w:szCs w:val="13"/>
                <w:color w:val="auto"/>
              </w:rPr>
              <w:t>30 Loyang Way</w:t>
            </w:r>
          </w:p>
        </w:tc>
        <w:tc>
          <w:tcPr>
            <w:tcW w:w="2600" w:type="dxa"/>
            <w:vAlign w:val="bottom"/>
          </w:tcPr>
          <w:p>
            <w:pPr>
              <w:ind w:left="82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#02/12</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Loyang Industrial Estate</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508769</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420" w:type="dxa"/>
            <w:vAlign w:val="bottom"/>
          </w:tcPr>
          <w:p>
            <w:pPr>
              <w:ind w:left="160"/>
              <w:spacing w:after="0"/>
              <w:rPr>
                <w:sz w:val="20"/>
                <w:szCs w:val="20"/>
                <w:color w:val="auto"/>
              </w:rPr>
            </w:pPr>
            <w:r>
              <w:rPr>
                <w:rFonts w:ascii="Arial" w:cs="Arial" w:eastAsia="Arial" w:hAnsi="Arial"/>
                <w:sz w:val="13"/>
                <w:szCs w:val="13"/>
                <w:color w:val="auto"/>
              </w:rPr>
              <w:t>Singapore</w:t>
            </w:r>
          </w:p>
        </w:tc>
        <w:tc>
          <w:tcPr>
            <w:tcW w:w="26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Mapi Life Sciences Singapore Pte. Ltd.</w:t>
            </w:r>
          </w:p>
        </w:tc>
        <w:tc>
          <w:tcPr>
            <w:tcW w:w="342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30 Loyang Way</w:t>
            </w:r>
          </w:p>
        </w:tc>
        <w:tc>
          <w:tcPr>
            <w:tcW w:w="260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Dormant</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#02/12</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Loyang Industrial Estate</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508769</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Singapore</w:t>
            </w:r>
          </w:p>
        </w:tc>
        <w:tc>
          <w:tcPr>
            <w:tcW w:w="26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Singapore Pte. Ltd.</w:t>
            </w: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30 Loyang Way</w:t>
            </w:r>
          </w:p>
        </w:tc>
        <w:tc>
          <w:tcPr>
            <w:tcW w:w="2600" w:type="dxa"/>
            <w:vAlign w:val="bottom"/>
          </w:tcPr>
          <w:p>
            <w:pPr>
              <w:ind w:left="8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#02/12</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Loyang Industrial Estate</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508769</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420" w:type="dxa"/>
            <w:vAlign w:val="bottom"/>
          </w:tcPr>
          <w:p>
            <w:pPr>
              <w:ind w:left="160"/>
              <w:spacing w:after="0"/>
              <w:rPr>
                <w:sz w:val="20"/>
                <w:szCs w:val="20"/>
                <w:color w:val="auto"/>
              </w:rPr>
            </w:pPr>
            <w:r>
              <w:rPr>
                <w:rFonts w:ascii="Arial" w:cs="Arial" w:eastAsia="Arial" w:hAnsi="Arial"/>
                <w:sz w:val="13"/>
                <w:szCs w:val="13"/>
                <w:color w:val="auto"/>
              </w:rPr>
              <w:t>Singapore</w:t>
            </w:r>
          </w:p>
        </w:tc>
        <w:tc>
          <w:tcPr>
            <w:tcW w:w="26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Slovakia, s.r.o.</w:t>
            </w:r>
          </w:p>
        </w:tc>
        <w:tc>
          <w:tcPr>
            <w:tcW w:w="342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Karadžičova 2 Bratislava -Old Town District</w:t>
            </w:r>
          </w:p>
        </w:tc>
        <w:tc>
          <w:tcPr>
            <w:tcW w:w="260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Slovenská republika, 81109,</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Slovakia</w:t>
            </w:r>
          </w:p>
        </w:tc>
        <w:tc>
          <w:tcPr>
            <w:tcW w:w="26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KCR s.r.o.</w:t>
            </w: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Jégého 8</w:t>
            </w:r>
          </w:p>
        </w:tc>
        <w:tc>
          <w:tcPr>
            <w:tcW w:w="2600" w:type="dxa"/>
            <w:vAlign w:val="bottom"/>
          </w:tcPr>
          <w:p>
            <w:pPr>
              <w:ind w:left="8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Bratislava 821 08</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420" w:type="dxa"/>
            <w:vAlign w:val="bottom"/>
          </w:tcPr>
          <w:p>
            <w:pPr>
              <w:ind w:left="160"/>
              <w:spacing w:after="0"/>
              <w:rPr>
                <w:sz w:val="20"/>
                <w:szCs w:val="20"/>
                <w:color w:val="auto"/>
              </w:rPr>
            </w:pPr>
            <w:r>
              <w:rPr>
                <w:rFonts w:ascii="Arial" w:cs="Arial" w:eastAsia="Arial" w:hAnsi="Arial"/>
                <w:sz w:val="13"/>
                <w:szCs w:val="13"/>
                <w:color w:val="auto"/>
              </w:rPr>
              <w:t>Slovakia</w:t>
            </w:r>
          </w:p>
        </w:tc>
        <w:tc>
          <w:tcPr>
            <w:tcW w:w="26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SK s.r.o.</w:t>
            </w:r>
          </w:p>
        </w:tc>
        <w:tc>
          <w:tcPr>
            <w:tcW w:w="342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Karadžičova 2 Bratislava -Old Town District</w:t>
            </w:r>
          </w:p>
        </w:tc>
        <w:tc>
          <w:tcPr>
            <w:tcW w:w="260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Slovenská republika, 81109,</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Slovakia</w:t>
            </w:r>
          </w:p>
        </w:tc>
        <w:tc>
          <w:tcPr>
            <w:tcW w:w="26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Accellacare South Africa (PTY) LTD</w:t>
            </w: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Block 29 Second Floor</w:t>
            </w:r>
          </w:p>
        </w:tc>
        <w:tc>
          <w:tcPr>
            <w:tcW w:w="2600" w:type="dxa"/>
            <w:vAlign w:val="bottom"/>
          </w:tcPr>
          <w:p>
            <w:pPr>
              <w:ind w:left="8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The Highlands Estate</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The Woodlands</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Woodlands Drive</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Woodmead, Gauteng</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2191</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Johannesburg</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420" w:type="dxa"/>
            <w:vAlign w:val="bottom"/>
          </w:tcPr>
          <w:p>
            <w:pPr>
              <w:ind w:left="160"/>
              <w:spacing w:after="0"/>
              <w:rPr>
                <w:sz w:val="20"/>
                <w:szCs w:val="20"/>
                <w:color w:val="auto"/>
              </w:rPr>
            </w:pPr>
            <w:r>
              <w:rPr>
                <w:rFonts w:ascii="Arial" w:cs="Arial" w:eastAsia="Arial" w:hAnsi="Arial"/>
                <w:sz w:val="13"/>
                <w:szCs w:val="13"/>
                <w:color w:val="auto"/>
              </w:rPr>
              <w:t>South Africa</w:t>
            </w:r>
          </w:p>
        </w:tc>
        <w:tc>
          <w:tcPr>
            <w:tcW w:w="26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Pharmaceutical S A (Proprietary) Limited</w:t>
            </w:r>
          </w:p>
        </w:tc>
        <w:tc>
          <w:tcPr>
            <w:tcW w:w="342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2nd Floor Building 29 Highlands Estate</w:t>
            </w:r>
          </w:p>
        </w:tc>
        <w:tc>
          <w:tcPr>
            <w:tcW w:w="260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Woodlands Office Park</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20 Woodlands Drive Woodmead</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Gauteng 2191</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South Africa</w:t>
            </w:r>
          </w:p>
        </w:tc>
        <w:tc>
          <w:tcPr>
            <w:tcW w:w="26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RPS Research South Africa (Proprietary) Limited</w:t>
            </w: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15 Greenwich Grove</w:t>
            </w:r>
          </w:p>
        </w:tc>
        <w:tc>
          <w:tcPr>
            <w:tcW w:w="2600" w:type="dxa"/>
            <w:vAlign w:val="bottom"/>
          </w:tcPr>
          <w:p>
            <w:pPr>
              <w:ind w:left="82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Station Road</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Ronderbosch</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Western Cape</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7700</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420" w:type="dxa"/>
            <w:vAlign w:val="bottom"/>
          </w:tcPr>
          <w:p>
            <w:pPr>
              <w:ind w:left="160"/>
              <w:spacing w:after="0"/>
              <w:rPr>
                <w:sz w:val="20"/>
                <w:szCs w:val="20"/>
                <w:color w:val="auto"/>
              </w:rPr>
            </w:pPr>
            <w:r>
              <w:rPr>
                <w:rFonts w:ascii="Arial" w:cs="Arial" w:eastAsia="Arial" w:hAnsi="Arial"/>
                <w:sz w:val="13"/>
                <w:szCs w:val="13"/>
                <w:color w:val="auto"/>
              </w:rPr>
              <w:t>South Africa</w:t>
            </w:r>
          </w:p>
        </w:tc>
        <w:tc>
          <w:tcPr>
            <w:tcW w:w="26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Korea Limited</w:t>
            </w:r>
          </w:p>
        </w:tc>
        <w:tc>
          <w:tcPr>
            <w:tcW w:w="342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142 Taeheran-ro</w:t>
            </w:r>
          </w:p>
        </w:tc>
        <w:tc>
          <w:tcPr>
            <w:tcW w:w="260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Gangnam-gu,</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18th Floor (Yeoksam-dong, Capital Tower)</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Seoul</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Republic of Korea</w:t>
            </w:r>
          </w:p>
        </w:tc>
        <w:tc>
          <w:tcPr>
            <w:tcW w:w="26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Mapi Korea Yuhan Hoesa/ Mapi Korea LLC (in Liquidation)</w:t>
            </w: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16th Floor</w:t>
            </w:r>
          </w:p>
        </w:tc>
        <w:tc>
          <w:tcPr>
            <w:tcW w:w="2600" w:type="dxa"/>
            <w:vAlign w:val="bottom"/>
          </w:tcPr>
          <w:p>
            <w:pPr>
              <w:ind w:left="820"/>
              <w:spacing w:after="0" w:line="128" w:lineRule="exact"/>
              <w:rPr>
                <w:sz w:val="20"/>
                <w:szCs w:val="20"/>
                <w:color w:val="auto"/>
              </w:rPr>
            </w:pPr>
            <w:r>
              <w:rPr>
                <w:rFonts w:ascii="Arial" w:cs="Arial" w:eastAsia="Arial" w:hAnsi="Arial"/>
                <w:sz w:val="13"/>
                <w:szCs w:val="13"/>
                <w:color w:val="auto"/>
              </w:rPr>
              <w:t>Dormant</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396 Seocho-daero</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Seocho-gu</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Seoul 06619</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420" w:type="dxa"/>
            <w:vAlign w:val="bottom"/>
          </w:tcPr>
          <w:p>
            <w:pPr>
              <w:ind w:left="160"/>
              <w:spacing w:after="0"/>
              <w:rPr>
                <w:sz w:val="20"/>
                <w:szCs w:val="20"/>
                <w:color w:val="auto"/>
              </w:rPr>
            </w:pPr>
            <w:r>
              <w:rPr>
                <w:rFonts w:ascii="Arial" w:cs="Arial" w:eastAsia="Arial" w:hAnsi="Arial"/>
                <w:sz w:val="13"/>
                <w:szCs w:val="13"/>
                <w:color w:val="auto"/>
              </w:rPr>
              <w:t>Republic of Korea</w:t>
            </w:r>
          </w:p>
        </w:tc>
        <w:tc>
          <w:tcPr>
            <w:tcW w:w="26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Korea Limited</w:t>
            </w:r>
          </w:p>
        </w:tc>
        <w:tc>
          <w:tcPr>
            <w:tcW w:w="342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142 Taeheran-ro</w:t>
            </w:r>
          </w:p>
        </w:tc>
        <w:tc>
          <w:tcPr>
            <w:tcW w:w="260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Gangnam-gu,</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18th Floor (Yeoksam-dong, Capital Tower)</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4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Seoul</w:t>
            </w:r>
          </w:p>
        </w:tc>
        <w:tc>
          <w:tcPr>
            <w:tcW w:w="26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Republic of Korea</w:t>
            </w:r>
          </w:p>
        </w:tc>
        <w:tc>
          <w:tcPr>
            <w:tcW w:w="26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Accellacare España S.L.</w:t>
            </w: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Calle Marques de Valdavia 103</w:t>
            </w:r>
          </w:p>
        </w:tc>
        <w:tc>
          <w:tcPr>
            <w:tcW w:w="2600" w:type="dxa"/>
            <w:vAlign w:val="bottom"/>
          </w:tcPr>
          <w:p>
            <w:pPr>
              <w:ind w:left="82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Portal 5</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28100 Alcobendas</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420" w:type="dxa"/>
            <w:vAlign w:val="bottom"/>
          </w:tcPr>
          <w:p>
            <w:pPr>
              <w:ind w:left="160"/>
              <w:spacing w:after="0" w:line="128" w:lineRule="exact"/>
              <w:rPr>
                <w:sz w:val="20"/>
                <w:szCs w:val="20"/>
                <w:color w:val="auto"/>
              </w:rPr>
            </w:pPr>
            <w:r>
              <w:rPr>
                <w:rFonts w:ascii="Arial" w:cs="Arial" w:eastAsia="Arial" w:hAnsi="Arial"/>
                <w:sz w:val="13"/>
                <w:szCs w:val="13"/>
                <w:color w:val="auto"/>
              </w:rPr>
              <w:t>Madrid</w:t>
            </w:r>
          </w:p>
        </w:tc>
        <w:tc>
          <w:tcPr>
            <w:tcW w:w="26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480" w:type="dxa"/>
            <w:vAlign w:val="bottom"/>
          </w:tcPr>
          <w:p>
            <w:pPr>
              <w:spacing w:after="0"/>
              <w:rPr>
                <w:sz w:val="14"/>
                <w:szCs w:val="14"/>
                <w:color w:val="auto"/>
              </w:rPr>
            </w:pPr>
          </w:p>
        </w:tc>
        <w:tc>
          <w:tcPr>
            <w:tcW w:w="3420" w:type="dxa"/>
            <w:vAlign w:val="bottom"/>
          </w:tcPr>
          <w:p>
            <w:pPr>
              <w:ind w:left="160"/>
              <w:spacing w:after="0"/>
              <w:rPr>
                <w:sz w:val="20"/>
                <w:szCs w:val="20"/>
                <w:color w:val="auto"/>
              </w:rPr>
            </w:pPr>
            <w:r>
              <w:rPr>
                <w:rFonts w:ascii="Arial" w:cs="Arial" w:eastAsia="Arial" w:hAnsi="Arial"/>
                <w:sz w:val="13"/>
                <w:szCs w:val="13"/>
                <w:color w:val="auto"/>
              </w:rPr>
              <w:t>Spain</w:t>
            </w:r>
          </w:p>
        </w:tc>
        <w:tc>
          <w:tcPr>
            <w:tcW w:w="26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84"/>
        </w:trPr>
        <w:tc>
          <w:tcPr>
            <w:tcW w:w="3480" w:type="dxa"/>
            <w:vAlign w:val="bottom"/>
          </w:tcPr>
          <w:p>
            <w:pPr>
              <w:spacing w:after="0"/>
              <w:rPr>
                <w:sz w:val="24"/>
                <w:szCs w:val="24"/>
                <w:color w:val="auto"/>
              </w:rPr>
            </w:pPr>
          </w:p>
        </w:tc>
        <w:tc>
          <w:tcPr>
            <w:tcW w:w="3420" w:type="dxa"/>
            <w:vAlign w:val="bottom"/>
          </w:tcPr>
          <w:p>
            <w:pPr>
              <w:ind w:left="2060"/>
              <w:spacing w:after="0"/>
              <w:rPr>
                <w:sz w:val="20"/>
                <w:szCs w:val="20"/>
                <w:color w:val="auto"/>
              </w:rPr>
            </w:pPr>
            <w:r>
              <w:rPr>
                <w:rFonts w:ascii="Arial" w:cs="Arial" w:eastAsia="Arial" w:hAnsi="Arial"/>
                <w:sz w:val="13"/>
                <w:szCs w:val="13"/>
                <w:color w:val="auto"/>
              </w:rPr>
              <w:t>130</w:t>
            </w:r>
          </w:p>
        </w:tc>
        <w:tc>
          <w:tcPr>
            <w:tcW w:w="26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2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188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20" w:type="dxa"/>
            <w:vAlign w:val="bottom"/>
            <w:tcBorders>
              <w:bottom w:val="single" w:sz="8" w:color="auto"/>
            </w:tcBorders>
            <w:shd w:val="clear" w:color="auto" w:fill="CCEEFF"/>
          </w:tcPr>
          <w:p>
            <w:pPr>
              <w:spacing w:after="0"/>
              <w:rPr>
                <w:sz w:val="14"/>
                <w:szCs w:val="14"/>
                <w:color w:val="auto"/>
              </w:rPr>
            </w:pPr>
          </w:p>
        </w:tc>
        <w:tc>
          <w:tcPr>
            <w:tcW w:w="420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2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España, S.L.</w:t>
            </w:r>
          </w:p>
        </w:tc>
        <w:tc>
          <w:tcPr>
            <w:tcW w:w="4200" w:type="dxa"/>
            <w:vAlign w:val="bottom"/>
          </w:tcPr>
          <w:p>
            <w:pPr>
              <w:ind w:left="220"/>
              <w:spacing w:after="0" w:line="118" w:lineRule="exact"/>
              <w:rPr>
                <w:sz w:val="20"/>
                <w:szCs w:val="20"/>
                <w:color w:val="auto"/>
              </w:rPr>
            </w:pPr>
            <w:r>
              <w:rPr>
                <w:rFonts w:ascii="Arial" w:cs="Arial" w:eastAsia="Arial" w:hAnsi="Arial"/>
                <w:sz w:val="13"/>
                <w:szCs w:val="13"/>
                <w:color w:val="auto"/>
              </w:rPr>
              <w:t>Calle Josep Pla</w:t>
            </w:r>
          </w:p>
        </w:tc>
        <w:tc>
          <w:tcPr>
            <w:tcW w:w="1880" w:type="dxa"/>
            <w:vAlign w:val="bottom"/>
          </w:tcPr>
          <w:p>
            <w:pPr>
              <w:ind w:left="10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Numero 2, Torre Diagonal Mar</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Piso 11, Modulo 1</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Barcelona</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200" w:type="dxa"/>
            <w:vAlign w:val="bottom"/>
          </w:tcPr>
          <w:p>
            <w:pPr>
              <w:ind w:left="220"/>
              <w:spacing w:after="0"/>
              <w:rPr>
                <w:sz w:val="20"/>
                <w:szCs w:val="20"/>
                <w:color w:val="auto"/>
              </w:rPr>
            </w:pPr>
            <w:r>
              <w:rPr>
                <w:rFonts w:ascii="Arial" w:cs="Arial" w:eastAsia="Arial" w:hAnsi="Arial"/>
                <w:sz w:val="13"/>
                <w:szCs w:val="13"/>
                <w:color w:val="auto"/>
              </w:rPr>
              <w:t>Spain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CRO, S.L.U.</w:t>
            </w:r>
          </w:p>
        </w:tc>
        <w:tc>
          <w:tcPr>
            <w:tcW w:w="420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Principe de Vergara 112,</w:t>
            </w:r>
          </w:p>
        </w:tc>
        <w:tc>
          <w:tcPr>
            <w:tcW w:w="188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Fourth Floor,</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28002 Madrid,</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Spain</w:t>
            </w:r>
          </w:p>
        </w:tc>
        <w:tc>
          <w:tcPr>
            <w:tcW w:w="18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Oncacare (Spain), S.L.</w:t>
            </w: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Calle Josep Pla, Numero 2,</w:t>
            </w:r>
          </w:p>
        </w:tc>
        <w:tc>
          <w:tcPr>
            <w:tcW w:w="188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Torre Diagonal Mar,</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Piso 11, Modulo 1,</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200" w:type="dxa"/>
            <w:vAlign w:val="bottom"/>
          </w:tcPr>
          <w:p>
            <w:pPr>
              <w:ind w:left="220"/>
              <w:spacing w:after="0"/>
              <w:rPr>
                <w:sz w:val="20"/>
                <w:szCs w:val="20"/>
                <w:color w:val="auto"/>
              </w:rPr>
            </w:pPr>
            <w:r>
              <w:rPr>
                <w:rFonts w:ascii="Arial" w:cs="Arial" w:eastAsia="Arial" w:hAnsi="Arial"/>
                <w:sz w:val="13"/>
                <w:szCs w:val="13"/>
                <w:color w:val="auto"/>
              </w:rPr>
              <w:t>Barcelona, Spain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España, S.A.U.</w:t>
            </w:r>
          </w:p>
        </w:tc>
        <w:tc>
          <w:tcPr>
            <w:tcW w:w="420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Avenida de Europa, 19</w:t>
            </w:r>
          </w:p>
        </w:tc>
        <w:tc>
          <w:tcPr>
            <w:tcW w:w="188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Edificio 1, 2a Planta</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Pozuelo de Alarcon (Madrid)</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Spain 28224</w:t>
            </w:r>
          </w:p>
        </w:tc>
        <w:tc>
          <w:tcPr>
            <w:tcW w:w="18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RPS ReSearch Ibérica, S.L.U.</w:t>
            </w: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Avenida de Europa, 19</w:t>
            </w:r>
          </w:p>
        </w:tc>
        <w:tc>
          <w:tcPr>
            <w:tcW w:w="188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Edificio 1, 2a Planta</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Pozuelo de Alarcon (Madrid)</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200" w:type="dxa"/>
            <w:vAlign w:val="bottom"/>
          </w:tcPr>
          <w:p>
            <w:pPr>
              <w:ind w:left="220"/>
              <w:spacing w:after="0"/>
              <w:rPr>
                <w:sz w:val="20"/>
                <w:szCs w:val="20"/>
                <w:color w:val="auto"/>
              </w:rPr>
            </w:pPr>
            <w:r>
              <w:rPr>
                <w:rFonts w:ascii="Arial" w:cs="Arial" w:eastAsia="Arial" w:hAnsi="Arial"/>
                <w:sz w:val="13"/>
                <w:szCs w:val="13"/>
                <w:color w:val="auto"/>
              </w:rPr>
              <w:t>Spain 28224</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Spain, S.L.</w:t>
            </w:r>
          </w:p>
        </w:tc>
        <w:tc>
          <w:tcPr>
            <w:tcW w:w="420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Avenida de Europa, 19</w:t>
            </w:r>
          </w:p>
        </w:tc>
        <w:tc>
          <w:tcPr>
            <w:tcW w:w="188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Edificio 1, 2a Planta</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Pozuelo de Alarcon (Madrid)</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Spain 28224</w:t>
            </w:r>
          </w:p>
        </w:tc>
        <w:tc>
          <w:tcPr>
            <w:tcW w:w="18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Sweden AB</w:t>
            </w: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w w:val="99"/>
              </w:rPr>
              <w:t>c/o HLB Revisorsgruppen i Malmö AB Slottsgatan 20, 211 33 Malmö,</w:t>
            </w:r>
          </w:p>
        </w:tc>
        <w:tc>
          <w:tcPr>
            <w:tcW w:w="188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4200" w:type="dxa"/>
            <w:vAlign w:val="bottom"/>
          </w:tcPr>
          <w:p>
            <w:pPr>
              <w:ind w:left="220"/>
              <w:spacing w:after="0"/>
              <w:rPr>
                <w:sz w:val="20"/>
                <w:szCs w:val="20"/>
                <w:color w:val="auto"/>
              </w:rPr>
            </w:pPr>
            <w:r>
              <w:rPr>
                <w:rFonts w:ascii="Arial" w:cs="Arial" w:eastAsia="Arial" w:hAnsi="Arial"/>
                <w:sz w:val="13"/>
                <w:szCs w:val="13"/>
                <w:color w:val="auto"/>
              </w:rPr>
              <w:t>Sweden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International Sweden AB</w:t>
            </w:r>
          </w:p>
        </w:tc>
        <w:tc>
          <w:tcPr>
            <w:tcW w:w="420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w w:val="99"/>
              </w:rPr>
              <w:t>c/o HLB Revisorsgruppen i Malmö AB Slottsgatan 20, 211 33 Malmö,</w:t>
            </w:r>
          </w:p>
        </w:tc>
        <w:tc>
          <w:tcPr>
            <w:tcW w:w="188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Sweden</w:t>
            </w:r>
          </w:p>
        </w:tc>
        <w:tc>
          <w:tcPr>
            <w:tcW w:w="18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Switzerland GmbH</w:t>
            </w: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c/o Experfina AG</w:t>
            </w:r>
          </w:p>
        </w:tc>
        <w:tc>
          <w:tcPr>
            <w:tcW w:w="188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Picassoplatz 8</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4052 Basel</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200" w:type="dxa"/>
            <w:vAlign w:val="bottom"/>
          </w:tcPr>
          <w:p>
            <w:pPr>
              <w:ind w:left="220"/>
              <w:spacing w:after="0"/>
              <w:rPr>
                <w:sz w:val="20"/>
                <w:szCs w:val="20"/>
                <w:color w:val="auto"/>
              </w:rPr>
            </w:pPr>
            <w:r>
              <w:rPr>
                <w:rFonts w:ascii="Arial" w:cs="Arial" w:eastAsia="Arial" w:hAnsi="Arial"/>
                <w:sz w:val="13"/>
                <w:szCs w:val="13"/>
                <w:color w:val="auto"/>
              </w:rPr>
              <w:t>Switzerland</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(Switzerland) GmbH</w:t>
            </w:r>
          </w:p>
        </w:tc>
        <w:tc>
          <w:tcPr>
            <w:tcW w:w="420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c/o Experfina AG</w:t>
            </w:r>
          </w:p>
        </w:tc>
        <w:tc>
          <w:tcPr>
            <w:tcW w:w="188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Picassoplatz 8</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4052 Basel</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Switzerland</w:t>
            </w:r>
          </w:p>
        </w:tc>
        <w:tc>
          <w:tcPr>
            <w:tcW w:w="18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PRA Switzerland AG</w:t>
            </w: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Lange Gasse 15</w:t>
            </w:r>
          </w:p>
        </w:tc>
        <w:tc>
          <w:tcPr>
            <w:tcW w:w="188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Basel 4052</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200" w:type="dxa"/>
            <w:vAlign w:val="bottom"/>
          </w:tcPr>
          <w:p>
            <w:pPr>
              <w:ind w:left="220"/>
              <w:spacing w:after="0"/>
              <w:rPr>
                <w:sz w:val="20"/>
                <w:szCs w:val="20"/>
                <w:color w:val="auto"/>
              </w:rPr>
            </w:pPr>
            <w:r>
              <w:rPr>
                <w:rFonts w:ascii="Arial" w:cs="Arial" w:eastAsia="Arial" w:hAnsi="Arial"/>
                <w:sz w:val="13"/>
                <w:szCs w:val="13"/>
                <w:color w:val="auto"/>
              </w:rPr>
              <w:t>Switzerland</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Taiwan Limited</w:t>
            </w:r>
          </w:p>
        </w:tc>
        <w:tc>
          <w:tcPr>
            <w:tcW w:w="420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5th Floor No. 2, Sec 5</w:t>
            </w:r>
          </w:p>
        </w:tc>
        <w:tc>
          <w:tcPr>
            <w:tcW w:w="188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Xinyi Road</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Xinyi District</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Taipei</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Taiwan</w:t>
            </w:r>
          </w:p>
        </w:tc>
        <w:tc>
          <w:tcPr>
            <w:tcW w:w="18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Taiwan, Inc.</w:t>
            </w: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Aurora Building, 5th Floor</w:t>
            </w:r>
          </w:p>
        </w:tc>
        <w:tc>
          <w:tcPr>
            <w:tcW w:w="188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No. 2, Sec 5,</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Xinyi Road,</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Xinyi District,</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4200" w:type="dxa"/>
            <w:vAlign w:val="bottom"/>
          </w:tcPr>
          <w:p>
            <w:pPr>
              <w:ind w:left="220"/>
              <w:spacing w:after="0" w:line="128" w:lineRule="exact"/>
              <w:rPr>
                <w:sz w:val="20"/>
                <w:szCs w:val="20"/>
                <w:color w:val="auto"/>
              </w:rPr>
            </w:pPr>
            <w:r>
              <w:rPr>
                <w:rFonts w:ascii="Arial" w:cs="Arial" w:eastAsia="Arial" w:hAnsi="Arial"/>
                <w:sz w:val="13"/>
                <w:szCs w:val="13"/>
                <w:color w:val="auto"/>
              </w:rPr>
              <w:t>Taipei,</w:t>
            </w: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4200" w:type="dxa"/>
            <w:vAlign w:val="bottom"/>
          </w:tcPr>
          <w:p>
            <w:pPr>
              <w:ind w:left="220"/>
              <w:spacing w:after="0"/>
              <w:rPr>
                <w:sz w:val="20"/>
                <w:szCs w:val="20"/>
                <w:color w:val="auto"/>
              </w:rPr>
            </w:pPr>
            <w:r>
              <w:rPr>
                <w:rFonts w:ascii="Arial" w:cs="Arial" w:eastAsia="Arial" w:hAnsi="Arial"/>
                <w:sz w:val="13"/>
                <w:szCs w:val="13"/>
                <w:color w:val="auto"/>
              </w:rPr>
              <w:t>Taiwan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(Thailand) Limited</w:t>
            </w:r>
          </w:p>
        </w:tc>
        <w:tc>
          <w:tcPr>
            <w:tcW w:w="6080" w:type="dxa"/>
            <w:vAlign w:val="bottom"/>
            <w:gridSpan w:val="2"/>
            <w:shd w:val="clear" w:color="auto" w:fill="CCEEFF"/>
          </w:tcPr>
          <w:p>
            <w:pPr>
              <w:ind w:left="220"/>
              <w:spacing w:after="0" w:line="129" w:lineRule="exact"/>
              <w:rPr>
                <w:sz w:val="20"/>
                <w:szCs w:val="20"/>
                <w:color w:val="auto"/>
              </w:rPr>
            </w:pPr>
            <w:r>
              <w:rPr>
                <w:rFonts w:ascii="Arial" w:cs="Arial" w:eastAsia="Arial" w:hAnsi="Arial"/>
                <w:sz w:val="13"/>
                <w:szCs w:val="13"/>
                <w:color w:val="auto"/>
              </w:rPr>
              <w:t>27th Floor, Tower 1, Empire Tower, 1 South Sathorn Rd., Yannawa Sub- 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District, Sathorn District, Bangkok 10120 Thailand</w:t>
            </w:r>
          </w:p>
        </w:tc>
        <w:tc>
          <w:tcPr>
            <w:tcW w:w="18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RPS Research (Thailand) Co., Ltd.</w:t>
            </w:r>
          </w:p>
        </w:tc>
        <w:tc>
          <w:tcPr>
            <w:tcW w:w="6080" w:type="dxa"/>
            <w:vAlign w:val="bottom"/>
            <w:gridSpan w:val="2"/>
          </w:tcPr>
          <w:p>
            <w:pPr>
              <w:ind w:left="220"/>
              <w:spacing w:after="0" w:line="128" w:lineRule="exact"/>
              <w:rPr>
                <w:sz w:val="20"/>
                <w:szCs w:val="20"/>
                <w:color w:val="auto"/>
              </w:rPr>
            </w:pPr>
            <w:r>
              <w:rPr>
                <w:rFonts w:ascii="Arial" w:cs="Arial" w:eastAsia="Arial" w:hAnsi="Arial"/>
                <w:sz w:val="13"/>
                <w:szCs w:val="13"/>
                <w:color w:val="auto"/>
              </w:rPr>
              <w:t>27th Floor, Tower 1, Empire Tower, 1 South Sathorn Rd., Yannawa Sub- 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4200" w:type="dxa"/>
            <w:vAlign w:val="bottom"/>
          </w:tcPr>
          <w:p>
            <w:pPr>
              <w:ind w:left="220"/>
              <w:spacing w:after="0"/>
              <w:rPr>
                <w:sz w:val="20"/>
                <w:szCs w:val="20"/>
                <w:color w:val="auto"/>
              </w:rPr>
            </w:pPr>
            <w:r>
              <w:rPr>
                <w:rFonts w:ascii="Arial" w:cs="Arial" w:eastAsia="Arial" w:hAnsi="Arial"/>
                <w:sz w:val="13"/>
                <w:szCs w:val="13"/>
                <w:color w:val="auto"/>
              </w:rPr>
              <w:t>District, Sathorn District, Bangkok 10120 Thailand</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Ankara Klinik Arastirma Dis Ticaret Anonim Sirketi</w:t>
            </w:r>
          </w:p>
        </w:tc>
        <w:tc>
          <w:tcPr>
            <w:tcW w:w="420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Söğütözü mah.</w:t>
            </w:r>
          </w:p>
        </w:tc>
        <w:tc>
          <w:tcPr>
            <w:tcW w:w="188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Eskişehir Yolu Cad. 2176. SK No:9</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Posta Kodu:06510</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420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Çankaya Ankara</w:t>
            </w:r>
          </w:p>
        </w:tc>
        <w:tc>
          <w:tcPr>
            <w:tcW w:w="18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Turkiye</w:t>
            </w:r>
          </w:p>
        </w:tc>
        <w:tc>
          <w:tcPr>
            <w:tcW w:w="18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3420" w:type="dxa"/>
            <w:vAlign w:val="bottom"/>
          </w:tcPr>
          <w:p>
            <w:pPr>
              <w:spacing w:after="0"/>
              <w:rPr>
                <w:sz w:val="24"/>
                <w:szCs w:val="24"/>
                <w:color w:val="auto"/>
              </w:rPr>
            </w:pPr>
          </w:p>
        </w:tc>
        <w:tc>
          <w:tcPr>
            <w:tcW w:w="4200" w:type="dxa"/>
            <w:vAlign w:val="bottom"/>
          </w:tcPr>
          <w:p>
            <w:pPr>
              <w:ind w:left="2120"/>
              <w:spacing w:after="0"/>
              <w:rPr>
                <w:sz w:val="20"/>
                <w:szCs w:val="20"/>
                <w:color w:val="auto"/>
              </w:rPr>
            </w:pPr>
            <w:r>
              <w:rPr>
                <w:rFonts w:ascii="Arial" w:cs="Arial" w:eastAsia="Arial" w:hAnsi="Arial"/>
                <w:sz w:val="13"/>
                <w:szCs w:val="13"/>
                <w:color w:val="auto"/>
              </w:rPr>
              <w:t>131</w:t>
            </w: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194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Nature of business</w:t>
            </w:r>
          </w:p>
        </w:tc>
        <w:tc>
          <w:tcPr>
            <w:tcW w:w="168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40" w:type="dxa"/>
            <w:vAlign w:val="bottom"/>
            <w:tcBorders>
              <w:bottom w:val="single" w:sz="8" w:color="auto"/>
            </w:tcBorders>
            <w:shd w:val="clear" w:color="auto" w:fill="CCEEFF"/>
          </w:tcPr>
          <w:p>
            <w:pPr>
              <w:spacing w:after="0"/>
              <w:rPr>
                <w:sz w:val="14"/>
                <w:szCs w:val="14"/>
                <w:color w:val="auto"/>
              </w:rPr>
            </w:pPr>
          </w:p>
        </w:tc>
        <w:tc>
          <w:tcPr>
            <w:tcW w:w="420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40" w:type="dxa"/>
            <w:vAlign w:val="bottom"/>
          </w:tcPr>
          <w:p>
            <w:pPr>
              <w:ind w:left="20"/>
              <w:spacing w:after="0" w:line="118" w:lineRule="exact"/>
              <w:rPr>
                <w:sz w:val="20"/>
                <w:szCs w:val="20"/>
                <w:color w:val="auto"/>
              </w:rPr>
            </w:pPr>
            <w:r>
              <w:rPr>
                <w:rFonts w:ascii="Arial" w:cs="Arial" w:eastAsia="Arial" w:hAnsi="Arial"/>
                <w:sz w:val="13"/>
                <w:szCs w:val="13"/>
                <w:color w:val="auto"/>
              </w:rPr>
              <w:t>Pra Turkey Sağlik Araştirma Ve Geliştirme Limited Şirketi</w:t>
            </w:r>
          </w:p>
        </w:tc>
        <w:tc>
          <w:tcPr>
            <w:tcW w:w="4200" w:type="dxa"/>
            <w:vAlign w:val="bottom"/>
          </w:tcPr>
          <w:p>
            <w:pPr>
              <w:ind w:left="200"/>
              <w:spacing w:after="0" w:line="118" w:lineRule="exact"/>
              <w:rPr>
                <w:sz w:val="20"/>
                <w:szCs w:val="20"/>
                <w:color w:val="auto"/>
              </w:rPr>
            </w:pPr>
            <w:r>
              <w:rPr>
                <w:rFonts w:ascii="Arial" w:cs="Arial" w:eastAsia="Arial" w:hAnsi="Arial"/>
                <w:sz w:val="13"/>
                <w:szCs w:val="13"/>
                <w:color w:val="auto"/>
              </w:rPr>
              <w:t>Söğütözü Mah.</w:t>
            </w:r>
          </w:p>
        </w:tc>
        <w:tc>
          <w:tcPr>
            <w:tcW w:w="1940" w:type="dxa"/>
            <w:vAlign w:val="bottom"/>
          </w:tcPr>
          <w:p>
            <w:pPr>
              <w:ind w:left="80"/>
              <w:spacing w:after="0" w:line="11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rPr>
              <w:t>2176 Cad. No: 9 İç Kapi No: 2</w:t>
            </w: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rPr>
              <w:t>Çankaya / Ankara,</w:t>
            </w: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Turkey</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Ukraine LLC</w:t>
            </w:r>
          </w:p>
        </w:tc>
        <w:tc>
          <w:tcPr>
            <w:tcW w:w="4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4th Floor,</w:t>
            </w:r>
          </w:p>
        </w:tc>
        <w:tc>
          <w:tcPr>
            <w:tcW w:w="19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42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St. Poleva 24,</w:t>
            </w:r>
          </w:p>
        </w:tc>
        <w:tc>
          <w:tcPr>
            <w:tcW w:w="19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42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Kiev,</w:t>
            </w:r>
          </w:p>
        </w:tc>
        <w:tc>
          <w:tcPr>
            <w:tcW w:w="19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Ukraine, 03056</w:t>
            </w: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LLC</w:t>
            </w: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rPr>
              <w:t>4th Floor,</w:t>
            </w:r>
          </w:p>
        </w:tc>
        <w:tc>
          <w:tcPr>
            <w:tcW w:w="194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rPr>
              <w:t>St. Poleva 24,</w:t>
            </w: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7"/>
        </w:trPr>
        <w:tc>
          <w:tcPr>
            <w:tcW w:w="3440" w:type="dxa"/>
            <w:vAlign w:val="bottom"/>
          </w:tcPr>
          <w:p>
            <w:pPr>
              <w:spacing w:after="0"/>
              <w:rPr>
                <w:sz w:val="11"/>
                <w:szCs w:val="11"/>
                <w:color w:val="auto"/>
              </w:rPr>
            </w:pP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rPr>
              <w:t>Kiev,</w:t>
            </w: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Ukraine, 03056</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IMP-Logistics Ukraine LLC</w:t>
            </w:r>
          </w:p>
        </w:tc>
        <w:tc>
          <w:tcPr>
            <w:tcW w:w="4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8,Viskozna</w:t>
            </w:r>
          </w:p>
        </w:tc>
        <w:tc>
          <w:tcPr>
            <w:tcW w:w="19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Logistics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42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st. Kyiv</w:t>
            </w:r>
          </w:p>
        </w:tc>
        <w:tc>
          <w:tcPr>
            <w:tcW w:w="19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Ukraine 02094</w:t>
            </w: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KCR Ukraine LLC</w:t>
            </w: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rPr>
              <w:t>7 Rusanovskii blvd.,</w:t>
            </w:r>
          </w:p>
        </w:tc>
        <w:tc>
          <w:tcPr>
            <w:tcW w:w="194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tcPr>
          <w:p>
            <w:pPr>
              <w:spacing w:after="0"/>
              <w:rPr>
                <w:sz w:val="11"/>
                <w:szCs w:val="11"/>
                <w:color w:val="auto"/>
              </w:rPr>
            </w:pP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rPr>
              <w:t>02154 Kiev,</w:t>
            </w: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8"/>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Ukraine</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Ukraine LLC</w:t>
            </w:r>
          </w:p>
        </w:tc>
        <w:tc>
          <w:tcPr>
            <w:tcW w:w="4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4th Floor,</w:t>
            </w:r>
          </w:p>
        </w:tc>
        <w:tc>
          <w:tcPr>
            <w:tcW w:w="19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40" w:type="dxa"/>
            <w:vAlign w:val="bottom"/>
            <w:shd w:val="clear" w:color="auto" w:fill="CCEEFF"/>
          </w:tcPr>
          <w:p>
            <w:pPr>
              <w:spacing w:after="0"/>
              <w:rPr>
                <w:sz w:val="11"/>
                <w:szCs w:val="11"/>
                <w:color w:val="auto"/>
              </w:rPr>
            </w:pPr>
          </w:p>
        </w:tc>
        <w:tc>
          <w:tcPr>
            <w:tcW w:w="42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St. Poleva 24,</w:t>
            </w:r>
          </w:p>
        </w:tc>
        <w:tc>
          <w:tcPr>
            <w:tcW w:w="19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7"/>
        </w:trPr>
        <w:tc>
          <w:tcPr>
            <w:tcW w:w="3440" w:type="dxa"/>
            <w:vAlign w:val="bottom"/>
            <w:shd w:val="clear" w:color="auto" w:fill="CCEEFF"/>
          </w:tcPr>
          <w:p>
            <w:pPr>
              <w:spacing w:after="0"/>
              <w:rPr>
                <w:sz w:val="11"/>
                <w:szCs w:val="11"/>
                <w:color w:val="auto"/>
              </w:rPr>
            </w:pPr>
          </w:p>
        </w:tc>
        <w:tc>
          <w:tcPr>
            <w:tcW w:w="42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Kiev,</w:t>
            </w:r>
          </w:p>
        </w:tc>
        <w:tc>
          <w:tcPr>
            <w:tcW w:w="19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70"/>
        </w:trPr>
        <w:tc>
          <w:tcPr>
            <w:tcW w:w="3440" w:type="dxa"/>
            <w:vAlign w:val="bottom"/>
            <w:shd w:val="clear" w:color="auto" w:fill="CCEEFF"/>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Ukraine, 03056</w:t>
            </w: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Accellacare UK Limited</w:t>
            </w: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Aptiv Solutions (UK) Ltd</w:t>
            </w:r>
          </w:p>
        </w:tc>
        <w:tc>
          <w:tcPr>
            <w:tcW w:w="4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Dormant</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40" w:type="dxa"/>
            <w:vAlign w:val="bottom"/>
            <w:shd w:val="clear" w:color="auto" w:fill="CCEEFF"/>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UK Limited</w:t>
            </w: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(LR) Limited</w:t>
            </w:r>
          </w:p>
        </w:tc>
        <w:tc>
          <w:tcPr>
            <w:tcW w:w="4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40" w:type="dxa"/>
            <w:vAlign w:val="bottom"/>
            <w:shd w:val="clear" w:color="auto" w:fill="CCEEFF"/>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Clinical (UK) Limited</w:t>
            </w: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Limited</w:t>
            </w:r>
          </w:p>
        </w:tc>
        <w:tc>
          <w:tcPr>
            <w:tcW w:w="4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40" w:type="dxa"/>
            <w:vAlign w:val="bottom"/>
            <w:shd w:val="clear" w:color="auto" w:fill="CCEEFF"/>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(U.K.) No. 2 Limited</w:t>
            </w: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No. 3 Limited</w:t>
            </w:r>
          </w:p>
        </w:tc>
        <w:tc>
          <w:tcPr>
            <w:tcW w:w="4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Holding Company</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40" w:type="dxa"/>
            <w:vAlign w:val="bottom"/>
            <w:shd w:val="clear" w:color="auto" w:fill="CCEEFF"/>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(U.K.) No. 5 Limited</w:t>
            </w: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tcPr>
          <w:p>
            <w:pPr>
              <w:ind w:left="80"/>
              <w:spacing w:after="0" w:line="128" w:lineRule="exact"/>
              <w:rPr>
                <w:sz w:val="20"/>
                <w:szCs w:val="20"/>
                <w:color w:val="auto"/>
              </w:rPr>
            </w:pPr>
            <w:r>
              <w:rPr>
                <w:rFonts w:ascii="Arial" w:cs="Arial" w:eastAsia="Arial" w:hAnsi="Arial"/>
                <w:sz w:val="13"/>
                <w:szCs w:val="13"/>
                <w:color w:val="auto"/>
              </w:rPr>
              <w:t>Dormant</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No. 6 Limited</w:t>
            </w:r>
          </w:p>
        </w:tc>
        <w:tc>
          <w:tcPr>
            <w:tcW w:w="4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Dormant</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40" w:type="dxa"/>
            <w:vAlign w:val="bottom"/>
            <w:shd w:val="clear" w:color="auto" w:fill="CCEEFF"/>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Holdings (U.K.) Limited</w:t>
            </w: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tcPr>
          <w:p>
            <w:pPr>
              <w:ind w:left="80"/>
              <w:spacing w:after="0" w:line="128" w:lineRule="exact"/>
              <w:rPr>
                <w:sz w:val="20"/>
                <w:szCs w:val="20"/>
                <w:color w:val="auto"/>
              </w:rPr>
            </w:pPr>
            <w:r>
              <w:rPr>
                <w:rFonts w:ascii="Arial" w:cs="Arial" w:eastAsia="Arial" w:hAnsi="Arial"/>
                <w:sz w:val="13"/>
                <w:szCs w:val="13"/>
                <w:color w:val="auto"/>
              </w:rPr>
              <w:t>Investment holding company</w:t>
            </w:r>
          </w:p>
        </w:tc>
        <w:tc>
          <w:tcPr>
            <w:tcW w:w="1680" w:type="dxa"/>
            <w:vAlign w:val="bottom"/>
          </w:tcPr>
          <w:p>
            <w:pPr>
              <w:ind w:left="24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Development Solutions Limited</w:t>
            </w:r>
          </w:p>
        </w:tc>
        <w:tc>
          <w:tcPr>
            <w:tcW w:w="42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40" w:type="dxa"/>
            <w:vAlign w:val="bottom"/>
            <w:shd w:val="clear" w:color="auto" w:fill="CCEEFF"/>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27"/>
        </w:trPr>
        <w:tc>
          <w:tcPr>
            <w:tcW w:w="3440" w:type="dxa"/>
            <w:vAlign w:val="bottom"/>
          </w:tcPr>
          <w:p>
            <w:pPr>
              <w:ind w:left="20"/>
              <w:spacing w:after="0" w:line="128" w:lineRule="exact"/>
              <w:rPr>
                <w:sz w:val="20"/>
                <w:szCs w:val="20"/>
                <w:color w:val="auto"/>
              </w:rPr>
            </w:pPr>
            <w:r>
              <w:rPr>
                <w:rFonts w:ascii="Arial" w:cs="Arial" w:eastAsia="Arial" w:hAnsi="Arial"/>
                <w:sz w:val="13"/>
                <w:szCs w:val="13"/>
                <w:color w:val="auto"/>
              </w:rPr>
              <w:t>ICON Investments (UK) Ltd</w:t>
            </w:r>
          </w:p>
        </w:tc>
        <w:tc>
          <w:tcPr>
            <w:tcW w:w="4200" w:type="dxa"/>
            <w:vAlign w:val="bottom"/>
          </w:tcPr>
          <w:p>
            <w:pPr>
              <w:ind w:left="200"/>
              <w:spacing w:after="0" w:line="12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940" w:type="dxa"/>
            <w:vAlign w:val="bottom"/>
          </w:tcPr>
          <w:p>
            <w:pPr>
              <w:ind w:left="80"/>
              <w:spacing w:after="0" w:line="128" w:lineRule="exact"/>
              <w:rPr>
                <w:sz w:val="20"/>
                <w:szCs w:val="20"/>
                <w:color w:val="auto"/>
              </w:rPr>
            </w:pPr>
            <w:r>
              <w:rPr>
                <w:rFonts w:ascii="Arial" w:cs="Arial" w:eastAsia="Arial" w:hAnsi="Arial"/>
                <w:sz w:val="13"/>
                <w:szCs w:val="13"/>
                <w:color w:val="auto"/>
              </w:rPr>
              <w:t>Dormant</w:t>
            </w:r>
          </w:p>
        </w:tc>
        <w:tc>
          <w:tcPr>
            <w:tcW w:w="1680" w:type="dxa"/>
            <w:vAlign w:val="bottom"/>
          </w:tcPr>
          <w:p>
            <w:pPr>
              <w:ind w:left="240"/>
              <w:spacing w:after="0" w:line="127" w:lineRule="exact"/>
              <w:rPr>
                <w:sz w:val="20"/>
                <w:szCs w:val="20"/>
                <w:color w:val="auto"/>
              </w:rPr>
            </w:pPr>
            <w:r>
              <w:rPr>
                <w:rFonts w:ascii="Arial" w:cs="Arial" w:eastAsia="Arial" w:hAnsi="Arial"/>
                <w:sz w:val="11"/>
                <w:szCs w:val="11"/>
                <w:color w:val="auto"/>
              </w:rPr>
              <w:t>100%</w:t>
            </w:r>
            <w:r>
              <w:rPr>
                <w:rFonts w:ascii="Arial" w:cs="Arial" w:eastAsia="Arial" w:hAnsi="Arial"/>
                <w:sz w:val="14"/>
                <w:szCs w:val="14"/>
                <w:color w:val="auto"/>
                <w:vertAlign w:val="superscript"/>
              </w:rPr>
              <w:t>2</w:t>
            </w:r>
          </w:p>
        </w:tc>
      </w:tr>
      <w:tr>
        <w:trPr>
          <w:trHeight w:val="167"/>
        </w:trPr>
        <w:tc>
          <w:tcPr>
            <w:tcW w:w="3440" w:type="dxa"/>
            <w:vAlign w:val="bottom"/>
          </w:tcPr>
          <w:p>
            <w:pPr>
              <w:spacing w:after="0"/>
              <w:rPr>
                <w:sz w:val="14"/>
                <w:szCs w:val="14"/>
                <w:color w:val="auto"/>
              </w:rPr>
            </w:pPr>
          </w:p>
        </w:tc>
        <w:tc>
          <w:tcPr>
            <w:tcW w:w="4200" w:type="dxa"/>
            <w:vAlign w:val="bottom"/>
          </w:tcPr>
          <w:p>
            <w:pPr>
              <w:ind w:left="200"/>
              <w:spacing w:after="0"/>
              <w:rPr>
                <w:sz w:val="20"/>
                <w:szCs w:val="20"/>
                <w:color w:val="auto"/>
              </w:rPr>
            </w:pPr>
            <w:r>
              <w:rPr>
                <w:rFonts w:ascii="Arial" w:cs="Arial" w:eastAsia="Arial" w:hAnsi="Arial"/>
                <w:sz w:val="13"/>
                <w:szCs w:val="13"/>
                <w:color w:val="auto"/>
              </w:rPr>
              <w:t>Reading, Berkshire, RG2 6GP, United Kingdom</w:t>
            </w: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584"/>
        </w:trPr>
        <w:tc>
          <w:tcPr>
            <w:tcW w:w="3440" w:type="dxa"/>
            <w:vAlign w:val="bottom"/>
          </w:tcPr>
          <w:p>
            <w:pPr>
              <w:spacing w:after="0"/>
              <w:rPr>
                <w:sz w:val="24"/>
                <w:szCs w:val="24"/>
                <w:color w:val="auto"/>
              </w:rPr>
            </w:pPr>
          </w:p>
        </w:tc>
        <w:tc>
          <w:tcPr>
            <w:tcW w:w="4200" w:type="dxa"/>
            <w:vAlign w:val="bottom"/>
          </w:tcPr>
          <w:p>
            <w:pPr>
              <w:ind w:left="2100"/>
              <w:spacing w:after="0"/>
              <w:rPr>
                <w:sz w:val="20"/>
                <w:szCs w:val="20"/>
                <w:color w:val="auto"/>
              </w:rPr>
            </w:pPr>
            <w:r>
              <w:rPr>
                <w:rFonts w:ascii="Arial" w:cs="Arial" w:eastAsia="Arial" w:hAnsi="Arial"/>
                <w:sz w:val="13"/>
                <w:szCs w:val="13"/>
                <w:color w:val="auto"/>
              </w:rPr>
              <w:t>132</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260"/>
          </w:cols>
          <w:pgMar w:left="300" w:top="697"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186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500" w:type="dxa"/>
            <w:vAlign w:val="bottom"/>
            <w:tcBorders>
              <w:bottom w:val="single" w:sz="8" w:color="auto"/>
            </w:tcBorders>
            <w:shd w:val="clear" w:color="auto" w:fill="CCEEFF"/>
          </w:tcPr>
          <w:p>
            <w:pPr>
              <w:spacing w:after="0"/>
              <w:rPr>
                <w:sz w:val="14"/>
                <w:szCs w:val="14"/>
                <w:color w:val="auto"/>
              </w:rPr>
            </w:pPr>
          </w:p>
        </w:tc>
        <w:tc>
          <w:tcPr>
            <w:tcW w:w="41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500" w:type="dxa"/>
            <w:vAlign w:val="bottom"/>
          </w:tcPr>
          <w:p>
            <w:pPr>
              <w:ind w:left="20"/>
              <w:spacing w:after="0" w:line="118" w:lineRule="exact"/>
              <w:rPr>
                <w:sz w:val="20"/>
                <w:szCs w:val="20"/>
                <w:color w:val="auto"/>
              </w:rPr>
            </w:pPr>
            <w:r>
              <w:rPr>
                <w:rFonts w:ascii="Arial" w:cs="Arial" w:eastAsia="Arial" w:hAnsi="Arial"/>
                <w:sz w:val="13"/>
                <w:szCs w:val="13"/>
                <w:color w:val="auto"/>
              </w:rPr>
              <w:t>IMP Logistics UK Limited</w:t>
            </w:r>
          </w:p>
        </w:tc>
        <w:tc>
          <w:tcPr>
            <w:tcW w:w="4140" w:type="dxa"/>
            <w:vAlign w:val="bottom"/>
          </w:tcPr>
          <w:p>
            <w:pPr>
              <w:ind w:left="140"/>
              <w:spacing w:after="0" w:line="11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860" w:type="dxa"/>
            <w:vAlign w:val="bottom"/>
          </w:tcPr>
          <w:p>
            <w:pPr>
              <w:ind w:left="8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68"/>
        </w:trPr>
        <w:tc>
          <w:tcPr>
            <w:tcW w:w="3500" w:type="dxa"/>
            <w:vAlign w:val="bottom"/>
          </w:tcPr>
          <w:p>
            <w:pPr>
              <w:spacing w:after="0"/>
              <w:rPr>
                <w:sz w:val="14"/>
                <w:szCs w:val="14"/>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Reading, Berkshire, RG2 6GP, United Kingdom</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KCR CRO Ltd.</w:t>
            </w:r>
          </w:p>
        </w:tc>
        <w:tc>
          <w:tcPr>
            <w:tcW w:w="41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3rd Floor Waverley House,</w:t>
            </w:r>
          </w:p>
        </w:tc>
        <w:tc>
          <w:tcPr>
            <w:tcW w:w="18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7-12 Noel Street,</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London, United Kingdom W1F 8GQ</w:t>
            </w:r>
          </w:p>
        </w:tc>
        <w:tc>
          <w:tcPr>
            <w:tcW w:w="18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Medeval Group Limited</w:t>
            </w: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860" w:type="dxa"/>
            <w:vAlign w:val="bottom"/>
          </w:tcPr>
          <w:p>
            <w:pPr>
              <w:ind w:left="80"/>
              <w:spacing w:after="0" w:line="128" w:lineRule="exact"/>
              <w:rPr>
                <w:sz w:val="20"/>
                <w:szCs w:val="20"/>
                <w:color w:val="auto"/>
              </w:rPr>
            </w:pPr>
            <w:r>
              <w:rPr>
                <w:rFonts w:ascii="Arial" w:cs="Arial" w:eastAsia="Arial" w:hAnsi="Arial"/>
                <w:sz w:val="13"/>
                <w:szCs w:val="13"/>
                <w:color w:val="auto"/>
              </w:rPr>
              <w:t>Dormant</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500" w:type="dxa"/>
            <w:vAlign w:val="bottom"/>
          </w:tcPr>
          <w:p>
            <w:pPr>
              <w:spacing w:after="0"/>
              <w:rPr>
                <w:sz w:val="14"/>
                <w:szCs w:val="14"/>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Reading, Berkshire, RG2 6GP, United Kingdom</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OncaCare (U.K.) Limited</w:t>
            </w:r>
          </w:p>
        </w:tc>
        <w:tc>
          <w:tcPr>
            <w:tcW w:w="41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8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Dormant</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500" w:type="dxa"/>
            <w:vAlign w:val="bottom"/>
            <w:shd w:val="clear" w:color="auto" w:fill="CCEEFF"/>
          </w:tcPr>
          <w:p>
            <w:pPr>
              <w:spacing w:after="0"/>
              <w:rPr>
                <w:sz w:val="14"/>
                <w:szCs w:val="14"/>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Reading, Berkshire, RG2 6GP, United Kingdom</w:t>
            </w:r>
          </w:p>
        </w:tc>
        <w:tc>
          <w:tcPr>
            <w:tcW w:w="18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Sterling Synergy Systems Limited</w:t>
            </w: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860" w:type="dxa"/>
            <w:vAlign w:val="bottom"/>
          </w:tcPr>
          <w:p>
            <w:pPr>
              <w:ind w:left="8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500" w:type="dxa"/>
            <w:vAlign w:val="bottom"/>
          </w:tcPr>
          <w:p>
            <w:pPr>
              <w:spacing w:after="0"/>
              <w:rPr>
                <w:sz w:val="14"/>
                <w:szCs w:val="14"/>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Reading, Berkshire, RG2 6GP, United Kingdom</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VSK (Kenilworth) Limited</w:t>
            </w:r>
          </w:p>
        </w:tc>
        <w:tc>
          <w:tcPr>
            <w:tcW w:w="41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9"/>
              </w:rPr>
              <w:t>3rd Floor, North &amp; South Wings, 100 Longwater Avenue, Green Park,</w:t>
            </w:r>
          </w:p>
        </w:tc>
        <w:tc>
          <w:tcPr>
            <w:tcW w:w="18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500" w:type="dxa"/>
            <w:vAlign w:val="bottom"/>
            <w:shd w:val="clear" w:color="auto" w:fill="CCEEFF"/>
          </w:tcPr>
          <w:p>
            <w:pPr>
              <w:spacing w:after="0"/>
              <w:rPr>
                <w:sz w:val="14"/>
                <w:szCs w:val="14"/>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Reading, Berkshire, RG2 6GP, United Kingdom</w:t>
            </w:r>
          </w:p>
        </w:tc>
        <w:tc>
          <w:tcPr>
            <w:tcW w:w="18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RPS Global S.A.</w:t>
            </w: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Plaza Cagancha 1145,</w:t>
            </w:r>
          </w:p>
        </w:tc>
        <w:tc>
          <w:tcPr>
            <w:tcW w:w="186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4th Floor</w:t>
            </w: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Montevideo,</w:t>
            </w: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Uruguay 11100</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Latin America S.A</w:t>
            </w:r>
          </w:p>
        </w:tc>
        <w:tc>
          <w:tcPr>
            <w:tcW w:w="41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Plaza Cagancha 1145,</w:t>
            </w:r>
          </w:p>
        </w:tc>
        <w:tc>
          <w:tcPr>
            <w:tcW w:w="18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4th Floor</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Montevideo,</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Uruguay 11100</w:t>
            </w:r>
          </w:p>
        </w:tc>
        <w:tc>
          <w:tcPr>
            <w:tcW w:w="18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KCR U.S., Inc.</w:t>
            </w: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30 Rowes Wharf, Suite 430,</w:t>
            </w:r>
          </w:p>
        </w:tc>
        <w:tc>
          <w:tcPr>
            <w:tcW w:w="186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Boston, MA 02110,</w:t>
            </w: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Early Phase Services, LLC</w:t>
            </w:r>
          </w:p>
        </w:tc>
        <w:tc>
          <w:tcPr>
            <w:tcW w:w="41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8307 Gault Lane,</w:t>
            </w:r>
          </w:p>
        </w:tc>
        <w:tc>
          <w:tcPr>
            <w:tcW w:w="18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San Antonio,</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TX 78209-1015</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w:t>
            </w:r>
          </w:p>
        </w:tc>
        <w:tc>
          <w:tcPr>
            <w:tcW w:w="18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ClinStar LLC</w:t>
            </w: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4131 Parklake Avenue</w:t>
            </w:r>
          </w:p>
        </w:tc>
        <w:tc>
          <w:tcPr>
            <w:tcW w:w="186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Suite 600</w:t>
            </w: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Raleigh, NC 27612,</w:t>
            </w: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Nextrials, Inc.</w:t>
            </w:r>
          </w:p>
        </w:tc>
        <w:tc>
          <w:tcPr>
            <w:tcW w:w="41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731 Arbor Way,</w:t>
            </w:r>
          </w:p>
        </w:tc>
        <w:tc>
          <w:tcPr>
            <w:tcW w:w="18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Suite 100</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Blue Bell, PA 19422,</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w:t>
            </w:r>
          </w:p>
        </w:tc>
        <w:tc>
          <w:tcPr>
            <w:tcW w:w="18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CIS, LLC</w:t>
            </w: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4131 Parklake Avenue</w:t>
            </w:r>
          </w:p>
        </w:tc>
        <w:tc>
          <w:tcPr>
            <w:tcW w:w="186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Suite 600</w:t>
            </w: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Raleigh, NC 27612</w:t>
            </w: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Eastern Europe, LLC</w:t>
            </w:r>
          </w:p>
        </w:tc>
        <w:tc>
          <w:tcPr>
            <w:tcW w:w="41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4131 Parklake Avenue</w:t>
            </w:r>
          </w:p>
        </w:tc>
        <w:tc>
          <w:tcPr>
            <w:tcW w:w="18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Suite 600</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Raleigh, NC 27612,</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w:t>
            </w:r>
          </w:p>
        </w:tc>
        <w:tc>
          <w:tcPr>
            <w:tcW w:w="18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Addplan, Inc.</w:t>
            </w: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731 Arbor Way</w:t>
            </w:r>
          </w:p>
        </w:tc>
        <w:tc>
          <w:tcPr>
            <w:tcW w:w="186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Suite 100</w:t>
            </w: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Blue Bell, PA 19422,</w:t>
            </w: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Beacon Bioscience, Inc</w:t>
            </w:r>
          </w:p>
        </w:tc>
        <w:tc>
          <w:tcPr>
            <w:tcW w:w="41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731 Arbor Way</w:t>
            </w:r>
          </w:p>
        </w:tc>
        <w:tc>
          <w:tcPr>
            <w:tcW w:w="18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Suite 100</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414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Blue Bell, PA 19422,</w:t>
            </w:r>
          </w:p>
        </w:tc>
        <w:tc>
          <w:tcPr>
            <w:tcW w:w="18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w:t>
            </w:r>
          </w:p>
        </w:tc>
        <w:tc>
          <w:tcPr>
            <w:tcW w:w="18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C4 MedSolutions, LLC</w:t>
            </w:r>
          </w:p>
        </w:tc>
        <w:tc>
          <w:tcPr>
            <w:tcW w:w="4140" w:type="dxa"/>
            <w:vAlign w:val="bottom"/>
          </w:tcPr>
          <w:p>
            <w:pPr>
              <w:ind w:left="140"/>
              <w:spacing w:after="0" w:line="128" w:lineRule="exact"/>
              <w:rPr>
                <w:sz w:val="20"/>
                <w:szCs w:val="20"/>
                <w:color w:val="auto"/>
              </w:rPr>
            </w:pPr>
            <w:r>
              <w:rPr>
                <w:rFonts w:ascii="Arial" w:cs="Arial" w:eastAsia="Arial" w:hAnsi="Arial"/>
                <w:sz w:val="13"/>
                <w:szCs w:val="13"/>
                <w:color w:val="auto"/>
              </w:rPr>
              <w:t>731 Arbor Way</w:t>
            </w:r>
          </w:p>
        </w:tc>
        <w:tc>
          <w:tcPr>
            <w:tcW w:w="1860" w:type="dxa"/>
            <w:vAlign w:val="bottom"/>
          </w:tcPr>
          <w:p>
            <w:pPr>
              <w:ind w:left="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39"/>
        </w:trPr>
        <w:tc>
          <w:tcPr>
            <w:tcW w:w="3500" w:type="dxa"/>
            <w:vAlign w:val="bottom"/>
          </w:tcPr>
          <w:p>
            <w:pPr>
              <w:spacing w:after="0"/>
              <w:rPr>
                <w:sz w:val="12"/>
                <w:szCs w:val="12"/>
                <w:color w:val="auto"/>
              </w:rPr>
            </w:pPr>
          </w:p>
        </w:tc>
        <w:tc>
          <w:tcPr>
            <w:tcW w:w="4140" w:type="dxa"/>
            <w:vAlign w:val="bottom"/>
          </w:tcPr>
          <w:p>
            <w:pPr>
              <w:ind w:left="140"/>
              <w:spacing w:after="0" w:line="139" w:lineRule="exact"/>
              <w:rPr>
                <w:sz w:val="20"/>
                <w:szCs w:val="20"/>
                <w:color w:val="auto"/>
              </w:rPr>
            </w:pPr>
            <w:r>
              <w:rPr>
                <w:rFonts w:ascii="Arial" w:cs="Arial" w:eastAsia="Arial" w:hAnsi="Arial"/>
                <w:sz w:val="13"/>
                <w:szCs w:val="13"/>
                <w:color w:val="auto"/>
              </w:rPr>
              <w:t>Suite 100</w:t>
            </w:r>
          </w:p>
        </w:tc>
        <w:tc>
          <w:tcPr>
            <w:tcW w:w="1860" w:type="dxa"/>
            <w:vAlign w:val="bottom"/>
          </w:tcPr>
          <w:p>
            <w:pPr>
              <w:spacing w:after="0"/>
              <w:rPr>
                <w:sz w:val="12"/>
                <w:szCs w:val="12"/>
                <w:color w:val="auto"/>
              </w:rPr>
            </w:pPr>
          </w:p>
        </w:tc>
        <w:tc>
          <w:tcPr>
            <w:tcW w:w="1760" w:type="dxa"/>
            <w:vAlign w:val="bottom"/>
          </w:tcPr>
          <w:p>
            <w:pPr>
              <w:spacing w:after="0"/>
              <w:rPr>
                <w:sz w:val="12"/>
                <w:szCs w:val="12"/>
                <w:color w:val="auto"/>
              </w:rPr>
            </w:pPr>
          </w:p>
        </w:tc>
      </w:tr>
    </w:tbl>
    <w:p>
      <w:pPr>
        <w:ind w:left="3640"/>
        <w:spacing w:after="0" w:line="204" w:lineRule="auto"/>
        <w:rPr>
          <w:sz w:val="20"/>
          <w:szCs w:val="20"/>
          <w:color w:val="auto"/>
        </w:rPr>
      </w:pPr>
      <w:r>
        <w:rPr>
          <w:rFonts w:ascii="Arial" w:cs="Arial" w:eastAsia="Arial" w:hAnsi="Arial"/>
          <w:sz w:val="13"/>
          <w:szCs w:val="13"/>
          <w:color w:val="auto"/>
        </w:rPr>
        <w:t>Blue Bell, PA 19422,</w:t>
      </w:r>
    </w:p>
    <w:p>
      <w:pPr>
        <w:ind w:left="3640"/>
        <w:spacing w:after="0"/>
        <w:rPr>
          <w:sz w:val="20"/>
          <w:szCs w:val="20"/>
          <w:color w:val="auto"/>
        </w:rPr>
      </w:pPr>
      <w:r>
        <w:rPr>
          <w:rFonts w:ascii="Arial" w:cs="Arial" w:eastAsia="Arial" w:hAnsi="Arial"/>
          <w:sz w:val="13"/>
          <w:szCs w:val="13"/>
          <w:color w:val="auto"/>
        </w:rPr>
        <w:t>United States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133</w:t>
      </w:r>
    </w:p>
    <w:p>
      <w:pPr>
        <w:sectPr>
          <w:pgSz w:w="11900" w:h="16838" w:orient="portrait"/>
          <w:cols w:equalWidth="0" w:num="1">
            <w:col w:w="11260"/>
          </w:cols>
          <w:pgMar w:left="300" w:top="69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04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4260" w:type="dxa"/>
            <w:vAlign w:val="bottom"/>
            <w:shd w:val="clear" w:color="auto" w:fill="CCEEFF"/>
          </w:tcPr>
          <w:p>
            <w:pPr>
              <w:ind w:left="248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2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spacing w:after="0"/>
              <w:rPr>
                <w:sz w:val="14"/>
                <w:szCs w:val="14"/>
                <w:color w:val="auto"/>
              </w:rPr>
            </w:pPr>
          </w:p>
        </w:tc>
        <w:tc>
          <w:tcPr>
            <w:tcW w:w="42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200" w:type="dxa"/>
            <w:vAlign w:val="bottom"/>
          </w:tcPr>
          <w:p>
            <w:pPr>
              <w:ind w:left="20"/>
              <w:spacing w:after="0" w:line="118" w:lineRule="exact"/>
              <w:rPr>
                <w:sz w:val="20"/>
                <w:szCs w:val="20"/>
                <w:color w:val="auto"/>
              </w:rPr>
            </w:pPr>
            <w:r>
              <w:rPr>
                <w:rFonts w:ascii="Arial" w:cs="Arial" w:eastAsia="Arial" w:hAnsi="Arial"/>
                <w:sz w:val="13"/>
                <w:szCs w:val="13"/>
                <w:color w:val="auto"/>
              </w:rPr>
              <w:t>Care Innovations, Inc.</w:t>
            </w:r>
          </w:p>
        </w:tc>
        <w:tc>
          <w:tcPr>
            <w:tcW w:w="2040" w:type="dxa"/>
            <w:vAlign w:val="bottom"/>
          </w:tcPr>
          <w:p>
            <w:pPr>
              <w:ind w:left="440"/>
              <w:spacing w:after="0" w:line="11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Care Innovations, LLC</w:t>
            </w:r>
          </w:p>
        </w:tc>
        <w:tc>
          <w:tcPr>
            <w:tcW w:w="20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CHC Group, LLC</w:t>
            </w: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CRI NewCo, Inc.</w:t>
            </w:r>
          </w:p>
        </w:tc>
        <w:tc>
          <w:tcPr>
            <w:tcW w:w="20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4131 Parklake Avenue</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600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CRI Worldwide, LLC</w:t>
            </w: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4131 Parklake Avenue</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Suite 600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CRN Holdings, LLC</w:t>
            </w:r>
          </w:p>
        </w:tc>
        <w:tc>
          <w:tcPr>
            <w:tcW w:w="20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CRN North America, LLC</w:t>
            </w: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Global Pharmaceutical Strategies Group, LLC</w:t>
            </w:r>
          </w:p>
        </w:tc>
        <w:tc>
          <w:tcPr>
            <w:tcW w:w="20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ICON Clinical Investments, LLC</w:t>
            </w: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Investment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LLC</w:t>
            </w:r>
          </w:p>
        </w:tc>
        <w:tc>
          <w:tcPr>
            <w:tcW w:w="20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LP</w:t>
            </w: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Laboratory Services, Inc.</w:t>
            </w:r>
          </w:p>
        </w:tc>
        <w:tc>
          <w:tcPr>
            <w:tcW w:w="20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123 Smith Street,</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Farmingdale,</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NY 11735</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ICON Tennessee, LLC</w:t>
            </w: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731 Arbor Way</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2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US Holdings Inc.</w:t>
            </w:r>
          </w:p>
        </w:tc>
        <w:tc>
          <w:tcPr>
            <w:tcW w:w="20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731 Arbor Way</w:t>
            </w:r>
          </w:p>
        </w:tc>
        <w:tc>
          <w:tcPr>
            <w:tcW w:w="4260" w:type="dxa"/>
            <w:vAlign w:val="bottom"/>
            <w:shd w:val="clear" w:color="auto" w:fill="CCEEFF"/>
          </w:tcPr>
          <w:p>
            <w:pPr>
              <w:ind w:left="248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Suite 100</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20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Blue Bell, PA 19422,</w:t>
            </w:r>
          </w:p>
        </w:tc>
        <w:tc>
          <w:tcPr>
            <w:tcW w:w="42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200" w:type="dxa"/>
            <w:vAlign w:val="bottom"/>
            <w:shd w:val="clear" w:color="auto" w:fill="CCEEFF"/>
          </w:tcPr>
          <w:p>
            <w:pPr>
              <w:spacing w:after="0"/>
              <w:rPr>
                <w:sz w:val="14"/>
                <w:szCs w:val="14"/>
                <w:color w:val="auto"/>
              </w:rPr>
            </w:pPr>
          </w:p>
        </w:tc>
        <w:tc>
          <w:tcPr>
            <w:tcW w:w="2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200" w:type="dxa"/>
            <w:vAlign w:val="bottom"/>
          </w:tcPr>
          <w:p>
            <w:pPr>
              <w:ind w:left="20"/>
              <w:spacing w:after="0" w:line="128" w:lineRule="exact"/>
              <w:rPr>
                <w:sz w:val="20"/>
                <w:szCs w:val="20"/>
                <w:color w:val="auto"/>
              </w:rPr>
            </w:pPr>
            <w:r>
              <w:rPr>
                <w:rFonts w:ascii="Arial" w:cs="Arial" w:eastAsia="Arial" w:hAnsi="Arial"/>
                <w:sz w:val="13"/>
                <w:szCs w:val="13"/>
                <w:color w:val="auto"/>
              </w:rPr>
              <w:t>International Medical Technical Consultants, LLC</w:t>
            </w: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4131 Parklake Avenue</w:t>
            </w:r>
          </w:p>
        </w:tc>
        <w:tc>
          <w:tcPr>
            <w:tcW w:w="4260" w:type="dxa"/>
            <w:vAlign w:val="bottom"/>
          </w:tcPr>
          <w:p>
            <w:pPr>
              <w:ind w:left="248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Suite 600</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200" w:type="dxa"/>
            <w:vAlign w:val="bottom"/>
          </w:tcPr>
          <w:p>
            <w:pPr>
              <w:spacing w:after="0"/>
              <w:rPr>
                <w:sz w:val="11"/>
                <w:szCs w:val="11"/>
                <w:color w:val="auto"/>
              </w:rPr>
            </w:pPr>
          </w:p>
        </w:tc>
        <w:tc>
          <w:tcPr>
            <w:tcW w:w="2040" w:type="dxa"/>
            <w:vAlign w:val="bottom"/>
          </w:tcPr>
          <w:p>
            <w:pPr>
              <w:ind w:left="440"/>
              <w:spacing w:after="0" w:line="128" w:lineRule="exact"/>
              <w:rPr>
                <w:sz w:val="20"/>
                <w:szCs w:val="20"/>
                <w:color w:val="auto"/>
              </w:rPr>
            </w:pPr>
            <w:r>
              <w:rPr>
                <w:rFonts w:ascii="Arial" w:cs="Arial" w:eastAsia="Arial" w:hAnsi="Arial"/>
                <w:sz w:val="13"/>
                <w:szCs w:val="13"/>
                <w:color w:val="auto"/>
              </w:rPr>
              <w:t>Raleigh, NC 27612,</w:t>
            </w:r>
          </w:p>
        </w:tc>
        <w:tc>
          <w:tcPr>
            <w:tcW w:w="42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2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Arial" w:cs="Arial" w:eastAsia="Arial" w:hAnsi="Arial"/>
                <w:sz w:val="13"/>
                <w:szCs w:val="13"/>
                <w:color w:val="auto"/>
              </w:rPr>
              <w:t>United States</w:t>
            </w:r>
          </w:p>
        </w:tc>
        <w:tc>
          <w:tcPr>
            <w:tcW w:w="4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84"/>
        </w:trPr>
        <w:tc>
          <w:tcPr>
            <w:tcW w:w="3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60" w:type="dxa"/>
            <w:vAlign w:val="bottom"/>
          </w:tcPr>
          <w:p>
            <w:pPr>
              <w:ind w:left="300"/>
              <w:spacing w:after="0"/>
              <w:rPr>
                <w:sz w:val="20"/>
                <w:szCs w:val="20"/>
                <w:color w:val="auto"/>
              </w:rPr>
            </w:pPr>
            <w:r>
              <w:rPr>
                <w:rFonts w:ascii="Arial" w:cs="Arial" w:eastAsia="Arial" w:hAnsi="Arial"/>
                <w:sz w:val="13"/>
                <w:szCs w:val="13"/>
                <w:color w:val="auto"/>
              </w:rPr>
              <w:t>134</w:t>
            </w: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7"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4240" w:type="dxa"/>
            <w:vAlign w:val="bottom"/>
            <w:shd w:val="clear" w:color="auto" w:fill="CCEEFF"/>
          </w:tcPr>
          <w:p>
            <w:pPr>
              <w:ind w:left="246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298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spacing w:after="0"/>
              <w:rPr>
                <w:sz w:val="14"/>
                <w:szCs w:val="14"/>
                <w:color w:val="auto"/>
              </w:rPr>
            </w:pPr>
          </w:p>
        </w:tc>
        <w:tc>
          <w:tcPr>
            <w:tcW w:w="4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2980" w:type="dxa"/>
            <w:vAlign w:val="bottom"/>
          </w:tcPr>
          <w:p>
            <w:pPr>
              <w:ind w:left="20"/>
              <w:spacing w:after="0" w:line="118" w:lineRule="exact"/>
              <w:rPr>
                <w:sz w:val="20"/>
                <w:szCs w:val="20"/>
                <w:color w:val="auto"/>
              </w:rPr>
            </w:pPr>
            <w:r>
              <w:rPr>
                <w:rFonts w:ascii="Arial" w:cs="Arial" w:eastAsia="Arial" w:hAnsi="Arial"/>
                <w:sz w:val="13"/>
                <w:szCs w:val="13"/>
                <w:color w:val="auto"/>
              </w:rPr>
              <w:t>MMMM Consulting, LLC</w:t>
            </w:r>
          </w:p>
        </w:tc>
        <w:tc>
          <w:tcPr>
            <w:tcW w:w="2280" w:type="dxa"/>
            <w:vAlign w:val="bottom"/>
          </w:tcPr>
          <w:p>
            <w:pPr>
              <w:ind w:left="660"/>
              <w:spacing w:after="0" w:line="118" w:lineRule="exact"/>
              <w:rPr>
                <w:sz w:val="20"/>
                <w:szCs w:val="20"/>
                <w:color w:val="auto"/>
              </w:rPr>
            </w:pPr>
            <w:r>
              <w:rPr>
                <w:rFonts w:ascii="Arial" w:cs="Arial" w:eastAsia="Arial" w:hAnsi="Arial"/>
                <w:sz w:val="13"/>
                <w:szCs w:val="13"/>
                <w:color w:val="auto"/>
              </w:rPr>
              <w:t>731 Arbor Way</w:t>
            </w:r>
          </w:p>
        </w:tc>
        <w:tc>
          <w:tcPr>
            <w:tcW w:w="4240" w:type="dxa"/>
            <w:vAlign w:val="bottom"/>
          </w:tcPr>
          <w:p>
            <w:pPr>
              <w:ind w:left="246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MMMM Group, LLC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MolecularMD Corp.</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731 Arbor Way</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Oncacare, Inc.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Parallel 6, Inc.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4131 Parklake Avenue</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Early Development Research, Inc.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9755 Ridge Drive</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Lenexa, Kansas 66219,</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Inc.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4131 Parklake Avenue</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Holdings, Inc.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4131 Parklake Avenue</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PRA International, LLC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4131 Parklake Avenue</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Receivables, LLC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4131 Parklake Avenue</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PriceSpective LLC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731 Arbor Way</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PubsHub LLC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LLC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4131 Parklake Avenue</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Inc.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731 Arbor Way,</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100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Blue Bell, PA 19422,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2980" w:type="dxa"/>
            <w:vAlign w:val="bottom"/>
          </w:tcPr>
          <w:p>
            <w:pPr>
              <w:ind w:left="20"/>
              <w:spacing w:after="0" w:line="128" w:lineRule="exact"/>
              <w:rPr>
                <w:sz w:val="20"/>
                <w:szCs w:val="20"/>
                <w:color w:val="auto"/>
              </w:rPr>
            </w:pPr>
            <w:r>
              <w:rPr>
                <w:rFonts w:ascii="Arial" w:cs="Arial" w:eastAsia="Arial" w:hAnsi="Arial"/>
                <w:sz w:val="13"/>
                <w:szCs w:val="13"/>
                <w:color w:val="auto"/>
              </w:rPr>
              <w:t>Roy RPS Holdings LLC</w:t>
            </w: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4131 Parklake Avenue</w:t>
            </w:r>
          </w:p>
        </w:tc>
        <w:tc>
          <w:tcPr>
            <w:tcW w:w="4240" w:type="dxa"/>
            <w:vAlign w:val="bottom"/>
          </w:tcPr>
          <w:p>
            <w:pPr>
              <w:ind w:left="246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2280" w:type="dxa"/>
            <w:vAlign w:val="bottom"/>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298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Global Holdings, LLC</w:t>
            </w:r>
          </w:p>
        </w:tc>
        <w:tc>
          <w:tcPr>
            <w:tcW w:w="228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4131 Parklake Avenue</w:t>
            </w:r>
          </w:p>
        </w:tc>
        <w:tc>
          <w:tcPr>
            <w:tcW w:w="4240" w:type="dxa"/>
            <w:vAlign w:val="bottom"/>
            <w:shd w:val="clear" w:color="auto" w:fill="CCEEFF"/>
          </w:tcPr>
          <w:p>
            <w:pPr>
              <w:ind w:left="2460"/>
              <w:spacing w:after="0" w:line="129" w:lineRule="exact"/>
              <w:rPr>
                <w:sz w:val="20"/>
                <w:szCs w:val="20"/>
                <w:color w:val="auto"/>
              </w:rPr>
            </w:pPr>
            <w:r>
              <w:rPr>
                <w:rFonts w:ascii="Arial" w:cs="Arial" w:eastAsia="Arial" w:hAnsi="Arial"/>
                <w:sz w:val="13"/>
                <w:szCs w:val="13"/>
                <w:color w:val="auto"/>
              </w:rPr>
              <w:t>Holding company</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600</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2980" w:type="dxa"/>
            <w:vAlign w:val="bottom"/>
            <w:shd w:val="clear" w:color="auto" w:fill="CCEEFF"/>
          </w:tcPr>
          <w:p>
            <w:pPr>
              <w:spacing w:after="0"/>
              <w:rPr>
                <w:sz w:val="11"/>
                <w:szCs w:val="11"/>
                <w:color w:val="auto"/>
              </w:rPr>
            </w:pPr>
          </w:p>
        </w:tc>
        <w:tc>
          <w:tcPr>
            <w:tcW w:w="228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Raleigh, NC 27612,</w:t>
            </w:r>
          </w:p>
        </w:tc>
        <w:tc>
          <w:tcPr>
            <w:tcW w:w="4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2980" w:type="dxa"/>
            <w:vAlign w:val="bottom"/>
            <w:shd w:val="clear" w:color="auto" w:fill="CCEEFF"/>
          </w:tcPr>
          <w:p>
            <w:pPr>
              <w:spacing w:after="0"/>
              <w:rPr>
                <w:sz w:val="14"/>
                <w:szCs w:val="14"/>
                <w:color w:val="auto"/>
              </w:rPr>
            </w:pPr>
          </w:p>
        </w:tc>
        <w:tc>
          <w:tcPr>
            <w:tcW w:w="22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4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581"/>
        </w:trPr>
        <w:tc>
          <w:tcPr>
            <w:tcW w:w="2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135</w:t>
            </w: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38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4120" w:type="dxa"/>
            <w:vAlign w:val="bottom"/>
            <w:shd w:val="clear" w:color="auto" w:fill="CCEEFF"/>
          </w:tcPr>
          <w:p>
            <w:pPr>
              <w:ind w:left="234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00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spacing w:after="0"/>
              <w:rPr>
                <w:sz w:val="14"/>
                <w:szCs w:val="14"/>
                <w:color w:val="auto"/>
              </w:rPr>
            </w:pPr>
          </w:p>
        </w:tc>
        <w:tc>
          <w:tcPr>
            <w:tcW w:w="41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000" w:type="dxa"/>
            <w:vAlign w:val="bottom"/>
          </w:tcPr>
          <w:p>
            <w:pPr>
              <w:ind w:left="20"/>
              <w:spacing w:after="0" w:line="118" w:lineRule="exact"/>
              <w:rPr>
                <w:sz w:val="20"/>
                <w:szCs w:val="20"/>
                <w:color w:val="auto"/>
              </w:rPr>
            </w:pPr>
            <w:r>
              <w:rPr>
                <w:rFonts w:ascii="Arial" w:cs="Arial" w:eastAsia="Arial" w:hAnsi="Arial"/>
                <w:sz w:val="13"/>
                <w:szCs w:val="13"/>
                <w:color w:val="auto"/>
              </w:rPr>
              <w:t>RPS Parent Holding LLC</w:t>
            </w:r>
          </w:p>
        </w:tc>
        <w:tc>
          <w:tcPr>
            <w:tcW w:w="2380" w:type="dxa"/>
            <w:vAlign w:val="bottom"/>
          </w:tcPr>
          <w:p>
            <w:pPr>
              <w:ind w:left="640"/>
              <w:spacing w:after="0" w:line="118" w:lineRule="exact"/>
              <w:rPr>
                <w:sz w:val="20"/>
                <w:szCs w:val="20"/>
                <w:color w:val="auto"/>
              </w:rPr>
            </w:pPr>
            <w:r>
              <w:rPr>
                <w:rFonts w:ascii="Arial" w:cs="Arial" w:eastAsia="Arial" w:hAnsi="Arial"/>
                <w:sz w:val="13"/>
                <w:szCs w:val="13"/>
                <w:color w:val="auto"/>
              </w:rPr>
              <w:t>4131 Parklake Avenue</w:t>
            </w:r>
          </w:p>
        </w:tc>
        <w:tc>
          <w:tcPr>
            <w:tcW w:w="4120" w:type="dxa"/>
            <w:vAlign w:val="bottom"/>
          </w:tcPr>
          <w:p>
            <w:pPr>
              <w:ind w:left="2340"/>
              <w:spacing w:after="0" w:line="11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00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000" w:type="dxa"/>
            <w:vAlign w:val="bottom"/>
            <w:shd w:val="clear" w:color="auto" w:fill="CCEEFF"/>
          </w:tcPr>
          <w:p>
            <w:pPr>
              <w:ind w:left="20"/>
              <w:spacing w:after="0" w:line="129" w:lineRule="exact"/>
              <w:rPr>
                <w:sz w:val="20"/>
                <w:szCs w:val="20"/>
                <w:color w:val="auto"/>
              </w:rPr>
            </w:pPr>
            <w:r>
              <w:rPr>
                <w:rFonts w:ascii="Arial" w:cs="Arial" w:eastAsia="Arial" w:hAnsi="Arial"/>
                <w:sz w:val="11"/>
                <w:szCs w:val="11"/>
                <w:color w:val="auto"/>
              </w:rPr>
              <w:t xml:space="preserve">Source Healthcare Analytics, LLC </w:t>
            </w:r>
            <w:r>
              <w:rPr>
                <w:rFonts w:ascii="Arial" w:cs="Arial" w:eastAsia="Arial" w:hAnsi="Arial"/>
                <w:sz w:val="14"/>
                <w:szCs w:val="14"/>
                <w:color w:val="auto"/>
                <w:vertAlign w:val="superscript"/>
              </w:rPr>
              <w:t>6</w:t>
            </w:r>
          </w:p>
        </w:tc>
        <w:tc>
          <w:tcPr>
            <w:tcW w:w="2380" w:type="dxa"/>
            <w:vAlign w:val="bottom"/>
            <w:shd w:val="clear" w:color="auto" w:fill="CCEEFF"/>
          </w:tcPr>
          <w:p>
            <w:pPr>
              <w:ind w:left="640"/>
              <w:spacing w:after="0" w:line="129" w:lineRule="exact"/>
              <w:rPr>
                <w:sz w:val="20"/>
                <w:szCs w:val="20"/>
                <w:color w:val="auto"/>
              </w:rPr>
            </w:pPr>
            <w:r>
              <w:rPr>
                <w:rFonts w:ascii="Arial" w:cs="Arial" w:eastAsia="Arial" w:hAnsi="Arial"/>
                <w:sz w:val="13"/>
                <w:szCs w:val="13"/>
                <w:color w:val="auto"/>
              </w:rPr>
              <w:t>731 Arbor Way</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000" w:type="dxa"/>
            <w:vAlign w:val="bottom"/>
            <w:shd w:val="clear" w:color="auto" w:fill="CCEEFF"/>
          </w:tcPr>
          <w:p>
            <w:pPr>
              <w:spacing w:after="0"/>
              <w:rPr>
                <w:sz w:val="14"/>
                <w:szCs w:val="14"/>
                <w:color w:val="auto"/>
              </w:rPr>
            </w:pPr>
          </w:p>
        </w:tc>
        <w:tc>
          <w:tcPr>
            <w:tcW w:w="2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000" w:type="dxa"/>
            <w:vAlign w:val="bottom"/>
          </w:tcPr>
          <w:p>
            <w:pPr>
              <w:ind w:left="20"/>
              <w:spacing w:after="0" w:line="128" w:lineRule="exact"/>
              <w:rPr>
                <w:sz w:val="20"/>
                <w:szCs w:val="20"/>
                <w:color w:val="auto"/>
              </w:rPr>
            </w:pPr>
            <w:r>
              <w:rPr>
                <w:rFonts w:ascii="Arial" w:cs="Arial" w:eastAsia="Arial" w:hAnsi="Arial"/>
                <w:sz w:val="13"/>
                <w:szCs w:val="13"/>
                <w:color w:val="auto"/>
              </w:rPr>
              <w:t>Sunset Hills, LLC</w:t>
            </w: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4131 Parklake Avenue</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Holding company</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00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000" w:type="dxa"/>
            <w:vAlign w:val="bottom"/>
            <w:shd w:val="clear" w:color="auto" w:fill="CCEEFF"/>
          </w:tcPr>
          <w:p>
            <w:pPr>
              <w:ind w:left="20"/>
              <w:spacing w:after="0" w:line="129" w:lineRule="exact"/>
              <w:rPr>
                <w:sz w:val="20"/>
                <w:szCs w:val="20"/>
                <w:color w:val="auto"/>
              </w:rPr>
            </w:pPr>
            <w:r>
              <w:rPr>
                <w:rFonts w:ascii="Arial" w:cs="Arial" w:eastAsia="Arial" w:hAnsi="Arial"/>
                <w:sz w:val="11"/>
                <w:szCs w:val="11"/>
                <w:color w:val="auto"/>
              </w:rPr>
              <w:t xml:space="preserve">Symphony Health Solutions Corporation </w:t>
            </w:r>
            <w:r>
              <w:rPr>
                <w:rFonts w:ascii="Arial" w:cs="Arial" w:eastAsia="Arial" w:hAnsi="Arial"/>
                <w:sz w:val="14"/>
                <w:szCs w:val="14"/>
                <w:color w:val="auto"/>
                <w:vertAlign w:val="superscript"/>
              </w:rPr>
              <w:t>6</w:t>
            </w:r>
          </w:p>
        </w:tc>
        <w:tc>
          <w:tcPr>
            <w:tcW w:w="2380" w:type="dxa"/>
            <w:vAlign w:val="bottom"/>
            <w:shd w:val="clear" w:color="auto" w:fill="CCEEFF"/>
          </w:tcPr>
          <w:p>
            <w:pPr>
              <w:ind w:left="640"/>
              <w:spacing w:after="0" w:line="129" w:lineRule="exact"/>
              <w:rPr>
                <w:sz w:val="20"/>
                <w:szCs w:val="20"/>
                <w:color w:val="auto"/>
              </w:rPr>
            </w:pPr>
            <w:r>
              <w:rPr>
                <w:rFonts w:ascii="Arial" w:cs="Arial" w:eastAsia="Arial" w:hAnsi="Arial"/>
                <w:sz w:val="13"/>
                <w:szCs w:val="13"/>
                <w:color w:val="auto"/>
              </w:rPr>
              <w:t>731 Arbor Way</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000" w:type="dxa"/>
            <w:vAlign w:val="bottom"/>
            <w:shd w:val="clear" w:color="auto" w:fill="CCEEFF"/>
          </w:tcPr>
          <w:p>
            <w:pPr>
              <w:spacing w:after="0"/>
              <w:rPr>
                <w:sz w:val="14"/>
                <w:szCs w:val="14"/>
                <w:color w:val="auto"/>
              </w:rPr>
            </w:pPr>
          </w:p>
        </w:tc>
        <w:tc>
          <w:tcPr>
            <w:tcW w:w="2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0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Christie Clinic, LLC</w:t>
            </w: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101 West University Avenue</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Champaign</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IL 61820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00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Clinical Resource Network, LLC</w:t>
            </w:r>
          </w:p>
        </w:tc>
        <w:tc>
          <w:tcPr>
            <w:tcW w:w="2380" w:type="dxa"/>
            <w:vAlign w:val="bottom"/>
            <w:shd w:val="clear" w:color="auto" w:fill="CCEEFF"/>
          </w:tcPr>
          <w:p>
            <w:pPr>
              <w:ind w:left="640"/>
              <w:spacing w:after="0" w:line="129" w:lineRule="exact"/>
              <w:rPr>
                <w:sz w:val="20"/>
                <w:szCs w:val="20"/>
                <w:color w:val="auto"/>
              </w:rPr>
            </w:pPr>
            <w:r>
              <w:rPr>
                <w:rFonts w:ascii="Arial" w:cs="Arial" w:eastAsia="Arial" w:hAnsi="Arial"/>
                <w:sz w:val="13"/>
                <w:szCs w:val="13"/>
                <w:color w:val="auto"/>
              </w:rPr>
              <w:t>731 Arbor Way</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000" w:type="dxa"/>
            <w:vAlign w:val="bottom"/>
            <w:shd w:val="clear" w:color="auto" w:fill="CCEEFF"/>
          </w:tcPr>
          <w:p>
            <w:pPr>
              <w:spacing w:after="0"/>
              <w:rPr>
                <w:sz w:val="14"/>
                <w:szCs w:val="14"/>
                <w:color w:val="auto"/>
              </w:rPr>
            </w:pPr>
          </w:p>
        </w:tc>
        <w:tc>
          <w:tcPr>
            <w:tcW w:w="2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United State</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000" w:type="dxa"/>
            <w:vAlign w:val="bottom"/>
          </w:tcPr>
          <w:p>
            <w:pPr>
              <w:ind w:left="20"/>
              <w:spacing w:after="0" w:line="128" w:lineRule="exact"/>
              <w:rPr>
                <w:sz w:val="20"/>
                <w:szCs w:val="20"/>
                <w:color w:val="auto"/>
              </w:rPr>
            </w:pPr>
            <w:r>
              <w:rPr>
                <w:rFonts w:ascii="Arial" w:cs="Arial" w:eastAsia="Arial" w:hAnsi="Arial"/>
                <w:sz w:val="13"/>
                <w:szCs w:val="13"/>
                <w:color w:val="auto"/>
              </w:rPr>
              <w:t>CRI International, LLC</w:t>
            </w: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4131 Parklake Avenue</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00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Global, Inc.</w:t>
            </w:r>
          </w:p>
        </w:tc>
        <w:tc>
          <w:tcPr>
            <w:tcW w:w="2380" w:type="dxa"/>
            <w:vAlign w:val="bottom"/>
            <w:shd w:val="clear" w:color="auto" w:fill="CCEEFF"/>
          </w:tcPr>
          <w:p>
            <w:pPr>
              <w:ind w:left="640"/>
              <w:spacing w:after="0" w:line="129" w:lineRule="exact"/>
              <w:rPr>
                <w:sz w:val="20"/>
                <w:szCs w:val="20"/>
                <w:color w:val="auto"/>
              </w:rPr>
            </w:pPr>
            <w:r>
              <w:rPr>
                <w:rFonts w:ascii="Arial" w:cs="Arial" w:eastAsia="Arial" w:hAnsi="Arial"/>
                <w:sz w:val="13"/>
                <w:szCs w:val="13"/>
                <w:color w:val="auto"/>
              </w:rPr>
              <w:t>731 Arbor Way</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000" w:type="dxa"/>
            <w:vAlign w:val="bottom"/>
            <w:shd w:val="clear" w:color="auto" w:fill="CCEEFF"/>
          </w:tcPr>
          <w:p>
            <w:pPr>
              <w:spacing w:after="0"/>
              <w:rPr>
                <w:sz w:val="14"/>
                <w:szCs w:val="14"/>
                <w:color w:val="auto"/>
              </w:rPr>
            </w:pPr>
          </w:p>
        </w:tc>
        <w:tc>
          <w:tcPr>
            <w:tcW w:w="2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000" w:type="dxa"/>
            <w:vAlign w:val="bottom"/>
          </w:tcPr>
          <w:p>
            <w:pPr>
              <w:ind w:left="20"/>
              <w:spacing w:after="0" w:line="128" w:lineRule="exact"/>
              <w:rPr>
                <w:sz w:val="20"/>
                <w:szCs w:val="20"/>
                <w:color w:val="auto"/>
              </w:rPr>
            </w:pPr>
            <w:r>
              <w:rPr>
                <w:rFonts w:ascii="Arial" w:cs="Arial" w:eastAsia="Arial" w:hAnsi="Arial"/>
                <w:sz w:val="13"/>
                <w:szCs w:val="13"/>
                <w:color w:val="auto"/>
              </w:rPr>
              <w:t>Managed Care Strategic Solutions, L.L.C.</w:t>
            </w: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731 Arbor Way</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Suite 100</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Blue Bell, PA 19422,</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00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Charlotte, LLC</w:t>
            </w:r>
          </w:p>
        </w:tc>
        <w:tc>
          <w:tcPr>
            <w:tcW w:w="2380" w:type="dxa"/>
            <w:vAlign w:val="bottom"/>
            <w:shd w:val="clear" w:color="auto" w:fill="CCEEFF"/>
          </w:tcPr>
          <w:p>
            <w:pPr>
              <w:ind w:left="640"/>
              <w:spacing w:after="0" w:line="129" w:lineRule="exact"/>
              <w:rPr>
                <w:sz w:val="20"/>
                <w:szCs w:val="20"/>
                <w:color w:val="auto"/>
              </w:rPr>
            </w:pPr>
            <w:r>
              <w:rPr>
                <w:rFonts w:ascii="Arial" w:cs="Arial" w:eastAsia="Arial" w:hAnsi="Arial"/>
                <w:sz w:val="13"/>
                <w:szCs w:val="13"/>
                <w:color w:val="auto"/>
              </w:rPr>
              <w:t>4131 Parklake Avenue</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Suite 600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Raleigh, NC 27612,</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000" w:type="dxa"/>
            <w:vAlign w:val="bottom"/>
            <w:shd w:val="clear" w:color="auto" w:fill="CCEEFF"/>
          </w:tcPr>
          <w:p>
            <w:pPr>
              <w:spacing w:after="0"/>
              <w:rPr>
                <w:sz w:val="14"/>
                <w:szCs w:val="14"/>
                <w:color w:val="auto"/>
              </w:rPr>
            </w:pPr>
          </w:p>
        </w:tc>
        <w:tc>
          <w:tcPr>
            <w:tcW w:w="2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0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Hickory, LLC</w:t>
            </w: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221 13th Ave Place NW</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Suite 201</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Hickory</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North Carolina 28601</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00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Raleigh, LLC</w:t>
            </w:r>
          </w:p>
        </w:tc>
        <w:tc>
          <w:tcPr>
            <w:tcW w:w="2380" w:type="dxa"/>
            <w:vAlign w:val="bottom"/>
            <w:shd w:val="clear" w:color="auto" w:fill="CCEEFF"/>
          </w:tcPr>
          <w:p>
            <w:pPr>
              <w:ind w:left="640"/>
              <w:spacing w:after="0" w:line="129" w:lineRule="exact"/>
              <w:rPr>
                <w:sz w:val="20"/>
                <w:szCs w:val="20"/>
                <w:color w:val="auto"/>
              </w:rPr>
            </w:pPr>
            <w:r>
              <w:rPr>
                <w:rFonts w:ascii="Arial" w:cs="Arial" w:eastAsia="Arial" w:hAnsi="Arial"/>
                <w:sz w:val="13"/>
                <w:szCs w:val="13"/>
                <w:color w:val="auto"/>
              </w:rPr>
              <w:t>3700 Barrett Drive</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Suite 310</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Raleigh NC 27609</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000" w:type="dxa"/>
            <w:vAlign w:val="bottom"/>
            <w:shd w:val="clear" w:color="auto" w:fill="CCEEFF"/>
          </w:tcPr>
          <w:p>
            <w:pPr>
              <w:spacing w:after="0"/>
              <w:rPr>
                <w:sz w:val="14"/>
                <w:szCs w:val="14"/>
                <w:color w:val="auto"/>
              </w:rPr>
            </w:pPr>
          </w:p>
        </w:tc>
        <w:tc>
          <w:tcPr>
            <w:tcW w:w="2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0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Rocky Mount, LLC</w:t>
            </w: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901 N. Winstead Avenue</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Rocky Mount</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North Carolina 27804</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00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Salisbury, LLC</w:t>
            </w:r>
          </w:p>
        </w:tc>
        <w:tc>
          <w:tcPr>
            <w:tcW w:w="2380" w:type="dxa"/>
            <w:vAlign w:val="bottom"/>
            <w:shd w:val="clear" w:color="auto" w:fill="CCEEFF"/>
          </w:tcPr>
          <w:p>
            <w:pPr>
              <w:ind w:left="640"/>
              <w:spacing w:after="0" w:line="129" w:lineRule="exact"/>
              <w:rPr>
                <w:sz w:val="20"/>
                <w:szCs w:val="20"/>
                <w:color w:val="auto"/>
              </w:rPr>
            </w:pPr>
            <w:r>
              <w:rPr>
                <w:rFonts w:ascii="Arial" w:cs="Arial" w:eastAsia="Arial" w:hAnsi="Arial"/>
                <w:sz w:val="13"/>
                <w:szCs w:val="13"/>
                <w:color w:val="auto"/>
              </w:rPr>
              <w:t>410 Mocksville Avenue</w:t>
            </w:r>
          </w:p>
        </w:tc>
        <w:tc>
          <w:tcPr>
            <w:tcW w:w="4120" w:type="dxa"/>
            <w:vAlign w:val="bottom"/>
            <w:shd w:val="clear" w:color="auto" w:fill="CCEEFF"/>
          </w:tcPr>
          <w:p>
            <w:pPr>
              <w:ind w:left="234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Salisbury</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000" w:type="dxa"/>
            <w:vAlign w:val="bottom"/>
            <w:shd w:val="clear" w:color="auto" w:fill="CCEEFF"/>
          </w:tcPr>
          <w:p>
            <w:pPr>
              <w:spacing w:after="0"/>
              <w:rPr>
                <w:sz w:val="11"/>
                <w:szCs w:val="11"/>
                <w:color w:val="auto"/>
              </w:rPr>
            </w:pPr>
          </w:p>
        </w:tc>
        <w:tc>
          <w:tcPr>
            <w:tcW w:w="2380" w:type="dxa"/>
            <w:vAlign w:val="bottom"/>
            <w:shd w:val="clear" w:color="auto" w:fill="CCEEFF"/>
          </w:tcPr>
          <w:p>
            <w:pPr>
              <w:ind w:left="640"/>
              <w:spacing w:after="0" w:line="128" w:lineRule="exact"/>
              <w:rPr>
                <w:sz w:val="20"/>
                <w:szCs w:val="20"/>
                <w:color w:val="auto"/>
              </w:rPr>
            </w:pPr>
            <w:r>
              <w:rPr>
                <w:rFonts w:ascii="Arial" w:cs="Arial" w:eastAsia="Arial" w:hAnsi="Arial"/>
                <w:sz w:val="13"/>
                <w:szCs w:val="13"/>
                <w:color w:val="auto"/>
              </w:rPr>
              <w:t>North Carolina 28144</w:t>
            </w:r>
          </w:p>
        </w:tc>
        <w:tc>
          <w:tcPr>
            <w:tcW w:w="4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000" w:type="dxa"/>
            <w:vAlign w:val="bottom"/>
            <w:shd w:val="clear" w:color="auto" w:fill="CCEEFF"/>
          </w:tcPr>
          <w:p>
            <w:pPr>
              <w:spacing w:after="0"/>
              <w:rPr>
                <w:sz w:val="14"/>
                <w:szCs w:val="14"/>
                <w:color w:val="auto"/>
              </w:rPr>
            </w:pPr>
          </w:p>
        </w:tc>
        <w:tc>
          <w:tcPr>
            <w:tcW w:w="2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0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Wilmington, LLC</w:t>
            </w: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1907 Tradd Court</w:t>
            </w:r>
          </w:p>
        </w:tc>
        <w:tc>
          <w:tcPr>
            <w:tcW w:w="4120" w:type="dxa"/>
            <w:vAlign w:val="bottom"/>
          </w:tcPr>
          <w:p>
            <w:pPr>
              <w:ind w:left="234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Wilmington</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2380" w:type="dxa"/>
            <w:vAlign w:val="bottom"/>
          </w:tcPr>
          <w:p>
            <w:pPr>
              <w:ind w:left="640"/>
              <w:spacing w:after="0" w:line="128" w:lineRule="exact"/>
              <w:rPr>
                <w:sz w:val="20"/>
                <w:szCs w:val="20"/>
                <w:color w:val="auto"/>
              </w:rPr>
            </w:pPr>
            <w:r>
              <w:rPr>
                <w:rFonts w:ascii="Arial" w:cs="Arial" w:eastAsia="Arial" w:hAnsi="Arial"/>
                <w:sz w:val="13"/>
                <w:szCs w:val="13"/>
                <w:color w:val="auto"/>
              </w:rPr>
              <w:t>North Carolina 28401</w:t>
            </w:r>
          </w:p>
        </w:tc>
        <w:tc>
          <w:tcPr>
            <w:tcW w:w="41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7"/>
        </w:trPr>
        <w:tc>
          <w:tcPr>
            <w:tcW w:w="300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Arial" w:cs="Arial" w:eastAsia="Arial" w:hAnsi="Arial"/>
                <w:sz w:val="13"/>
                <w:szCs w:val="13"/>
                <w:color w:val="auto"/>
              </w:rPr>
              <w:t>United States</w:t>
            </w: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84"/>
        </w:trPr>
        <w:tc>
          <w:tcPr>
            <w:tcW w:w="3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120" w:type="dxa"/>
            <w:vAlign w:val="bottom"/>
          </w:tcPr>
          <w:p>
            <w:pPr>
              <w:ind w:left="160"/>
              <w:spacing w:after="0"/>
              <w:rPr>
                <w:sz w:val="20"/>
                <w:szCs w:val="20"/>
                <w:color w:val="auto"/>
              </w:rPr>
            </w:pPr>
            <w:r>
              <w:rPr>
                <w:rFonts w:ascii="Arial" w:cs="Arial" w:eastAsia="Arial" w:hAnsi="Arial"/>
                <w:sz w:val="13"/>
                <w:szCs w:val="13"/>
                <w:color w:val="auto"/>
              </w:rPr>
              <w:t>136</w:t>
            </w:r>
          </w:p>
        </w:tc>
        <w:tc>
          <w:tcPr>
            <w:tcW w:w="176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Registered Office</w:t>
            </w:r>
            <w:r>
              <w:rPr>
                <w:rFonts w:ascii="Arial" w:cs="Arial" w:eastAsia="Arial" w:hAnsi="Arial"/>
                <w:sz w:val="16"/>
                <w:szCs w:val="16"/>
                <w:b w:val="1"/>
                <w:bCs w:val="1"/>
                <w:color w:val="auto"/>
                <w:vertAlign w:val="superscript"/>
              </w:rPr>
              <w:t>1</w:t>
            </w:r>
          </w:p>
        </w:tc>
        <w:tc>
          <w:tcPr>
            <w:tcW w:w="194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Nature of business</w:t>
            </w:r>
          </w:p>
        </w:tc>
        <w:tc>
          <w:tcPr>
            <w:tcW w:w="17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300" w:type="dxa"/>
            <w:vAlign w:val="bottom"/>
            <w:tcBorders>
              <w:bottom w:val="single" w:sz="8" w:color="auto"/>
            </w:tcBorders>
            <w:shd w:val="clear" w:color="auto" w:fill="CCEEFF"/>
          </w:tcPr>
          <w:p>
            <w:pPr>
              <w:spacing w:after="0"/>
              <w:rPr>
                <w:sz w:val="14"/>
                <w:szCs w:val="14"/>
                <w:color w:val="auto"/>
              </w:rPr>
            </w:pPr>
          </w:p>
        </w:tc>
        <w:tc>
          <w:tcPr>
            <w:tcW w:w="426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300" w:type="dxa"/>
            <w:vAlign w:val="bottom"/>
          </w:tcPr>
          <w:p>
            <w:pPr>
              <w:ind w:left="20"/>
              <w:spacing w:after="0" w:line="118" w:lineRule="exact"/>
              <w:rPr>
                <w:sz w:val="20"/>
                <w:szCs w:val="20"/>
                <w:color w:val="auto"/>
              </w:rPr>
            </w:pPr>
            <w:r>
              <w:rPr>
                <w:rFonts w:ascii="Arial" w:cs="Arial" w:eastAsia="Arial" w:hAnsi="Arial"/>
                <w:sz w:val="13"/>
                <w:szCs w:val="13"/>
                <w:color w:val="auto"/>
              </w:rPr>
              <w:t>Accellacare of Winston-Salem, LLC</w:t>
            </w:r>
          </w:p>
        </w:tc>
        <w:tc>
          <w:tcPr>
            <w:tcW w:w="4260" w:type="dxa"/>
            <w:vAlign w:val="bottom"/>
          </w:tcPr>
          <w:p>
            <w:pPr>
              <w:ind w:left="340"/>
              <w:spacing w:after="0" w:line="118" w:lineRule="exact"/>
              <w:rPr>
                <w:sz w:val="20"/>
                <w:szCs w:val="20"/>
                <w:color w:val="auto"/>
              </w:rPr>
            </w:pPr>
            <w:r>
              <w:rPr>
                <w:rFonts w:ascii="Arial" w:cs="Arial" w:eastAsia="Arial" w:hAnsi="Arial"/>
                <w:sz w:val="13"/>
                <w:szCs w:val="13"/>
                <w:color w:val="auto"/>
              </w:rPr>
              <w:t>1901 S. Hawthorne Road</w:t>
            </w:r>
          </w:p>
        </w:tc>
        <w:tc>
          <w:tcPr>
            <w:tcW w:w="1940" w:type="dxa"/>
            <w:vAlign w:val="bottom"/>
          </w:tcPr>
          <w:p>
            <w:pPr>
              <w:ind w:left="160"/>
              <w:spacing w:after="0" w:line="11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306</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Winston-Salem</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North Carolina 27103</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US Inc.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1901 S. Hawthorne Road</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Suite 306</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Winston-Salem</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North Carolina 27103</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Complete Healthcare Communications LLC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731 Arbor Way</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Blue Bell, PA 19422,</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Complete Publication Solutions, LLC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731 Arbor Way</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Blue Bell, PA 19422,</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Charleston, LLC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731 Arbor Way</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Blue Bell, PA 19422,</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Bristol, LLC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731 Arbor Way</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Blue Bell, PA 19422,</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Lifetree Clinical Research, LC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731 Arbor Way</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Blue Bell, PA 19422,</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Government and Public Health Solutions, Inc.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731 Arbor Way</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Suite 100</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4260" w:type="dxa"/>
            <w:vAlign w:val="bottom"/>
            <w:shd w:val="clear" w:color="auto" w:fill="CCEEFF"/>
          </w:tcPr>
          <w:p>
            <w:pPr>
              <w:ind w:left="340"/>
              <w:spacing w:after="0" w:line="128" w:lineRule="exact"/>
              <w:rPr>
                <w:sz w:val="20"/>
                <w:szCs w:val="20"/>
                <w:color w:val="auto"/>
              </w:rPr>
            </w:pPr>
            <w:r>
              <w:rPr>
                <w:rFonts w:ascii="Arial" w:cs="Arial" w:eastAsia="Arial" w:hAnsi="Arial"/>
                <w:sz w:val="13"/>
                <w:szCs w:val="13"/>
                <w:color w:val="auto"/>
              </w:rPr>
              <w:t>Blue Bell, PA 19422,</w:t>
            </w: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Inc.</w:t>
            </w: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4131 Parklake Avenue</w:t>
            </w:r>
          </w:p>
        </w:tc>
        <w:tc>
          <w:tcPr>
            <w:tcW w:w="194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1760" w:type="dxa"/>
            <w:vAlign w:val="bottom"/>
          </w:tcPr>
          <w:p>
            <w:pPr>
              <w:ind w:left="3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Suite 600</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4260" w:type="dxa"/>
            <w:vAlign w:val="bottom"/>
          </w:tcPr>
          <w:p>
            <w:pPr>
              <w:ind w:left="340"/>
              <w:spacing w:after="0" w:line="128" w:lineRule="exact"/>
              <w:rPr>
                <w:sz w:val="20"/>
                <w:szCs w:val="20"/>
                <w:color w:val="auto"/>
              </w:rPr>
            </w:pPr>
            <w:r>
              <w:rPr>
                <w:rFonts w:ascii="Arial" w:cs="Arial" w:eastAsia="Arial" w:hAnsi="Arial"/>
                <w:sz w:val="13"/>
                <w:szCs w:val="13"/>
                <w:color w:val="auto"/>
              </w:rPr>
              <w:t>Raleigh, NC 27612,</w:t>
            </w:r>
          </w:p>
        </w:tc>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8"/>
        </w:trPr>
        <w:tc>
          <w:tcPr>
            <w:tcW w:w="330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Arial" w:cs="Arial" w:eastAsia="Arial" w:hAnsi="Arial"/>
                <w:sz w:val="13"/>
                <w:szCs w:val="13"/>
                <w:color w:val="auto"/>
              </w:rPr>
              <w:t>United States</w:t>
            </w: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Vietnam LLC</w:t>
            </w:r>
          </w:p>
        </w:tc>
        <w:tc>
          <w:tcPr>
            <w:tcW w:w="426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Level 6 and 7, Me Linh Point Tower, No. 2 Ngo Duc Ke Street, Ben</w:t>
            </w:r>
          </w:p>
        </w:tc>
        <w:tc>
          <w:tcPr>
            <w:tcW w:w="19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176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300" w:type="dxa"/>
            <w:vAlign w:val="bottom"/>
            <w:shd w:val="clear" w:color="auto" w:fill="CCEEFF"/>
          </w:tcPr>
          <w:p>
            <w:pPr>
              <w:spacing w:after="0"/>
              <w:rPr>
                <w:sz w:val="14"/>
                <w:szCs w:val="14"/>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Nghe Ward, District 1, Ho Chi Minh City, Vietnam</w:t>
            </w:r>
          </w:p>
        </w:tc>
        <w:tc>
          <w:tcPr>
            <w:tcW w:w="19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bl>
    <w:p>
      <w:pPr>
        <w:spacing w:after="0" w:line="199" w:lineRule="exact"/>
        <w:rPr>
          <w:sz w:val="20"/>
          <w:szCs w:val="20"/>
          <w:color w:val="auto"/>
        </w:rPr>
      </w:pPr>
    </w:p>
    <w:p>
      <w:pPr>
        <w:ind w:left="80" w:hanging="75"/>
        <w:spacing w:after="0"/>
        <w:tabs>
          <w:tab w:leader="none" w:pos="80" w:val="left"/>
        </w:tabs>
        <w:numPr>
          <w:ilvl w:val="0"/>
          <w:numId w:val="74"/>
        </w:numPr>
        <w:rPr>
          <w:rFonts w:ascii="Arial" w:cs="Arial" w:eastAsia="Arial" w:hAnsi="Arial"/>
          <w:sz w:val="17"/>
          <w:szCs w:val="17"/>
          <w:color w:val="auto"/>
          <w:vertAlign w:val="superscript"/>
        </w:rPr>
      </w:pPr>
      <w:r>
        <w:rPr>
          <w:rFonts w:ascii="Arial" w:cs="Arial" w:eastAsia="Arial" w:hAnsi="Arial"/>
          <w:sz w:val="13"/>
          <w:szCs w:val="13"/>
          <w:color w:val="auto"/>
        </w:rPr>
        <w:t>Principal office address used for U.S. entities.</w:t>
      </w:r>
    </w:p>
    <w:p>
      <w:pPr>
        <w:spacing w:after="0" w:line="193" w:lineRule="auto"/>
        <w:rPr>
          <w:rFonts w:ascii="Arial" w:cs="Arial" w:eastAsia="Arial" w:hAnsi="Arial"/>
          <w:sz w:val="17"/>
          <w:szCs w:val="17"/>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Majority which is held directly by ICON plc.</w:t>
      </w:r>
    </w:p>
    <w:p>
      <w:pPr>
        <w:spacing w:after="0" w:line="193" w:lineRule="auto"/>
        <w:rPr>
          <w:rFonts w:ascii="Arial" w:cs="Arial" w:eastAsia="Arial" w:hAnsi="Arial"/>
          <w:sz w:val="17"/>
          <w:szCs w:val="17"/>
          <w:color w:val="auto"/>
          <w:vertAlign w:val="superscript"/>
        </w:rPr>
      </w:pPr>
      <w:r>
        <w:rPr>
          <w:rFonts w:ascii="Arial" w:cs="Arial" w:eastAsia="Arial" w:hAnsi="Arial"/>
          <w:sz w:val="16"/>
          <w:szCs w:val="16"/>
          <w:color w:val="auto"/>
          <w:vertAlign w:val="superscript"/>
        </w:rPr>
        <w:t>3</w:t>
      </w:r>
      <w:r>
        <w:rPr>
          <w:rFonts w:ascii="Arial" w:cs="Arial" w:eastAsia="Arial" w:hAnsi="Arial"/>
          <w:sz w:val="13"/>
          <w:szCs w:val="13"/>
          <w:color w:val="auto"/>
        </w:rPr>
        <w:t xml:space="preserve"> Mapi Research Trust is an association, its members are ICON Subsidiary entities.</w:t>
      </w:r>
    </w:p>
    <w:p>
      <w:pPr>
        <w:spacing w:after="0" w:line="191" w:lineRule="auto"/>
        <w:rPr>
          <w:rFonts w:ascii="Arial" w:cs="Arial" w:eastAsia="Arial" w:hAnsi="Arial"/>
          <w:sz w:val="17"/>
          <w:szCs w:val="17"/>
          <w:color w:val="auto"/>
          <w:vertAlign w:val="superscript"/>
        </w:rPr>
      </w:pPr>
      <w:r>
        <w:rPr>
          <w:rFonts w:ascii="Arial" w:cs="Arial" w:eastAsia="Arial" w:hAnsi="Arial"/>
          <w:sz w:val="15"/>
          <w:szCs w:val="15"/>
          <w:color w:val="auto"/>
          <w:vertAlign w:val="superscript"/>
        </w:rPr>
        <w:t>4</w:t>
      </w:r>
      <w:r>
        <w:rPr>
          <w:rFonts w:ascii="Arial" w:cs="Arial" w:eastAsia="Arial" w:hAnsi="Arial"/>
          <w:sz w:val="12"/>
          <w:szCs w:val="12"/>
          <w:color w:val="auto"/>
        </w:rPr>
        <w:t xml:space="preserve"> KCR Czech Republic a.s. liquidated on 6 January 2026.</w:t>
      </w:r>
    </w:p>
    <w:p>
      <w:pPr>
        <w:spacing w:after="0" w:line="193" w:lineRule="auto"/>
        <w:rPr>
          <w:rFonts w:ascii="Arial" w:cs="Arial" w:eastAsia="Arial" w:hAnsi="Arial"/>
          <w:sz w:val="17"/>
          <w:szCs w:val="17"/>
          <w:color w:val="auto"/>
          <w:vertAlign w:val="superscript"/>
        </w:rPr>
      </w:pPr>
      <w:r>
        <w:rPr>
          <w:rFonts w:ascii="Arial" w:cs="Arial" w:eastAsia="Arial" w:hAnsi="Arial"/>
          <w:sz w:val="16"/>
          <w:szCs w:val="16"/>
          <w:color w:val="auto"/>
          <w:vertAlign w:val="superscript"/>
        </w:rPr>
        <w:t>5</w:t>
      </w:r>
      <w:r>
        <w:rPr>
          <w:rFonts w:ascii="Arial" w:cs="Arial" w:eastAsia="Arial" w:hAnsi="Arial"/>
          <w:sz w:val="13"/>
          <w:szCs w:val="13"/>
          <w:color w:val="auto"/>
        </w:rPr>
        <w:t xml:space="preserve"> Averion Europe GmbH i.L liquidated on 26 March 2026.</w:t>
      </w:r>
    </w:p>
    <w:p>
      <w:pPr>
        <w:spacing w:after="0"/>
        <w:rPr>
          <w:rFonts w:ascii="Arial" w:cs="Arial" w:eastAsia="Arial" w:hAnsi="Arial"/>
          <w:sz w:val="17"/>
          <w:szCs w:val="17"/>
          <w:color w:val="auto"/>
          <w:vertAlign w:val="superscript"/>
        </w:rPr>
      </w:pPr>
      <w:r>
        <w:rPr>
          <w:rFonts w:ascii="Arial" w:cs="Arial" w:eastAsia="Arial" w:hAnsi="Arial"/>
          <w:sz w:val="16"/>
          <w:szCs w:val="16"/>
          <w:color w:val="auto"/>
          <w:vertAlign w:val="superscript"/>
        </w:rPr>
        <w:t>6</w:t>
      </w:r>
      <w:r>
        <w:rPr>
          <w:rFonts w:ascii="Arial" w:cs="Arial" w:eastAsia="Arial" w:hAnsi="Arial"/>
          <w:sz w:val="13"/>
          <w:szCs w:val="13"/>
          <w:color w:val="auto"/>
        </w:rPr>
        <w:t xml:space="preserve"> On 8 May 2026, ICON completed the disposition of Symphony Health Solutions Corporation and its subsidiary Source Healthcare Analytics, LLC.</w:t>
      </w:r>
    </w:p>
    <w:p>
      <w:pPr>
        <w:spacing w:after="0" w:line="345" w:lineRule="exact"/>
        <w:rPr>
          <w:sz w:val="20"/>
          <w:szCs w:val="20"/>
          <w:color w:val="auto"/>
        </w:rPr>
      </w:pPr>
    </w:p>
    <w:p>
      <w:pPr>
        <w:ind w:left="320" w:hanging="315"/>
        <w:spacing w:after="0"/>
        <w:tabs>
          <w:tab w:leader="none" w:pos="320"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approved these financial statements on 25 June 2026.</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137</w:t>
      </w:r>
    </w:p>
    <w:p>
      <w:pPr>
        <w:sectPr>
          <w:pgSz w:w="11900" w:h="16838" w:orient="portrait"/>
          <w:cols w:equalWidth="0" w:num="1">
            <w:col w:w="11260"/>
          </w:cols>
          <w:pgMar w:left="300" w:top="697"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Company Statement of Financial Position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Borders>
              <w:bottom w:val="single" w:sz="8" w:color="auto"/>
            </w:tcBorders>
            <w:shd w:val="clear" w:color="auto" w:fill="CCEEFF"/>
          </w:tcPr>
          <w:p>
            <w:pPr>
              <w:spacing w:after="0"/>
              <w:rPr>
                <w:sz w:val="14"/>
                <w:szCs w:val="14"/>
                <w:color w:val="auto"/>
              </w:rPr>
            </w:pPr>
          </w:p>
        </w:tc>
        <w:tc>
          <w:tcPr>
            <w:tcW w:w="3220" w:type="dxa"/>
            <w:vAlign w:val="bottom"/>
            <w:tcBorders>
              <w:bottom w:val="single" w:sz="8" w:color="auto"/>
            </w:tcBorders>
            <w:shd w:val="clear" w:color="auto" w:fill="CCEEFF"/>
          </w:tcPr>
          <w:p>
            <w:pPr>
              <w:jc w:val="center"/>
              <w:ind w:left="2256"/>
              <w:spacing w:after="0"/>
              <w:rPr>
                <w:sz w:val="20"/>
                <w:szCs w:val="20"/>
                <w:color w:val="auto"/>
              </w:rPr>
            </w:pPr>
            <w:r>
              <w:rPr>
                <w:rFonts w:ascii="Arial" w:cs="Arial" w:eastAsia="Arial" w:hAnsi="Arial"/>
                <w:sz w:val="13"/>
                <w:szCs w:val="13"/>
                <w:b w:val="1"/>
                <w:bCs w:val="1"/>
                <w:i w:val="1"/>
                <w:iCs w:val="1"/>
                <w:color w:val="auto"/>
              </w:rPr>
              <w:t>Note</w:t>
            </w:r>
          </w:p>
        </w:tc>
        <w:tc>
          <w:tcPr>
            <w:tcW w:w="16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2024</w:t>
            </w:r>
          </w:p>
        </w:tc>
      </w:tr>
      <w:tr>
        <w:trPr>
          <w:trHeight w:val="160"/>
        </w:trPr>
        <w:tc>
          <w:tcPr>
            <w:tcW w:w="5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2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Property, plant and equipment</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1</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482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r>
      <w:tr>
        <w:trPr>
          <w:trHeight w:val="170"/>
        </w:trPr>
        <w:tc>
          <w:tcPr>
            <w:tcW w:w="5140" w:type="dxa"/>
            <w:vAlign w:val="bottom"/>
          </w:tcPr>
          <w:p>
            <w:pPr>
              <w:ind w:left="80"/>
              <w:spacing w:after="0"/>
              <w:rPr>
                <w:sz w:val="20"/>
                <w:szCs w:val="20"/>
                <w:color w:val="auto"/>
              </w:rPr>
            </w:pPr>
            <w:r>
              <w:rPr>
                <w:rFonts w:ascii="Arial" w:cs="Arial" w:eastAsia="Arial" w:hAnsi="Arial"/>
                <w:sz w:val="13"/>
                <w:szCs w:val="13"/>
                <w:color w:val="auto"/>
              </w:rPr>
              <w:t>Right-of-use assets</w:t>
            </w:r>
          </w:p>
        </w:tc>
        <w:tc>
          <w:tcPr>
            <w:tcW w:w="3220" w:type="dxa"/>
            <w:vAlign w:val="bottom"/>
          </w:tcPr>
          <w:p>
            <w:pPr>
              <w:jc w:val="center"/>
              <w:ind w:left="2256"/>
              <w:spacing w:after="0"/>
              <w:rPr>
                <w:sz w:val="20"/>
                <w:szCs w:val="20"/>
                <w:color w:val="auto"/>
              </w:rPr>
            </w:pPr>
            <w:r>
              <w:rPr>
                <w:rFonts w:ascii="Arial" w:cs="Arial" w:eastAsia="Arial" w:hAnsi="Arial"/>
                <w:sz w:val="13"/>
                <w:szCs w:val="13"/>
                <w:i w:val="1"/>
                <w:iCs w:val="1"/>
                <w:color w:val="auto"/>
                <w:w w:val="82"/>
              </w:rPr>
              <w:t>9</w:t>
            </w:r>
          </w:p>
        </w:tc>
        <w:tc>
          <w:tcPr>
            <w:tcW w:w="1620" w:type="dxa"/>
            <w:vAlign w:val="bottom"/>
          </w:tcPr>
          <w:p>
            <w:pPr>
              <w:jc w:val="right"/>
              <w:ind w:right="176"/>
              <w:spacing w:after="0"/>
              <w:rPr>
                <w:sz w:val="20"/>
                <w:szCs w:val="20"/>
                <w:color w:val="auto"/>
              </w:rPr>
            </w:pPr>
            <w:r>
              <w:rPr>
                <w:rFonts w:ascii="Arial" w:cs="Arial" w:eastAsia="Arial" w:hAnsi="Arial"/>
                <w:sz w:val="13"/>
                <w:szCs w:val="13"/>
                <w:b w:val="1"/>
                <w:bCs w:val="1"/>
                <w:color w:val="auto"/>
              </w:rPr>
              <w:t>5,610</w:t>
            </w:r>
          </w:p>
        </w:tc>
        <w:tc>
          <w:tcPr>
            <w:tcW w:w="1300" w:type="dxa"/>
            <w:vAlign w:val="bottom"/>
          </w:tcPr>
          <w:p>
            <w:pPr>
              <w:jc w:val="right"/>
              <w:spacing w:after="0"/>
              <w:rPr>
                <w:sz w:val="20"/>
                <w:szCs w:val="20"/>
                <w:color w:val="auto"/>
              </w:rPr>
            </w:pPr>
            <w:r>
              <w:rPr>
                <w:rFonts w:ascii="Arial" w:cs="Arial" w:eastAsia="Arial" w:hAnsi="Arial"/>
                <w:sz w:val="13"/>
                <w:szCs w:val="13"/>
                <w:color w:val="auto"/>
              </w:rPr>
              <w:t>5,550</w:t>
            </w: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Investment in subsidiaries</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2</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7,125,357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7,115,418</w:t>
            </w:r>
          </w:p>
        </w:tc>
      </w:tr>
      <w:tr>
        <w:trPr>
          <w:trHeight w:val="170"/>
        </w:trPr>
        <w:tc>
          <w:tcPr>
            <w:tcW w:w="5140" w:type="dxa"/>
            <w:vAlign w:val="bottom"/>
          </w:tcPr>
          <w:p>
            <w:pPr>
              <w:ind w:left="80"/>
              <w:spacing w:after="0"/>
              <w:rPr>
                <w:sz w:val="20"/>
                <w:szCs w:val="20"/>
                <w:color w:val="auto"/>
              </w:rPr>
            </w:pPr>
            <w:r>
              <w:rPr>
                <w:rFonts w:ascii="Arial" w:cs="Arial" w:eastAsia="Arial" w:hAnsi="Arial"/>
                <w:sz w:val="13"/>
                <w:szCs w:val="13"/>
                <w:color w:val="auto"/>
              </w:rPr>
              <w:t>Intangible assets</w:t>
            </w:r>
          </w:p>
        </w:tc>
        <w:tc>
          <w:tcPr>
            <w:tcW w:w="3220" w:type="dxa"/>
            <w:vAlign w:val="bottom"/>
          </w:tcPr>
          <w:p>
            <w:pPr>
              <w:spacing w:after="0"/>
              <w:rPr>
                <w:sz w:val="14"/>
                <w:szCs w:val="14"/>
                <w:color w:val="auto"/>
              </w:rPr>
            </w:pPr>
          </w:p>
        </w:tc>
        <w:tc>
          <w:tcPr>
            <w:tcW w:w="1620" w:type="dxa"/>
            <w:vAlign w:val="bottom"/>
          </w:tcPr>
          <w:p>
            <w:pPr>
              <w:jc w:val="right"/>
              <w:ind w:right="176"/>
              <w:spacing w:after="0"/>
              <w:rPr>
                <w:sz w:val="20"/>
                <w:szCs w:val="20"/>
                <w:color w:val="auto"/>
              </w:rPr>
            </w:pPr>
            <w:r>
              <w:rPr>
                <w:rFonts w:ascii="Arial" w:cs="Arial" w:eastAsia="Arial" w:hAnsi="Arial"/>
                <w:sz w:val="13"/>
                <w:szCs w:val="13"/>
                <w:b w:val="1"/>
                <w:bCs w:val="1"/>
                <w:color w:val="auto"/>
              </w:rPr>
              <w:t>12</w:t>
            </w:r>
          </w:p>
        </w:tc>
        <w:tc>
          <w:tcPr>
            <w:tcW w:w="13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Amounts due from subsidiary undertakings</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5</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10,852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10,852</w:t>
            </w:r>
          </w:p>
        </w:tc>
      </w:tr>
      <w:tr>
        <w:trPr>
          <w:trHeight w:val="170"/>
        </w:trPr>
        <w:tc>
          <w:tcPr>
            <w:tcW w:w="51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Deferred tax asset</w:t>
            </w:r>
          </w:p>
        </w:tc>
        <w:tc>
          <w:tcPr>
            <w:tcW w:w="3220" w:type="dxa"/>
            <w:vAlign w:val="bottom"/>
            <w:tcBorders>
              <w:bottom w:val="single" w:sz="8" w:color="auto"/>
            </w:tcBorders>
          </w:tcPr>
          <w:p>
            <w:pPr>
              <w:jc w:val="center"/>
              <w:ind w:left="2256"/>
              <w:spacing w:after="0"/>
              <w:rPr>
                <w:sz w:val="20"/>
                <w:szCs w:val="20"/>
                <w:color w:val="auto"/>
              </w:rPr>
            </w:pPr>
            <w:r>
              <w:rPr>
                <w:rFonts w:ascii="Arial" w:cs="Arial" w:eastAsia="Arial" w:hAnsi="Arial"/>
                <w:sz w:val="13"/>
                <w:szCs w:val="13"/>
                <w:i w:val="1"/>
                <w:iCs w:val="1"/>
                <w:color w:val="auto"/>
                <w:w w:val="82"/>
              </w:rPr>
              <w:t>3</w:t>
            </w: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w:t>
            </w:r>
          </w:p>
        </w:tc>
      </w:tr>
      <w:tr>
        <w:trPr>
          <w:trHeight w:val="16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32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7,142,313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7,132,721</w:t>
            </w:r>
          </w:p>
        </w:tc>
      </w:tr>
      <w:tr>
        <w:trPr>
          <w:trHeight w:val="160"/>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3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current assets</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4</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1,461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r>
      <w:tr>
        <w:trPr>
          <w:trHeight w:val="170"/>
        </w:trPr>
        <w:tc>
          <w:tcPr>
            <w:tcW w:w="5140" w:type="dxa"/>
            <w:vAlign w:val="bottom"/>
          </w:tcPr>
          <w:p>
            <w:pPr>
              <w:ind w:left="80"/>
              <w:spacing w:after="0"/>
              <w:rPr>
                <w:sz w:val="20"/>
                <w:szCs w:val="20"/>
                <w:color w:val="auto"/>
              </w:rPr>
            </w:pPr>
            <w:r>
              <w:rPr>
                <w:rFonts w:ascii="Arial" w:cs="Arial" w:eastAsia="Arial" w:hAnsi="Arial"/>
                <w:sz w:val="13"/>
                <w:szCs w:val="13"/>
                <w:color w:val="auto"/>
              </w:rPr>
              <w:t>Amounts due from subsidiary undertakings</w:t>
            </w:r>
          </w:p>
        </w:tc>
        <w:tc>
          <w:tcPr>
            <w:tcW w:w="3220" w:type="dxa"/>
            <w:vAlign w:val="bottom"/>
          </w:tcPr>
          <w:p>
            <w:pPr>
              <w:jc w:val="center"/>
              <w:ind w:left="2256"/>
              <w:spacing w:after="0"/>
              <w:rPr>
                <w:sz w:val="20"/>
                <w:szCs w:val="20"/>
                <w:color w:val="auto"/>
              </w:rPr>
            </w:pPr>
            <w:r>
              <w:rPr>
                <w:rFonts w:ascii="Arial" w:cs="Arial" w:eastAsia="Arial" w:hAnsi="Arial"/>
                <w:sz w:val="13"/>
                <w:szCs w:val="13"/>
                <w:i w:val="1"/>
                <w:iCs w:val="1"/>
                <w:color w:val="auto"/>
                <w:w w:val="82"/>
              </w:rPr>
              <w:t>5</w:t>
            </w:r>
          </w:p>
        </w:tc>
        <w:tc>
          <w:tcPr>
            <w:tcW w:w="1620" w:type="dxa"/>
            <w:vAlign w:val="bottom"/>
          </w:tcPr>
          <w:p>
            <w:pPr>
              <w:jc w:val="right"/>
              <w:ind w:right="176"/>
              <w:spacing w:after="0"/>
              <w:rPr>
                <w:sz w:val="20"/>
                <w:szCs w:val="20"/>
                <w:color w:val="auto"/>
              </w:rPr>
            </w:pPr>
            <w:r>
              <w:rPr>
                <w:rFonts w:ascii="Arial" w:cs="Arial" w:eastAsia="Arial" w:hAnsi="Arial"/>
                <w:sz w:val="13"/>
                <w:szCs w:val="13"/>
                <w:b w:val="1"/>
                <w:bCs w:val="1"/>
                <w:color w:val="auto"/>
              </w:rPr>
              <w:t>302,446</w:t>
            </w:r>
          </w:p>
        </w:tc>
        <w:tc>
          <w:tcPr>
            <w:tcW w:w="1300" w:type="dxa"/>
            <w:vAlign w:val="bottom"/>
          </w:tcPr>
          <w:p>
            <w:pPr>
              <w:jc w:val="right"/>
              <w:spacing w:after="0"/>
              <w:rPr>
                <w:sz w:val="20"/>
                <w:szCs w:val="20"/>
                <w:color w:val="auto"/>
              </w:rPr>
            </w:pPr>
            <w:r>
              <w:rPr>
                <w:rFonts w:ascii="Arial" w:cs="Arial" w:eastAsia="Arial" w:hAnsi="Arial"/>
                <w:sz w:val="13"/>
                <w:szCs w:val="13"/>
                <w:color w:val="auto"/>
              </w:rPr>
              <w:t>220,344</w:t>
            </w:r>
          </w:p>
        </w:tc>
      </w:tr>
      <w:tr>
        <w:trPr>
          <w:trHeight w:val="170"/>
        </w:trPr>
        <w:tc>
          <w:tcPr>
            <w:tcW w:w="51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32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2,675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10,485</w:t>
            </w:r>
          </w:p>
        </w:tc>
      </w:tr>
      <w:tr>
        <w:trPr>
          <w:trHeight w:val="16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3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306,582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231,579</w:t>
            </w:r>
          </w:p>
        </w:tc>
      </w:tr>
      <w:tr>
        <w:trPr>
          <w:trHeight w:val="107"/>
        </w:trPr>
        <w:tc>
          <w:tcPr>
            <w:tcW w:w="5140" w:type="dxa"/>
            <w:vAlign w:val="bottom"/>
            <w:tcBorders>
              <w:bottom w:val="single" w:sz="8" w:color="auto"/>
            </w:tcBorders>
            <w:shd w:val="clear" w:color="auto" w:fill="CCEEFF"/>
          </w:tcPr>
          <w:p>
            <w:pPr>
              <w:spacing w:after="0"/>
              <w:rPr>
                <w:sz w:val="9"/>
                <w:szCs w:val="9"/>
                <w:color w:val="auto"/>
              </w:rPr>
            </w:pPr>
          </w:p>
        </w:tc>
        <w:tc>
          <w:tcPr>
            <w:tcW w:w="3220" w:type="dxa"/>
            <w:vAlign w:val="bottom"/>
            <w:tcBorders>
              <w:bottom w:val="single" w:sz="8" w:color="auto"/>
            </w:tcBorders>
            <w:shd w:val="clear" w:color="auto" w:fill="CCEEFF"/>
          </w:tcPr>
          <w:p>
            <w:pPr>
              <w:spacing w:after="0"/>
              <w:rPr>
                <w:sz w:val="9"/>
                <w:szCs w:val="9"/>
                <w:color w:val="auto"/>
              </w:rPr>
            </w:pPr>
          </w:p>
        </w:tc>
        <w:tc>
          <w:tcPr>
            <w:tcW w:w="162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r>
      <w:tr>
        <w:trPr>
          <w:trHeight w:val="162"/>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assets</w:t>
            </w:r>
          </w:p>
        </w:tc>
        <w:tc>
          <w:tcPr>
            <w:tcW w:w="3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7,448,895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7,364,300</w:t>
            </w:r>
          </w:p>
        </w:tc>
      </w:tr>
      <w:tr>
        <w:trPr>
          <w:trHeight w:val="149"/>
        </w:trPr>
        <w:tc>
          <w:tcPr>
            <w:tcW w:w="514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70"/>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 capital</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7</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6,305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6,586</w:t>
            </w:r>
          </w:p>
        </w:tc>
      </w:tr>
      <w:tr>
        <w:trPr>
          <w:trHeight w:val="170"/>
        </w:trPr>
        <w:tc>
          <w:tcPr>
            <w:tcW w:w="5140" w:type="dxa"/>
            <w:vAlign w:val="bottom"/>
          </w:tcPr>
          <w:p>
            <w:pPr>
              <w:ind w:left="80"/>
              <w:spacing w:after="0"/>
              <w:rPr>
                <w:sz w:val="20"/>
                <w:szCs w:val="20"/>
                <w:color w:val="auto"/>
              </w:rPr>
            </w:pPr>
            <w:r>
              <w:rPr>
                <w:rFonts w:ascii="Arial" w:cs="Arial" w:eastAsia="Arial" w:hAnsi="Arial"/>
                <w:sz w:val="13"/>
                <w:szCs w:val="13"/>
                <w:color w:val="auto"/>
              </w:rPr>
              <w:t>Share premium</w:t>
            </w:r>
          </w:p>
        </w:tc>
        <w:tc>
          <w:tcPr>
            <w:tcW w:w="3220" w:type="dxa"/>
            <w:vAlign w:val="bottom"/>
          </w:tcPr>
          <w:p>
            <w:pPr>
              <w:jc w:val="center"/>
              <w:ind w:left="2256"/>
              <w:spacing w:after="0"/>
              <w:rPr>
                <w:sz w:val="20"/>
                <w:szCs w:val="20"/>
                <w:color w:val="auto"/>
              </w:rPr>
            </w:pPr>
            <w:r>
              <w:rPr>
                <w:rFonts w:ascii="Arial" w:cs="Arial" w:eastAsia="Arial" w:hAnsi="Arial"/>
                <w:sz w:val="13"/>
                <w:szCs w:val="13"/>
                <w:i w:val="1"/>
                <w:iCs w:val="1"/>
                <w:color w:val="auto"/>
                <w:w w:val="82"/>
              </w:rPr>
              <w:t>7</w:t>
            </w:r>
          </w:p>
        </w:tc>
        <w:tc>
          <w:tcPr>
            <w:tcW w:w="1620" w:type="dxa"/>
            <w:vAlign w:val="bottom"/>
          </w:tcPr>
          <w:p>
            <w:pPr>
              <w:jc w:val="right"/>
              <w:ind w:right="176"/>
              <w:spacing w:after="0"/>
              <w:rPr>
                <w:sz w:val="20"/>
                <w:szCs w:val="20"/>
                <w:color w:val="auto"/>
              </w:rPr>
            </w:pPr>
            <w:r>
              <w:rPr>
                <w:rFonts w:ascii="Arial" w:cs="Arial" w:eastAsia="Arial" w:hAnsi="Arial"/>
                <w:sz w:val="13"/>
                <w:szCs w:val="13"/>
                <w:b w:val="1"/>
                <w:bCs w:val="1"/>
                <w:color w:val="auto"/>
              </w:rPr>
              <w:t>569,507</w:t>
            </w:r>
          </w:p>
        </w:tc>
        <w:tc>
          <w:tcPr>
            <w:tcW w:w="1300" w:type="dxa"/>
            <w:vAlign w:val="bottom"/>
          </w:tcPr>
          <w:p>
            <w:pPr>
              <w:jc w:val="right"/>
              <w:spacing w:after="0"/>
              <w:rPr>
                <w:sz w:val="20"/>
                <w:szCs w:val="20"/>
                <w:color w:val="auto"/>
              </w:rPr>
            </w:pPr>
            <w:r>
              <w:rPr>
                <w:rFonts w:ascii="Arial" w:cs="Arial" w:eastAsia="Arial" w:hAnsi="Arial"/>
                <w:sz w:val="13"/>
                <w:szCs w:val="13"/>
                <w:color w:val="auto"/>
              </w:rPr>
              <w:t>559,804</w:t>
            </w: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Merger reserve</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7</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5,656,195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r>
      <w:tr>
        <w:trPr>
          <w:trHeight w:val="170"/>
        </w:trPr>
        <w:tc>
          <w:tcPr>
            <w:tcW w:w="5140" w:type="dxa"/>
            <w:vAlign w:val="bottom"/>
          </w:tcPr>
          <w:p>
            <w:pPr>
              <w:ind w:left="80"/>
              <w:spacing w:after="0"/>
              <w:rPr>
                <w:sz w:val="20"/>
                <w:szCs w:val="20"/>
                <w:color w:val="auto"/>
              </w:rPr>
            </w:pPr>
            <w:r>
              <w:rPr>
                <w:rFonts w:ascii="Arial" w:cs="Arial" w:eastAsia="Arial" w:hAnsi="Arial"/>
                <w:sz w:val="13"/>
                <w:szCs w:val="13"/>
                <w:color w:val="auto"/>
              </w:rPr>
              <w:t>Other undenominated capital</w:t>
            </w:r>
          </w:p>
        </w:tc>
        <w:tc>
          <w:tcPr>
            <w:tcW w:w="3220" w:type="dxa"/>
            <w:vAlign w:val="bottom"/>
          </w:tcPr>
          <w:p>
            <w:pPr>
              <w:jc w:val="center"/>
              <w:ind w:left="2256"/>
              <w:spacing w:after="0"/>
              <w:rPr>
                <w:sz w:val="20"/>
                <w:szCs w:val="20"/>
                <w:color w:val="auto"/>
              </w:rPr>
            </w:pPr>
            <w:r>
              <w:rPr>
                <w:rFonts w:ascii="Arial" w:cs="Arial" w:eastAsia="Arial" w:hAnsi="Arial"/>
                <w:sz w:val="13"/>
                <w:szCs w:val="13"/>
                <w:i w:val="1"/>
                <w:iCs w:val="1"/>
                <w:color w:val="auto"/>
                <w:w w:val="82"/>
              </w:rPr>
              <w:t>7</w:t>
            </w:r>
          </w:p>
        </w:tc>
        <w:tc>
          <w:tcPr>
            <w:tcW w:w="1620" w:type="dxa"/>
            <w:vAlign w:val="bottom"/>
          </w:tcPr>
          <w:p>
            <w:pPr>
              <w:jc w:val="right"/>
              <w:ind w:right="176"/>
              <w:spacing w:after="0"/>
              <w:rPr>
                <w:sz w:val="20"/>
                <w:szCs w:val="20"/>
                <w:color w:val="auto"/>
              </w:rPr>
            </w:pPr>
            <w:r>
              <w:rPr>
                <w:rFonts w:ascii="Arial" w:cs="Arial" w:eastAsia="Arial" w:hAnsi="Arial"/>
                <w:sz w:val="13"/>
                <w:szCs w:val="13"/>
                <w:b w:val="1"/>
                <w:bCs w:val="1"/>
                <w:color w:val="auto"/>
              </w:rPr>
              <w:t>1,606</w:t>
            </w:r>
          </w:p>
        </w:tc>
        <w:tc>
          <w:tcPr>
            <w:tcW w:w="1300" w:type="dxa"/>
            <w:vAlign w:val="bottom"/>
          </w:tcPr>
          <w:p>
            <w:pPr>
              <w:jc w:val="right"/>
              <w:spacing w:after="0"/>
              <w:rPr>
                <w:sz w:val="20"/>
                <w:szCs w:val="20"/>
                <w:color w:val="auto"/>
              </w:rPr>
            </w:pPr>
            <w:r>
              <w:rPr>
                <w:rFonts w:ascii="Arial" w:cs="Arial" w:eastAsia="Arial" w:hAnsi="Arial"/>
                <w:sz w:val="13"/>
                <w:szCs w:val="13"/>
                <w:color w:val="auto"/>
              </w:rPr>
              <w:t>1,304</w:t>
            </w: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Share-based payment reserve</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7</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319,527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270,550</w:t>
            </w:r>
          </w:p>
        </w:tc>
      </w:tr>
      <w:tr>
        <w:trPr>
          <w:trHeight w:val="170"/>
        </w:trPr>
        <w:tc>
          <w:tcPr>
            <w:tcW w:w="5140" w:type="dxa"/>
            <w:vAlign w:val="bottom"/>
          </w:tcPr>
          <w:p>
            <w:pPr>
              <w:ind w:left="80"/>
              <w:spacing w:after="0"/>
              <w:rPr>
                <w:sz w:val="20"/>
                <w:szCs w:val="20"/>
                <w:color w:val="auto"/>
              </w:rPr>
            </w:pPr>
            <w:r>
              <w:rPr>
                <w:rFonts w:ascii="Arial" w:cs="Arial" w:eastAsia="Arial" w:hAnsi="Arial"/>
                <w:sz w:val="13"/>
                <w:szCs w:val="13"/>
                <w:color w:val="auto"/>
              </w:rPr>
              <w:t>Other reserve</w:t>
            </w:r>
          </w:p>
        </w:tc>
        <w:tc>
          <w:tcPr>
            <w:tcW w:w="3220" w:type="dxa"/>
            <w:vAlign w:val="bottom"/>
          </w:tcPr>
          <w:p>
            <w:pPr>
              <w:jc w:val="center"/>
              <w:ind w:left="2256"/>
              <w:spacing w:after="0"/>
              <w:rPr>
                <w:sz w:val="20"/>
                <w:szCs w:val="20"/>
                <w:color w:val="auto"/>
              </w:rPr>
            </w:pPr>
            <w:r>
              <w:rPr>
                <w:rFonts w:ascii="Arial" w:cs="Arial" w:eastAsia="Arial" w:hAnsi="Arial"/>
                <w:sz w:val="13"/>
                <w:szCs w:val="13"/>
                <w:i w:val="1"/>
                <w:iCs w:val="1"/>
                <w:color w:val="auto"/>
                <w:w w:val="82"/>
              </w:rPr>
              <w:t>7</w:t>
            </w:r>
          </w:p>
        </w:tc>
        <w:tc>
          <w:tcPr>
            <w:tcW w:w="1620" w:type="dxa"/>
            <w:vAlign w:val="bottom"/>
          </w:tcPr>
          <w:p>
            <w:pPr>
              <w:jc w:val="right"/>
              <w:ind w:right="176"/>
              <w:spacing w:after="0"/>
              <w:rPr>
                <w:sz w:val="20"/>
                <w:szCs w:val="20"/>
                <w:color w:val="auto"/>
              </w:rPr>
            </w:pPr>
            <w:r>
              <w:rPr>
                <w:rFonts w:ascii="Arial" w:cs="Arial" w:eastAsia="Arial" w:hAnsi="Arial"/>
                <w:sz w:val="13"/>
                <w:szCs w:val="13"/>
                <w:b w:val="1"/>
                <w:bCs w:val="1"/>
                <w:color w:val="auto"/>
              </w:rPr>
              <w:t>27,405</w:t>
            </w:r>
          </w:p>
        </w:tc>
        <w:tc>
          <w:tcPr>
            <w:tcW w:w="1300" w:type="dxa"/>
            <w:vAlign w:val="bottom"/>
          </w:tcPr>
          <w:p>
            <w:pPr>
              <w:jc w:val="right"/>
              <w:spacing w:after="0"/>
              <w:rPr>
                <w:sz w:val="20"/>
                <w:szCs w:val="20"/>
                <w:color w:val="auto"/>
              </w:rPr>
            </w:pPr>
            <w:r>
              <w:rPr>
                <w:rFonts w:ascii="Arial" w:cs="Arial" w:eastAsia="Arial" w:hAnsi="Arial"/>
                <w:sz w:val="13"/>
                <w:szCs w:val="13"/>
                <w:color w:val="auto"/>
              </w:rPr>
              <w:t>27,405</w:t>
            </w: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Foreign currency reserve</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7</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(111,875)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(113,342)</w:t>
            </w:r>
          </w:p>
        </w:tc>
      </w:tr>
      <w:tr>
        <w:trPr>
          <w:trHeight w:val="170"/>
        </w:trPr>
        <w:tc>
          <w:tcPr>
            <w:tcW w:w="51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Retained earnings</w:t>
            </w:r>
          </w:p>
        </w:tc>
        <w:tc>
          <w:tcPr>
            <w:tcW w:w="3220" w:type="dxa"/>
            <w:vAlign w:val="bottom"/>
            <w:tcBorders>
              <w:bottom w:val="single" w:sz="8" w:color="auto"/>
            </w:tcBorders>
          </w:tcPr>
          <w:p>
            <w:pPr>
              <w:jc w:val="center"/>
              <w:ind w:left="2256"/>
              <w:spacing w:after="0"/>
              <w:rPr>
                <w:sz w:val="20"/>
                <w:szCs w:val="20"/>
                <w:color w:val="auto"/>
              </w:rPr>
            </w:pPr>
            <w:r>
              <w:rPr>
                <w:rFonts w:ascii="Arial" w:cs="Arial" w:eastAsia="Arial" w:hAnsi="Arial"/>
                <w:sz w:val="13"/>
                <w:szCs w:val="13"/>
                <w:i w:val="1"/>
                <w:iCs w:val="1"/>
                <w:color w:val="auto"/>
                <w:w w:val="82"/>
              </w:rPr>
              <w:t>7</w:t>
            </w: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939,849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927,650</w:t>
            </w:r>
          </w:p>
        </w:tc>
      </w:tr>
      <w:tr>
        <w:trPr>
          <w:trHeight w:val="16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attributable to equity holders</w:t>
            </w:r>
          </w:p>
        </w:tc>
        <w:tc>
          <w:tcPr>
            <w:tcW w:w="32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7,408,519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7,336,152</w:t>
            </w:r>
          </w:p>
        </w:tc>
      </w:tr>
      <w:tr>
        <w:trPr>
          <w:trHeight w:val="107"/>
        </w:trPr>
        <w:tc>
          <w:tcPr>
            <w:tcW w:w="51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3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Non-current other liabilities</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6</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5,665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5,579</w:t>
            </w:r>
          </w:p>
        </w:tc>
      </w:tr>
      <w:tr>
        <w:trPr>
          <w:trHeight w:val="170"/>
        </w:trPr>
        <w:tc>
          <w:tcPr>
            <w:tcW w:w="51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Deferred tax liabilities</w:t>
            </w:r>
          </w:p>
        </w:tc>
        <w:tc>
          <w:tcPr>
            <w:tcW w:w="3220" w:type="dxa"/>
            <w:vAlign w:val="bottom"/>
            <w:tcBorders>
              <w:bottom w:val="single" w:sz="8" w:color="auto"/>
            </w:tcBorders>
          </w:tcPr>
          <w:p>
            <w:pPr>
              <w:jc w:val="center"/>
              <w:ind w:left="2256"/>
              <w:spacing w:after="0"/>
              <w:rPr>
                <w:sz w:val="20"/>
                <w:szCs w:val="20"/>
                <w:color w:val="auto"/>
              </w:rPr>
            </w:pPr>
            <w:r>
              <w:rPr>
                <w:rFonts w:ascii="Arial" w:cs="Arial" w:eastAsia="Arial" w:hAnsi="Arial"/>
                <w:sz w:val="13"/>
                <w:szCs w:val="13"/>
                <w:i w:val="1"/>
                <w:iCs w:val="1"/>
                <w:color w:val="auto"/>
                <w:w w:val="82"/>
              </w:rPr>
              <w:t>3</w:t>
            </w: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32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5,682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5,579</w:t>
            </w:r>
          </w:p>
        </w:tc>
      </w:tr>
      <w:tr>
        <w:trPr>
          <w:trHeight w:val="160"/>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3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Accounts payable</w:t>
            </w:r>
          </w:p>
        </w:tc>
        <w:tc>
          <w:tcPr>
            <w:tcW w:w="3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1,660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w:t>
            </w:r>
          </w:p>
        </w:tc>
      </w:tr>
      <w:tr>
        <w:trPr>
          <w:trHeight w:val="170"/>
        </w:trPr>
        <w:tc>
          <w:tcPr>
            <w:tcW w:w="5140" w:type="dxa"/>
            <w:vAlign w:val="bottom"/>
          </w:tcPr>
          <w:p>
            <w:pPr>
              <w:ind w:left="80"/>
              <w:spacing w:after="0"/>
              <w:rPr>
                <w:sz w:val="20"/>
                <w:szCs w:val="20"/>
                <w:color w:val="auto"/>
              </w:rPr>
            </w:pPr>
            <w:r>
              <w:rPr>
                <w:rFonts w:ascii="Arial" w:cs="Arial" w:eastAsia="Arial" w:hAnsi="Arial"/>
                <w:sz w:val="13"/>
                <w:szCs w:val="13"/>
                <w:color w:val="auto"/>
              </w:rPr>
              <w:t>Amounts due to subsidiary undertakings</w:t>
            </w:r>
          </w:p>
        </w:tc>
        <w:tc>
          <w:tcPr>
            <w:tcW w:w="3220" w:type="dxa"/>
            <w:vAlign w:val="bottom"/>
          </w:tcPr>
          <w:p>
            <w:pPr>
              <w:jc w:val="center"/>
              <w:ind w:left="2256"/>
              <w:spacing w:after="0"/>
              <w:rPr>
                <w:sz w:val="20"/>
                <w:szCs w:val="20"/>
                <w:color w:val="auto"/>
              </w:rPr>
            </w:pPr>
            <w:r>
              <w:rPr>
                <w:rFonts w:ascii="Arial" w:cs="Arial" w:eastAsia="Arial" w:hAnsi="Arial"/>
                <w:sz w:val="13"/>
                <w:szCs w:val="13"/>
                <w:i w:val="1"/>
                <w:iCs w:val="1"/>
                <w:color w:val="auto"/>
                <w:w w:val="82"/>
              </w:rPr>
              <w:t>5</w:t>
            </w:r>
          </w:p>
        </w:tc>
        <w:tc>
          <w:tcPr>
            <w:tcW w:w="1620" w:type="dxa"/>
            <w:vAlign w:val="bottom"/>
          </w:tcPr>
          <w:p>
            <w:pPr>
              <w:jc w:val="right"/>
              <w:ind w:right="176"/>
              <w:spacing w:after="0"/>
              <w:rPr>
                <w:sz w:val="20"/>
                <w:szCs w:val="20"/>
                <w:color w:val="auto"/>
              </w:rPr>
            </w:pPr>
            <w:r>
              <w:rPr>
                <w:rFonts w:ascii="Arial" w:cs="Arial" w:eastAsia="Arial" w:hAnsi="Arial"/>
                <w:sz w:val="13"/>
                <w:szCs w:val="13"/>
                <w:b w:val="1"/>
                <w:bCs w:val="1"/>
                <w:color w:val="auto"/>
              </w:rPr>
              <w:t>556</w:t>
            </w:r>
          </w:p>
        </w:tc>
        <w:tc>
          <w:tcPr>
            <w:tcW w:w="1300" w:type="dxa"/>
            <w:vAlign w:val="bottom"/>
          </w:tcPr>
          <w:p>
            <w:pPr>
              <w:jc w:val="right"/>
              <w:spacing w:after="0"/>
              <w:rPr>
                <w:sz w:val="20"/>
                <w:szCs w:val="20"/>
                <w:color w:val="auto"/>
              </w:rPr>
            </w:pPr>
            <w:r>
              <w:rPr>
                <w:rFonts w:ascii="Arial" w:cs="Arial" w:eastAsia="Arial" w:hAnsi="Arial"/>
                <w:sz w:val="13"/>
                <w:szCs w:val="13"/>
                <w:color w:val="auto"/>
              </w:rPr>
              <w:t>3,433</w:t>
            </w:r>
          </w:p>
        </w:tc>
      </w:tr>
      <w:tr>
        <w:trPr>
          <w:trHeight w:val="170"/>
        </w:trPr>
        <w:tc>
          <w:tcPr>
            <w:tcW w:w="51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and other liabilities</w:t>
            </w:r>
          </w:p>
        </w:tc>
        <w:tc>
          <w:tcPr>
            <w:tcW w:w="3220" w:type="dxa"/>
            <w:vAlign w:val="bottom"/>
            <w:shd w:val="clear" w:color="auto" w:fill="CCEEFF"/>
          </w:tcPr>
          <w:p>
            <w:pPr>
              <w:jc w:val="center"/>
              <w:ind w:left="2256"/>
              <w:spacing w:after="0"/>
              <w:rPr>
                <w:sz w:val="20"/>
                <w:szCs w:val="20"/>
                <w:color w:val="auto"/>
              </w:rPr>
            </w:pPr>
            <w:r>
              <w:rPr>
                <w:rFonts w:ascii="Arial" w:cs="Arial" w:eastAsia="Arial" w:hAnsi="Arial"/>
                <w:sz w:val="13"/>
                <w:szCs w:val="13"/>
                <w:i w:val="1"/>
                <w:iCs w:val="1"/>
                <w:color w:val="auto"/>
                <w:w w:val="82"/>
              </w:rPr>
              <w:t>6</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7,592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7,301</w:t>
            </w:r>
          </w:p>
        </w:tc>
      </w:tr>
      <w:tr>
        <w:trPr>
          <w:trHeight w:val="170"/>
        </w:trPr>
        <w:tc>
          <w:tcPr>
            <w:tcW w:w="51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Current taxes payable</w:t>
            </w:r>
          </w:p>
        </w:tc>
        <w:tc>
          <w:tcPr>
            <w:tcW w:w="3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24,886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10,675</w:t>
            </w:r>
          </w:p>
        </w:tc>
      </w:tr>
      <w:tr>
        <w:trPr>
          <w:trHeight w:val="16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32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34,694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22,569</w:t>
            </w:r>
          </w:p>
        </w:tc>
      </w:tr>
      <w:tr>
        <w:trPr>
          <w:trHeight w:val="150"/>
        </w:trPr>
        <w:tc>
          <w:tcPr>
            <w:tcW w:w="514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6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32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40,376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28,148</w:t>
            </w:r>
          </w:p>
        </w:tc>
      </w:tr>
      <w:tr>
        <w:trPr>
          <w:trHeight w:val="162"/>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3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7,448,895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7,364,300</w:t>
            </w:r>
          </w:p>
        </w:tc>
      </w:tr>
    </w:tbl>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1"/>
          <w:szCs w:val="11"/>
          <w:i w:val="1"/>
          <w:iCs w:val="1"/>
          <w:color w:val="auto"/>
        </w:rPr>
        <w:t>As permitted by section 304 of the Companies Act, the Company has not presented a Company Statement of Profit and Loss. The profit for the 2025 financial year of the Company amounted to $703.9 million (2024: $425.3 million).</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698" w:right="3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Barry Balfe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6" w:lineRule="exact"/>
        <w:rPr>
          <w:sz w:val="20"/>
          <w:szCs w:val="20"/>
          <w:color w:val="auto"/>
        </w:rPr>
      </w:pPr>
    </w:p>
    <w:p>
      <w:pPr>
        <w:sectPr>
          <w:pgSz w:w="11900" w:h="16838" w:orient="portrait"/>
          <w:cols w:equalWidth="0" w:num="2">
            <w:col w:w="2700" w:space="720"/>
            <w:col w:w="7860"/>
          </w:cols>
          <w:pgMar w:left="300" w:top="698"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698" w:right="319" w:bottom="1440" w:gutter="0" w:footer="0" w:header="0"/>
          <w:type w:val="continuous"/>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138</w:t>
      </w:r>
    </w:p>
    <w:p>
      <w:pPr>
        <w:sectPr>
          <w:pgSz w:w="11900" w:h="16838" w:orient="portrait"/>
          <w:cols w:equalWidth="0" w:num="1">
            <w:col w:w="11280"/>
          </w:cols>
          <w:pgMar w:left="300" w:top="698" w:right="31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8"/>
          <w:szCs w:val="18"/>
          <w:color w:val="auto"/>
        </w:rPr>
        <w:t>Company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Merger</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Other Unde-</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Foreign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Retained Total Equity</w:t>
            </w:r>
          </w:p>
        </w:tc>
      </w:tr>
      <w:tr>
        <w:trPr>
          <w:trHeight w:val="127"/>
        </w:trPr>
        <w:tc>
          <w:tcPr>
            <w:tcW w:w="34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of shares</w:t>
            </w:r>
          </w:p>
        </w:tc>
        <w:tc>
          <w:tcPr>
            <w:tcW w:w="72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Capital</w:t>
            </w:r>
          </w:p>
        </w:tc>
        <w:tc>
          <w:tcPr>
            <w:tcW w:w="74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Premium</w:t>
            </w: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Reserve</w:t>
            </w:r>
          </w:p>
        </w:tc>
        <w:tc>
          <w:tcPr>
            <w:tcW w:w="92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nominated</w:t>
            </w: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Based</w:t>
            </w:r>
          </w:p>
        </w:tc>
        <w:tc>
          <w:tcPr>
            <w:tcW w:w="70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Reserve</w:t>
            </w: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Currency</w:t>
            </w:r>
          </w:p>
        </w:tc>
        <w:tc>
          <w:tcPr>
            <w:tcW w:w="74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Earnings</w:t>
            </w:r>
          </w:p>
        </w:tc>
        <w:tc>
          <w:tcPr>
            <w:tcW w:w="72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Payment</w:t>
            </w: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Reserve</w:t>
            </w:r>
          </w:p>
        </w:tc>
        <w:tc>
          <w:tcPr>
            <w:tcW w:w="7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Reserve</w:t>
            </w: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0"/>
        </w:trPr>
        <w:tc>
          <w:tcPr>
            <w:tcW w:w="3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6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1 January 2025</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80,756,860</w:t>
            </w: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6,586</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559,804</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5,656,195</w:t>
            </w:r>
          </w:p>
        </w:tc>
        <w:tc>
          <w:tcPr>
            <w:tcW w:w="9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1,304</w:t>
            </w: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270,550</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27,405</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(113,342)</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927,650</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7,336,152</w:t>
            </w:r>
          </w:p>
        </w:tc>
      </w:tr>
      <w:tr>
        <w:trPr>
          <w:trHeight w:val="159"/>
        </w:trPr>
        <w:tc>
          <w:tcPr>
            <w:tcW w:w="342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703,899</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703,899</w:t>
            </w:r>
          </w:p>
        </w:tc>
      </w:tr>
      <w:tr>
        <w:trPr>
          <w:trHeight w:val="17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34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Foreign currency translation</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1,467</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1,467</w:t>
            </w:r>
          </w:p>
        </w:tc>
      </w:tr>
      <w:tr>
        <w:trPr>
          <w:trHeight w:val="16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other comprehensive income</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1,467</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1,467</w:t>
            </w:r>
          </w:p>
        </w:tc>
      </w:tr>
      <w:tr>
        <w:trPr>
          <w:trHeight w:val="160"/>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1,467</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703,899</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705,366</w:t>
            </w:r>
          </w:p>
        </w:tc>
      </w:tr>
      <w:tr>
        <w:trPr>
          <w:trHeight w:val="162"/>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3420" w:type="dxa"/>
            <w:vAlign w:val="bottom"/>
          </w:tcPr>
          <w:p>
            <w:pPr>
              <w:ind w:left="80"/>
              <w:spacing w:after="0"/>
              <w:rPr>
                <w:sz w:val="20"/>
                <w:szCs w:val="20"/>
                <w:color w:val="auto"/>
              </w:rPr>
            </w:pPr>
            <w:r>
              <w:rPr>
                <w:rFonts w:ascii="Arial" w:cs="Arial" w:eastAsia="Arial" w:hAnsi="Arial"/>
                <w:sz w:val="13"/>
                <w:szCs w:val="13"/>
                <w:color w:val="auto"/>
              </w:rPr>
              <w:t>Share-based payment</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107,746</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107,746</w:t>
            </w:r>
          </w:p>
        </w:tc>
      </w:tr>
      <w:tr>
        <w:trPr>
          <w:trHeight w:val="171"/>
        </w:trPr>
        <w:tc>
          <w:tcPr>
            <w:tcW w:w="3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 of share options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86,434</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9,703</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9,709</w:t>
            </w:r>
          </w:p>
        </w:tc>
      </w:tr>
      <w:tr>
        <w:trPr>
          <w:trHeight w:val="169"/>
        </w:trPr>
        <w:tc>
          <w:tcPr>
            <w:tcW w:w="3420" w:type="dxa"/>
            <w:vAlign w:val="bottom"/>
          </w:tcPr>
          <w:p>
            <w:pPr>
              <w:ind w:left="80"/>
              <w:spacing w:after="0"/>
              <w:rPr>
                <w:sz w:val="20"/>
                <w:szCs w:val="20"/>
                <w:color w:val="auto"/>
              </w:rPr>
            </w:pPr>
            <w:r>
              <w:rPr>
                <w:rFonts w:ascii="Arial" w:cs="Arial" w:eastAsia="Arial" w:hAnsi="Arial"/>
                <w:sz w:val="13"/>
                <w:szCs w:val="13"/>
                <w:color w:val="auto"/>
              </w:rPr>
              <w:t>Share issue costs</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(19)</w:t>
            </w:r>
          </w:p>
        </w:tc>
        <w:tc>
          <w:tcPr>
            <w:tcW w:w="72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Issue of restricted share units / performance share units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228,361</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w:t>
            </w:r>
          </w:p>
        </w:tc>
      </w:tr>
      <w:tr>
        <w:trPr>
          <w:trHeight w:val="169"/>
        </w:trPr>
        <w:tc>
          <w:tcPr>
            <w:tcW w:w="3420" w:type="dxa"/>
            <w:vAlign w:val="bottom"/>
          </w:tcPr>
          <w:p>
            <w:pPr>
              <w:ind w:left="80"/>
              <w:spacing w:after="0"/>
              <w:rPr>
                <w:sz w:val="20"/>
                <w:szCs w:val="20"/>
                <w:color w:val="auto"/>
              </w:rPr>
            </w:pPr>
            <w:r>
              <w:rPr>
                <w:rFonts w:ascii="Arial" w:cs="Arial" w:eastAsia="Arial" w:hAnsi="Arial"/>
                <w:sz w:val="13"/>
                <w:szCs w:val="13"/>
                <w:color w:val="auto"/>
              </w:rPr>
              <w:t>Repurchase of ordinary shares</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(4,504,330)</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(302)</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6"/>
              <w:spacing w:after="0"/>
              <w:rPr>
                <w:sz w:val="20"/>
                <w:szCs w:val="20"/>
                <w:color w:val="auto"/>
              </w:rPr>
            </w:pPr>
            <w:r>
              <w:rPr>
                <w:rFonts w:ascii="Arial" w:cs="Arial" w:eastAsia="Arial" w:hAnsi="Arial"/>
                <w:sz w:val="13"/>
                <w:szCs w:val="13"/>
                <w:color w:val="auto"/>
              </w:rPr>
              <w:t>302</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(750,000)</w:t>
            </w:r>
          </w:p>
        </w:tc>
        <w:tc>
          <w:tcPr>
            <w:tcW w:w="720" w:type="dxa"/>
            <w:vAlign w:val="bottom"/>
          </w:tcPr>
          <w:p>
            <w:pPr>
              <w:jc w:val="right"/>
              <w:spacing w:after="0"/>
              <w:rPr>
                <w:sz w:val="20"/>
                <w:szCs w:val="20"/>
                <w:color w:val="auto"/>
              </w:rPr>
            </w:pPr>
            <w:r>
              <w:rPr>
                <w:rFonts w:ascii="Arial" w:cs="Arial" w:eastAsia="Arial" w:hAnsi="Arial"/>
                <w:sz w:val="13"/>
                <w:szCs w:val="13"/>
                <w:color w:val="auto"/>
              </w:rPr>
              <w:t>(750,000)</w:t>
            </w:r>
          </w:p>
        </w:tc>
      </w:tr>
      <w:tr>
        <w:trPr>
          <w:trHeight w:val="171"/>
        </w:trPr>
        <w:tc>
          <w:tcPr>
            <w:tcW w:w="3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 repurchase costs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(450)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r>
      <w:tr>
        <w:trPr>
          <w:trHeight w:val="169"/>
        </w:trPr>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Transfer of exercised and expired share-based awards</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(58,769)</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58,769</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r>
      <w:tr>
        <w:trPr>
          <w:trHeight w:val="16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(4,189,535)</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(281)</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9,703</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302</w:t>
            </w: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48,977</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(691,700)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(632,999)</w:t>
            </w:r>
          </w:p>
        </w:tc>
      </w:tr>
      <w:tr>
        <w:trPr>
          <w:trHeight w:val="16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2025</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76,567,325</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6,305</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569,507</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5,656,195</w:t>
            </w: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1,606</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319,527</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27,405</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(111,875)</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939,849</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7,408,519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139</w:t>
      </w:r>
    </w:p>
    <w:p>
      <w:pPr>
        <w:sectPr>
          <w:pgSz w:w="11900" w:h="16838" w:orient="portrait"/>
          <w:cols w:equalWidth="0" w:num="1">
            <w:col w:w="11280"/>
          </w:cols>
          <w:pgMar w:left="300" w:top="698" w:right="3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 xml:space="preserve">Company Statement of Changes in Equity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Merger</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Other Unde-</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Other</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Foreign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Retained Total Equity</w:t>
            </w:r>
          </w:p>
        </w:tc>
      </w:tr>
      <w:tr>
        <w:trPr>
          <w:trHeight w:val="127"/>
        </w:trPr>
        <w:tc>
          <w:tcPr>
            <w:tcW w:w="34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of shares</w:t>
            </w:r>
          </w:p>
        </w:tc>
        <w:tc>
          <w:tcPr>
            <w:tcW w:w="72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Capital</w:t>
            </w:r>
          </w:p>
        </w:tc>
        <w:tc>
          <w:tcPr>
            <w:tcW w:w="74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Premium</w:t>
            </w: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Reserve</w:t>
            </w:r>
          </w:p>
        </w:tc>
        <w:tc>
          <w:tcPr>
            <w:tcW w:w="92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nominated</w:t>
            </w:r>
          </w:p>
        </w:tc>
        <w:tc>
          <w:tcPr>
            <w:tcW w:w="76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Based</w:t>
            </w:r>
          </w:p>
        </w:tc>
        <w:tc>
          <w:tcPr>
            <w:tcW w:w="70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Reserve</w:t>
            </w: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Currency</w:t>
            </w:r>
          </w:p>
        </w:tc>
        <w:tc>
          <w:tcPr>
            <w:tcW w:w="74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Earnings</w:t>
            </w:r>
          </w:p>
        </w:tc>
        <w:tc>
          <w:tcPr>
            <w:tcW w:w="72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Payment</w:t>
            </w: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Reserve</w:t>
            </w:r>
          </w:p>
        </w:tc>
        <w:tc>
          <w:tcPr>
            <w:tcW w:w="7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0"/>
        </w:trPr>
        <w:tc>
          <w:tcPr>
            <w:tcW w:w="3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6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1 January 2024</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82,495,086</w:t>
            </w: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6,699</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523,646</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5,656,195</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1,162</w:t>
            </w: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282,520</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27,405</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(112,848)</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949,128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7,333,907</w:t>
            </w:r>
          </w:p>
        </w:tc>
      </w:tr>
      <w:tr>
        <w:trPr>
          <w:trHeight w:val="159"/>
        </w:trPr>
        <w:tc>
          <w:tcPr>
            <w:tcW w:w="342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425,295</w:t>
            </w:r>
          </w:p>
        </w:tc>
        <w:tc>
          <w:tcPr>
            <w:tcW w:w="720" w:type="dxa"/>
            <w:vAlign w:val="bottom"/>
          </w:tcPr>
          <w:p>
            <w:pPr>
              <w:jc w:val="right"/>
              <w:spacing w:after="0"/>
              <w:rPr>
                <w:sz w:val="20"/>
                <w:szCs w:val="20"/>
                <w:color w:val="auto"/>
              </w:rPr>
            </w:pPr>
            <w:r>
              <w:rPr>
                <w:rFonts w:ascii="Arial" w:cs="Arial" w:eastAsia="Arial" w:hAnsi="Arial"/>
                <w:sz w:val="13"/>
                <w:szCs w:val="13"/>
                <w:color w:val="auto"/>
              </w:rPr>
              <w:t>425,295</w:t>
            </w:r>
          </w:p>
        </w:tc>
      </w:tr>
      <w:tr>
        <w:trPr>
          <w:trHeight w:val="17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34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Foreign currency translation</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(494)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w:t>
            </w:r>
          </w:p>
        </w:tc>
      </w:tr>
      <w:tr>
        <w:trPr>
          <w:trHeight w:val="16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other comprehensive loss</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(494)</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w:t>
            </w:r>
          </w:p>
        </w:tc>
      </w:tr>
      <w:tr>
        <w:trPr>
          <w:trHeight w:val="160"/>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(494)</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425,295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424,801</w:t>
            </w:r>
          </w:p>
        </w:tc>
      </w:tr>
      <w:tr>
        <w:trPr>
          <w:trHeight w:val="162"/>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3420" w:type="dxa"/>
            <w:vAlign w:val="bottom"/>
          </w:tcPr>
          <w:p>
            <w:pPr>
              <w:ind w:left="80"/>
              <w:spacing w:after="0"/>
              <w:rPr>
                <w:sz w:val="20"/>
                <w:szCs w:val="20"/>
                <w:color w:val="auto"/>
              </w:rPr>
            </w:pPr>
            <w:r>
              <w:rPr>
                <w:rFonts w:ascii="Arial" w:cs="Arial" w:eastAsia="Arial" w:hAnsi="Arial"/>
                <w:sz w:val="13"/>
                <w:szCs w:val="13"/>
                <w:color w:val="auto"/>
              </w:rPr>
              <w:t>Share-based payment</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41,665</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41,665</w:t>
            </w:r>
          </w:p>
        </w:tc>
      </w:tr>
      <w:tr>
        <w:trPr>
          <w:trHeight w:val="171"/>
        </w:trPr>
        <w:tc>
          <w:tcPr>
            <w:tcW w:w="3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 of share options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311,040</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36,158</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36,178</w:t>
            </w:r>
          </w:p>
        </w:tc>
      </w:tr>
      <w:tr>
        <w:trPr>
          <w:trHeight w:val="169"/>
        </w:trPr>
        <w:tc>
          <w:tcPr>
            <w:tcW w:w="3420" w:type="dxa"/>
            <w:vAlign w:val="bottom"/>
          </w:tcPr>
          <w:p>
            <w:pPr>
              <w:ind w:left="80"/>
              <w:spacing w:after="0"/>
              <w:rPr>
                <w:sz w:val="20"/>
                <w:szCs w:val="20"/>
                <w:color w:val="auto"/>
              </w:rPr>
            </w:pPr>
            <w:r>
              <w:rPr>
                <w:rFonts w:ascii="Arial" w:cs="Arial" w:eastAsia="Arial" w:hAnsi="Arial"/>
                <w:sz w:val="13"/>
                <w:szCs w:val="13"/>
                <w:color w:val="auto"/>
              </w:rPr>
              <w:t>Share issue costs</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7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Issue of restricted share units / performance share units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130,433</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3420" w:type="dxa"/>
            <w:vAlign w:val="bottom"/>
          </w:tcPr>
          <w:p>
            <w:pPr>
              <w:ind w:left="80"/>
              <w:spacing w:after="0"/>
              <w:rPr>
                <w:sz w:val="20"/>
                <w:szCs w:val="20"/>
                <w:color w:val="auto"/>
              </w:rPr>
            </w:pPr>
            <w:r>
              <w:rPr>
                <w:rFonts w:ascii="Arial" w:cs="Arial" w:eastAsia="Arial" w:hAnsi="Arial"/>
                <w:sz w:val="13"/>
                <w:szCs w:val="13"/>
                <w:color w:val="auto"/>
              </w:rPr>
              <w:t>Repurchase of ordinary shares</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(2,179,699)</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(142)</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142</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(499,998)</w:t>
            </w:r>
          </w:p>
        </w:tc>
        <w:tc>
          <w:tcPr>
            <w:tcW w:w="720" w:type="dxa"/>
            <w:vAlign w:val="bottom"/>
          </w:tcPr>
          <w:p>
            <w:pPr>
              <w:jc w:val="right"/>
              <w:spacing w:after="0"/>
              <w:rPr>
                <w:sz w:val="20"/>
                <w:szCs w:val="20"/>
                <w:color w:val="auto"/>
              </w:rPr>
            </w:pPr>
            <w:r>
              <w:rPr>
                <w:rFonts w:ascii="Arial" w:cs="Arial" w:eastAsia="Arial" w:hAnsi="Arial"/>
                <w:sz w:val="13"/>
                <w:szCs w:val="13"/>
                <w:color w:val="auto"/>
              </w:rPr>
              <w:t>(499,998)</w:t>
            </w:r>
          </w:p>
        </w:tc>
      </w:tr>
      <w:tr>
        <w:trPr>
          <w:trHeight w:val="171"/>
        </w:trPr>
        <w:tc>
          <w:tcPr>
            <w:tcW w:w="3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 repurchase costs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(388)</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r>
      <w:tr>
        <w:trPr>
          <w:trHeight w:val="169"/>
        </w:trPr>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Transfer of exercised and expired share-based awards</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(53,635)</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53,635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(1,738,226)</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(113)</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36,158</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142</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(11,970)</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(446,773)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(422,556)</w:t>
            </w:r>
          </w:p>
        </w:tc>
      </w:tr>
      <w:tr>
        <w:trPr>
          <w:trHeight w:val="16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2024</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80,756,860</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6,586</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559,804</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5,656,195</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1,304</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270,550</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27,405</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(113,342)</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927,650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7,336,152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140</w:t>
      </w:r>
    </w:p>
    <w:p>
      <w:pPr>
        <w:sectPr>
          <w:pgSz w:w="11900" w:h="16838" w:orient="portrait"/>
          <w:cols w:equalWidth="0" w:num="1">
            <w:col w:w="11280"/>
          </w:cols>
          <w:pgMar w:left="300" w:top="698" w:right="3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Notes to Company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ind w:left="260" w:hanging="255"/>
        <w:spacing w:after="0"/>
        <w:tabs>
          <w:tab w:leader="none" w:pos="26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 and equipment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400" w:type="dxa"/>
            <w:vAlign w:val="bottom"/>
          </w:tcPr>
          <w:p>
            <w:pPr>
              <w:ind w:left="260"/>
              <w:spacing w:after="0"/>
              <w:rPr>
                <w:sz w:val="20"/>
                <w:szCs w:val="20"/>
                <w:color w:val="auto"/>
              </w:rPr>
            </w:pPr>
            <w:r>
              <w:rPr>
                <w:rFonts w:ascii="Times New Roman" w:cs="Times New Roman" w:eastAsia="Times New Roman" w:hAnsi="Times New Roman"/>
                <w:sz w:val="3"/>
                <w:szCs w:val="3"/>
                <w:color w:val="auto"/>
              </w:rPr>
              <w:t>–</w:t>
            </w:r>
          </w:p>
        </w:tc>
        <w:tc>
          <w:tcPr>
            <w:tcW w:w="2760" w:type="dxa"/>
            <w:vAlign w:val="bottom"/>
          </w:tcPr>
          <w:p>
            <w:pPr>
              <w:ind w:left="100"/>
              <w:spacing w:after="0"/>
              <w:rPr>
                <w:sz w:val="20"/>
                <w:szCs w:val="20"/>
                <w:color w:val="auto"/>
              </w:rPr>
            </w:pPr>
            <w:r>
              <w:rPr>
                <w:rFonts w:ascii="Times New Roman" w:cs="Times New Roman" w:eastAsia="Times New Roman" w:hAnsi="Times New Roman"/>
                <w:sz w:val="3"/>
                <w:szCs w:val="3"/>
                <w:color w:val="auto"/>
              </w:rPr>
              <w:t>PLC</w:t>
            </w:r>
          </w:p>
        </w:tc>
        <w:tc>
          <w:tcPr>
            <w:tcW w:w="3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
        </w:trPr>
        <w:tc>
          <w:tcPr>
            <w:tcW w:w="4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0"/>
        </w:trPr>
        <w:tc>
          <w:tcPr>
            <w:tcW w:w="40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Leasehold improvements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Computer equipment</w:t>
            </w:r>
          </w:p>
        </w:tc>
        <w:tc>
          <w:tcPr>
            <w:tcW w:w="21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Office furniture &amp; fixtures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276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At 1 January 2025</w:t>
            </w:r>
          </w:p>
        </w:tc>
        <w:tc>
          <w:tcPr>
            <w:tcW w:w="3260" w:type="dxa"/>
            <w:vAlign w:val="bottom"/>
          </w:tcPr>
          <w:p>
            <w:pPr>
              <w:jc w:val="right"/>
              <w:ind w:right="136"/>
              <w:spacing w:after="0"/>
              <w:rPr>
                <w:sz w:val="20"/>
                <w:szCs w:val="20"/>
                <w:color w:val="auto"/>
              </w:rPr>
            </w:pPr>
            <w:r>
              <w:rPr>
                <w:rFonts w:ascii="Arial" w:cs="Arial" w:eastAsia="Arial" w:hAnsi="Arial"/>
                <w:sz w:val="13"/>
                <w:szCs w:val="13"/>
                <w:color w:val="auto"/>
              </w:rPr>
              <w:t>363</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166</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964</w:t>
            </w:r>
          </w:p>
        </w:tc>
        <w:tc>
          <w:tcPr>
            <w:tcW w:w="920" w:type="dxa"/>
            <w:vAlign w:val="bottom"/>
          </w:tcPr>
          <w:p>
            <w:pPr>
              <w:jc w:val="right"/>
              <w:spacing w:after="0"/>
              <w:rPr>
                <w:sz w:val="20"/>
                <w:szCs w:val="20"/>
                <w:color w:val="auto"/>
              </w:rPr>
            </w:pPr>
            <w:r>
              <w:rPr>
                <w:rFonts w:ascii="Arial" w:cs="Arial" w:eastAsia="Arial" w:hAnsi="Arial"/>
                <w:sz w:val="13"/>
                <w:szCs w:val="13"/>
                <w:color w:val="auto"/>
              </w:rPr>
              <w:t>1,493</w:t>
            </w:r>
          </w:p>
        </w:tc>
      </w:tr>
      <w:tr>
        <w:trPr>
          <w:trHeight w:val="171"/>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2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Disposals</w:t>
            </w:r>
          </w:p>
        </w:tc>
        <w:tc>
          <w:tcPr>
            <w:tcW w:w="32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16"/>
              <w:spacing w:after="0"/>
              <w:rPr>
                <w:sz w:val="20"/>
                <w:szCs w:val="20"/>
                <w:color w:val="auto"/>
              </w:rPr>
            </w:pPr>
            <w:r>
              <w:rPr>
                <w:rFonts w:ascii="Arial" w:cs="Arial" w:eastAsia="Arial" w:hAnsi="Arial"/>
                <w:sz w:val="13"/>
                <w:szCs w:val="13"/>
                <w:color w:val="auto"/>
              </w:rPr>
              <w:t>(9)</w:t>
            </w:r>
          </w:p>
        </w:tc>
        <w:tc>
          <w:tcPr>
            <w:tcW w:w="2180" w:type="dxa"/>
            <w:vAlign w:val="bottom"/>
          </w:tcPr>
          <w:p>
            <w:pPr>
              <w:jc w:val="right"/>
              <w:ind w:right="496"/>
              <w:spacing w:after="0"/>
              <w:rPr>
                <w:sz w:val="20"/>
                <w:szCs w:val="20"/>
                <w:color w:val="auto"/>
              </w:rPr>
            </w:pPr>
            <w:r>
              <w:rPr>
                <w:rFonts w:ascii="Arial" w:cs="Arial" w:eastAsia="Arial" w:hAnsi="Arial"/>
                <w:sz w:val="13"/>
                <w:szCs w:val="13"/>
                <w:color w:val="auto"/>
              </w:rPr>
              <w:t>(5)</w:t>
            </w:r>
          </w:p>
        </w:tc>
        <w:tc>
          <w:tcPr>
            <w:tcW w:w="92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0"/>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55</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24</w:t>
            </w:r>
          </w:p>
        </w:tc>
        <w:tc>
          <w:tcPr>
            <w:tcW w:w="21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143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w:t>
            </w:r>
          </w:p>
        </w:tc>
      </w:tr>
      <w:tr>
        <w:trPr>
          <w:trHeight w:val="162"/>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418</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181</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1,108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1,707</w:t>
            </w:r>
          </w:p>
        </w:tc>
      </w:tr>
      <w:tr>
        <w:trPr>
          <w:trHeight w:val="182"/>
        </w:trPr>
        <w:tc>
          <w:tcPr>
            <w:tcW w:w="4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0"/>
        </w:trPr>
        <w:tc>
          <w:tcPr>
            <w:tcW w:w="3160" w:type="dxa"/>
            <w:vAlign w:val="bottom"/>
            <w:gridSpan w:val="2"/>
          </w:tcPr>
          <w:p>
            <w:pPr>
              <w:ind w:left="20"/>
              <w:spacing w:after="0"/>
              <w:rPr>
                <w:sz w:val="20"/>
                <w:szCs w:val="20"/>
                <w:color w:val="auto"/>
              </w:rPr>
            </w:pPr>
            <w:r>
              <w:rPr>
                <w:rFonts w:ascii="Arial" w:cs="Arial" w:eastAsia="Arial" w:hAnsi="Arial"/>
                <w:sz w:val="13"/>
                <w:szCs w:val="13"/>
                <w:b w:val="1"/>
                <w:bCs w:val="1"/>
                <w:color w:val="auto"/>
              </w:rPr>
              <w:t>Depreciation</w:t>
            </w:r>
          </w:p>
        </w:tc>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At 1 January 2025</w:t>
            </w:r>
          </w:p>
        </w:tc>
        <w:tc>
          <w:tcPr>
            <w:tcW w:w="32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356</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121</w:t>
            </w:r>
          </w:p>
        </w:tc>
        <w:tc>
          <w:tcPr>
            <w:tcW w:w="21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510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Charge for the year</w:t>
            </w:r>
          </w:p>
        </w:tc>
        <w:tc>
          <w:tcPr>
            <w:tcW w:w="32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19</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102</w:t>
            </w:r>
          </w:p>
        </w:tc>
        <w:tc>
          <w:tcPr>
            <w:tcW w:w="920" w:type="dxa"/>
            <w:vAlign w:val="bottom"/>
          </w:tcPr>
          <w:p>
            <w:pPr>
              <w:jc w:val="right"/>
              <w:spacing w:after="0"/>
              <w:rPr>
                <w:sz w:val="20"/>
                <w:szCs w:val="20"/>
                <w:color w:val="auto"/>
              </w:rPr>
            </w:pPr>
            <w:r>
              <w:rPr>
                <w:rFonts w:ascii="Arial" w:cs="Arial" w:eastAsia="Arial" w:hAnsi="Arial"/>
                <w:sz w:val="13"/>
                <w:szCs w:val="13"/>
                <w:color w:val="auto"/>
              </w:rPr>
              <w:t>121</w:t>
            </w:r>
          </w:p>
        </w:tc>
      </w:tr>
      <w:tr>
        <w:trPr>
          <w:trHeight w:val="171"/>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32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w:t>
            </w:r>
          </w:p>
        </w:tc>
        <w:tc>
          <w:tcPr>
            <w:tcW w:w="21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Foreign currency movement</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54</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60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r>
      <w:tr>
        <w:trPr>
          <w:trHeight w:val="162"/>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3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410</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148</w:t>
            </w:r>
          </w:p>
        </w:tc>
        <w:tc>
          <w:tcPr>
            <w:tcW w:w="21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667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1,225</w:t>
            </w:r>
          </w:p>
        </w:tc>
      </w:tr>
      <w:tr>
        <w:trPr>
          <w:trHeight w:val="182"/>
        </w:trPr>
        <w:tc>
          <w:tcPr>
            <w:tcW w:w="4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71"/>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8</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33</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441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482</w:t>
            </w:r>
          </w:p>
        </w:tc>
      </w:tr>
      <w:tr>
        <w:trPr>
          <w:trHeight w:val="159"/>
        </w:trPr>
        <w:tc>
          <w:tcPr>
            <w:tcW w:w="4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1"/>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At 31 December 2024</w:t>
            </w:r>
          </w:p>
        </w:tc>
        <w:tc>
          <w:tcPr>
            <w:tcW w:w="3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7</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45</w:t>
            </w:r>
          </w:p>
        </w:tc>
        <w:tc>
          <w:tcPr>
            <w:tcW w:w="2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454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r>
    </w:tbl>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Borders>
              <w:bottom w:val="single" w:sz="8" w:color="auto"/>
            </w:tcBorders>
            <w:shd w:val="clear" w:color="auto" w:fill="CCEEFF"/>
          </w:tcPr>
          <w:p>
            <w:pPr>
              <w:spacing w:after="0"/>
              <w:rPr>
                <w:sz w:val="14"/>
                <w:szCs w:val="14"/>
                <w:color w:val="auto"/>
              </w:rPr>
            </w:pPr>
          </w:p>
        </w:tc>
        <w:tc>
          <w:tcPr>
            <w:tcW w:w="3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Leasehold improvements</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 equipment</w:t>
            </w:r>
          </w:p>
        </w:tc>
        <w:tc>
          <w:tcPr>
            <w:tcW w:w="22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Office furniture &amp; fixtures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3240" w:type="dxa"/>
            <w:vAlign w:val="bottom"/>
          </w:tcPr>
          <w:p>
            <w:pPr>
              <w:spacing w:after="0"/>
              <w:rPr>
                <w:sz w:val="13"/>
                <w:szCs w:val="13"/>
                <w:color w:val="auto"/>
              </w:rPr>
            </w:pPr>
          </w:p>
        </w:tc>
        <w:tc>
          <w:tcPr>
            <w:tcW w:w="334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5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220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At 1 January 2024</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390</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680</w:t>
            </w:r>
          </w:p>
        </w:tc>
        <w:tc>
          <w:tcPr>
            <w:tcW w:w="2200" w:type="dxa"/>
            <w:vAlign w:val="bottom"/>
          </w:tcPr>
          <w:p>
            <w:pPr>
              <w:jc w:val="right"/>
              <w:ind w:right="556"/>
              <w:spacing w:after="0"/>
              <w:rPr>
                <w:sz w:val="20"/>
                <w:szCs w:val="20"/>
                <w:color w:val="auto"/>
              </w:rPr>
            </w:pPr>
            <w:r>
              <w:rPr>
                <w:rFonts w:ascii="Arial" w:cs="Arial" w:eastAsia="Arial" w:hAnsi="Arial"/>
                <w:sz w:val="13"/>
                <w:szCs w:val="13"/>
                <w:color w:val="auto"/>
              </w:rPr>
              <w:t>730</w:t>
            </w:r>
          </w:p>
        </w:tc>
        <w:tc>
          <w:tcPr>
            <w:tcW w:w="960" w:type="dxa"/>
            <w:vAlign w:val="bottom"/>
          </w:tcPr>
          <w:p>
            <w:pPr>
              <w:jc w:val="right"/>
              <w:spacing w:after="0"/>
              <w:rPr>
                <w:sz w:val="20"/>
                <w:szCs w:val="20"/>
                <w:color w:val="auto"/>
              </w:rPr>
            </w:pPr>
            <w:r>
              <w:rPr>
                <w:rFonts w:ascii="Arial" w:cs="Arial" w:eastAsia="Arial" w:hAnsi="Arial"/>
                <w:sz w:val="13"/>
                <w:szCs w:val="13"/>
                <w:color w:val="auto"/>
              </w:rPr>
              <w:t>1,800</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36</w:t>
            </w:r>
          </w:p>
        </w:tc>
        <w:tc>
          <w:tcPr>
            <w:tcW w:w="220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283</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319</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Disposals</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36"/>
              <w:spacing w:after="0"/>
              <w:rPr>
                <w:sz w:val="20"/>
                <w:szCs w:val="20"/>
                <w:color w:val="auto"/>
              </w:rPr>
            </w:pPr>
            <w:r>
              <w:rPr>
                <w:rFonts w:ascii="Arial" w:cs="Arial" w:eastAsia="Arial" w:hAnsi="Arial"/>
                <w:sz w:val="13"/>
                <w:szCs w:val="13"/>
                <w:color w:val="auto"/>
              </w:rPr>
              <w:t>(531)</w:t>
            </w:r>
          </w:p>
        </w:tc>
        <w:tc>
          <w:tcPr>
            <w:tcW w:w="220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(531)</w:t>
            </w:r>
          </w:p>
        </w:tc>
      </w:tr>
      <w:tr>
        <w:trPr>
          <w:trHeight w:val="17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(27)</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22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(49)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2"/>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363</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166</w:t>
            </w:r>
          </w:p>
        </w:tc>
        <w:tc>
          <w:tcPr>
            <w:tcW w:w="2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964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1,493</w:t>
            </w:r>
          </w:p>
        </w:tc>
      </w:tr>
      <w:tr>
        <w:trPr>
          <w:trHeight w:val="182"/>
        </w:trPr>
        <w:tc>
          <w:tcPr>
            <w:tcW w:w="324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324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3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2024</w:t>
            </w:r>
          </w:p>
        </w:tc>
        <w:tc>
          <w:tcPr>
            <w:tcW w:w="3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384</w:t>
            </w:r>
          </w:p>
        </w:tc>
        <w:tc>
          <w:tcPr>
            <w:tcW w:w="1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652</w:t>
            </w:r>
          </w:p>
        </w:tc>
        <w:tc>
          <w:tcPr>
            <w:tcW w:w="22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453</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Charge for the year</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1</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22</w:t>
            </w:r>
          </w:p>
        </w:tc>
        <w:tc>
          <w:tcPr>
            <w:tcW w:w="2200" w:type="dxa"/>
            <w:vAlign w:val="bottom"/>
          </w:tcPr>
          <w:p>
            <w:pPr>
              <w:jc w:val="right"/>
              <w:ind w:right="556"/>
              <w:spacing w:after="0"/>
              <w:rPr>
                <w:sz w:val="20"/>
                <w:szCs w:val="20"/>
                <w:color w:val="auto"/>
              </w:rPr>
            </w:pPr>
            <w:r>
              <w:rPr>
                <w:rFonts w:ascii="Arial" w:cs="Arial" w:eastAsia="Arial" w:hAnsi="Arial"/>
                <w:sz w:val="13"/>
                <w:szCs w:val="13"/>
                <w:color w:val="auto"/>
              </w:rPr>
              <w:t>107</w:t>
            </w:r>
          </w:p>
        </w:tc>
        <w:tc>
          <w:tcPr>
            <w:tcW w:w="96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3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(531)</w:t>
            </w:r>
          </w:p>
        </w:tc>
        <w:tc>
          <w:tcPr>
            <w:tcW w:w="22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w:t>
            </w:r>
          </w:p>
        </w:tc>
      </w:tr>
      <w:tr>
        <w:trPr>
          <w:trHeight w:val="16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(29)</w:t>
            </w: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w:t>
            </w:r>
          </w:p>
        </w:tc>
        <w:tc>
          <w:tcPr>
            <w:tcW w:w="22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(50)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r>
      <w:tr>
        <w:trPr>
          <w:trHeight w:val="162"/>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3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356</w:t>
            </w: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121</w:t>
            </w:r>
          </w:p>
        </w:tc>
        <w:tc>
          <w:tcPr>
            <w:tcW w:w="22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510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987</w:t>
            </w:r>
          </w:p>
        </w:tc>
      </w:tr>
      <w:tr>
        <w:trPr>
          <w:trHeight w:val="182"/>
        </w:trPr>
        <w:tc>
          <w:tcPr>
            <w:tcW w:w="32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2024</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7</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45</w:t>
            </w:r>
          </w:p>
        </w:tc>
        <w:tc>
          <w:tcPr>
            <w:tcW w:w="2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454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506</w:t>
            </w:r>
          </w:p>
        </w:tc>
      </w:tr>
      <w:tr>
        <w:trPr>
          <w:trHeight w:val="159"/>
        </w:trPr>
        <w:tc>
          <w:tcPr>
            <w:tcW w:w="324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2023</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6</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28</w:t>
            </w:r>
          </w:p>
        </w:tc>
        <w:tc>
          <w:tcPr>
            <w:tcW w:w="2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277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r>
      <w:tr>
        <w:trPr>
          <w:trHeight w:val="592"/>
        </w:trPr>
        <w:tc>
          <w:tcPr>
            <w:tcW w:w="3240" w:type="dxa"/>
            <w:vAlign w:val="bottom"/>
          </w:tcPr>
          <w:p>
            <w:pPr>
              <w:spacing w:after="0"/>
              <w:rPr>
                <w:sz w:val="24"/>
                <w:szCs w:val="24"/>
                <w:color w:val="auto"/>
              </w:rPr>
            </w:pPr>
          </w:p>
        </w:tc>
        <w:tc>
          <w:tcPr>
            <w:tcW w:w="3340" w:type="dxa"/>
            <w:vAlign w:val="bottom"/>
          </w:tcPr>
          <w:p>
            <w:pPr>
              <w:jc w:val="right"/>
              <w:ind w:right="756"/>
              <w:spacing w:after="0"/>
              <w:rPr>
                <w:sz w:val="20"/>
                <w:szCs w:val="20"/>
                <w:color w:val="auto"/>
              </w:rPr>
            </w:pPr>
            <w:r>
              <w:rPr>
                <w:rFonts w:ascii="Arial" w:cs="Arial" w:eastAsia="Arial" w:hAnsi="Arial"/>
                <w:sz w:val="13"/>
                <w:szCs w:val="13"/>
                <w:color w:val="auto"/>
              </w:rPr>
              <w:t>141</w:t>
            </w:r>
          </w:p>
        </w:tc>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b w:val="1"/>
          <w:bCs w:val="1"/>
          <w:color w:val="auto"/>
        </w:rPr>
        <w:t>Investment in subsidiaries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20" w:type="dxa"/>
            <w:vAlign w:val="bottom"/>
            <w:shd w:val="clear" w:color="auto" w:fill="CCEEFF"/>
          </w:tcPr>
          <w:p>
            <w:pPr>
              <w:spacing w:after="0"/>
              <w:rPr>
                <w:sz w:val="16"/>
                <w:szCs w:val="16"/>
                <w:color w:val="auto"/>
              </w:rPr>
            </w:pP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Investment in Subsidiary</w:t>
            </w:r>
          </w:p>
        </w:tc>
      </w:tr>
      <w:tr>
        <w:trPr>
          <w:trHeight w:val="182"/>
        </w:trPr>
        <w:tc>
          <w:tcPr>
            <w:tcW w:w="6320" w:type="dxa"/>
            <w:vAlign w:val="bottom"/>
            <w:tcBorders>
              <w:bottom w:val="single" w:sz="8" w:color="auto"/>
            </w:tcBorders>
            <w:shd w:val="clear" w:color="auto" w:fill="CCEEFF"/>
          </w:tcPr>
          <w:p>
            <w:pPr>
              <w:spacing w:after="0"/>
              <w:rPr>
                <w:sz w:val="15"/>
                <w:szCs w:val="15"/>
                <w:color w:val="auto"/>
              </w:rPr>
            </w:pP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Undertakings</w:t>
            </w:r>
          </w:p>
        </w:tc>
      </w:tr>
      <w:tr>
        <w:trPr>
          <w:trHeight w:val="192"/>
        </w:trPr>
        <w:tc>
          <w:tcPr>
            <w:tcW w:w="6320" w:type="dxa"/>
            <w:vAlign w:val="bottom"/>
          </w:tcPr>
          <w:p>
            <w:pPr>
              <w:spacing w:after="0"/>
              <w:rPr>
                <w:sz w:val="16"/>
                <w:szCs w:val="16"/>
                <w:color w:val="auto"/>
              </w:rPr>
            </w:pPr>
          </w:p>
        </w:tc>
        <w:tc>
          <w:tcPr>
            <w:tcW w:w="46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4680" w:type="dxa"/>
            <w:vAlign w:val="bottom"/>
            <w:shd w:val="clear" w:color="auto" w:fill="CCEEFF"/>
          </w:tcPr>
          <w:p>
            <w:pPr>
              <w:spacing w:after="0"/>
              <w:rPr>
                <w:sz w:val="15"/>
                <w:szCs w:val="15"/>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At 1 January 2024</w:t>
            </w:r>
          </w:p>
        </w:tc>
        <w:tc>
          <w:tcPr>
            <w:tcW w:w="4680" w:type="dxa"/>
            <w:vAlign w:val="bottom"/>
          </w:tcPr>
          <w:p>
            <w:pPr>
              <w:jc w:val="right"/>
              <w:spacing w:after="0"/>
              <w:rPr>
                <w:sz w:val="20"/>
                <w:szCs w:val="20"/>
                <w:color w:val="auto"/>
              </w:rPr>
            </w:pPr>
            <w:r>
              <w:rPr>
                <w:rFonts w:ascii="Arial" w:cs="Arial" w:eastAsia="Arial" w:hAnsi="Arial"/>
                <w:sz w:val="13"/>
                <w:szCs w:val="13"/>
                <w:color w:val="auto"/>
              </w:rPr>
              <w:t>7,149,445</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78,199</w:t>
            </w: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Disposals</w:t>
            </w:r>
          </w:p>
        </w:tc>
        <w:tc>
          <w:tcPr>
            <w:tcW w:w="4680" w:type="dxa"/>
            <w:vAlign w:val="bottom"/>
          </w:tcPr>
          <w:p>
            <w:pPr>
              <w:jc w:val="right"/>
              <w:spacing w:after="0"/>
              <w:rPr>
                <w:sz w:val="20"/>
                <w:szCs w:val="20"/>
                <w:color w:val="auto"/>
              </w:rPr>
            </w:pPr>
            <w:r>
              <w:rPr>
                <w:rFonts w:ascii="Arial" w:cs="Arial" w:eastAsia="Arial" w:hAnsi="Arial"/>
                <w:sz w:val="13"/>
                <w:szCs w:val="13"/>
                <w:color w:val="auto"/>
              </w:rPr>
              <w:t>(127,375)</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36,690</w:t>
            </w:r>
          </w:p>
        </w:tc>
      </w:tr>
      <w:tr>
        <w:trPr>
          <w:trHeight w:val="16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(21,541)</w:t>
            </w:r>
          </w:p>
        </w:tc>
      </w:tr>
      <w:tr>
        <w:trPr>
          <w:trHeight w:val="162"/>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2024</w:t>
            </w: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7,115,418</w:t>
            </w:r>
          </w:p>
        </w:tc>
      </w:tr>
      <w:tr>
        <w:trPr>
          <w:trHeight w:val="192"/>
        </w:trPr>
        <w:tc>
          <w:tcPr>
            <w:tcW w:w="6320" w:type="dxa"/>
            <w:vAlign w:val="bottom"/>
          </w:tcPr>
          <w:p>
            <w:pPr>
              <w:spacing w:after="0"/>
              <w:rPr>
                <w:sz w:val="16"/>
                <w:szCs w:val="16"/>
                <w:color w:val="auto"/>
              </w:rPr>
            </w:pPr>
          </w:p>
        </w:tc>
        <w:tc>
          <w:tcPr>
            <w:tcW w:w="4680" w:type="dxa"/>
            <w:vAlign w:val="bottom"/>
          </w:tcPr>
          <w:p>
            <w:pPr>
              <w:spacing w:after="0"/>
              <w:rPr>
                <w:sz w:val="16"/>
                <w:szCs w:val="16"/>
                <w:color w:val="auto"/>
              </w:rPr>
            </w:pPr>
          </w:p>
        </w:tc>
      </w:tr>
      <w:tr>
        <w:trPr>
          <w:trHeight w:val="170"/>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92,584</w:t>
            </w:r>
          </w:p>
        </w:tc>
      </w:tr>
      <w:tr>
        <w:trPr>
          <w:trHeight w:val="16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(82,645)</w:t>
            </w:r>
          </w:p>
        </w:tc>
      </w:tr>
      <w:tr>
        <w:trPr>
          <w:trHeight w:val="187"/>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2025</w:t>
            </w: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7,125,357</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468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On 14 March 2024, the Company subscribed for 43,000,000 Ordinary Shares of $1.00 each in the capital of the ICON Clinical Global Holdings Unlimited Company, in return for cash consideration of $43.0 million.</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On 8 May 2024, the Company subscribed for 14,000,000 Ordinary Shares of $1.00 each in the capital of ICON Investments Six Designated Activity Company in return for cash consideration of $14.0 million.</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On 27 August 2024, the Company transferred its interest in ICON Clinical International Limited, with a carrying value of $127.4 million, to ICON Holdings Unlimited Company in exchange for a loan note amounting to $127.4 million.</w:t>
      </w:r>
    </w:p>
    <w:p>
      <w:pPr>
        <w:spacing w:after="0" w:line="14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On 30 September 2024, the Company subscribed for 21,199,164 Ordinary Shares of $1.00 each in the capital of ICON Clinical Global Holdings Unlimited Company in return for cash consideration of $21.2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142</w:t>
      </w:r>
    </w:p>
    <w:p>
      <w:pPr>
        <w:sectPr>
          <w:pgSz w:w="11900" w:h="16838" w:orient="portrait"/>
          <w:cols w:equalWidth="0" w:num="1">
            <w:col w:w="11280"/>
          </w:cols>
          <w:pgMar w:left="300" w:top="697" w:right="31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b w:val="1"/>
          <w:bCs w:val="1"/>
          <w:color w:val="auto"/>
        </w:rPr>
        <w:t>Deferred taxation</w:t>
      </w: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The net deferred tax (</w:t>
      </w:r>
      <w:r>
        <w:rPr>
          <w:rFonts w:ascii="Arial" w:cs="Arial" w:eastAsia="Arial" w:hAnsi="Arial"/>
          <w:sz w:val="14"/>
          <w:szCs w:val="14"/>
          <w:color w:val="auto"/>
        </w:rPr>
        <w:t>liabilities</w:t>
      </w:r>
      <w:r>
        <w:rPr>
          <w:rFonts w:ascii="Arial" w:cs="Arial" w:eastAsia="Arial" w:hAnsi="Arial"/>
          <w:sz w:val="13"/>
          <w:szCs w:val="13"/>
          <w:color w:val="auto"/>
        </w:rPr>
        <w:t>)/asset at 31 December 2025 and 31 December 2024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 / assets</w:t>
            </w:r>
          </w:p>
        </w:tc>
        <w:tc>
          <w:tcPr>
            <w:tcW w:w="3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00" w:type="dxa"/>
            <w:vAlign w:val="bottom"/>
          </w:tcPr>
          <w:p>
            <w:pPr>
              <w:ind w:left="120"/>
              <w:spacing w:after="0"/>
              <w:rPr>
                <w:sz w:val="20"/>
                <w:szCs w:val="20"/>
                <w:color w:val="auto"/>
              </w:rPr>
            </w:pPr>
            <w:r>
              <w:rPr>
                <w:rFonts w:ascii="Arial" w:cs="Arial" w:eastAsia="Arial" w:hAnsi="Arial"/>
                <w:sz w:val="13"/>
                <w:szCs w:val="13"/>
                <w:color w:val="auto"/>
              </w:rPr>
              <w:t>Accrued expenses and payments on account</w:t>
            </w:r>
          </w:p>
        </w:tc>
        <w:tc>
          <w:tcPr>
            <w:tcW w:w="3440" w:type="dxa"/>
            <w:vAlign w:val="bottom"/>
          </w:tcPr>
          <w:p>
            <w:pPr>
              <w:spacing w:after="0"/>
              <w:rPr>
                <w:sz w:val="14"/>
                <w:szCs w:val="14"/>
                <w:color w:val="auto"/>
              </w:rPr>
            </w:pPr>
          </w:p>
        </w:tc>
        <w:tc>
          <w:tcPr>
            <w:tcW w:w="1660" w:type="dxa"/>
            <w:vAlign w:val="bottom"/>
          </w:tcPr>
          <w:p>
            <w:pPr>
              <w:jc w:val="right"/>
              <w:ind w:right="276"/>
              <w:spacing w:after="0"/>
              <w:rPr>
                <w:sz w:val="20"/>
                <w:szCs w:val="20"/>
                <w:color w:val="auto"/>
              </w:rPr>
            </w:pPr>
            <w:r>
              <w:rPr>
                <w:rFonts w:ascii="Arial" w:cs="Arial" w:eastAsia="Arial" w:hAnsi="Arial"/>
                <w:sz w:val="13"/>
                <w:szCs w:val="13"/>
                <w:b w:val="1"/>
                <w:bCs w:val="1"/>
                <w:color w:val="auto"/>
              </w:rPr>
              <w:t>(32)</w:t>
            </w:r>
          </w:p>
        </w:tc>
        <w:tc>
          <w:tcPr>
            <w:tcW w:w="1160" w:type="dxa"/>
            <w:vAlign w:val="bottom"/>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Property, plant and equipment</w:t>
            </w:r>
          </w:p>
        </w:tc>
        <w:tc>
          <w:tcPr>
            <w:tcW w:w="34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 / assets</w:t>
            </w:r>
          </w:p>
        </w:tc>
        <w:tc>
          <w:tcPr>
            <w:tcW w:w="34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5000" w:type="dxa"/>
            <w:vAlign w:val="bottom"/>
            <w:shd w:val="clear" w:color="auto" w:fill="CCEEFF"/>
          </w:tcPr>
          <w:p>
            <w:pPr>
              <w:spacing w:after="0"/>
              <w:rPr>
                <w:sz w:val="11"/>
                <w:szCs w:val="11"/>
                <w:color w:val="auto"/>
              </w:rPr>
            </w:pPr>
          </w:p>
        </w:tc>
        <w:tc>
          <w:tcPr>
            <w:tcW w:w="34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 January 2025</w:t>
            </w:r>
          </w:p>
        </w:tc>
        <w:tc>
          <w:tcPr>
            <w:tcW w:w="166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Recognised in year</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vMerge w:val="continue"/>
            <w:shd w:val="clear" w:color="auto" w:fill="CCEEFF"/>
          </w:tcPr>
          <w:p>
            <w:pPr>
              <w:spacing w:after="0"/>
              <w:rPr>
                <w:sz w:val="14"/>
                <w:szCs w:val="14"/>
                <w:color w:val="auto"/>
              </w:rPr>
            </w:pPr>
          </w:p>
        </w:tc>
        <w:tc>
          <w:tcPr>
            <w:tcW w:w="16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344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 / assets</w:t>
            </w:r>
          </w:p>
        </w:tc>
        <w:tc>
          <w:tcPr>
            <w:tcW w:w="3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ind w:left="120"/>
              <w:spacing w:after="0"/>
              <w:rPr>
                <w:sz w:val="20"/>
                <w:szCs w:val="20"/>
                <w:color w:val="auto"/>
              </w:rPr>
            </w:pPr>
            <w:r>
              <w:rPr>
                <w:rFonts w:ascii="Arial" w:cs="Arial" w:eastAsia="Arial" w:hAnsi="Arial"/>
                <w:sz w:val="13"/>
                <w:szCs w:val="13"/>
                <w:color w:val="auto"/>
              </w:rPr>
              <w:t>Accrued expenses and payments on account</w:t>
            </w:r>
          </w:p>
        </w:tc>
        <w:tc>
          <w:tcPr>
            <w:tcW w:w="3440" w:type="dxa"/>
            <w:vAlign w:val="bottom"/>
          </w:tcPr>
          <w:p>
            <w:pPr>
              <w:jc w:val="right"/>
              <w:ind w:right="136"/>
              <w:spacing w:after="0"/>
              <w:rPr>
                <w:sz w:val="20"/>
                <w:szCs w:val="20"/>
                <w:color w:val="auto"/>
              </w:rPr>
            </w:pPr>
            <w:r>
              <w:rPr>
                <w:rFonts w:ascii="Arial" w:cs="Arial" w:eastAsia="Arial" w:hAnsi="Arial"/>
                <w:sz w:val="13"/>
                <w:szCs w:val="13"/>
                <w:color w:val="auto"/>
              </w:rPr>
              <w:t>367</w:t>
            </w:r>
          </w:p>
        </w:tc>
        <w:tc>
          <w:tcPr>
            <w:tcW w:w="1660" w:type="dxa"/>
            <w:vAlign w:val="bottom"/>
          </w:tcPr>
          <w:p>
            <w:pPr>
              <w:jc w:val="right"/>
              <w:ind w:right="276"/>
              <w:spacing w:after="0"/>
              <w:rPr>
                <w:sz w:val="20"/>
                <w:szCs w:val="20"/>
                <w:color w:val="auto"/>
              </w:rPr>
            </w:pPr>
            <w:r>
              <w:rPr>
                <w:rFonts w:ascii="Arial" w:cs="Arial" w:eastAsia="Arial" w:hAnsi="Arial"/>
                <w:sz w:val="13"/>
                <w:szCs w:val="13"/>
                <w:color w:val="auto"/>
              </w:rPr>
              <w:t>(399)</w:t>
            </w:r>
          </w:p>
        </w:tc>
        <w:tc>
          <w:tcPr>
            <w:tcW w:w="11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Property, plant and equipment</w:t>
            </w:r>
          </w:p>
        </w:tc>
        <w:tc>
          <w:tcPr>
            <w:tcW w:w="3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13</w:t>
            </w: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 / assets</w:t>
            </w:r>
          </w:p>
        </w:tc>
        <w:tc>
          <w:tcPr>
            <w:tcW w:w="34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380</w:t>
            </w: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(397)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5000" w:type="dxa"/>
            <w:vAlign w:val="bottom"/>
            <w:shd w:val="clear" w:color="auto" w:fill="CCEEFF"/>
          </w:tcPr>
          <w:p>
            <w:pPr>
              <w:spacing w:after="0"/>
              <w:rPr>
                <w:sz w:val="11"/>
                <w:szCs w:val="11"/>
                <w:color w:val="auto"/>
              </w:rPr>
            </w:pPr>
          </w:p>
        </w:tc>
        <w:tc>
          <w:tcPr>
            <w:tcW w:w="34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 January 2024</w:t>
            </w:r>
          </w:p>
        </w:tc>
        <w:tc>
          <w:tcPr>
            <w:tcW w:w="166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Recognised in year</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vMerge w:val="continue"/>
            <w:shd w:val="clear" w:color="auto" w:fill="CCEEFF"/>
          </w:tcPr>
          <w:p>
            <w:pPr>
              <w:spacing w:after="0"/>
              <w:rPr>
                <w:sz w:val="14"/>
                <w:szCs w:val="14"/>
                <w:color w:val="auto"/>
              </w:rPr>
            </w:pPr>
          </w:p>
        </w:tc>
        <w:tc>
          <w:tcPr>
            <w:tcW w:w="16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344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ind w:left="120"/>
              <w:spacing w:after="0"/>
              <w:rPr>
                <w:sz w:val="20"/>
                <w:szCs w:val="20"/>
                <w:color w:val="auto"/>
              </w:rPr>
            </w:pPr>
            <w:r>
              <w:rPr>
                <w:rFonts w:ascii="Arial" w:cs="Arial" w:eastAsia="Arial" w:hAnsi="Arial"/>
                <w:sz w:val="13"/>
                <w:szCs w:val="13"/>
                <w:color w:val="auto"/>
              </w:rPr>
              <w:t>Accrued expenses and payments on account</w:t>
            </w:r>
          </w:p>
        </w:tc>
        <w:tc>
          <w:tcPr>
            <w:tcW w:w="3440" w:type="dxa"/>
            <w:vAlign w:val="bottom"/>
          </w:tcPr>
          <w:p>
            <w:pPr>
              <w:jc w:val="right"/>
              <w:ind w:right="136"/>
              <w:spacing w:after="0"/>
              <w:rPr>
                <w:sz w:val="20"/>
                <w:szCs w:val="20"/>
                <w:color w:val="auto"/>
              </w:rPr>
            </w:pPr>
            <w:r>
              <w:rPr>
                <w:rFonts w:ascii="Arial" w:cs="Arial" w:eastAsia="Arial" w:hAnsi="Arial"/>
                <w:sz w:val="13"/>
                <w:szCs w:val="13"/>
                <w:color w:val="auto"/>
              </w:rPr>
              <w:t>387</w:t>
            </w:r>
          </w:p>
        </w:tc>
        <w:tc>
          <w:tcPr>
            <w:tcW w:w="1660" w:type="dxa"/>
            <w:vAlign w:val="bottom"/>
          </w:tcPr>
          <w:p>
            <w:pPr>
              <w:jc w:val="right"/>
              <w:ind w:right="276"/>
              <w:spacing w:after="0"/>
              <w:rPr>
                <w:sz w:val="20"/>
                <w:szCs w:val="20"/>
                <w:color w:val="auto"/>
              </w:rPr>
            </w:pPr>
            <w:r>
              <w:rPr>
                <w:rFonts w:ascii="Arial" w:cs="Arial" w:eastAsia="Arial" w:hAnsi="Arial"/>
                <w:sz w:val="13"/>
                <w:szCs w:val="13"/>
                <w:color w:val="auto"/>
              </w:rPr>
              <w:t>(20)</w:t>
            </w:r>
          </w:p>
        </w:tc>
        <w:tc>
          <w:tcPr>
            <w:tcW w:w="1160" w:type="dxa"/>
            <w:vAlign w:val="bottom"/>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Property, plant and equipment</w:t>
            </w:r>
          </w:p>
        </w:tc>
        <w:tc>
          <w:tcPr>
            <w:tcW w:w="3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12</w:t>
            </w: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4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399</w:t>
            </w: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380</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31 December 2025 and 31 December 2024 the Company had no operating loss carry forwards for income tax purposes. At 31 December 2025 the Company had an unrecognised deferred tax asset in respect of unutilised foreign tax credits carried forward of $8.3 million (2024: $7.9 million).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ectPr>
          <w:pgSz w:w="11900" w:h="16838" w:orient="portrait"/>
          <w:cols w:equalWidth="0" w:num="1">
            <w:col w:w="11280"/>
          </w:cols>
          <w:pgMar w:left="300" w:top="698" w:right="31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b w:val="1"/>
          <w:bCs w:val="1"/>
          <w:color w:val="auto"/>
        </w:rPr>
        <w:t>Other current assets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shd w:val="clear" w:color="auto" w:fill="CCEEFF"/>
          </w:tcPr>
          <w:p>
            <w:pPr>
              <w:spacing w:after="0"/>
              <w:rPr>
                <w:sz w:val="13"/>
                <w:szCs w:val="13"/>
                <w:color w:val="auto"/>
              </w:rPr>
            </w:pPr>
          </w:p>
        </w:tc>
        <w:tc>
          <w:tcPr>
            <w:tcW w:w="39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960" w:type="dxa"/>
            <w:vAlign w:val="bottom"/>
            <w:tcBorders>
              <w:bottom w:val="single" w:sz="8" w:color="auto"/>
            </w:tcBorders>
            <w:shd w:val="clear" w:color="auto" w:fill="CCEEFF"/>
          </w:tcPr>
          <w:p>
            <w:pPr>
              <w:spacing w:after="0"/>
              <w:rPr>
                <w:sz w:val="14"/>
                <w:szCs w:val="14"/>
                <w:color w:val="auto"/>
              </w:rPr>
            </w:pPr>
          </w:p>
        </w:tc>
        <w:tc>
          <w:tcPr>
            <w:tcW w:w="39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5960" w:type="dxa"/>
            <w:vAlign w:val="bottom"/>
          </w:tcPr>
          <w:p>
            <w:pPr>
              <w:spacing w:after="0"/>
              <w:rPr>
                <w:sz w:val="13"/>
                <w:szCs w:val="13"/>
                <w:color w:val="auto"/>
              </w:rPr>
            </w:pPr>
          </w:p>
        </w:tc>
        <w:tc>
          <w:tcPr>
            <w:tcW w:w="39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Prepayments</w:t>
            </w:r>
          </w:p>
        </w:tc>
        <w:tc>
          <w:tcPr>
            <w:tcW w:w="39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172</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r>
      <w:tr>
        <w:trPr>
          <w:trHeight w:val="17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39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1,289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558</w:t>
            </w:r>
          </w:p>
        </w:tc>
      </w:tr>
      <w:tr>
        <w:trPr>
          <w:trHeight w:val="185"/>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9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1,461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w:t>
            </w: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39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81"/>
        </w:trPr>
        <w:tc>
          <w:tcPr>
            <w:tcW w:w="5960" w:type="dxa"/>
            <w:vAlign w:val="bottom"/>
          </w:tcPr>
          <w:p>
            <w:pPr>
              <w:spacing w:after="0"/>
              <w:rPr>
                <w:sz w:val="20"/>
                <w:szCs w:val="20"/>
                <w:color w:val="auto"/>
              </w:rPr>
            </w:pPr>
            <w:r>
              <w:rPr>
                <w:rFonts w:ascii="Arial" w:cs="Arial" w:eastAsia="Arial" w:hAnsi="Arial"/>
                <w:sz w:val="13"/>
                <w:szCs w:val="13"/>
                <w:b w:val="1"/>
                <w:bCs w:val="1"/>
                <w:color w:val="auto"/>
              </w:rPr>
              <w:t>5.  Amounts due from / to subsidiary undertakings</w:t>
            </w:r>
          </w:p>
        </w:tc>
        <w:tc>
          <w:tcPr>
            <w:tcW w:w="3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5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7"/>
        </w:trPr>
        <w:tc>
          <w:tcPr>
            <w:tcW w:w="5960" w:type="dxa"/>
            <w:vAlign w:val="bottom"/>
            <w:shd w:val="clear" w:color="auto" w:fill="CCEEFF"/>
          </w:tcPr>
          <w:p>
            <w:pPr>
              <w:spacing w:after="0"/>
              <w:rPr>
                <w:sz w:val="11"/>
                <w:szCs w:val="11"/>
                <w:color w:val="auto"/>
              </w:rPr>
            </w:pPr>
          </w:p>
        </w:tc>
        <w:tc>
          <w:tcPr>
            <w:tcW w:w="392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5960" w:type="dxa"/>
            <w:vAlign w:val="bottom"/>
            <w:tcBorders>
              <w:bottom w:val="single" w:sz="8" w:color="auto"/>
            </w:tcBorders>
            <w:shd w:val="clear" w:color="auto" w:fill="CCEEFF"/>
          </w:tcPr>
          <w:p>
            <w:pPr>
              <w:spacing w:after="0"/>
              <w:rPr>
                <w:sz w:val="14"/>
                <w:szCs w:val="14"/>
                <w:color w:val="auto"/>
              </w:rPr>
            </w:pPr>
          </w:p>
        </w:tc>
        <w:tc>
          <w:tcPr>
            <w:tcW w:w="39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5960" w:type="dxa"/>
            <w:vAlign w:val="bottom"/>
          </w:tcPr>
          <w:p>
            <w:pPr>
              <w:spacing w:after="0"/>
              <w:rPr>
                <w:sz w:val="13"/>
                <w:szCs w:val="13"/>
                <w:color w:val="auto"/>
              </w:rPr>
            </w:pPr>
          </w:p>
        </w:tc>
        <w:tc>
          <w:tcPr>
            <w:tcW w:w="39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due from subsidiary undertakings - non current</w:t>
            </w:r>
          </w:p>
        </w:tc>
        <w:tc>
          <w:tcPr>
            <w:tcW w:w="39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10,852</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10,852</w:t>
            </w:r>
          </w:p>
        </w:tc>
      </w:tr>
      <w:tr>
        <w:trPr>
          <w:trHeight w:val="170"/>
        </w:trPr>
        <w:tc>
          <w:tcPr>
            <w:tcW w:w="596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 - current</w:t>
            </w:r>
          </w:p>
        </w:tc>
        <w:tc>
          <w:tcPr>
            <w:tcW w:w="3920" w:type="dxa"/>
            <w:vAlign w:val="bottom"/>
          </w:tcPr>
          <w:p>
            <w:pPr>
              <w:jc w:val="right"/>
              <w:ind w:right="316"/>
              <w:spacing w:after="0"/>
              <w:rPr>
                <w:sz w:val="20"/>
                <w:szCs w:val="20"/>
                <w:color w:val="auto"/>
              </w:rPr>
            </w:pPr>
            <w:r>
              <w:rPr>
                <w:rFonts w:ascii="Arial" w:cs="Arial" w:eastAsia="Arial" w:hAnsi="Arial"/>
                <w:sz w:val="13"/>
                <w:szCs w:val="13"/>
                <w:b w:val="1"/>
                <w:bCs w:val="1"/>
                <w:color w:val="auto"/>
              </w:rPr>
              <w:t>302,446</w:t>
            </w:r>
          </w:p>
        </w:tc>
        <w:tc>
          <w:tcPr>
            <w:tcW w:w="1120" w:type="dxa"/>
            <w:vAlign w:val="bottom"/>
          </w:tcPr>
          <w:p>
            <w:pPr>
              <w:jc w:val="right"/>
              <w:spacing w:after="0"/>
              <w:rPr>
                <w:sz w:val="20"/>
                <w:szCs w:val="20"/>
                <w:color w:val="auto"/>
              </w:rPr>
            </w:pPr>
            <w:r>
              <w:rPr>
                <w:rFonts w:ascii="Arial" w:cs="Arial" w:eastAsia="Arial" w:hAnsi="Arial"/>
                <w:sz w:val="13"/>
                <w:szCs w:val="13"/>
                <w:color w:val="auto"/>
              </w:rPr>
              <w:t>220,344</w:t>
            </w:r>
          </w:p>
        </w:tc>
      </w:tr>
      <w:tr>
        <w:trPr>
          <w:trHeight w:val="17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Amounts due to subsidiary undertakings - current</w:t>
            </w:r>
          </w:p>
        </w:tc>
        <w:tc>
          <w:tcPr>
            <w:tcW w:w="39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(556)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(3,433)</w:t>
            </w:r>
          </w:p>
        </w:tc>
      </w:tr>
    </w:tbl>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Amounts due from subsidiary undertakings within non current are interest-bearing and repayable on 1 October 2033. Amounts due from subsidiary undertakings within current are non interest-bearing and repayable on demand. All amounts fall due within one year.</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Amounts due from subsidiary undertakings are initially recognised at fair value and subsequently measured at amortised cost, less any expected credit loss. An expected credit loss assessment was performed at 31 December 2025 and 31 December 2024. The expected credit loss was considered de minimis.</w:t>
      </w:r>
    </w:p>
    <w:p>
      <w:pPr>
        <w:spacing w:after="0" w:line="358" w:lineRule="exact"/>
        <w:rPr>
          <w:sz w:val="20"/>
          <w:szCs w:val="20"/>
          <w:color w:val="auto"/>
        </w:rPr>
      </w:pPr>
    </w:p>
    <w:p>
      <w:pPr>
        <w:ind w:left="240" w:hanging="235"/>
        <w:spacing w:after="0"/>
        <w:tabs>
          <w:tab w:leader="none" w:pos="24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Accrued and other liabilities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shd w:val="clear" w:color="auto" w:fill="CCEEFF"/>
          </w:tcPr>
          <w:p>
            <w:pPr>
              <w:spacing w:after="0"/>
              <w:rPr>
                <w:sz w:val="12"/>
                <w:szCs w:val="12"/>
                <w:color w:val="auto"/>
              </w:rPr>
            </w:pPr>
          </w:p>
        </w:tc>
        <w:tc>
          <w:tcPr>
            <w:tcW w:w="480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260" w:type="dxa"/>
            <w:vAlign w:val="bottom"/>
          </w:tcPr>
          <w:p>
            <w:pPr>
              <w:spacing w:after="0"/>
              <w:rPr>
                <w:sz w:val="12"/>
                <w:szCs w:val="12"/>
                <w:color w:val="auto"/>
              </w:rPr>
            </w:pPr>
          </w:p>
        </w:tc>
      </w:tr>
      <w:tr>
        <w:trPr>
          <w:trHeight w:val="170"/>
        </w:trPr>
        <w:tc>
          <w:tcPr>
            <w:tcW w:w="5220" w:type="dxa"/>
            <w:vAlign w:val="bottom"/>
            <w:tcBorders>
              <w:bottom w:val="single" w:sz="8" w:color="auto"/>
            </w:tcBorders>
            <w:shd w:val="clear" w:color="auto" w:fill="CCEEFF"/>
          </w:tcPr>
          <w:p>
            <w:pPr>
              <w:spacing w:after="0"/>
              <w:rPr>
                <w:sz w:val="14"/>
                <w:szCs w:val="14"/>
                <w:color w:val="auto"/>
              </w:rPr>
            </w:pPr>
          </w:p>
        </w:tc>
        <w:tc>
          <w:tcPr>
            <w:tcW w:w="48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260" w:type="dxa"/>
            <w:vAlign w:val="bottom"/>
          </w:tcPr>
          <w:p>
            <w:pPr>
              <w:spacing w:after="0"/>
              <w:rPr>
                <w:sz w:val="14"/>
                <w:szCs w:val="14"/>
                <w:color w:val="auto"/>
              </w:rPr>
            </w:pPr>
          </w:p>
        </w:tc>
      </w:tr>
      <w:tr>
        <w:trPr>
          <w:trHeight w:val="160"/>
        </w:trPr>
        <w:tc>
          <w:tcPr>
            <w:tcW w:w="5220" w:type="dxa"/>
            <w:vAlign w:val="bottom"/>
          </w:tcPr>
          <w:p>
            <w:pPr>
              <w:spacing w:after="0"/>
              <w:rPr>
                <w:sz w:val="13"/>
                <w:szCs w:val="13"/>
                <w:color w:val="auto"/>
              </w:rPr>
            </w:pPr>
          </w:p>
        </w:tc>
        <w:tc>
          <w:tcPr>
            <w:tcW w:w="480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$’000</w:t>
            </w:r>
          </w:p>
        </w:tc>
      </w:tr>
      <w:tr>
        <w:trPr>
          <w:trHeight w:val="170"/>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8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Lease liabilities</w:t>
            </w:r>
          </w:p>
        </w:tc>
        <w:tc>
          <w:tcPr>
            <w:tcW w:w="48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5,665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5,579</w:t>
            </w:r>
          </w:p>
        </w:tc>
        <w:tc>
          <w:tcPr>
            <w:tcW w:w="260" w:type="dxa"/>
            <w:vAlign w:val="bottom"/>
          </w:tcPr>
          <w:p>
            <w:pPr>
              <w:spacing w:after="0"/>
              <w:rPr>
                <w:sz w:val="14"/>
                <w:szCs w:val="14"/>
                <w:color w:val="auto"/>
              </w:rPr>
            </w:pPr>
          </w:p>
        </w:tc>
      </w:tr>
      <w:tr>
        <w:trPr>
          <w:trHeight w:val="185"/>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8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5,665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5,579</w:t>
            </w:r>
          </w:p>
        </w:tc>
        <w:tc>
          <w:tcPr>
            <w:tcW w:w="260" w:type="dxa"/>
            <w:vAlign w:val="bottom"/>
          </w:tcPr>
          <w:p>
            <w:pPr>
              <w:spacing w:after="0"/>
              <w:rPr>
                <w:sz w:val="15"/>
                <w:szCs w:val="15"/>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48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8"/>
        </w:trPr>
        <w:tc>
          <w:tcPr>
            <w:tcW w:w="5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r>
      <w:tr>
        <w:trPr>
          <w:trHeight w:val="127"/>
        </w:trPr>
        <w:tc>
          <w:tcPr>
            <w:tcW w:w="5220" w:type="dxa"/>
            <w:vAlign w:val="bottom"/>
            <w:shd w:val="clear" w:color="auto" w:fill="CCEEFF"/>
          </w:tcPr>
          <w:p>
            <w:pPr>
              <w:spacing w:after="0"/>
              <w:rPr>
                <w:sz w:val="11"/>
                <w:szCs w:val="11"/>
                <w:color w:val="auto"/>
              </w:rPr>
            </w:pPr>
          </w:p>
        </w:tc>
        <w:tc>
          <w:tcPr>
            <w:tcW w:w="480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31 December</w:t>
            </w:r>
          </w:p>
        </w:tc>
        <w:tc>
          <w:tcPr>
            <w:tcW w:w="12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5220" w:type="dxa"/>
            <w:vAlign w:val="bottom"/>
            <w:tcBorders>
              <w:bottom w:val="single" w:sz="8" w:color="auto"/>
            </w:tcBorders>
            <w:shd w:val="clear" w:color="auto" w:fill="CCEEFF"/>
          </w:tcPr>
          <w:p>
            <w:pPr>
              <w:spacing w:after="0"/>
              <w:rPr>
                <w:sz w:val="14"/>
                <w:szCs w:val="14"/>
                <w:color w:val="auto"/>
              </w:rPr>
            </w:pPr>
          </w:p>
        </w:tc>
        <w:tc>
          <w:tcPr>
            <w:tcW w:w="48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2025</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2024</w:t>
            </w:r>
          </w:p>
        </w:tc>
      </w:tr>
      <w:tr>
        <w:trPr>
          <w:trHeight w:val="160"/>
        </w:trPr>
        <w:tc>
          <w:tcPr>
            <w:tcW w:w="5220" w:type="dxa"/>
            <w:vAlign w:val="bottom"/>
          </w:tcPr>
          <w:p>
            <w:pPr>
              <w:spacing w:after="0"/>
              <w:rPr>
                <w:sz w:val="13"/>
                <w:szCs w:val="13"/>
                <w:color w:val="auto"/>
              </w:rPr>
            </w:pPr>
          </w:p>
        </w:tc>
        <w:tc>
          <w:tcPr>
            <w:tcW w:w="480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48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70"/>
        </w:trPr>
        <w:tc>
          <w:tcPr>
            <w:tcW w:w="5220" w:type="dxa"/>
            <w:vAlign w:val="bottom"/>
          </w:tcPr>
          <w:p>
            <w:pPr>
              <w:ind w:left="20"/>
              <w:spacing w:after="0"/>
              <w:rPr>
                <w:sz w:val="20"/>
                <w:szCs w:val="20"/>
                <w:color w:val="auto"/>
              </w:rPr>
            </w:pPr>
            <w:r>
              <w:rPr>
                <w:rFonts w:ascii="Arial" w:cs="Arial" w:eastAsia="Arial" w:hAnsi="Arial"/>
                <w:sz w:val="13"/>
                <w:szCs w:val="13"/>
                <w:color w:val="auto"/>
              </w:rPr>
              <w:t>Current lease liabilities</w:t>
            </w:r>
          </w:p>
        </w:tc>
        <w:tc>
          <w:tcPr>
            <w:tcW w:w="4800" w:type="dxa"/>
            <w:vAlign w:val="bottom"/>
          </w:tcPr>
          <w:p>
            <w:pPr>
              <w:jc w:val="right"/>
              <w:ind w:right="216"/>
              <w:spacing w:after="0"/>
              <w:rPr>
                <w:sz w:val="20"/>
                <w:szCs w:val="20"/>
                <w:color w:val="auto"/>
              </w:rPr>
            </w:pPr>
            <w:r>
              <w:rPr>
                <w:rFonts w:ascii="Arial" w:cs="Arial" w:eastAsia="Arial" w:hAnsi="Arial"/>
                <w:sz w:val="13"/>
                <w:szCs w:val="13"/>
                <w:b w:val="1"/>
                <w:bCs w:val="1"/>
                <w:color w:val="auto"/>
              </w:rPr>
              <w:t>684</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574</w:t>
            </w:r>
          </w:p>
        </w:tc>
      </w:tr>
      <w:tr>
        <w:trPr>
          <w:trHeight w:val="17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48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6,908</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6,727</w:t>
            </w:r>
          </w:p>
        </w:tc>
      </w:tr>
      <w:tr>
        <w:trPr>
          <w:trHeight w:val="16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7,592</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7,301</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144</w:t>
      </w:r>
    </w:p>
    <w:p>
      <w:pPr>
        <w:sectPr>
          <w:pgSz w:w="11900" w:h="16838" w:orient="portrait"/>
          <w:cols w:equalWidth="0" w:num="1">
            <w:col w:w="11280"/>
          </w:cols>
          <w:pgMar w:left="300" w:top="698" w:right="31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7.</w:t>
      </w:r>
      <w:r>
        <w:rPr>
          <w:sz w:val="20"/>
          <w:szCs w:val="20"/>
          <w:color w:val="auto"/>
        </w:rPr>
        <w:tab/>
      </w:r>
      <w:r>
        <w:rPr>
          <w:rFonts w:ascii="Arial" w:cs="Arial" w:eastAsia="Arial" w:hAnsi="Arial"/>
          <w:sz w:val="12"/>
          <w:szCs w:val="12"/>
          <w:b w:val="1"/>
          <w:bCs w:val="1"/>
          <w:color w:val="auto"/>
        </w:rPr>
        <w:t>Capital and reserves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shd w:val="clear" w:color="auto" w:fill="CCEEFF"/>
          </w:tcPr>
          <w:p>
            <w:pPr>
              <w:spacing w:after="0"/>
              <w:rPr>
                <w:sz w:val="13"/>
                <w:szCs w:val="13"/>
                <w:color w:val="auto"/>
              </w:rPr>
            </w:pPr>
          </w:p>
        </w:tc>
        <w:tc>
          <w:tcPr>
            <w:tcW w:w="47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360" w:type="dxa"/>
            <w:vAlign w:val="bottom"/>
            <w:tcBorders>
              <w:bottom w:val="single" w:sz="8" w:color="auto"/>
            </w:tcBorders>
            <w:shd w:val="clear" w:color="auto" w:fill="CCEEFF"/>
          </w:tcPr>
          <w:p>
            <w:pPr>
              <w:spacing w:after="0"/>
              <w:rPr>
                <w:sz w:val="14"/>
                <w:szCs w:val="14"/>
                <w:color w:val="auto"/>
              </w:rPr>
            </w:pPr>
          </w:p>
        </w:tc>
        <w:tc>
          <w:tcPr>
            <w:tcW w:w="47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5360" w:type="dxa"/>
            <w:vAlign w:val="bottom"/>
          </w:tcPr>
          <w:p>
            <w:pPr>
              <w:spacing w:after="0"/>
              <w:rPr>
                <w:sz w:val="13"/>
                <w:szCs w:val="13"/>
                <w:color w:val="auto"/>
              </w:rPr>
            </w:pPr>
          </w:p>
        </w:tc>
        <w:tc>
          <w:tcPr>
            <w:tcW w:w="47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capital</w:t>
            </w:r>
          </w:p>
        </w:tc>
        <w:tc>
          <w:tcPr>
            <w:tcW w:w="47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6,305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6,586</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Share premium</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569,507</w:t>
            </w:r>
          </w:p>
        </w:tc>
        <w:tc>
          <w:tcPr>
            <w:tcW w:w="1140" w:type="dxa"/>
            <w:vAlign w:val="bottom"/>
          </w:tcPr>
          <w:p>
            <w:pPr>
              <w:jc w:val="right"/>
              <w:spacing w:after="0"/>
              <w:rPr>
                <w:sz w:val="20"/>
                <w:szCs w:val="20"/>
                <w:color w:val="auto"/>
              </w:rPr>
            </w:pPr>
            <w:r>
              <w:rPr>
                <w:rFonts w:ascii="Arial" w:cs="Arial" w:eastAsia="Arial" w:hAnsi="Arial"/>
                <w:sz w:val="13"/>
                <w:szCs w:val="13"/>
                <w:color w:val="auto"/>
              </w:rPr>
              <w:t>559,804</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Merger reserve</w:t>
            </w:r>
          </w:p>
        </w:tc>
        <w:tc>
          <w:tcPr>
            <w:tcW w:w="47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1,606</w:t>
            </w:r>
          </w:p>
        </w:tc>
        <w:tc>
          <w:tcPr>
            <w:tcW w:w="1140" w:type="dxa"/>
            <w:vAlign w:val="bottom"/>
          </w:tcPr>
          <w:p>
            <w:pPr>
              <w:jc w:val="right"/>
              <w:spacing w:after="0"/>
              <w:rPr>
                <w:sz w:val="20"/>
                <w:szCs w:val="20"/>
                <w:color w:val="auto"/>
              </w:rPr>
            </w:pPr>
            <w:r>
              <w:rPr>
                <w:rFonts w:ascii="Arial" w:cs="Arial" w:eastAsia="Arial" w:hAnsi="Arial"/>
                <w:sz w:val="13"/>
                <w:szCs w:val="13"/>
                <w:color w:val="auto"/>
              </w:rPr>
              <w:t>1,304</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reserve</w:t>
            </w:r>
          </w:p>
        </w:tc>
        <w:tc>
          <w:tcPr>
            <w:tcW w:w="47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319,527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270,550</w:t>
            </w:r>
          </w:p>
        </w:tc>
      </w:tr>
      <w:tr>
        <w:trPr>
          <w:trHeight w:val="170"/>
        </w:trPr>
        <w:tc>
          <w:tcPr>
            <w:tcW w:w="5360" w:type="dxa"/>
            <w:vAlign w:val="bottom"/>
          </w:tcPr>
          <w:p>
            <w:pPr>
              <w:ind w:left="20"/>
              <w:spacing w:after="0"/>
              <w:rPr>
                <w:sz w:val="20"/>
                <w:szCs w:val="20"/>
                <w:color w:val="auto"/>
              </w:rPr>
            </w:pPr>
            <w:r>
              <w:rPr>
                <w:rFonts w:ascii="Arial" w:cs="Arial" w:eastAsia="Arial" w:hAnsi="Arial"/>
                <w:sz w:val="13"/>
                <w:szCs w:val="13"/>
                <w:color w:val="auto"/>
              </w:rPr>
              <w:t>Other reserve</w:t>
            </w:r>
          </w:p>
        </w:tc>
        <w:tc>
          <w:tcPr>
            <w:tcW w:w="4780" w:type="dxa"/>
            <w:vAlign w:val="bottom"/>
          </w:tcPr>
          <w:p>
            <w:pPr>
              <w:jc w:val="right"/>
              <w:ind w:right="336"/>
              <w:spacing w:after="0"/>
              <w:rPr>
                <w:sz w:val="20"/>
                <w:szCs w:val="20"/>
                <w:color w:val="auto"/>
              </w:rPr>
            </w:pPr>
            <w:r>
              <w:rPr>
                <w:rFonts w:ascii="Arial" w:cs="Arial" w:eastAsia="Arial" w:hAnsi="Arial"/>
                <w:sz w:val="13"/>
                <w:szCs w:val="13"/>
                <w:b w:val="1"/>
                <w:bCs w:val="1"/>
                <w:color w:val="auto"/>
              </w:rPr>
              <w:t>27,405</w:t>
            </w:r>
          </w:p>
        </w:tc>
        <w:tc>
          <w:tcPr>
            <w:tcW w:w="1140" w:type="dxa"/>
            <w:vAlign w:val="bottom"/>
          </w:tcPr>
          <w:p>
            <w:pPr>
              <w:jc w:val="right"/>
              <w:spacing w:after="0"/>
              <w:rPr>
                <w:sz w:val="20"/>
                <w:szCs w:val="20"/>
                <w:color w:val="auto"/>
              </w:rPr>
            </w:pPr>
            <w:r>
              <w:rPr>
                <w:rFonts w:ascii="Arial" w:cs="Arial" w:eastAsia="Arial" w:hAnsi="Arial"/>
                <w:sz w:val="13"/>
                <w:szCs w:val="13"/>
                <w:color w:val="auto"/>
              </w:rPr>
              <w:t>27,405</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reserve</w:t>
            </w:r>
          </w:p>
        </w:tc>
        <w:tc>
          <w:tcPr>
            <w:tcW w:w="47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(111,875)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(113,342)</w:t>
            </w:r>
          </w:p>
        </w:tc>
      </w:tr>
      <w:tr>
        <w:trPr>
          <w:trHeight w:val="17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Retained earnings</w:t>
            </w:r>
          </w:p>
        </w:tc>
        <w:tc>
          <w:tcPr>
            <w:tcW w:w="47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939,849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927,650</w:t>
            </w:r>
          </w:p>
        </w:tc>
      </w:tr>
      <w:tr>
        <w:trPr>
          <w:trHeight w:val="185"/>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7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7,408,519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7,336,152</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4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Capital</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are included in Note 22 </w:t>
      </w:r>
      <w:r>
        <w:rPr>
          <w:rFonts w:ascii="Arial" w:cs="Arial" w:eastAsia="Arial" w:hAnsi="Arial"/>
          <w:sz w:val="13"/>
          <w:szCs w:val="13"/>
          <w:i w:val="1"/>
          <w:iCs w:val="1"/>
          <w:color w:val="auto"/>
        </w:rPr>
        <w:t>Share capital</w:t>
      </w:r>
      <w:r>
        <w:rPr>
          <w:rFonts w:ascii="Arial" w:cs="Arial" w:eastAsia="Arial" w:hAnsi="Arial"/>
          <w:sz w:val="13"/>
          <w:szCs w:val="13"/>
          <w:color w:val="auto"/>
        </w:rPr>
        <w:t xml:space="preserve"> in Notes to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Merger reserve</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the Company, merged with and into PRA, the parent of the PRA Health Sciences Group. Upon completion of the Merger, pursuant to the terms of the Merger Agreement, PRA became a wholly owned subsidiary of the Company. The transaction resulted in the issuance of 27,372,427 shares to the former stockholders of PRA. The Company issued these shares at the prevailing market price and recognised the premium of $5,656.2 million on issuance of these shares as a merger reserve as required under Irish Company Law.</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undenominated capital</w:t>
      </w:r>
    </w:p>
    <w:p>
      <w:pPr>
        <w:spacing w:after="0" w:line="9"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Company and transferred from share capital to other undenominated capital as required under Irish Company Law. During the year ended 31 December 2025, 4,504,330 ordinary shares were repurchased and cancelled by the Company (2024: 2,179,699).</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reserve</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The share-based payment reserve is used to account for share-based payments.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reserves</w:t>
      </w:r>
    </w:p>
    <w:p>
      <w:pPr>
        <w:spacing w:after="0" w:line="9"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In 2005 the Company recognised a capital contribution of $6.1 million being the fair value of outstanding ordinary shares transferred to Mr Peter Gray, formerly Vice Chair of the Board of Directors and formerly Chief Executive Officer, by founding Directors, Dr. John Climax and Dr. Ronan Lambe.</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1 July 2023, ICON plc transferred the trade of its Italian branch to ICON Holdings Clinical Research International Limited in exchange for the allotment and issuance of 9,214 ordinary shares of €1.00 each in the share capital of ICON Holdings Clinical Research International Limited, issued at a premium of €2,086.85 per share. The disposal of the trade has resulted in a gain of $13.5 million being recorded in Other Reserve in the Company Statement of Changes in Equity.</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1 October 2023, ICON plc transferred its interest in ICON Japan, with a carrying value of $3.1 million, to PRA Health Sciences KK in exchange for a loan note of amounting to $10.9 million. The transaction resulted in the Company recording a gain on disposal of $7.8 million in Other Reserve in the Company Statement of Changes in Equity.</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reserve</w:t>
      </w:r>
    </w:p>
    <w:p>
      <w:pPr>
        <w:spacing w:after="0" w:line="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currency reserve comprises all foreign exchange differences arising from the translation of the financial statements of foreign currency denominated operations of the Company. As at 31 December 2025, this amounted to a cumulative loss of $111.9 million (2024: $113.3 million).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Retained earnings</w:t>
      </w:r>
    </w:p>
    <w:p>
      <w:pPr>
        <w:spacing w:after="0"/>
        <w:rPr>
          <w:sz w:val="20"/>
          <w:szCs w:val="20"/>
          <w:color w:val="auto"/>
        </w:rPr>
      </w:pPr>
      <w:r>
        <w:rPr>
          <w:rFonts w:ascii="Arial" w:cs="Arial" w:eastAsia="Arial" w:hAnsi="Arial"/>
          <w:sz w:val="13"/>
          <w:szCs w:val="13"/>
          <w:color w:val="auto"/>
        </w:rPr>
        <w:t>During the year ended 31 December 2025, 4,504,330 (2024: 2,179,699) ordinary shares were redeemed by the Company under this buyback programme for a total consideration of $750.0 million</w:t>
      </w:r>
    </w:p>
    <w:p>
      <w:pPr>
        <w:spacing w:after="0"/>
        <w:rPr>
          <w:sz w:val="20"/>
          <w:szCs w:val="20"/>
          <w:color w:val="auto"/>
        </w:rPr>
      </w:pPr>
      <w:r>
        <w:rPr>
          <w:rFonts w:ascii="Arial" w:cs="Arial" w:eastAsia="Arial" w:hAnsi="Arial"/>
          <w:sz w:val="13"/>
          <w:szCs w:val="13"/>
          <w:color w:val="auto"/>
        </w:rPr>
        <w:t>(2024:$500.0 million) which was recorded within retained earnings.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145</w:t>
      </w:r>
    </w:p>
    <w:p>
      <w:pPr>
        <w:sectPr>
          <w:pgSz w:w="11900" w:h="16838" w:orient="portrait"/>
          <w:cols w:equalWidth="0" w:num="1">
            <w:col w:w="11280"/>
          </w:cols>
          <w:pgMar w:left="300" w:top="698" w:right="31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ind w:left="260" w:hanging="255"/>
        <w:spacing w:after="0"/>
        <w:tabs>
          <w:tab w:leader="none" w:pos="26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200" w:lineRule="exact"/>
        <w:rPr>
          <w:sz w:val="20"/>
          <w:szCs w:val="20"/>
          <w:color w:val="auto"/>
        </w:rPr>
      </w:pPr>
    </w:p>
    <w:p>
      <w:pPr>
        <w:spacing w:after="0" w:line="372"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 xml:space="preserve">Directors and Executive Officers of the Parent Company are the same as those for the Group. For information on transactions with Directors and Executive Officers see Note 28 </w:t>
      </w:r>
      <w:r>
        <w:rPr>
          <w:rFonts w:ascii="Arial" w:cs="Arial" w:eastAsia="Arial" w:hAnsi="Arial"/>
          <w:sz w:val="13"/>
          <w:szCs w:val="13"/>
          <w:i w:val="1"/>
          <w:iCs w:val="1"/>
          <w:color w:val="auto"/>
        </w:rPr>
        <w:t>Related parties</w:t>
      </w:r>
      <w:r>
        <w:rPr>
          <w:rFonts w:ascii="Arial" w:cs="Arial" w:eastAsia="Arial" w:hAnsi="Arial"/>
          <w:sz w:val="13"/>
          <w:szCs w:val="13"/>
          <w:color w:val="auto"/>
        </w:rPr>
        <w:t xml:space="preserve"> in Notes to the Consolidated Financial Statements, and for information on Directors’ remuneration see Note 10 </w:t>
      </w:r>
      <w:r>
        <w:rPr>
          <w:rFonts w:ascii="Arial" w:cs="Arial" w:eastAsia="Arial" w:hAnsi="Arial"/>
          <w:sz w:val="13"/>
          <w:szCs w:val="13"/>
          <w:i w:val="1"/>
          <w:iCs w:val="1"/>
          <w:color w:val="auto"/>
        </w:rPr>
        <w:t>Payroll and related benefits</w:t>
      </w:r>
      <w:r>
        <w:rPr>
          <w:rFonts w:ascii="Arial" w:cs="Arial" w:eastAsia="Arial" w:hAnsi="Arial"/>
          <w:sz w:val="13"/>
          <w:szCs w:val="13"/>
          <w:color w:val="auto"/>
        </w:rPr>
        <w:t xml:space="preserve"> in Notes to the Consolidated Financial Statements.</w:t>
      </w:r>
    </w:p>
    <w:p>
      <w:pPr>
        <w:spacing w:after="0" w:line="35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b w:val="1"/>
          <w:bCs w:val="1"/>
          <w:color w:val="auto"/>
        </w:rPr>
        <w:t>Leases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the following right-of-use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8000" w:type="dxa"/>
            <w:vAlign w:val="bottom"/>
            <w:tcBorders>
              <w:bottom w:val="single" w:sz="8" w:color="auto"/>
            </w:tcBorders>
            <w:shd w:val="clear" w:color="auto" w:fill="CCEEFF"/>
          </w:tcPr>
          <w:p>
            <w:pPr>
              <w:spacing w:after="0"/>
              <w:rPr>
                <w:sz w:val="14"/>
                <w:szCs w:val="14"/>
                <w:color w:val="auto"/>
              </w:rPr>
            </w:pPr>
          </w:p>
        </w:tc>
        <w:tc>
          <w:tcPr>
            <w:tcW w:w="3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Premises</w:t>
            </w:r>
          </w:p>
        </w:tc>
        <w:tc>
          <w:tcPr>
            <w:tcW w:w="60" w:type="dxa"/>
            <w:vAlign w:val="bottom"/>
          </w:tcPr>
          <w:p>
            <w:pPr>
              <w:spacing w:after="0"/>
              <w:rPr>
                <w:sz w:val="14"/>
                <w:szCs w:val="14"/>
                <w:color w:val="auto"/>
              </w:rPr>
            </w:pPr>
          </w:p>
        </w:tc>
      </w:tr>
      <w:tr>
        <w:trPr>
          <w:trHeight w:val="160"/>
        </w:trPr>
        <w:tc>
          <w:tcPr>
            <w:tcW w:w="1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30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60" w:type="dxa"/>
            <w:vAlign w:val="bottom"/>
          </w:tcPr>
          <w:p>
            <w:pPr>
              <w:spacing w:after="0"/>
              <w:rPr>
                <w:sz w:val="13"/>
                <w:szCs w:val="13"/>
                <w:color w:val="auto"/>
              </w:rPr>
            </w:pPr>
          </w:p>
        </w:tc>
      </w:tr>
      <w:tr>
        <w:trPr>
          <w:trHeight w:val="170"/>
        </w:trPr>
        <w:tc>
          <w:tcPr>
            <w:tcW w:w="100" w:type="dxa"/>
            <w:vAlign w:val="bottom"/>
          </w:tcPr>
          <w:p>
            <w:pPr>
              <w:spacing w:after="0"/>
              <w:rPr>
                <w:sz w:val="14"/>
                <w:szCs w:val="14"/>
                <w:color w:val="auto"/>
              </w:rPr>
            </w:pPr>
          </w:p>
        </w:tc>
        <w:tc>
          <w:tcPr>
            <w:tcW w:w="8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2025</w:t>
            </w:r>
          </w:p>
        </w:tc>
        <w:tc>
          <w:tcPr>
            <w:tcW w:w="3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702</w:t>
            </w:r>
          </w:p>
        </w:tc>
        <w:tc>
          <w:tcPr>
            <w:tcW w:w="60" w:type="dxa"/>
            <w:vAlign w:val="bottom"/>
          </w:tcPr>
          <w:p>
            <w:pPr>
              <w:spacing w:after="0"/>
              <w:rPr>
                <w:sz w:val="14"/>
                <w:szCs w:val="14"/>
                <w:color w:val="auto"/>
              </w:rPr>
            </w:pPr>
          </w:p>
        </w:tc>
      </w:tr>
      <w:tr>
        <w:trPr>
          <w:trHeight w:val="170"/>
        </w:trPr>
        <w:tc>
          <w:tcPr>
            <w:tcW w:w="100" w:type="dxa"/>
            <w:vAlign w:val="bottom"/>
          </w:tcPr>
          <w:p>
            <w:pPr>
              <w:spacing w:after="0"/>
              <w:rPr>
                <w:sz w:val="14"/>
                <w:szCs w:val="14"/>
                <w:color w:val="auto"/>
              </w:rPr>
            </w:pPr>
          </w:p>
        </w:tc>
        <w:tc>
          <w:tcPr>
            <w:tcW w:w="8000" w:type="dxa"/>
            <w:vAlign w:val="bottom"/>
          </w:tcPr>
          <w:p>
            <w:pPr>
              <w:ind w:left="20"/>
              <w:spacing w:after="0"/>
              <w:rPr>
                <w:sz w:val="20"/>
                <w:szCs w:val="20"/>
                <w:color w:val="auto"/>
              </w:rPr>
            </w:pPr>
            <w:r>
              <w:rPr>
                <w:rFonts w:ascii="Arial" w:cs="Arial" w:eastAsia="Arial" w:hAnsi="Arial"/>
                <w:sz w:val="13"/>
                <w:szCs w:val="13"/>
                <w:color w:val="auto"/>
              </w:rPr>
              <w:t>Right-of-use assets at 31 December 2025</w:t>
            </w:r>
          </w:p>
        </w:tc>
        <w:tc>
          <w:tcPr>
            <w:tcW w:w="3080" w:type="dxa"/>
            <w:vAlign w:val="bottom"/>
          </w:tcPr>
          <w:p>
            <w:pPr>
              <w:jc w:val="right"/>
              <w:spacing w:after="0"/>
              <w:rPr>
                <w:sz w:val="20"/>
                <w:szCs w:val="20"/>
                <w:color w:val="auto"/>
              </w:rPr>
            </w:pPr>
            <w:r>
              <w:rPr>
                <w:rFonts w:ascii="Arial" w:cs="Arial" w:eastAsia="Arial" w:hAnsi="Arial"/>
                <w:sz w:val="13"/>
                <w:szCs w:val="13"/>
                <w:b w:val="1"/>
                <w:bCs w:val="1"/>
                <w:color w:val="auto"/>
              </w:rPr>
              <w:t>5,610</w:t>
            </w:r>
          </w:p>
        </w:tc>
        <w:tc>
          <w:tcPr>
            <w:tcW w:w="60" w:type="dxa"/>
            <w:vAlign w:val="bottom"/>
          </w:tcPr>
          <w:p>
            <w:pPr>
              <w:spacing w:after="0"/>
              <w:rPr>
                <w:sz w:val="14"/>
                <w:szCs w:val="14"/>
                <w:color w:val="auto"/>
              </w:rPr>
            </w:pPr>
          </w:p>
        </w:tc>
      </w:tr>
      <w:tr>
        <w:trPr>
          <w:trHeight w:val="170"/>
        </w:trPr>
        <w:tc>
          <w:tcPr>
            <w:tcW w:w="100" w:type="dxa"/>
            <w:vAlign w:val="bottom"/>
          </w:tcPr>
          <w:p>
            <w:pPr>
              <w:spacing w:after="0"/>
              <w:rPr>
                <w:sz w:val="14"/>
                <w:szCs w:val="14"/>
                <w:color w:val="auto"/>
              </w:rPr>
            </w:pPr>
          </w:p>
        </w:tc>
        <w:tc>
          <w:tcPr>
            <w:tcW w:w="8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charge for 2024</w:t>
            </w:r>
          </w:p>
        </w:tc>
        <w:tc>
          <w:tcPr>
            <w:tcW w:w="3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60" w:type="dxa"/>
            <w:vAlign w:val="bottom"/>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2024</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5,550</w:t>
            </w:r>
          </w:p>
        </w:tc>
        <w:tc>
          <w:tcPr>
            <w:tcW w:w="60" w:type="dxa"/>
            <w:vAlign w:val="bottom"/>
          </w:tcPr>
          <w:p>
            <w:pPr>
              <w:spacing w:after="0"/>
              <w:rPr>
                <w:sz w:val="14"/>
                <w:szCs w:val="14"/>
                <w:color w:val="auto"/>
              </w:rPr>
            </w:pPr>
          </w:p>
        </w:tc>
      </w:tr>
      <w:tr>
        <w:trPr>
          <w:trHeight w:val="393"/>
        </w:trPr>
        <w:tc>
          <w:tcPr>
            <w:tcW w:w="8100" w:type="dxa"/>
            <w:vAlign w:val="bottom"/>
            <w:gridSpan w:val="2"/>
          </w:tcPr>
          <w:p>
            <w:pPr>
              <w:spacing w:after="0"/>
              <w:rPr>
                <w:sz w:val="20"/>
                <w:szCs w:val="20"/>
                <w:color w:val="auto"/>
              </w:rPr>
            </w:pPr>
            <w:r>
              <w:rPr>
                <w:rFonts w:ascii="Arial" w:cs="Arial" w:eastAsia="Arial" w:hAnsi="Arial"/>
                <w:sz w:val="13"/>
                <w:szCs w:val="13"/>
                <w:color w:val="auto"/>
              </w:rPr>
              <w:t>Additions to right-of-use assets during 2025 were $nil million (2024: $6.38 million).</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8100" w:type="dxa"/>
            <w:vAlign w:val="bottom"/>
            <w:gridSpan w:val="2"/>
          </w:tcPr>
          <w:p>
            <w:pPr>
              <w:spacing w:after="0"/>
              <w:rPr>
                <w:sz w:val="20"/>
                <w:szCs w:val="20"/>
                <w:color w:val="auto"/>
              </w:rPr>
            </w:pPr>
            <w:r>
              <w:rPr>
                <w:rFonts w:ascii="Arial" w:cs="Arial" w:eastAsia="Arial" w:hAnsi="Arial"/>
                <w:sz w:val="13"/>
                <w:szCs w:val="13"/>
                <w:color w:val="auto"/>
              </w:rPr>
              <w:t>The weighted average remaining lease term at 31 December 2025 was 8.14 years (2024: 9.15 years).</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6"/>
        </w:trPr>
        <w:tc>
          <w:tcPr>
            <w:tcW w:w="8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Lease liabilities</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4"/>
        </w:trPr>
        <w:tc>
          <w:tcPr>
            <w:tcW w:w="8100" w:type="dxa"/>
            <w:vAlign w:val="bottom"/>
            <w:gridSpan w:val="2"/>
          </w:tcPr>
          <w:p>
            <w:pPr>
              <w:spacing w:after="0"/>
              <w:rPr>
                <w:sz w:val="20"/>
                <w:szCs w:val="20"/>
                <w:color w:val="auto"/>
              </w:rPr>
            </w:pPr>
            <w:r>
              <w:rPr>
                <w:rFonts w:ascii="Arial" w:cs="Arial" w:eastAsia="Arial" w:hAnsi="Arial"/>
                <w:sz w:val="13"/>
                <w:szCs w:val="13"/>
                <w:color w:val="auto"/>
              </w:rPr>
              <w:t>Future minimum lease payments under non-cancellable leases as of 31 December 2025 were as follows:</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1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3140" w:type="dxa"/>
            <w:vAlign w:val="bottom"/>
            <w:gridSpan w:val="2"/>
          </w:tcPr>
          <w:p>
            <w:pPr>
              <w:spacing w:after="0"/>
              <w:rPr>
                <w:sz w:val="18"/>
                <w:szCs w:val="18"/>
                <w:color w:val="auto"/>
              </w:rPr>
            </w:pPr>
          </w:p>
        </w:tc>
      </w:tr>
      <w:tr>
        <w:trPr>
          <w:trHeight w:val="127"/>
        </w:trPr>
        <w:tc>
          <w:tcPr>
            <w:tcW w:w="100" w:type="dxa"/>
            <w:vAlign w:val="bottom"/>
            <w:tcBorders>
              <w:right w:val="single" w:sz="8" w:color="CCEEFF"/>
            </w:tcBorders>
          </w:tcPr>
          <w:p>
            <w:pPr>
              <w:spacing w:after="0"/>
              <w:rPr>
                <w:sz w:val="11"/>
                <w:szCs w:val="11"/>
                <w:color w:val="auto"/>
              </w:rPr>
            </w:pPr>
          </w:p>
        </w:tc>
        <w:tc>
          <w:tcPr>
            <w:tcW w:w="800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Minimum rental</w:t>
            </w:r>
          </w:p>
        </w:tc>
      </w:tr>
      <w:tr>
        <w:trPr>
          <w:trHeight w:val="170"/>
        </w:trPr>
        <w:tc>
          <w:tcPr>
            <w:tcW w:w="100" w:type="dxa"/>
            <w:vAlign w:val="bottom"/>
            <w:tcBorders>
              <w:right w:val="single" w:sz="8" w:color="CCEEFF"/>
            </w:tcBorders>
          </w:tcPr>
          <w:p>
            <w:pPr>
              <w:spacing w:after="0"/>
              <w:rPr>
                <w:sz w:val="14"/>
                <w:szCs w:val="14"/>
                <w:color w:val="auto"/>
              </w:rPr>
            </w:pPr>
          </w:p>
        </w:tc>
        <w:tc>
          <w:tcPr>
            <w:tcW w:w="8000" w:type="dxa"/>
            <w:vAlign w:val="bottom"/>
            <w:tcBorders>
              <w:bottom w:val="single" w:sz="8" w:color="auto"/>
            </w:tcBorders>
            <w:shd w:val="clear" w:color="auto" w:fill="CCEEFF"/>
          </w:tcPr>
          <w:p>
            <w:pPr>
              <w:spacing w:after="0"/>
              <w:rPr>
                <w:sz w:val="14"/>
                <w:szCs w:val="14"/>
                <w:color w:val="auto"/>
              </w:rPr>
            </w:pPr>
          </w:p>
        </w:tc>
        <w:tc>
          <w:tcPr>
            <w:tcW w:w="3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payments</w:t>
            </w:r>
          </w:p>
        </w:tc>
      </w:tr>
      <w:tr>
        <w:trPr>
          <w:trHeight w:val="160"/>
        </w:trPr>
        <w:tc>
          <w:tcPr>
            <w:tcW w:w="1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3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$'000</w:t>
            </w:r>
          </w:p>
        </w:tc>
      </w:tr>
      <w:tr>
        <w:trPr>
          <w:trHeight w:val="170"/>
        </w:trPr>
        <w:tc>
          <w:tcPr>
            <w:tcW w:w="100" w:type="dxa"/>
            <w:vAlign w:val="bottom"/>
            <w:tcBorders>
              <w:right w:val="single" w:sz="8" w:color="CCEEFF"/>
            </w:tcBorders>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Due within 1 year</w:t>
            </w:r>
          </w:p>
        </w:tc>
        <w:tc>
          <w:tcPr>
            <w:tcW w:w="3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60" w:type="dxa"/>
            <w:vAlign w:val="bottom"/>
            <w:shd w:val="clear" w:color="auto" w:fill="CCEEFF"/>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Due between 1 and 2 years</w:t>
            </w:r>
          </w:p>
        </w:tc>
        <w:tc>
          <w:tcPr>
            <w:tcW w:w="3080" w:type="dxa"/>
            <w:vAlign w:val="bottom"/>
          </w:tcPr>
          <w:p>
            <w:pPr>
              <w:jc w:val="right"/>
              <w:spacing w:after="0"/>
              <w:rPr>
                <w:sz w:val="20"/>
                <w:szCs w:val="20"/>
                <w:color w:val="auto"/>
              </w:rPr>
            </w:pPr>
            <w:r>
              <w:rPr>
                <w:rFonts w:ascii="Arial" w:cs="Arial" w:eastAsia="Arial" w:hAnsi="Arial"/>
                <w:sz w:val="13"/>
                <w:szCs w:val="13"/>
                <w:color w:val="auto"/>
              </w:rPr>
              <w:t>929</w:t>
            </w:r>
          </w:p>
        </w:tc>
        <w:tc>
          <w:tcPr>
            <w:tcW w:w="60" w:type="dxa"/>
            <w:vAlign w:val="bottom"/>
          </w:tcPr>
          <w:p>
            <w:pPr>
              <w:spacing w:after="0"/>
              <w:rPr>
                <w:sz w:val="14"/>
                <w:szCs w:val="14"/>
                <w:color w:val="auto"/>
              </w:rPr>
            </w:pPr>
          </w:p>
        </w:tc>
      </w:tr>
      <w:tr>
        <w:trPr>
          <w:trHeight w:val="171"/>
        </w:trPr>
        <w:tc>
          <w:tcPr>
            <w:tcW w:w="100" w:type="dxa"/>
            <w:vAlign w:val="bottom"/>
            <w:tcBorders>
              <w:right w:val="single" w:sz="8" w:color="CCEEFF"/>
            </w:tcBorders>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Due between 2 and 5 years</w:t>
            </w:r>
          </w:p>
        </w:tc>
        <w:tc>
          <w:tcPr>
            <w:tcW w:w="3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2,786</w:t>
            </w:r>
          </w:p>
        </w:tc>
        <w:tc>
          <w:tcPr>
            <w:tcW w:w="60" w:type="dxa"/>
            <w:vAlign w:val="bottom"/>
            <w:shd w:val="clear" w:color="auto" w:fill="CCEEFF"/>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Due after 5 years</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2,874</w:t>
            </w:r>
          </w:p>
        </w:tc>
        <w:tc>
          <w:tcPr>
            <w:tcW w:w="60" w:type="dxa"/>
            <w:vAlign w:val="bottom"/>
            <w:tcBorders>
              <w:bottom w:val="single" w:sz="8" w:color="auto"/>
            </w:tcBorders>
          </w:tcPr>
          <w:p>
            <w:pPr>
              <w:spacing w:after="0"/>
              <w:rPr>
                <w:sz w:val="14"/>
                <w:szCs w:val="14"/>
                <w:color w:val="auto"/>
              </w:rPr>
            </w:pPr>
          </w:p>
        </w:tc>
      </w:tr>
      <w:tr>
        <w:trPr>
          <w:trHeight w:val="162"/>
        </w:trPr>
        <w:tc>
          <w:tcPr>
            <w:tcW w:w="100" w:type="dxa"/>
            <w:vAlign w:val="bottom"/>
            <w:tcBorders>
              <w:right w:val="single" w:sz="8" w:color="CCEEFF"/>
            </w:tcBorders>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Total future minimum lease payments</w:t>
            </w:r>
          </w:p>
        </w:tc>
        <w:tc>
          <w:tcPr>
            <w:tcW w:w="3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7,518</w:t>
            </w:r>
          </w:p>
        </w:tc>
        <w:tc>
          <w:tcPr>
            <w:tcW w:w="60" w:type="dxa"/>
            <w:vAlign w:val="bottom"/>
            <w:shd w:val="clear" w:color="auto" w:fill="CCEEFF"/>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Lease imputed interest</w:t>
            </w:r>
          </w:p>
        </w:tc>
        <w:tc>
          <w:tcPr>
            <w:tcW w:w="3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(1,169)</w:t>
            </w:r>
          </w:p>
        </w:tc>
      </w:tr>
      <w:tr>
        <w:trPr>
          <w:trHeight w:val="163"/>
        </w:trPr>
        <w:tc>
          <w:tcPr>
            <w:tcW w:w="100" w:type="dxa"/>
            <w:vAlign w:val="bottom"/>
            <w:tcBorders>
              <w:right w:val="single" w:sz="8" w:color="CCEEFF"/>
            </w:tcBorders>
          </w:tcPr>
          <w:p>
            <w:pPr>
              <w:spacing w:after="0"/>
              <w:rPr>
                <w:sz w:val="14"/>
                <w:szCs w:val="14"/>
                <w:color w:val="auto"/>
              </w:rPr>
            </w:pPr>
          </w:p>
        </w:tc>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3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6,349</w:t>
            </w:r>
          </w:p>
        </w:tc>
        <w:tc>
          <w:tcPr>
            <w:tcW w:w="60" w:type="dxa"/>
            <w:vAlign w:val="bottom"/>
            <w:tcBorders>
              <w:bottom w:val="single" w:sz="8" w:color="auto"/>
            </w:tcBorders>
            <w:shd w:val="clear" w:color="auto" w:fill="CCEEFF"/>
          </w:tcPr>
          <w:p>
            <w:pPr>
              <w:spacing w:after="0"/>
              <w:rPr>
                <w:sz w:val="14"/>
                <w:szCs w:val="14"/>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Lease liabilities are presented as current and non-current. Current lease liabilities of $0.7 million have been included in accrued and other liabilities as at 31 December 2025 (2024: $0.6 million).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Amounts recognised in profit or loss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amounts were recognised in profit and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shd w:val="clear" w:color="auto" w:fill="CCEEFF"/>
          </w:tcPr>
          <w:p>
            <w:pPr>
              <w:spacing w:after="0"/>
              <w:rPr>
                <w:sz w:val="12"/>
                <w:szCs w:val="12"/>
                <w:color w:val="auto"/>
              </w:rPr>
            </w:pPr>
          </w:p>
        </w:tc>
        <w:tc>
          <w:tcPr>
            <w:tcW w:w="46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46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0"/>
        </w:trPr>
        <w:tc>
          <w:tcPr>
            <w:tcW w:w="5460" w:type="dxa"/>
            <w:vAlign w:val="bottom"/>
          </w:tcPr>
          <w:p>
            <w:pPr>
              <w:spacing w:after="0"/>
              <w:rPr>
                <w:sz w:val="13"/>
                <w:szCs w:val="13"/>
                <w:color w:val="auto"/>
              </w:rPr>
            </w:pPr>
          </w:p>
        </w:tc>
        <w:tc>
          <w:tcPr>
            <w:tcW w:w="46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4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702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r>
      <w:tr>
        <w:trPr>
          <w:trHeight w:val="17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on lease liabilities</w:t>
            </w:r>
          </w:p>
        </w:tc>
        <w:tc>
          <w:tcPr>
            <w:tcW w:w="4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282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 depreciation of right-of-use assets is recorded within other operating expenses and interest on lease liabilities is recorded within finance costs.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2025 and the year ended 31 December 2024, the Company did not incur any costs related to variable lease payments.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146</w:t>
      </w:r>
    </w:p>
    <w:p>
      <w:pPr>
        <w:sectPr>
          <w:pgSz w:w="11900" w:h="16838" w:orient="portrait"/>
          <w:cols w:equalWidth="0" w:num="1">
            <w:col w:w="11280"/>
          </w:cols>
          <w:pgMar w:left="300" w:top="698" w:right="31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ind w:left="320" w:hanging="315"/>
        <w:spacing w:after="0"/>
        <w:tabs>
          <w:tab w:leader="none" w:pos="32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39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Other than as described below, 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unfavourable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favour.</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Company, its former Chief Executive Officer, and its former Chief Financial Officer were named as defendants in two class action lawsuits involving similar claims, filed in the United States District Court for the Eastern District of New York on 10 February 2025 (Shing v. ICON plc, et al.) and 2 April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In re ICON plc Securities Litigation, No. 2:25-cv-00763 (the “Putative Class Action”). Lead plaintiffs and lead counsel for the putative class were appointed on 10 June 2025. On 12 September 2025, the lead plaintiffs filed an amended complaint that names the Company’s current Chief Executive Officer in addition to the original defendants.</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On 12 November 2025, the defendants filed a motion to dismiss the amended complaint. Lead plaintiffs filed an opposition on 13 January 2026. On 13 February 2026, the parties filed a stipulation that the lead plaintiffs may file a further amended complaint within 30 days after the Company publicly reports full-year 2025 results. Given the preliminary stage of the litigation and inherent uncertainties in light of the forthcoming further amended complaint, we are unable at this time to form a view as to whether an adverse outcome is either probable or remote or to estimate the amount or range of potential loss in the event of an adverse outcome.</w:t>
      </w: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Financial instruments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foreign exchange risk and interest rate risk.</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Intercompany loans receivable are initially recognised at fair value. These are subsequently measured at amortised cost, less any expected credit loss. An expected credit loss assessment was performed in respect of the receivables at 31 December 2025 and 31 December 2024. The expected credit loss was considered de minimis.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Credit risk is the risk of financial loss to the Company if a customer or counterparty to a financial instrument fails to meet its contractual obligations. Credit risk in respect of the Company arises on balances due from group companies. As the Group generates significant free cash flow; and the subsidiary entities that the Company trades with are in a position to make payments as and when they fall due, the Company has assessed the exposure to credit risk as low.</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maximum exposure of credit risk pertaining to customers is the carrying value of amounts due from subsidiary undertakings.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Liquidity risk</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Liquidity risk is the risk that the Company will not be able to meet its financial obligations as they fall due. The Company’s liquidity risk arises from the repayment of short-term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the Group. Details of the Group’s bank credit lines and facilities are set out in Note 21 </w:t>
      </w:r>
      <w:r>
        <w:rPr>
          <w:rFonts w:ascii="Arial" w:cs="Arial" w:eastAsia="Arial" w:hAnsi="Arial"/>
          <w:sz w:val="13"/>
          <w:szCs w:val="13"/>
          <w:i w:val="1"/>
          <w:iCs w:val="1"/>
          <w:color w:val="auto"/>
        </w:rPr>
        <w:t>Bank credit lines and loan facilities</w:t>
      </w:r>
      <w:r>
        <w:rPr>
          <w:rFonts w:ascii="Arial" w:cs="Arial" w:eastAsia="Arial" w:hAnsi="Arial"/>
          <w:sz w:val="13"/>
          <w:szCs w:val="13"/>
          <w:color w:val="auto"/>
        </w:rPr>
        <w:t xml:space="preserve"> in Notes to the Consolidated Financial Statements</w:t>
      </w:r>
      <w:r>
        <w:rPr>
          <w:rFonts w:ascii="Arial" w:cs="Arial" w:eastAsia="Arial" w:hAnsi="Arial"/>
          <w:sz w:val="13"/>
          <w:szCs w:val="13"/>
          <w:i w:val="1"/>
          <w:iCs w:val="1"/>
          <w:color w:val="auto"/>
        </w:rPr>
        <w: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147</w:t>
      </w:r>
    </w:p>
    <w:p>
      <w:pPr>
        <w:sectPr>
          <w:pgSz w:w="11900" w:h="16838" w:orient="portrait"/>
          <w:cols w:equalWidth="0" w:num="1">
            <w:col w:w="11280"/>
          </w:cols>
          <w:pgMar w:left="300" w:top="697" w:right="31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ind w:left="320" w:hanging="315"/>
        <w:spacing w:after="0"/>
        <w:tabs>
          <w:tab w:leader="none" w:pos="32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9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 ended 31 December 2025: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Carrying</w:t>
            </w:r>
          </w:p>
        </w:tc>
        <w:tc>
          <w:tcPr>
            <w:tcW w:w="132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Contractual</w:t>
            </w:r>
          </w:p>
        </w:tc>
        <w:tc>
          <w:tcPr>
            <w:tcW w:w="1560" w:type="dxa"/>
            <w:vAlign w:val="bottom"/>
            <w:vMerge w:val="restart"/>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Under 1 year</w:t>
            </w:r>
          </w:p>
        </w:tc>
        <w:tc>
          <w:tcPr>
            <w:tcW w:w="13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 to 2</w:t>
            </w:r>
          </w:p>
        </w:tc>
        <w:tc>
          <w:tcPr>
            <w:tcW w:w="1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 to 5</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860" w:type="dxa"/>
            <w:vAlign w:val="bottom"/>
            <w:shd w:val="clear" w:color="auto" w:fill="CCEEFF"/>
          </w:tcPr>
          <w:p>
            <w:pPr>
              <w:spacing w:after="0"/>
              <w:rPr>
                <w:sz w:val="11"/>
                <w:szCs w:val="11"/>
                <w:color w:val="auto"/>
              </w:rPr>
            </w:pPr>
          </w:p>
        </w:tc>
        <w:tc>
          <w:tcPr>
            <w:tcW w:w="192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Amount</w:t>
            </w:r>
          </w:p>
        </w:tc>
        <w:tc>
          <w:tcPr>
            <w:tcW w:w="132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Cashflows</w:t>
            </w:r>
          </w:p>
        </w:tc>
        <w:tc>
          <w:tcPr>
            <w:tcW w:w="1560" w:type="dxa"/>
            <w:vAlign w:val="bottom"/>
            <w:vMerge w:val="continue"/>
            <w:shd w:val="clear" w:color="auto" w:fill="CCEEFF"/>
          </w:tcPr>
          <w:p>
            <w:pPr>
              <w:spacing w:after="0"/>
              <w:rPr>
                <w:sz w:val="11"/>
                <w:szCs w:val="11"/>
                <w:color w:val="auto"/>
              </w:rPr>
            </w:pPr>
          </w:p>
        </w:tc>
        <w:tc>
          <w:tcPr>
            <w:tcW w:w="1340" w:type="dxa"/>
            <w:vAlign w:val="bottom"/>
            <w:shd w:val="clear" w:color="auto" w:fill="CCEEFF"/>
          </w:tcPr>
          <w:p>
            <w:pPr>
              <w:jc w:val="right"/>
              <w:ind w:right="456"/>
              <w:spacing w:after="0" w:line="128" w:lineRule="exact"/>
              <w:rPr>
                <w:sz w:val="20"/>
                <w:szCs w:val="20"/>
                <w:color w:val="auto"/>
              </w:rPr>
            </w:pPr>
            <w:r>
              <w:rPr>
                <w:rFonts w:ascii="Arial" w:cs="Arial" w:eastAsia="Arial" w:hAnsi="Arial"/>
                <w:sz w:val="13"/>
                <w:szCs w:val="13"/>
                <w:b w:val="1"/>
                <w:bCs w:val="1"/>
                <w:color w:val="auto"/>
              </w:rPr>
              <w:t>years</w:t>
            </w:r>
          </w:p>
        </w:tc>
        <w:tc>
          <w:tcPr>
            <w:tcW w:w="1220" w:type="dxa"/>
            <w:vAlign w:val="bottom"/>
            <w:shd w:val="clear" w:color="auto" w:fill="CCEEFF"/>
          </w:tcPr>
          <w:p>
            <w:pPr>
              <w:jc w:val="right"/>
              <w:ind w:right="336"/>
              <w:spacing w:after="0" w:line="128" w:lineRule="exact"/>
              <w:rPr>
                <w:sz w:val="20"/>
                <w:szCs w:val="20"/>
                <w:color w:val="auto"/>
              </w:rPr>
            </w:pPr>
            <w:r>
              <w:rPr>
                <w:rFonts w:ascii="Arial" w:cs="Arial" w:eastAsia="Arial" w:hAnsi="Arial"/>
                <w:sz w:val="13"/>
                <w:szCs w:val="13"/>
                <w:b w:val="1"/>
                <w:bCs w:val="1"/>
                <w:color w:val="auto"/>
              </w:rPr>
              <w:t>years</w:t>
            </w:r>
          </w:p>
        </w:tc>
        <w:tc>
          <w:tcPr>
            <w:tcW w:w="9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6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3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5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9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1,660</w:t>
            </w: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1,660</w:t>
            </w:r>
          </w:p>
        </w:tc>
        <w:tc>
          <w:tcPr>
            <w:tcW w:w="15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1,660</w:t>
            </w:r>
          </w:p>
        </w:tc>
        <w:tc>
          <w:tcPr>
            <w:tcW w:w="13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920" w:type="dxa"/>
            <w:vAlign w:val="bottom"/>
          </w:tcPr>
          <w:p>
            <w:pPr>
              <w:jc w:val="right"/>
              <w:ind w:right="316"/>
              <w:spacing w:after="0"/>
              <w:rPr>
                <w:sz w:val="20"/>
                <w:szCs w:val="20"/>
                <w:color w:val="auto"/>
              </w:rPr>
            </w:pPr>
            <w:r>
              <w:rPr>
                <w:rFonts w:ascii="Arial" w:cs="Arial" w:eastAsia="Arial" w:hAnsi="Arial"/>
                <w:sz w:val="13"/>
                <w:szCs w:val="13"/>
                <w:color w:val="auto"/>
              </w:rPr>
              <w:t>6,349</w:t>
            </w:r>
          </w:p>
        </w:tc>
        <w:tc>
          <w:tcPr>
            <w:tcW w:w="1320" w:type="dxa"/>
            <w:vAlign w:val="bottom"/>
          </w:tcPr>
          <w:p>
            <w:pPr>
              <w:jc w:val="right"/>
              <w:ind w:right="296"/>
              <w:spacing w:after="0"/>
              <w:rPr>
                <w:sz w:val="20"/>
                <w:szCs w:val="20"/>
                <w:color w:val="auto"/>
              </w:rPr>
            </w:pPr>
            <w:r>
              <w:rPr>
                <w:rFonts w:ascii="Arial" w:cs="Arial" w:eastAsia="Arial" w:hAnsi="Arial"/>
                <w:sz w:val="13"/>
                <w:szCs w:val="13"/>
                <w:color w:val="auto"/>
              </w:rPr>
              <w:t>7,518</w:t>
            </w:r>
          </w:p>
        </w:tc>
        <w:tc>
          <w:tcPr>
            <w:tcW w:w="1560" w:type="dxa"/>
            <w:vAlign w:val="bottom"/>
          </w:tcPr>
          <w:p>
            <w:pPr>
              <w:jc w:val="right"/>
              <w:ind w:right="516"/>
              <w:spacing w:after="0"/>
              <w:rPr>
                <w:sz w:val="20"/>
                <w:szCs w:val="20"/>
                <w:color w:val="auto"/>
              </w:rPr>
            </w:pPr>
            <w:r>
              <w:rPr>
                <w:rFonts w:ascii="Arial" w:cs="Arial" w:eastAsia="Arial" w:hAnsi="Arial"/>
                <w:sz w:val="13"/>
                <w:szCs w:val="13"/>
                <w:color w:val="auto"/>
              </w:rPr>
              <w:t>929</w:t>
            </w:r>
          </w:p>
        </w:tc>
        <w:tc>
          <w:tcPr>
            <w:tcW w:w="1340" w:type="dxa"/>
            <w:vAlign w:val="bottom"/>
          </w:tcPr>
          <w:p>
            <w:pPr>
              <w:jc w:val="right"/>
              <w:ind w:right="496"/>
              <w:spacing w:after="0"/>
              <w:rPr>
                <w:sz w:val="20"/>
                <w:szCs w:val="20"/>
                <w:color w:val="auto"/>
              </w:rPr>
            </w:pPr>
            <w:r>
              <w:rPr>
                <w:rFonts w:ascii="Arial" w:cs="Arial" w:eastAsia="Arial" w:hAnsi="Arial"/>
                <w:sz w:val="13"/>
                <w:szCs w:val="13"/>
                <w:color w:val="auto"/>
              </w:rPr>
              <w:t>929</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2,786</w:t>
            </w:r>
          </w:p>
        </w:tc>
        <w:tc>
          <w:tcPr>
            <w:tcW w:w="980" w:type="dxa"/>
            <w:vAlign w:val="bottom"/>
          </w:tcPr>
          <w:p>
            <w:pPr>
              <w:jc w:val="right"/>
              <w:spacing w:after="0"/>
              <w:rPr>
                <w:sz w:val="20"/>
                <w:szCs w:val="20"/>
                <w:color w:val="auto"/>
              </w:rPr>
            </w:pPr>
            <w:r>
              <w:rPr>
                <w:rFonts w:ascii="Arial" w:cs="Arial" w:eastAsia="Arial" w:hAnsi="Arial"/>
                <w:sz w:val="13"/>
                <w:szCs w:val="13"/>
                <w:color w:val="auto"/>
              </w:rPr>
              <w:t>2,874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19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6,908</w:t>
            </w:r>
          </w:p>
        </w:tc>
        <w:tc>
          <w:tcPr>
            <w:tcW w:w="13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6,908</w:t>
            </w:r>
          </w:p>
        </w:tc>
        <w:tc>
          <w:tcPr>
            <w:tcW w:w="15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6,908</w:t>
            </w:r>
          </w:p>
        </w:tc>
        <w:tc>
          <w:tcPr>
            <w:tcW w:w="13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14,917</w:t>
            </w:r>
          </w:p>
        </w:tc>
        <w:tc>
          <w:tcPr>
            <w:tcW w:w="13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16,086</w:t>
            </w:r>
          </w:p>
        </w:tc>
        <w:tc>
          <w:tcPr>
            <w:tcW w:w="15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9,497</w:t>
            </w: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929</w:t>
            </w: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2,786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3"/>
                <w:szCs w:val="13"/>
                <w:i w:val="1"/>
                <w:iCs w:val="1"/>
                <w:color w:val="auto"/>
              </w:rPr>
              <w:t>Year ended 31 December 2024:</w:t>
            </w: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60" w:type="dxa"/>
            <w:vAlign w:val="bottom"/>
            <w:shd w:val="clear" w:color="auto" w:fill="CCEEFF"/>
          </w:tcPr>
          <w:p>
            <w:pPr>
              <w:spacing w:after="0"/>
              <w:rPr>
                <w:sz w:val="11"/>
                <w:szCs w:val="11"/>
                <w:color w:val="auto"/>
              </w:rPr>
            </w:pPr>
          </w:p>
        </w:tc>
        <w:tc>
          <w:tcPr>
            <w:tcW w:w="1920" w:type="dxa"/>
            <w:vAlign w:val="bottom"/>
            <w:shd w:val="clear" w:color="auto" w:fill="CCEEFF"/>
          </w:tcPr>
          <w:p>
            <w:pPr>
              <w:jc w:val="right"/>
              <w:ind w:right="216"/>
              <w:spacing w:after="0" w:line="134" w:lineRule="exact"/>
              <w:rPr>
                <w:sz w:val="20"/>
                <w:szCs w:val="20"/>
                <w:color w:val="auto"/>
              </w:rPr>
            </w:pPr>
            <w:r>
              <w:rPr>
                <w:rFonts w:ascii="Arial" w:cs="Arial" w:eastAsia="Arial" w:hAnsi="Arial"/>
                <w:sz w:val="13"/>
                <w:szCs w:val="13"/>
                <w:b w:val="1"/>
                <w:bCs w:val="1"/>
                <w:color w:val="auto"/>
              </w:rPr>
              <w:t>Carrying</w:t>
            </w:r>
          </w:p>
        </w:tc>
        <w:tc>
          <w:tcPr>
            <w:tcW w:w="1320" w:type="dxa"/>
            <w:vAlign w:val="bottom"/>
            <w:shd w:val="clear" w:color="auto" w:fill="CCEEFF"/>
          </w:tcPr>
          <w:p>
            <w:pPr>
              <w:jc w:val="right"/>
              <w:ind w:right="196"/>
              <w:spacing w:after="0" w:line="134" w:lineRule="exact"/>
              <w:rPr>
                <w:sz w:val="20"/>
                <w:szCs w:val="20"/>
                <w:color w:val="auto"/>
              </w:rPr>
            </w:pPr>
            <w:r>
              <w:rPr>
                <w:rFonts w:ascii="Arial" w:cs="Arial" w:eastAsia="Arial" w:hAnsi="Arial"/>
                <w:sz w:val="13"/>
                <w:szCs w:val="13"/>
                <w:b w:val="1"/>
                <w:bCs w:val="1"/>
                <w:color w:val="auto"/>
              </w:rPr>
              <w:t>Contractual</w:t>
            </w:r>
          </w:p>
        </w:tc>
        <w:tc>
          <w:tcPr>
            <w:tcW w:w="1560" w:type="dxa"/>
            <w:vAlign w:val="bottom"/>
            <w:vMerge w:val="restart"/>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Under 1 year</w:t>
            </w:r>
          </w:p>
        </w:tc>
        <w:tc>
          <w:tcPr>
            <w:tcW w:w="1340" w:type="dxa"/>
            <w:vAlign w:val="bottom"/>
            <w:shd w:val="clear" w:color="auto" w:fill="CCEEFF"/>
          </w:tcPr>
          <w:p>
            <w:pPr>
              <w:jc w:val="right"/>
              <w:ind w:right="436"/>
              <w:spacing w:after="0" w:line="134" w:lineRule="exact"/>
              <w:rPr>
                <w:sz w:val="20"/>
                <w:szCs w:val="20"/>
                <w:color w:val="auto"/>
              </w:rPr>
            </w:pPr>
            <w:r>
              <w:rPr>
                <w:rFonts w:ascii="Arial" w:cs="Arial" w:eastAsia="Arial" w:hAnsi="Arial"/>
                <w:sz w:val="13"/>
                <w:szCs w:val="13"/>
                <w:b w:val="1"/>
                <w:bCs w:val="1"/>
                <w:color w:val="auto"/>
              </w:rPr>
              <w:t>1 to 2</w:t>
            </w:r>
          </w:p>
        </w:tc>
        <w:tc>
          <w:tcPr>
            <w:tcW w:w="1220" w:type="dxa"/>
            <w:vAlign w:val="bottom"/>
            <w:shd w:val="clear" w:color="auto" w:fill="CCEEFF"/>
          </w:tcPr>
          <w:p>
            <w:pPr>
              <w:jc w:val="right"/>
              <w:ind w:right="296"/>
              <w:spacing w:after="0" w:line="134" w:lineRule="exact"/>
              <w:rPr>
                <w:sz w:val="20"/>
                <w:szCs w:val="20"/>
                <w:color w:val="auto"/>
              </w:rPr>
            </w:pPr>
            <w:r>
              <w:rPr>
                <w:rFonts w:ascii="Arial" w:cs="Arial" w:eastAsia="Arial" w:hAnsi="Arial"/>
                <w:sz w:val="13"/>
                <w:szCs w:val="13"/>
                <w:b w:val="1"/>
                <w:bCs w:val="1"/>
                <w:color w:val="auto"/>
              </w:rPr>
              <w:t>2 to 5</w:t>
            </w:r>
          </w:p>
        </w:tc>
        <w:tc>
          <w:tcPr>
            <w:tcW w:w="104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7"/>
        </w:trPr>
        <w:tc>
          <w:tcPr>
            <w:tcW w:w="2860" w:type="dxa"/>
            <w:vAlign w:val="bottom"/>
            <w:shd w:val="clear" w:color="auto" w:fill="CCEEFF"/>
          </w:tcPr>
          <w:p>
            <w:pPr>
              <w:spacing w:after="0"/>
              <w:rPr>
                <w:sz w:val="11"/>
                <w:szCs w:val="11"/>
                <w:color w:val="auto"/>
              </w:rPr>
            </w:pPr>
          </w:p>
        </w:tc>
        <w:tc>
          <w:tcPr>
            <w:tcW w:w="1920" w:type="dxa"/>
            <w:vAlign w:val="bottom"/>
            <w:shd w:val="clear" w:color="auto" w:fill="CCEEFF"/>
          </w:tcPr>
          <w:p>
            <w:pPr>
              <w:jc w:val="right"/>
              <w:ind w:right="216"/>
              <w:spacing w:after="0" w:line="128" w:lineRule="exact"/>
              <w:rPr>
                <w:sz w:val="20"/>
                <w:szCs w:val="20"/>
                <w:color w:val="auto"/>
              </w:rPr>
            </w:pPr>
            <w:r>
              <w:rPr>
                <w:rFonts w:ascii="Arial" w:cs="Arial" w:eastAsia="Arial" w:hAnsi="Arial"/>
                <w:sz w:val="13"/>
                <w:szCs w:val="13"/>
                <w:b w:val="1"/>
                <w:bCs w:val="1"/>
                <w:color w:val="auto"/>
              </w:rPr>
              <w:t>Amount</w:t>
            </w:r>
          </w:p>
        </w:tc>
        <w:tc>
          <w:tcPr>
            <w:tcW w:w="1320" w:type="dxa"/>
            <w:vAlign w:val="bottom"/>
            <w:shd w:val="clear" w:color="auto" w:fill="CCEEFF"/>
          </w:tcPr>
          <w:p>
            <w:pPr>
              <w:jc w:val="right"/>
              <w:ind w:right="196"/>
              <w:spacing w:after="0" w:line="128" w:lineRule="exact"/>
              <w:rPr>
                <w:sz w:val="20"/>
                <w:szCs w:val="20"/>
                <w:color w:val="auto"/>
              </w:rPr>
            </w:pPr>
            <w:r>
              <w:rPr>
                <w:rFonts w:ascii="Arial" w:cs="Arial" w:eastAsia="Arial" w:hAnsi="Arial"/>
                <w:sz w:val="13"/>
                <w:szCs w:val="13"/>
                <w:b w:val="1"/>
                <w:bCs w:val="1"/>
                <w:color w:val="auto"/>
              </w:rPr>
              <w:t>Cashflows</w:t>
            </w:r>
          </w:p>
        </w:tc>
        <w:tc>
          <w:tcPr>
            <w:tcW w:w="1560" w:type="dxa"/>
            <w:vAlign w:val="bottom"/>
            <w:vMerge w:val="continue"/>
            <w:shd w:val="clear" w:color="auto" w:fill="CCEEFF"/>
          </w:tcPr>
          <w:p>
            <w:pPr>
              <w:spacing w:after="0"/>
              <w:rPr>
                <w:sz w:val="11"/>
                <w:szCs w:val="11"/>
                <w:color w:val="auto"/>
              </w:rPr>
            </w:pPr>
          </w:p>
        </w:tc>
        <w:tc>
          <w:tcPr>
            <w:tcW w:w="134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years</w:t>
            </w:r>
          </w:p>
        </w:tc>
        <w:tc>
          <w:tcPr>
            <w:tcW w:w="122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years</w:t>
            </w:r>
          </w:p>
        </w:tc>
        <w:tc>
          <w:tcPr>
            <w:tcW w:w="10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70"/>
        </w:trPr>
        <w:tc>
          <w:tcPr>
            <w:tcW w:w="286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5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9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1,160</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1,160</w:t>
            </w:r>
          </w:p>
        </w:tc>
        <w:tc>
          <w:tcPr>
            <w:tcW w:w="15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1,160</w:t>
            </w:r>
          </w:p>
        </w:tc>
        <w:tc>
          <w:tcPr>
            <w:tcW w:w="13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920" w:type="dxa"/>
            <w:vAlign w:val="bottom"/>
          </w:tcPr>
          <w:p>
            <w:pPr>
              <w:jc w:val="right"/>
              <w:ind w:right="256"/>
              <w:spacing w:after="0"/>
              <w:rPr>
                <w:sz w:val="20"/>
                <w:szCs w:val="20"/>
                <w:color w:val="auto"/>
              </w:rPr>
            </w:pPr>
            <w:r>
              <w:rPr>
                <w:rFonts w:ascii="Arial" w:cs="Arial" w:eastAsia="Arial" w:hAnsi="Arial"/>
                <w:sz w:val="13"/>
                <w:szCs w:val="13"/>
                <w:color w:val="auto"/>
              </w:rPr>
              <w:t>6,153</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7,446</w:t>
            </w:r>
          </w:p>
        </w:tc>
        <w:tc>
          <w:tcPr>
            <w:tcW w:w="1560" w:type="dxa"/>
            <w:vAlign w:val="bottom"/>
          </w:tcPr>
          <w:p>
            <w:pPr>
              <w:jc w:val="right"/>
              <w:ind w:right="436"/>
              <w:spacing w:after="0"/>
              <w:rPr>
                <w:sz w:val="20"/>
                <w:szCs w:val="20"/>
                <w:color w:val="auto"/>
              </w:rPr>
            </w:pPr>
            <w:r>
              <w:rPr>
                <w:rFonts w:ascii="Arial" w:cs="Arial" w:eastAsia="Arial" w:hAnsi="Arial"/>
                <w:sz w:val="13"/>
                <w:szCs w:val="13"/>
                <w:color w:val="auto"/>
              </w:rPr>
              <w:t>819</w:t>
            </w:r>
          </w:p>
        </w:tc>
        <w:tc>
          <w:tcPr>
            <w:tcW w:w="1340" w:type="dxa"/>
            <w:vAlign w:val="bottom"/>
          </w:tcPr>
          <w:p>
            <w:pPr>
              <w:jc w:val="right"/>
              <w:ind w:right="436"/>
              <w:spacing w:after="0"/>
              <w:rPr>
                <w:sz w:val="20"/>
                <w:szCs w:val="20"/>
                <w:color w:val="auto"/>
              </w:rPr>
            </w:pPr>
            <w:r>
              <w:rPr>
                <w:rFonts w:ascii="Arial" w:cs="Arial" w:eastAsia="Arial" w:hAnsi="Arial"/>
                <w:sz w:val="13"/>
                <w:szCs w:val="13"/>
                <w:color w:val="auto"/>
              </w:rPr>
              <w:t>819</w:t>
            </w:r>
          </w:p>
        </w:tc>
        <w:tc>
          <w:tcPr>
            <w:tcW w:w="1220" w:type="dxa"/>
            <w:vAlign w:val="bottom"/>
          </w:tcPr>
          <w:p>
            <w:pPr>
              <w:jc w:val="right"/>
              <w:ind w:right="316"/>
              <w:spacing w:after="0"/>
              <w:rPr>
                <w:sz w:val="20"/>
                <w:szCs w:val="20"/>
                <w:color w:val="auto"/>
              </w:rPr>
            </w:pPr>
            <w:r>
              <w:rPr>
                <w:rFonts w:ascii="Arial" w:cs="Arial" w:eastAsia="Arial" w:hAnsi="Arial"/>
                <w:sz w:val="13"/>
                <w:szCs w:val="13"/>
                <w:color w:val="auto"/>
              </w:rPr>
              <w:t>2,456</w:t>
            </w:r>
          </w:p>
        </w:tc>
        <w:tc>
          <w:tcPr>
            <w:tcW w:w="980" w:type="dxa"/>
            <w:vAlign w:val="bottom"/>
          </w:tcPr>
          <w:p>
            <w:pPr>
              <w:jc w:val="right"/>
              <w:spacing w:after="0"/>
              <w:rPr>
                <w:sz w:val="20"/>
                <w:szCs w:val="20"/>
                <w:color w:val="auto"/>
              </w:rPr>
            </w:pPr>
            <w:r>
              <w:rPr>
                <w:rFonts w:ascii="Arial" w:cs="Arial" w:eastAsia="Arial" w:hAnsi="Arial"/>
                <w:sz w:val="13"/>
                <w:szCs w:val="13"/>
                <w:color w:val="auto"/>
              </w:rPr>
              <w:t>3,352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19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6,727</w:t>
            </w:r>
          </w:p>
        </w:tc>
        <w:tc>
          <w:tcPr>
            <w:tcW w:w="13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6,727</w:t>
            </w:r>
          </w:p>
        </w:tc>
        <w:tc>
          <w:tcPr>
            <w:tcW w:w="15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6,727</w:t>
            </w:r>
          </w:p>
        </w:tc>
        <w:tc>
          <w:tcPr>
            <w:tcW w:w="13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8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14,040</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15,333</w:t>
            </w: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8,706</w:t>
            </w: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819</w:t>
            </w: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2,456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3,352</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is subject to a number of foreign currency risks given the global nature of its operations. The principal foreign currency risks to which the business is subject to includes both foreign currency translation risk and foreign currency transaction risk.</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While the functional currency of the Company is USD, the functional currency of the branches is Euro. As a consequence, the results, when translated into U.S. dollars, could be affected by fluctuations in exchange rates against the U.S. dollar and the currencies of those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also subject to foreign currency transaction exposures as the currency in which income is received can be different from the currencies in which costs relating are incurred.</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carrying values of amounts due from subsidiary undertakings, cash and cash equivalents, other current assets, accounts payable and accruals and other liabilities are carried at amortised cost and are estimated to approximate fair values due to the short-term nature of these balances.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Amounts due from subsidiary undertakings within non current are interest-bearing and repayable on 1 October 2033, while the Amounts due from subsidiary undertakings within current are non-interest-bearing and repayable on demand. The carrying amount of both interest-bearing and non-interest-bearing balances are deemed to materially approximate fair value.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148</w:t>
      </w:r>
    </w:p>
    <w:p>
      <w:pPr>
        <w:sectPr>
          <w:pgSz w:w="11900" w:h="16838" w:orient="portrait"/>
          <w:cols w:equalWidth="0" w:num="1">
            <w:col w:w="11280"/>
          </w:cols>
          <w:pgMar w:left="300" w:top="698" w:right="31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ind w:left="320" w:hanging="315"/>
        <w:spacing w:after="0"/>
        <w:tabs>
          <w:tab w:leader="none" w:pos="32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Employee Information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average number of employees, including executive Directors, employed by the Company for the year ended 31 December 2025 and 31 December 2024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830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92"/>
        </w:trPr>
        <w:tc>
          <w:tcPr>
            <w:tcW w:w="8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Administration</w:t>
            </w:r>
          </w:p>
        </w:tc>
        <w:tc>
          <w:tcPr>
            <w:tcW w:w="18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7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Clinical Research</w:t>
            </w:r>
          </w:p>
        </w:tc>
        <w:tc>
          <w:tcPr>
            <w:tcW w:w="18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w:t>
            </w:r>
          </w:p>
        </w:tc>
      </w:tr>
      <w:tr>
        <w:trPr>
          <w:trHeight w:val="185"/>
        </w:trPr>
        <w:tc>
          <w:tcPr>
            <w:tcW w:w="83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433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320" w:hanging="315"/>
        <w:spacing w:after="0"/>
        <w:tabs>
          <w:tab w:leader="none" w:pos="32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evaluated subsequent events from 31 December 2025 through 25 June 2026, the date at which the consolidated financial statements were available to be issued.</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Bridge Secured Credit Facility</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27 April 2026, ICON Global Treasury Unlimited Company (the “Bridge Facility Borrower”) entered into a bridge facility credit agreement for an aggregate principal amount of $500 million (the "Bridge Secured Credit Facility"). The proceeds of the Bridge Secured Credit Facility may be used to discharge and repay in full $500 million aggregate principal amount of 2.875% Senior Secured Notes (the “2026 Notes”) issued by a subsidiary of the Group in July 2021. The Bridge Secured Credit Facility will mature on 26 April 2027.</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borrowings under the Bridge Secured Credit Facility do not amortise and are due at final maturity. The interest rate margin applicable to borrowings under the Bridge Secured Credit Facility is USD Term SOFR plus a fixed calendared applicable margin ranging from 1.00% to 2.25%. At 25 June 2026 , the applicable margin was 1.00%.</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Bridge Facility Borrower’s obligations under the Bridge Secured Credit Facility are guaranteed by ICON and the subsidiary guarantors party thereto. The Bridge Secured Credit Facility is secured by a lien on substantially all of the assets (subject to certain exceptions) of ICON, the Bridge Facility Borrower and each of the subsidiary guarantors, and the Bridge Secured Credit Facility will have a first-priority lien on such assets which will rank pari passu with the lien securing ICON’s other first lien secured indebtedness and is subject to other permitted liens. The Company is permitted to make voluntary prepayments under the Bridge Secured Credit Facility without premium or penalty (subject to customary break funding payments).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Bridge Secured Credit Facility contains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Bridge Secured Credit Facility provides that, upon the occurrence of certain events of default, the obligations under the credit agreement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monetary judgments, material pension-plan events, change of control and other customary events of default.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Disposal of Symphony Health Solutions Corporation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8 May 2026, ICON completed the disposition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 $37.5 million. As a result, ICON holds a minority equity interest in HealthVerity. As of 8 May 2026, the Company’s investment in HealthVerity has been recorded at a carrying value of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149</w:t>
      </w:r>
    </w:p>
    <w:p>
      <w:pPr>
        <w:sectPr>
          <w:pgSz w:w="11900" w:h="16838" w:orient="portrait"/>
          <w:cols w:equalWidth="0" w:num="1">
            <w:col w:w="11280"/>
          </w:cols>
          <w:pgMar w:left="300" w:top="698" w:right="31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Subsequent events </w:t>
      </w:r>
      <w:r>
        <w:rPr>
          <w:rFonts w:ascii="Arial" w:cs="Arial" w:eastAsia="Arial" w:hAnsi="Arial"/>
          <w:sz w:val="13"/>
          <w:szCs w:val="13"/>
          <w:b w:val="1"/>
          <w:bCs w:val="1"/>
          <w:i w:val="1"/>
          <w:iCs w:val="1"/>
          <w:color w:val="auto"/>
        </w:rPr>
        <w:t>(continued)</w:t>
      </w: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Waivers to the debt agreements</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27 April 2026, the parties (limited to the borrowers and revolving lenders under the senior secured revolving loan facility only) to the Credit Agreement (as defined below) entered into a Consent to Credit Agreement pursuant to which such revolving lenders agreed to provide a limited and temporary waiver of the requirement to deliver certain financial statements under the senior secured revolving credit facility in connection with the borrowings thereunder. The waiver applied solely for the specified consent period ending 31 May 2026.</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On 18 May 2026, the Company launched a consent and waiver to the Credit Agreement (applicable to all facilities thereunder) in order to request that the requisite lenders thereunder agree to (i) waive the technical default caused by the Company’s late delivery of its Annual Report on Form 20-F for the fiscal year ending 31 December 2025, (ii) provide an extension of the delivery of the Company’s Annual Report on Form 20-F for the fiscal year ending 31 December 2025 to 16 July 2026 and (iii) provide an extension of the delivery of the Company’s quarterly financial statements for the fiscal quarter ending 31 March 2026 to 31 July 2026. Consent to the waiver was received on 22 May 2026.</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filed its Annual Report on Form 20-F for the year ended 31 December 2025 on 27 May 2026. On 29 May 2026, the Annual Report on Form 20-F that was subject to the 27 April 2026 and 18 May 2026 waivers was delivered to the requisite parties under the Credit Agreement.</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determined that there are no other items to disclose.</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Approval of financial statements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Board of Directors approved the Company Financial Statements on 25 June 2026.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150</w:t>
      </w:r>
    </w:p>
    <w:p>
      <w:pPr>
        <w:sectPr>
          <w:pgSz w:w="11900" w:h="16838" w:orient="portrait"/>
          <w:cols w:equalWidth="0" w:num="1">
            <w:col w:w="11280"/>
          </w:cols>
          <w:pgMar w:left="300" w:top="698" w:right="3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Reconciliation from IFRS to US Accounting Policies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Consolidated Financial Statements set out on pages 40 to 137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Financial statement format</w:t>
      </w:r>
    </w:p>
    <w:p>
      <w:pPr>
        <w:spacing w:after="0" w:line="179"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The format of the financial statements and certain note disclosures differ under U.S. GAAP from those under EU IFRS. The Group prepared a U.S. Securities and Exchange Commission Annual Report on Form 20-F Report which was made available to all shareholders in May 2026. The financial statements included in such Annual Report on Form 20-F are prepared in accordance with U.S. GAAP.</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Merger with PRAI</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The Group accounts for business combinations under EU IFRS in accordance with the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permitted by IFRS 1 </w:t>
      </w:r>
      <w:r>
        <w:rPr>
          <w:rFonts w:ascii="Arial" w:cs="Arial" w:eastAsia="Arial" w:hAnsi="Arial"/>
          <w:sz w:val="13"/>
          <w:szCs w:val="13"/>
          <w:i w:val="1"/>
          <w:iCs w:val="1"/>
          <w:color w:val="auto"/>
        </w:rPr>
        <w:t>First Time Adoption of International Financial Reporting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Standards </w:t>
      </w:r>
      <w:r>
        <w:rPr>
          <w:rFonts w:ascii="Arial" w:cs="Arial" w:eastAsia="Arial" w:hAnsi="Arial"/>
          <w:sz w:val="13"/>
          <w:szCs w:val="13"/>
          <w:color w:val="auto"/>
        </w:rPr>
        <w:t>the Group has only restated business combinations from 1 June 2001 onwards. Business combinations prior to this date have not been restated. In addition, goodwill has no longer been</w:t>
      </w:r>
      <w:r>
        <w:rPr>
          <w:rFonts w:ascii="Arial" w:cs="Arial" w:eastAsia="Arial" w:hAnsi="Arial"/>
          <w:sz w:val="13"/>
          <w:szCs w:val="13"/>
          <w:i w:val="1"/>
          <w:iCs w:val="1"/>
          <w:color w:val="auto"/>
        </w:rPr>
        <w:t xml:space="preserve"> </w:t>
      </w:r>
      <w:r>
        <w:rPr>
          <w:rFonts w:ascii="Arial" w:cs="Arial" w:eastAsia="Arial" w:hAnsi="Arial"/>
          <w:sz w:val="13"/>
          <w:szCs w:val="13"/>
          <w:color w:val="auto"/>
        </w:rPr>
        <w:t>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75" w:lineRule="exact"/>
        <w:rPr>
          <w:sz w:val="20"/>
          <w:szCs w:val="20"/>
          <w:color w:val="auto"/>
        </w:rPr>
      </w:pPr>
    </w:p>
    <w:p>
      <w:pPr>
        <w:ind w:left="480" w:hanging="245"/>
        <w:spacing w:after="0"/>
        <w:tabs>
          <w:tab w:leader="none" w:pos="4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the Group’s historic U.S. GAAP financial statements have been restated to reflect the combined results of ICON and PRAI;</w:t>
      </w:r>
    </w:p>
    <w:p>
      <w:pPr>
        <w:ind w:left="480" w:hanging="245"/>
        <w:spacing w:after="0"/>
        <w:tabs>
          <w:tab w:leader="none" w:pos="4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the costs of the merger were expensed for U.S. GAAP purposes and included in the cost of acquisition for IFRS; and</w:t>
      </w:r>
    </w:p>
    <w:p>
      <w:pPr>
        <w:ind w:left="480" w:hanging="245"/>
        <w:spacing w:after="0"/>
        <w:tabs>
          <w:tab w:leader="none" w:pos="4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goodwill arising on IFRS has been amortised over its expected useful life up to 31 May 2001. No goodwill arose on the merger under U.S. GAAP.</w:t>
      </w:r>
    </w:p>
    <w:p>
      <w:pPr>
        <w:spacing w:after="0" w:line="178" w:lineRule="exact"/>
        <w:rPr>
          <w:rFonts w:ascii="Arial" w:cs="Arial" w:eastAsia="Arial" w:hAnsi="Arial"/>
          <w:sz w:val="13"/>
          <w:szCs w:val="13"/>
          <w:color w:val="auto"/>
        </w:rPr>
      </w:pPr>
    </w:p>
    <w:p>
      <w:pPr>
        <w:ind w:left="200" w:hanging="195"/>
        <w:spacing w:after="0"/>
        <w:tabs>
          <w:tab w:leader="none" w:pos="20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 expense</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IFRS requires that the fair value of share-based payments be expensed to the Consolidated Statement of Profit and Loss over the period the related services are received, with a corresponding increase in equity. The Group has accounted for share-based payments under U.S. GAAP in accordance with ASC 718</w:t>
      </w:r>
      <w:r>
        <w:rPr>
          <w:rFonts w:ascii="Arial" w:cs="Arial" w:eastAsia="Arial" w:hAnsi="Arial"/>
          <w:sz w:val="13"/>
          <w:szCs w:val="13"/>
          <w:i w:val="1"/>
          <w:iCs w:val="1"/>
          <w:color w:val="auto"/>
        </w:rPr>
        <w:t>, Compensation – Stock Compensation</w:t>
      </w:r>
      <w:r>
        <w:rPr>
          <w:rFonts w:ascii="Arial" w:cs="Arial" w:eastAsia="Arial" w:hAnsi="Arial"/>
          <w:sz w:val="13"/>
          <w:szCs w:val="13"/>
          <w:color w:val="auto"/>
        </w:rPr>
        <w:t>, which also requires that the fair value of share-based payments be expensed to the Consolidated Statement of Profit and Loss over the period the related services are received, with a corresponding increase in equity.</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There is a difference in recorded expense. Under U.S. GAAP, the Company recognises compensation cost on a straight-line basis over the total requisite service period for the entire award.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Stock-based Compensation Arrangements in a Business Combination</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 exchange of share-based payment awards in a business combination is treated as a modification under IFRS 2. The replacement awards and the original acquiree awards should both be measured at fair value at the acquisition date and calculated using the fair-value-based measurement principles in IFRS 2.</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U.S. GAAP requires the attribution of compensation cost for the acquirer’s replacement awards in the post-combination financial statements to be based on the acquirer’s attribution policy (i.e., straight-line approach or graded-vesting approach). Under IFRS, however, the graded vesting approach is required for all awards with graded vesting features based on the requirements in IFRS 2.</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IAS 19R Defined Benefit Liabilities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has recognised the net interest expense of the defined benefit liabilities within payroll costs (operating expenses) in the Consolidated Statement of Profit and Loss under IAS19R which is consistent with the U.S. GAAP treatment of this cost. Additional net credits related to the defined benefit liabilities refer to the adjustment required to reverse the application of the corridor approach permitted under U.S. GAAP and the different net periodic pension cost recorded under IFRS and U.S. GAAP.</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Under U.S. GAAP capped benefits are spread over the service life of plan participants. Under IFRS, the charge commences when the service begins which count towards capped benefits.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151</w:t>
      </w:r>
    </w:p>
    <w:p>
      <w:pPr>
        <w:sectPr>
          <w:pgSz w:w="11900" w:h="16838" w:orient="portrait"/>
          <w:cols w:equalWidth="0" w:num="1">
            <w:col w:w="11280"/>
          </w:cols>
          <w:pgMar w:left="300" w:top="698" w:right="3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 xml:space="preserve">Reconciliation from IFRS to US Accounting Policies (Unaudited)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980" w:firstLine="5"/>
        <w:spacing w:after="0" w:line="545" w:lineRule="auto"/>
        <w:tabs>
          <w:tab w:leader="none" w:pos="163"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Current tax and deferred tax assets Deferred tax asset</w:t>
      </w:r>
    </w:p>
    <w:p>
      <w:pPr>
        <w:jc w:val="both"/>
        <w:spacing w:after="0" w:line="244" w:lineRule="auto"/>
        <w:rPr>
          <w:sz w:val="20"/>
          <w:szCs w:val="20"/>
          <w:color w:val="auto"/>
        </w:rPr>
      </w:pPr>
      <w:r>
        <w:rPr>
          <w:rFonts w:ascii="Arial" w:cs="Arial" w:eastAsia="Arial" w:hAnsi="Arial"/>
          <w:sz w:val="13"/>
          <w:szCs w:val="13"/>
          <w:color w:val="auto"/>
        </w:rPr>
        <w:t xml:space="preserve">U.S. GAAP,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 with the full tax deduction recorded in profit or loss in the year of exercise.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IFRS also requires that a deferred tax asset is recognised in respect of options not yet exercised where a tax deduction will arise. IAS 12 Income taxes requires that the tax deduction is estimated. The fair value estimate is based on the share price at the exercise date.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tax benefit</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U.S. GAAP,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requires recognition of a current tax benefit of certain tax deductions arising from Share-based payment windfall gains in the Consolidated Statement of Operations. IFRS requires that the current tax benefit of these Share-based payment windfall gains is recognised through Equity, in the Share-based payment reserve.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 IFRS 16 Leases</w:t>
      </w:r>
    </w:p>
    <w:p>
      <w:pPr>
        <w:spacing w:after="0" w:line="19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 xml:space="preserve">Under U.S. GAAP, ASC 842 </w:t>
      </w:r>
      <w:r>
        <w:rPr>
          <w:rFonts w:ascii="Arial" w:cs="Arial" w:eastAsia="Arial" w:hAnsi="Arial"/>
          <w:sz w:val="12"/>
          <w:szCs w:val="12"/>
          <w:i w:val="1"/>
          <w:iCs w:val="1"/>
          <w:color w:val="auto"/>
        </w:rPr>
        <w:t>Leases</w:t>
      </w:r>
      <w:r>
        <w:rPr>
          <w:rFonts w:ascii="Arial" w:cs="Arial" w:eastAsia="Arial" w:hAnsi="Arial"/>
          <w:sz w:val="12"/>
          <w:szCs w:val="12"/>
          <w:color w:val="auto"/>
        </w:rPr>
        <w:t>, lessees account for leases as operating or finance. Costs in respect of operating leases are charged to the Consolidated Statement of Operations on a straight-line basis over the lease term. Lease costs for all leases under IFRS 16 are comprised of the depreciation of right-of-use assets and the interest charge in respect of the associated lease liability.</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 Contract Assets and Contract Liabilities in a Business Combination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October 2021, the FASB issued ASU 2021-08 "Business Combinations (Topic 805) - Accounting for Contract Assets and Contract Liabilities from Contracts with Customers". The amendments in this ASU require that an entity (acquirer) recognise and measure contract assets and contract liabilities acquired in a business combination in accordance with Topic 606. At the acquisition date, an acquirer should account for the related revenue contracts in accordance with Topic 606 as if it had originated the contracts. The Company has adopted the amendments in this ASU for year ended 31 December 2021 and has applied the amendments of this ASU to the Merger with PRA, completed on 1 July 2021.</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does not have a similar fair value measurement requirement for contract assets and contract liabilities. As a result, contract liabilities will have a lower valuation under IFRS compared to U.S. GAAP with the valuation adjustment being charged to revenue over the life of the contract with the customer.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Onerous contracts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Under IFRS, provisions for onerous contracts are accounted for in accordance with IAS 37, </w:t>
      </w:r>
      <w:r>
        <w:rPr>
          <w:rFonts w:ascii="Arial" w:cs="Arial" w:eastAsia="Arial" w:hAnsi="Arial"/>
          <w:sz w:val="13"/>
          <w:szCs w:val="13"/>
          <w:i w:val="1"/>
          <w:iCs w:val="1"/>
          <w:color w:val="auto"/>
        </w:rPr>
        <w:t>Provisions, Contingent Liabilities and Contingent Assets</w:t>
      </w:r>
      <w:r>
        <w:rPr>
          <w:rFonts w:ascii="Arial" w:cs="Arial" w:eastAsia="Arial" w:hAnsi="Arial"/>
          <w:sz w:val="13"/>
          <w:szCs w:val="13"/>
          <w:color w:val="auto"/>
        </w:rPr>
        <w:t>, which requires an entity to recognise a provision when a contract is onerous.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 xml:space="preserve">U.S. GAAP does not contain a single general accounting model equivalent to the IFRS onerous contract guidance. Instead, anticipated contract losses are generally recognised only where required by specific authoritative guidance applicable to particular contract types (for example, certain construction-type, production-type, warranty, healthcare, or other scoped arrangements), or where the recognition criteria under ASC 450 </w:t>
      </w:r>
      <w:r>
        <w:rPr>
          <w:rFonts w:ascii="Arial" w:cs="Arial" w:eastAsia="Arial" w:hAnsi="Arial"/>
          <w:sz w:val="13"/>
          <w:szCs w:val="13"/>
          <w:i w:val="1"/>
          <w:iCs w:val="1"/>
          <w:color w:val="auto"/>
        </w:rPr>
        <w:t>Contingencies</w:t>
      </w:r>
      <w:r>
        <w:rPr>
          <w:rFonts w:ascii="Arial" w:cs="Arial" w:eastAsia="Arial" w:hAnsi="Arial"/>
          <w:sz w:val="13"/>
          <w:szCs w:val="13"/>
          <w:color w:val="auto"/>
        </w:rPr>
        <w:t xml:space="preserve"> or other applicable guidance are met. As a result, the Group may recognise provisions under IFRS that would not arise under U.S. GAAP and the timing of loss recognition may differ.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 Goodwill impairment</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This represents the impairment of Goodwill allocated to the Data Solutions CGU (Data Solutions reporting unit under U.S. GAAP) (on the acquisition of PRA (see ‘d’ above)), which was recognised and now impaired under IFRS. Under both IFRS and U.S. GAAP the goodwill allocated to Data Solutions was impaired to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152</w:t>
      </w:r>
    </w:p>
    <w:p>
      <w:pPr>
        <w:sectPr>
          <w:pgSz w:w="11900" w:h="16838" w:orient="portrait"/>
          <w:cols w:equalWidth="0" w:num="1">
            <w:col w:w="11280"/>
          </w:cols>
          <w:pgMar w:left="300" w:top="698" w:right="31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 xml:space="preserve">Reconciliation from IFRS to US Accounting Policies (Unaudited)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 Effect on profit for the financial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40" w:type="dxa"/>
            <w:vAlign w:val="bottom"/>
            <w:shd w:val="clear" w:color="auto" w:fill="CCEEFF"/>
          </w:tcPr>
          <w:p>
            <w:pPr>
              <w:spacing w:after="0"/>
              <w:rPr>
                <w:sz w:val="13"/>
                <w:szCs w:val="13"/>
                <w:color w:val="auto"/>
              </w:rPr>
            </w:pPr>
          </w:p>
        </w:tc>
        <w:tc>
          <w:tcPr>
            <w:tcW w:w="30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7040" w:type="dxa"/>
            <w:vAlign w:val="bottom"/>
            <w:shd w:val="clear" w:color="auto" w:fill="CCEEFF"/>
          </w:tcPr>
          <w:p>
            <w:pPr>
              <w:spacing w:after="0"/>
              <w:rPr>
                <w:sz w:val="11"/>
                <w:szCs w:val="11"/>
                <w:color w:val="auto"/>
              </w:rPr>
            </w:pPr>
          </w:p>
        </w:tc>
        <w:tc>
          <w:tcPr>
            <w:tcW w:w="308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7040" w:type="dxa"/>
            <w:vAlign w:val="bottom"/>
            <w:tcBorders>
              <w:bottom w:val="single" w:sz="8" w:color="auto"/>
            </w:tcBorders>
            <w:shd w:val="clear" w:color="auto" w:fill="CCEEFF"/>
          </w:tcPr>
          <w:p>
            <w:pPr>
              <w:spacing w:after="0"/>
              <w:rPr>
                <w:sz w:val="14"/>
                <w:szCs w:val="14"/>
                <w:color w:val="auto"/>
              </w:rPr>
            </w:pPr>
          </w:p>
        </w:tc>
        <w:tc>
          <w:tcPr>
            <w:tcW w:w="30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7040" w:type="dxa"/>
            <w:vAlign w:val="bottom"/>
          </w:tcPr>
          <w:p>
            <w:pPr>
              <w:spacing w:after="0"/>
              <w:rPr>
                <w:sz w:val="14"/>
                <w:szCs w:val="14"/>
                <w:color w:val="auto"/>
              </w:rPr>
            </w:pPr>
          </w:p>
        </w:tc>
        <w:tc>
          <w:tcPr>
            <w:tcW w:w="30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Profit for the financial year attributable to equity holders of the Group as stated under IFRS</w:t>
            </w:r>
          </w:p>
        </w:tc>
        <w:tc>
          <w:tcPr>
            <w:tcW w:w="30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214,038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727,077</w:t>
            </w:r>
          </w:p>
        </w:tc>
      </w:tr>
      <w:tr>
        <w:trPr>
          <w:trHeight w:val="212"/>
        </w:trPr>
        <w:tc>
          <w:tcPr>
            <w:tcW w:w="7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0"/>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30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7040" w:type="dxa"/>
            <w:vAlign w:val="bottom"/>
          </w:tcPr>
          <w:p>
            <w:pPr>
              <w:ind w:left="20"/>
              <w:spacing w:after="0"/>
              <w:rPr>
                <w:sz w:val="20"/>
                <w:szCs w:val="20"/>
                <w:color w:val="auto"/>
              </w:rPr>
            </w:pPr>
            <w:r>
              <w:rPr>
                <w:rFonts w:ascii="Arial" w:cs="Arial" w:eastAsia="Arial" w:hAnsi="Arial"/>
                <w:sz w:val="13"/>
                <w:szCs w:val="13"/>
                <w:color w:val="auto"/>
              </w:rPr>
              <w:t>Share-based payment expense under IFRS (c) (d)</w:t>
            </w:r>
          </w:p>
        </w:tc>
        <w:tc>
          <w:tcPr>
            <w:tcW w:w="3080" w:type="dxa"/>
            <w:vAlign w:val="bottom"/>
          </w:tcPr>
          <w:p>
            <w:pPr>
              <w:jc w:val="right"/>
              <w:ind w:right="336"/>
              <w:spacing w:after="0"/>
              <w:rPr>
                <w:sz w:val="20"/>
                <w:szCs w:val="20"/>
                <w:color w:val="auto"/>
              </w:rPr>
            </w:pPr>
            <w:r>
              <w:rPr>
                <w:rFonts w:ascii="Arial" w:cs="Arial" w:eastAsia="Arial" w:hAnsi="Arial"/>
                <w:sz w:val="13"/>
                <w:szCs w:val="13"/>
                <w:b w:val="1"/>
                <w:bCs w:val="1"/>
                <w:color w:val="auto"/>
              </w:rPr>
              <w:t>110,235</w:t>
            </w:r>
          </w:p>
        </w:tc>
        <w:tc>
          <w:tcPr>
            <w:tcW w:w="1140" w:type="dxa"/>
            <w:vAlign w:val="bottom"/>
          </w:tcPr>
          <w:p>
            <w:pPr>
              <w:jc w:val="right"/>
              <w:spacing w:after="0"/>
              <w:rPr>
                <w:sz w:val="20"/>
                <w:szCs w:val="20"/>
                <w:color w:val="auto"/>
              </w:rPr>
            </w:pPr>
            <w:r>
              <w:rPr>
                <w:rFonts w:ascii="Arial" w:cs="Arial" w:eastAsia="Arial" w:hAnsi="Arial"/>
                <w:sz w:val="13"/>
                <w:szCs w:val="13"/>
                <w:color w:val="auto"/>
              </w:rPr>
              <w:t>46,108</w:t>
            </w:r>
          </w:p>
        </w:tc>
      </w:tr>
      <w:tr>
        <w:trPr>
          <w:trHeight w:val="170"/>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expense under U.S. GAAP (c) (d)</w:t>
            </w:r>
          </w:p>
        </w:tc>
        <w:tc>
          <w:tcPr>
            <w:tcW w:w="30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(104,530)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(45,870)</w:t>
            </w:r>
          </w:p>
        </w:tc>
      </w:tr>
      <w:tr>
        <w:trPr>
          <w:trHeight w:val="170"/>
        </w:trPr>
        <w:tc>
          <w:tcPr>
            <w:tcW w:w="704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3080" w:type="dxa"/>
            <w:vAlign w:val="bottom"/>
          </w:tcPr>
          <w:p>
            <w:pPr>
              <w:jc w:val="right"/>
              <w:ind w:right="336"/>
              <w:spacing w:after="0"/>
              <w:rPr>
                <w:sz w:val="20"/>
                <w:szCs w:val="20"/>
                <w:color w:val="auto"/>
              </w:rPr>
            </w:pPr>
            <w:r>
              <w:rPr>
                <w:rFonts w:ascii="Arial" w:cs="Arial" w:eastAsia="Arial" w:hAnsi="Arial"/>
                <w:sz w:val="13"/>
                <w:szCs w:val="13"/>
                <w:b w:val="1"/>
                <w:bCs w:val="1"/>
                <w:color w:val="auto"/>
              </w:rPr>
              <w:t>1,532</w:t>
            </w:r>
          </w:p>
        </w:tc>
        <w:tc>
          <w:tcPr>
            <w:tcW w:w="1140" w:type="dxa"/>
            <w:vAlign w:val="bottom"/>
          </w:tcPr>
          <w:p>
            <w:pPr>
              <w:jc w:val="right"/>
              <w:spacing w:after="0"/>
              <w:rPr>
                <w:sz w:val="20"/>
                <w:szCs w:val="20"/>
                <w:color w:val="auto"/>
              </w:rPr>
            </w:pPr>
            <w:r>
              <w:rPr>
                <w:rFonts w:ascii="Arial" w:cs="Arial" w:eastAsia="Arial" w:hAnsi="Arial"/>
                <w:sz w:val="13"/>
                <w:szCs w:val="13"/>
                <w:color w:val="auto"/>
              </w:rPr>
              <w:t>1,227</w:t>
            </w:r>
          </w:p>
        </w:tc>
      </w:tr>
      <w:tr>
        <w:trPr>
          <w:trHeight w:val="170"/>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30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(2,185)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7,556</w:t>
            </w:r>
          </w:p>
        </w:tc>
      </w:tr>
      <w:tr>
        <w:trPr>
          <w:trHeight w:val="170"/>
        </w:trPr>
        <w:tc>
          <w:tcPr>
            <w:tcW w:w="7040" w:type="dxa"/>
            <w:vAlign w:val="bottom"/>
          </w:tcPr>
          <w:p>
            <w:pPr>
              <w:ind w:left="20"/>
              <w:spacing w:after="0"/>
              <w:rPr>
                <w:sz w:val="20"/>
                <w:szCs w:val="20"/>
                <w:color w:val="auto"/>
              </w:rPr>
            </w:pPr>
            <w:r>
              <w:rPr>
                <w:rFonts w:ascii="Arial" w:cs="Arial" w:eastAsia="Arial" w:hAnsi="Arial"/>
                <w:sz w:val="13"/>
                <w:szCs w:val="13"/>
                <w:color w:val="auto"/>
              </w:rPr>
              <w:t>Current tax adjustments on share-based payments (f)</w:t>
            </w:r>
          </w:p>
        </w:tc>
        <w:tc>
          <w:tcPr>
            <w:tcW w:w="3080" w:type="dxa"/>
            <w:vAlign w:val="bottom"/>
          </w:tcPr>
          <w:p>
            <w:pPr>
              <w:jc w:val="right"/>
              <w:ind w:right="296"/>
              <w:spacing w:after="0"/>
              <w:rPr>
                <w:sz w:val="20"/>
                <w:szCs w:val="20"/>
                <w:color w:val="auto"/>
              </w:rPr>
            </w:pPr>
            <w:r>
              <w:rPr>
                <w:rFonts w:ascii="Arial" w:cs="Arial" w:eastAsia="Arial" w:hAnsi="Arial"/>
                <w:sz w:val="13"/>
                <w:szCs w:val="13"/>
                <w:b w:val="1"/>
                <w:bCs w:val="1"/>
                <w:color w:val="auto"/>
              </w:rPr>
              <w:t>(961)</w:t>
            </w:r>
          </w:p>
        </w:tc>
        <w:tc>
          <w:tcPr>
            <w:tcW w:w="1140" w:type="dxa"/>
            <w:vAlign w:val="bottom"/>
          </w:tcPr>
          <w:p>
            <w:pPr>
              <w:jc w:val="right"/>
              <w:spacing w:after="0"/>
              <w:rPr>
                <w:sz w:val="20"/>
                <w:szCs w:val="20"/>
                <w:color w:val="auto"/>
              </w:rPr>
            </w:pPr>
            <w:r>
              <w:rPr>
                <w:rFonts w:ascii="Arial" w:cs="Arial" w:eastAsia="Arial" w:hAnsi="Arial"/>
                <w:sz w:val="13"/>
                <w:szCs w:val="13"/>
                <w:color w:val="auto"/>
              </w:rPr>
              <w:t>3,596</w:t>
            </w:r>
          </w:p>
        </w:tc>
      </w:tr>
      <w:tr>
        <w:trPr>
          <w:trHeight w:val="170"/>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 (f)</w:t>
            </w:r>
          </w:p>
        </w:tc>
        <w:tc>
          <w:tcPr>
            <w:tcW w:w="30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(385)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r>
      <w:tr>
        <w:trPr>
          <w:trHeight w:val="170"/>
        </w:trPr>
        <w:tc>
          <w:tcPr>
            <w:tcW w:w="7040" w:type="dxa"/>
            <w:vAlign w:val="bottom"/>
          </w:tcPr>
          <w:p>
            <w:pPr>
              <w:ind w:left="20"/>
              <w:spacing w:after="0"/>
              <w:rPr>
                <w:sz w:val="20"/>
                <w:szCs w:val="20"/>
                <w:color w:val="auto"/>
              </w:rPr>
            </w:pPr>
            <w:r>
              <w:rPr>
                <w:rFonts w:ascii="Arial" w:cs="Arial" w:eastAsia="Arial" w:hAnsi="Arial"/>
                <w:sz w:val="13"/>
                <w:szCs w:val="13"/>
                <w:color w:val="auto"/>
              </w:rPr>
              <w:t>Additional credits of defined benefit liabilities (e)</w:t>
            </w:r>
          </w:p>
        </w:tc>
        <w:tc>
          <w:tcPr>
            <w:tcW w:w="3080" w:type="dxa"/>
            <w:vAlign w:val="bottom"/>
          </w:tcPr>
          <w:p>
            <w:pPr>
              <w:jc w:val="right"/>
              <w:ind w:right="296"/>
              <w:spacing w:after="0"/>
              <w:rPr>
                <w:sz w:val="20"/>
                <w:szCs w:val="20"/>
                <w:color w:val="auto"/>
              </w:rPr>
            </w:pPr>
            <w:r>
              <w:rPr>
                <w:rFonts w:ascii="Arial" w:cs="Arial" w:eastAsia="Arial" w:hAnsi="Arial"/>
                <w:sz w:val="13"/>
                <w:szCs w:val="13"/>
                <w:b w:val="1"/>
                <w:bCs w:val="1"/>
                <w:color w:val="auto"/>
              </w:rPr>
              <w:t>(624)</w:t>
            </w:r>
          </w:p>
        </w:tc>
        <w:tc>
          <w:tcPr>
            <w:tcW w:w="1140" w:type="dxa"/>
            <w:vAlign w:val="bottom"/>
          </w:tcPr>
          <w:p>
            <w:pPr>
              <w:jc w:val="right"/>
              <w:spacing w:after="0"/>
              <w:rPr>
                <w:sz w:val="20"/>
                <w:szCs w:val="20"/>
                <w:color w:val="auto"/>
              </w:rPr>
            </w:pPr>
            <w:r>
              <w:rPr>
                <w:rFonts w:ascii="Arial" w:cs="Arial" w:eastAsia="Arial" w:hAnsi="Arial"/>
                <w:sz w:val="13"/>
                <w:szCs w:val="13"/>
                <w:color w:val="auto"/>
              </w:rPr>
              <w:t>(261)</w:t>
            </w:r>
          </w:p>
        </w:tc>
      </w:tr>
      <w:tr>
        <w:trPr>
          <w:trHeight w:val="170"/>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Impairment (j)</w:t>
            </w:r>
          </w:p>
        </w:tc>
        <w:tc>
          <w:tcPr>
            <w:tcW w:w="30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3,339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040" w:type="dxa"/>
            <w:vAlign w:val="bottom"/>
          </w:tcPr>
          <w:p>
            <w:pPr>
              <w:ind w:left="20"/>
              <w:spacing w:after="0"/>
              <w:rPr>
                <w:sz w:val="20"/>
                <w:szCs w:val="20"/>
                <w:color w:val="auto"/>
              </w:rPr>
            </w:pPr>
            <w:r>
              <w:rPr>
                <w:rFonts w:ascii="Arial" w:cs="Arial" w:eastAsia="Arial" w:hAnsi="Arial"/>
                <w:sz w:val="13"/>
                <w:szCs w:val="13"/>
                <w:color w:val="auto"/>
              </w:rPr>
              <w:t>Provision for onerous contracts (i)</w:t>
            </w:r>
          </w:p>
        </w:tc>
        <w:tc>
          <w:tcPr>
            <w:tcW w:w="3080" w:type="dxa"/>
            <w:vAlign w:val="bottom"/>
          </w:tcPr>
          <w:p>
            <w:pPr>
              <w:jc w:val="right"/>
              <w:ind w:right="336"/>
              <w:spacing w:after="0"/>
              <w:rPr>
                <w:sz w:val="20"/>
                <w:szCs w:val="20"/>
                <w:color w:val="auto"/>
              </w:rPr>
            </w:pPr>
            <w:r>
              <w:rPr>
                <w:rFonts w:ascii="Arial" w:cs="Arial" w:eastAsia="Arial" w:hAnsi="Arial"/>
                <w:sz w:val="13"/>
                <w:szCs w:val="13"/>
                <w:b w:val="1"/>
                <w:bCs w:val="1"/>
                <w:color w:val="auto"/>
              </w:rPr>
              <w:t>12,000</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on provision for onerous contracts (i)</w:t>
            </w:r>
          </w:p>
        </w:tc>
        <w:tc>
          <w:tcPr>
            <w:tcW w:w="30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 as stated under U.S. GAAP</w:t>
            </w:r>
          </w:p>
        </w:tc>
        <w:tc>
          <w:tcPr>
            <w:tcW w:w="30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229,339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739,126</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704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0"/>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Basic earnings per Ordinary Share under U.S. GAAP</w:t>
            </w:r>
          </w:p>
        </w:tc>
        <w:tc>
          <w:tcPr>
            <w:tcW w:w="30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$2.92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w:t>
            </w:r>
          </w:p>
        </w:tc>
      </w:tr>
      <w:tr>
        <w:trPr>
          <w:trHeight w:val="192"/>
        </w:trPr>
        <w:tc>
          <w:tcPr>
            <w:tcW w:w="704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0"/>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 earnings per Ordinary Share under U.S. GAAP</w:t>
            </w:r>
          </w:p>
        </w:tc>
        <w:tc>
          <w:tcPr>
            <w:tcW w:w="30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$2.90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153</w:t>
      </w:r>
    </w:p>
    <w:p>
      <w:pPr>
        <w:sectPr>
          <w:pgSz w:w="11900" w:h="16838" w:orient="portrait"/>
          <w:cols w:equalWidth="0" w:num="1">
            <w:col w:w="11280"/>
          </w:cols>
          <w:pgMar w:left="300" w:top="698" w:right="31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 xml:space="preserve">Reconciliation from IFRS to US Accounting Policies (Unaudited)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(ii) Effect on shareholders’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shd w:val="clear" w:color="auto" w:fill="CCEEFF"/>
          </w:tcPr>
          <w:p>
            <w:pPr>
              <w:spacing w:after="0"/>
              <w:rPr>
                <w:sz w:val="13"/>
                <w:szCs w:val="13"/>
                <w:color w:val="auto"/>
              </w:rPr>
            </w:pPr>
          </w:p>
        </w:tc>
        <w:tc>
          <w:tcPr>
            <w:tcW w:w="51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5000" w:type="dxa"/>
            <w:vAlign w:val="bottom"/>
            <w:shd w:val="clear" w:color="auto" w:fill="CCEEFF"/>
          </w:tcPr>
          <w:p>
            <w:pPr>
              <w:spacing w:after="0"/>
              <w:rPr>
                <w:sz w:val="11"/>
                <w:szCs w:val="11"/>
                <w:color w:val="auto"/>
              </w:rPr>
            </w:pPr>
          </w:p>
        </w:tc>
        <w:tc>
          <w:tcPr>
            <w:tcW w:w="51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000" w:type="dxa"/>
            <w:vAlign w:val="bottom"/>
            <w:tcBorders>
              <w:bottom w:val="single" w:sz="8" w:color="auto"/>
            </w:tcBorders>
            <w:shd w:val="clear" w:color="auto" w:fill="CCEEFF"/>
          </w:tcPr>
          <w:p>
            <w:pPr>
              <w:spacing w:after="0"/>
              <w:rPr>
                <w:sz w:val="14"/>
                <w:szCs w:val="14"/>
                <w:color w:val="auto"/>
              </w:rPr>
            </w:pPr>
          </w:p>
        </w:tc>
        <w:tc>
          <w:tcPr>
            <w:tcW w:w="5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000" w:type="dxa"/>
            <w:vAlign w:val="bottom"/>
          </w:tcPr>
          <w:p>
            <w:pPr>
              <w:spacing w:after="0"/>
              <w:rPr>
                <w:sz w:val="14"/>
                <w:szCs w:val="14"/>
                <w:color w:val="auto"/>
              </w:rPr>
            </w:pPr>
          </w:p>
        </w:tc>
        <w:tc>
          <w:tcPr>
            <w:tcW w:w="51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of the Group as stated under IFRS</w:t>
            </w:r>
          </w:p>
        </w:tc>
        <w:tc>
          <w:tcPr>
            <w:tcW w:w="51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9,246,920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9,500,980</w:t>
            </w:r>
          </w:p>
        </w:tc>
      </w:tr>
      <w:tr>
        <w:trPr>
          <w:trHeight w:val="212"/>
        </w:trPr>
        <w:tc>
          <w:tcPr>
            <w:tcW w:w="50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5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color w:val="auto"/>
              </w:rPr>
              <w:t>Goodwill (net) arising on PRA merger related stock compensation (d)</w:t>
            </w:r>
          </w:p>
        </w:tc>
        <w:tc>
          <w:tcPr>
            <w:tcW w:w="5140" w:type="dxa"/>
            <w:vAlign w:val="bottom"/>
          </w:tcPr>
          <w:p>
            <w:pPr>
              <w:jc w:val="right"/>
              <w:ind w:right="316"/>
              <w:spacing w:after="0"/>
              <w:rPr>
                <w:sz w:val="20"/>
                <w:szCs w:val="20"/>
                <w:color w:val="auto"/>
              </w:rPr>
            </w:pPr>
            <w:r>
              <w:rPr>
                <w:rFonts w:ascii="Arial" w:cs="Arial" w:eastAsia="Arial" w:hAnsi="Arial"/>
                <w:sz w:val="13"/>
                <w:szCs w:val="13"/>
                <w:b w:val="1"/>
                <w:bCs w:val="1"/>
                <w:color w:val="auto"/>
              </w:rPr>
              <w:t>(58,199)</w:t>
            </w:r>
          </w:p>
        </w:tc>
        <w:tc>
          <w:tcPr>
            <w:tcW w:w="1140" w:type="dxa"/>
            <w:vAlign w:val="bottom"/>
          </w:tcPr>
          <w:p>
            <w:pPr>
              <w:jc w:val="right"/>
              <w:spacing w:after="0"/>
              <w:rPr>
                <w:sz w:val="20"/>
                <w:szCs w:val="20"/>
                <w:color w:val="auto"/>
              </w:rPr>
            </w:pPr>
            <w:r>
              <w:rPr>
                <w:rFonts w:ascii="Arial" w:cs="Arial" w:eastAsia="Arial" w:hAnsi="Arial"/>
                <w:sz w:val="13"/>
                <w:szCs w:val="13"/>
                <w:color w:val="auto"/>
              </w:rPr>
              <w:t>(58,199)</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adjustment to unearned revenue under IFRS (h)</w:t>
            </w:r>
          </w:p>
        </w:tc>
        <w:tc>
          <w:tcPr>
            <w:tcW w:w="51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16,000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5140" w:type="dxa"/>
            <w:vAlign w:val="bottom"/>
          </w:tcPr>
          <w:p>
            <w:pPr>
              <w:jc w:val="right"/>
              <w:ind w:right="336"/>
              <w:spacing w:after="0"/>
              <w:rPr>
                <w:sz w:val="20"/>
                <w:szCs w:val="20"/>
                <w:color w:val="auto"/>
              </w:rPr>
            </w:pPr>
            <w:r>
              <w:rPr>
                <w:rFonts w:ascii="Arial" w:cs="Arial" w:eastAsia="Arial" w:hAnsi="Arial"/>
                <w:sz w:val="13"/>
                <w:szCs w:val="13"/>
                <w:b w:val="1"/>
                <w:bCs w:val="1"/>
                <w:color w:val="auto"/>
              </w:rPr>
              <w:t>5,829</w:t>
            </w:r>
          </w:p>
        </w:tc>
        <w:tc>
          <w:tcPr>
            <w:tcW w:w="1140" w:type="dxa"/>
            <w:vAlign w:val="bottom"/>
          </w:tcPr>
          <w:p>
            <w:pPr>
              <w:jc w:val="right"/>
              <w:spacing w:after="0"/>
              <w:rPr>
                <w:sz w:val="20"/>
                <w:szCs w:val="20"/>
                <w:color w:val="auto"/>
              </w:rPr>
            </w:pPr>
            <w:r>
              <w:rPr>
                <w:rFonts w:ascii="Arial" w:cs="Arial" w:eastAsia="Arial" w:hAnsi="Arial"/>
                <w:sz w:val="13"/>
                <w:szCs w:val="13"/>
                <w:color w:val="auto"/>
              </w:rPr>
              <w:t>4,297</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 (f)</w:t>
            </w:r>
          </w:p>
        </w:tc>
        <w:tc>
          <w:tcPr>
            <w:tcW w:w="51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(1,634)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w:t>
            </w: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color w:val="auto"/>
              </w:rPr>
              <w:t>Taxes on unearned revenue (f)</w:t>
            </w:r>
          </w:p>
        </w:tc>
        <w:tc>
          <w:tcPr>
            <w:tcW w:w="5140" w:type="dxa"/>
            <w:vAlign w:val="bottom"/>
          </w:tcPr>
          <w:p>
            <w:pPr>
              <w:jc w:val="right"/>
              <w:ind w:right="316"/>
              <w:spacing w:after="0"/>
              <w:rPr>
                <w:sz w:val="20"/>
                <w:szCs w:val="20"/>
                <w:color w:val="auto"/>
              </w:rPr>
            </w:pPr>
            <w:r>
              <w:rPr>
                <w:rFonts w:ascii="Arial" w:cs="Arial" w:eastAsia="Arial" w:hAnsi="Arial"/>
                <w:sz w:val="13"/>
                <w:szCs w:val="13"/>
                <w:b w:val="1"/>
                <w:bCs w:val="1"/>
                <w:color w:val="auto"/>
              </w:rPr>
              <w:t>(4,104)</w:t>
            </w:r>
          </w:p>
        </w:tc>
        <w:tc>
          <w:tcPr>
            <w:tcW w:w="1140" w:type="dxa"/>
            <w:vAlign w:val="bottom"/>
          </w:tcPr>
          <w:p>
            <w:pPr>
              <w:jc w:val="right"/>
              <w:spacing w:after="0"/>
              <w:rPr>
                <w:sz w:val="20"/>
                <w:szCs w:val="20"/>
                <w:color w:val="auto"/>
              </w:rPr>
            </w:pPr>
            <w:r>
              <w:rPr>
                <w:rFonts w:ascii="Arial" w:cs="Arial" w:eastAsia="Arial" w:hAnsi="Arial"/>
                <w:sz w:val="13"/>
                <w:szCs w:val="13"/>
                <w:color w:val="auto"/>
              </w:rPr>
              <w:t>(4,104)</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merger with PRAI (b)</w:t>
            </w:r>
          </w:p>
        </w:tc>
        <w:tc>
          <w:tcPr>
            <w:tcW w:w="51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(14,009)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(14,009)</w:t>
            </w: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5140" w:type="dxa"/>
            <w:vAlign w:val="bottom"/>
          </w:tcPr>
          <w:p>
            <w:pPr>
              <w:jc w:val="right"/>
              <w:ind w:right="316"/>
              <w:spacing w:after="0"/>
              <w:rPr>
                <w:sz w:val="20"/>
                <w:szCs w:val="20"/>
                <w:color w:val="auto"/>
              </w:rPr>
            </w:pPr>
            <w:r>
              <w:rPr>
                <w:rFonts w:ascii="Arial" w:cs="Arial" w:eastAsia="Arial" w:hAnsi="Arial"/>
                <w:sz w:val="13"/>
                <w:szCs w:val="13"/>
                <w:b w:val="1"/>
                <w:bCs w:val="1"/>
                <w:color w:val="auto"/>
              </w:rPr>
              <w:t>(8,694)</w:t>
            </w:r>
          </w:p>
        </w:tc>
        <w:tc>
          <w:tcPr>
            <w:tcW w:w="1140" w:type="dxa"/>
            <w:vAlign w:val="bottom"/>
          </w:tcPr>
          <w:p>
            <w:pPr>
              <w:jc w:val="right"/>
              <w:spacing w:after="0"/>
              <w:rPr>
                <w:sz w:val="20"/>
                <w:szCs w:val="20"/>
                <w:color w:val="auto"/>
              </w:rPr>
            </w:pPr>
            <w:r>
              <w:rPr>
                <w:rFonts w:ascii="Arial" w:cs="Arial" w:eastAsia="Arial" w:hAnsi="Arial"/>
                <w:sz w:val="13"/>
                <w:szCs w:val="13"/>
                <w:color w:val="auto"/>
              </w:rPr>
              <w:t>(2,362)</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Re-measurement of defined benefit liability</w:t>
            </w:r>
          </w:p>
        </w:tc>
        <w:tc>
          <w:tcPr>
            <w:tcW w:w="51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(944)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color w:val="auto"/>
              </w:rPr>
              <w:t>Goodwill Impairment (j)</w:t>
            </w:r>
          </w:p>
        </w:tc>
        <w:tc>
          <w:tcPr>
            <w:tcW w:w="5140" w:type="dxa"/>
            <w:vAlign w:val="bottom"/>
          </w:tcPr>
          <w:p>
            <w:pPr>
              <w:jc w:val="right"/>
              <w:ind w:right="336"/>
              <w:spacing w:after="0"/>
              <w:rPr>
                <w:sz w:val="20"/>
                <w:szCs w:val="20"/>
                <w:color w:val="auto"/>
              </w:rPr>
            </w:pPr>
            <w:r>
              <w:rPr>
                <w:rFonts w:ascii="Arial" w:cs="Arial" w:eastAsia="Arial" w:hAnsi="Arial"/>
                <w:sz w:val="13"/>
                <w:szCs w:val="13"/>
                <w:b w:val="1"/>
                <w:bCs w:val="1"/>
                <w:color w:val="auto"/>
              </w:rPr>
              <w:t>3,339</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onerous contracts (i)</w:t>
            </w:r>
          </w:p>
        </w:tc>
        <w:tc>
          <w:tcPr>
            <w:tcW w:w="51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12,000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on provision for onerous contracts (i)</w:t>
            </w:r>
          </w:p>
        </w:tc>
        <w:tc>
          <w:tcPr>
            <w:tcW w:w="51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(3,120)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of the Group as stated under U.S. GAAP</w:t>
            </w:r>
          </w:p>
        </w:tc>
        <w:tc>
          <w:tcPr>
            <w:tcW w:w="5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9,193,384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9,441,354</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5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74"/>
        </w:trPr>
        <w:tc>
          <w:tcPr>
            <w:tcW w:w="5000" w:type="dxa"/>
            <w:vAlign w:val="bottom"/>
          </w:tcPr>
          <w:p>
            <w:pPr>
              <w:ind w:left="160"/>
              <w:spacing w:after="0"/>
              <w:rPr>
                <w:sz w:val="20"/>
                <w:szCs w:val="20"/>
                <w:color w:val="auto"/>
              </w:rPr>
            </w:pPr>
            <w:r>
              <w:rPr>
                <w:rFonts w:ascii="Arial" w:cs="Arial" w:eastAsia="Arial" w:hAnsi="Arial"/>
                <w:sz w:val="13"/>
                <w:szCs w:val="13"/>
                <w:i w:val="1"/>
                <w:iCs w:val="1"/>
                <w:color w:val="auto"/>
              </w:rPr>
              <w:t>(iii) Effect on total assets</w:t>
            </w:r>
          </w:p>
        </w:tc>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50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27"/>
        </w:trPr>
        <w:tc>
          <w:tcPr>
            <w:tcW w:w="5000" w:type="dxa"/>
            <w:vAlign w:val="bottom"/>
            <w:shd w:val="clear" w:color="auto" w:fill="CCEEFF"/>
          </w:tcPr>
          <w:p>
            <w:pPr>
              <w:spacing w:after="0"/>
              <w:rPr>
                <w:sz w:val="11"/>
                <w:szCs w:val="11"/>
                <w:color w:val="auto"/>
              </w:rPr>
            </w:pPr>
          </w:p>
        </w:tc>
        <w:tc>
          <w:tcPr>
            <w:tcW w:w="51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27"/>
        </w:trPr>
        <w:tc>
          <w:tcPr>
            <w:tcW w:w="5000" w:type="dxa"/>
            <w:vAlign w:val="bottom"/>
            <w:shd w:val="clear" w:color="auto" w:fill="CCEEFF"/>
          </w:tcPr>
          <w:p>
            <w:pPr>
              <w:spacing w:after="0"/>
              <w:rPr>
                <w:sz w:val="11"/>
                <w:szCs w:val="11"/>
                <w:color w:val="auto"/>
              </w:rPr>
            </w:pPr>
          </w:p>
        </w:tc>
        <w:tc>
          <w:tcPr>
            <w:tcW w:w="51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5000" w:type="dxa"/>
            <w:vAlign w:val="bottom"/>
            <w:tcBorders>
              <w:bottom w:val="single" w:sz="8" w:color="auto"/>
            </w:tcBorders>
            <w:shd w:val="clear" w:color="auto" w:fill="CCEEFF"/>
          </w:tcPr>
          <w:p>
            <w:pPr>
              <w:spacing w:after="0"/>
              <w:rPr>
                <w:sz w:val="14"/>
                <w:szCs w:val="14"/>
                <w:color w:val="auto"/>
              </w:rPr>
            </w:pPr>
          </w:p>
        </w:tc>
        <w:tc>
          <w:tcPr>
            <w:tcW w:w="5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5000" w:type="dxa"/>
            <w:vAlign w:val="bottom"/>
          </w:tcPr>
          <w:p>
            <w:pPr>
              <w:spacing w:after="0"/>
              <w:rPr>
                <w:sz w:val="14"/>
                <w:szCs w:val="14"/>
                <w:color w:val="auto"/>
              </w:rPr>
            </w:pPr>
          </w:p>
        </w:tc>
        <w:tc>
          <w:tcPr>
            <w:tcW w:w="51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 as stated under IFRS</w:t>
            </w:r>
          </w:p>
        </w:tc>
        <w:tc>
          <w:tcPr>
            <w:tcW w:w="51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16,332,917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16,693,376</w:t>
            </w:r>
          </w:p>
        </w:tc>
      </w:tr>
      <w:tr>
        <w:trPr>
          <w:trHeight w:val="202"/>
        </w:trPr>
        <w:tc>
          <w:tcPr>
            <w:tcW w:w="50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5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5140" w:type="dxa"/>
            <w:vAlign w:val="bottom"/>
          </w:tcPr>
          <w:p>
            <w:pPr>
              <w:jc w:val="right"/>
              <w:ind w:right="336"/>
              <w:spacing w:after="0"/>
              <w:rPr>
                <w:sz w:val="20"/>
                <w:szCs w:val="20"/>
                <w:color w:val="auto"/>
              </w:rPr>
            </w:pPr>
            <w:r>
              <w:rPr>
                <w:rFonts w:ascii="Arial" w:cs="Arial" w:eastAsia="Arial" w:hAnsi="Arial"/>
                <w:sz w:val="13"/>
                <w:szCs w:val="13"/>
                <w:b w:val="1"/>
                <w:bCs w:val="1"/>
                <w:color w:val="auto"/>
              </w:rPr>
              <w:t>5,829</w:t>
            </w:r>
          </w:p>
        </w:tc>
        <w:tc>
          <w:tcPr>
            <w:tcW w:w="1140" w:type="dxa"/>
            <w:vAlign w:val="bottom"/>
          </w:tcPr>
          <w:p>
            <w:pPr>
              <w:jc w:val="right"/>
              <w:spacing w:after="0"/>
              <w:rPr>
                <w:sz w:val="20"/>
                <w:szCs w:val="20"/>
                <w:color w:val="auto"/>
              </w:rPr>
            </w:pPr>
            <w:r>
              <w:rPr>
                <w:rFonts w:ascii="Arial" w:cs="Arial" w:eastAsia="Arial" w:hAnsi="Arial"/>
                <w:sz w:val="13"/>
                <w:szCs w:val="13"/>
                <w:color w:val="auto"/>
              </w:rPr>
              <w:t>4,297</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PRA merger related stock compensation (d)</w:t>
            </w:r>
          </w:p>
        </w:tc>
        <w:tc>
          <w:tcPr>
            <w:tcW w:w="51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(58,199)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(58,199)</w:t>
            </w: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color w:val="auto"/>
              </w:rPr>
              <w:t>Goodwill (net) arising on merger with PRAI (b)</w:t>
            </w:r>
          </w:p>
        </w:tc>
        <w:tc>
          <w:tcPr>
            <w:tcW w:w="5140" w:type="dxa"/>
            <w:vAlign w:val="bottom"/>
          </w:tcPr>
          <w:p>
            <w:pPr>
              <w:jc w:val="right"/>
              <w:ind w:right="316"/>
              <w:spacing w:after="0"/>
              <w:rPr>
                <w:sz w:val="20"/>
                <w:szCs w:val="20"/>
                <w:color w:val="auto"/>
              </w:rPr>
            </w:pPr>
            <w:r>
              <w:rPr>
                <w:rFonts w:ascii="Arial" w:cs="Arial" w:eastAsia="Arial" w:hAnsi="Arial"/>
                <w:sz w:val="13"/>
                <w:szCs w:val="13"/>
                <w:b w:val="1"/>
                <w:bCs w:val="1"/>
                <w:color w:val="auto"/>
              </w:rPr>
              <w:t>(14,009)</w:t>
            </w:r>
          </w:p>
        </w:tc>
        <w:tc>
          <w:tcPr>
            <w:tcW w:w="1140" w:type="dxa"/>
            <w:vAlign w:val="bottom"/>
          </w:tcPr>
          <w:p>
            <w:pPr>
              <w:jc w:val="right"/>
              <w:spacing w:after="0"/>
              <w:rPr>
                <w:sz w:val="20"/>
                <w:szCs w:val="20"/>
                <w:color w:val="auto"/>
              </w:rPr>
            </w:pPr>
            <w:r>
              <w:rPr>
                <w:rFonts w:ascii="Arial" w:cs="Arial" w:eastAsia="Arial" w:hAnsi="Arial"/>
                <w:sz w:val="13"/>
                <w:szCs w:val="13"/>
                <w:color w:val="auto"/>
              </w:rPr>
              <w:t>(14,009)</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on fair value adjustment to unearned revenue under IFRS (h)</w:t>
            </w:r>
          </w:p>
        </w:tc>
        <w:tc>
          <w:tcPr>
            <w:tcW w:w="51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16,000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5140" w:type="dxa"/>
            <w:vAlign w:val="bottom"/>
          </w:tcPr>
          <w:p>
            <w:pPr>
              <w:jc w:val="right"/>
              <w:ind w:right="316"/>
              <w:spacing w:after="0"/>
              <w:rPr>
                <w:sz w:val="20"/>
                <w:szCs w:val="20"/>
                <w:color w:val="auto"/>
              </w:rPr>
            </w:pPr>
            <w:r>
              <w:rPr>
                <w:rFonts w:ascii="Arial" w:cs="Arial" w:eastAsia="Arial" w:hAnsi="Arial"/>
                <w:sz w:val="13"/>
                <w:szCs w:val="13"/>
                <w:b w:val="1"/>
                <w:bCs w:val="1"/>
                <w:color w:val="auto"/>
              </w:rPr>
              <w:t>(12,801)</w:t>
            </w:r>
          </w:p>
        </w:tc>
        <w:tc>
          <w:tcPr>
            <w:tcW w:w="1140" w:type="dxa"/>
            <w:vAlign w:val="bottom"/>
          </w:tcPr>
          <w:p>
            <w:pPr>
              <w:jc w:val="right"/>
              <w:spacing w:after="0"/>
              <w:rPr>
                <w:sz w:val="20"/>
                <w:szCs w:val="20"/>
                <w:color w:val="auto"/>
              </w:rPr>
            </w:pPr>
            <w:r>
              <w:rPr>
                <w:rFonts w:ascii="Arial" w:cs="Arial" w:eastAsia="Arial" w:hAnsi="Arial"/>
                <w:sz w:val="13"/>
                <w:szCs w:val="13"/>
                <w:color w:val="auto"/>
              </w:rPr>
              <w:t>(6,469)</w:t>
            </w: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PRA merger related right-of-use assets (g)</w:t>
            </w:r>
          </w:p>
        </w:tc>
        <w:tc>
          <w:tcPr>
            <w:tcW w:w="51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color w:val="auto"/>
              </w:rPr>
              <w:t>Goodwill Impairment (j)</w:t>
            </w:r>
          </w:p>
        </w:tc>
        <w:tc>
          <w:tcPr>
            <w:tcW w:w="5140" w:type="dxa"/>
            <w:vAlign w:val="bottom"/>
          </w:tcPr>
          <w:p>
            <w:pPr>
              <w:jc w:val="right"/>
              <w:ind w:right="336"/>
              <w:spacing w:after="0"/>
              <w:rPr>
                <w:sz w:val="20"/>
                <w:szCs w:val="20"/>
                <w:color w:val="auto"/>
              </w:rPr>
            </w:pPr>
            <w:r>
              <w:rPr>
                <w:rFonts w:ascii="Arial" w:cs="Arial" w:eastAsia="Arial" w:hAnsi="Arial"/>
                <w:sz w:val="13"/>
                <w:szCs w:val="13"/>
                <w:b w:val="1"/>
                <w:bCs w:val="1"/>
                <w:color w:val="auto"/>
              </w:rPr>
              <w:t>3,339</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on provision for onerous contracts (i)</w:t>
            </w:r>
          </w:p>
        </w:tc>
        <w:tc>
          <w:tcPr>
            <w:tcW w:w="51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assets as stated under U.S. GAAP</w:t>
            </w:r>
          </w:p>
        </w:tc>
        <w:tc>
          <w:tcPr>
            <w:tcW w:w="51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16,269,782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16,634,822</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45"/>
        </w:trPr>
        <w:tc>
          <w:tcPr>
            <w:tcW w:w="5000" w:type="dxa"/>
            <w:vAlign w:val="bottom"/>
          </w:tcPr>
          <w:p>
            <w:pPr>
              <w:spacing w:after="0"/>
              <w:rPr>
                <w:sz w:val="24"/>
                <w:szCs w:val="24"/>
                <w:color w:val="auto"/>
              </w:rPr>
            </w:pPr>
          </w:p>
        </w:tc>
        <w:tc>
          <w:tcPr>
            <w:tcW w:w="5140" w:type="dxa"/>
            <w:vAlign w:val="bottom"/>
          </w:tcPr>
          <w:p>
            <w:pPr>
              <w:jc w:val="right"/>
              <w:ind w:right="4316"/>
              <w:spacing w:after="0"/>
              <w:rPr>
                <w:sz w:val="20"/>
                <w:szCs w:val="20"/>
                <w:color w:val="auto"/>
              </w:rPr>
            </w:pPr>
            <w:r>
              <w:rPr>
                <w:rFonts w:ascii="Arial" w:cs="Arial" w:eastAsia="Arial" w:hAnsi="Arial"/>
                <w:sz w:val="13"/>
                <w:szCs w:val="13"/>
                <w:color w:val="auto"/>
              </w:rPr>
              <w:t>154</w:t>
            </w:r>
          </w:p>
        </w:tc>
        <w:tc>
          <w:tcPr>
            <w:tcW w:w="11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 xml:space="preserve">Reconciliation from IFRS to US Accounting Policies (Unaudited)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(iv) Effect on total liabilities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shd w:val="clear" w:color="auto" w:fill="CCEEFF"/>
          </w:tcPr>
          <w:p>
            <w:pPr>
              <w:spacing w:after="0"/>
              <w:rPr>
                <w:sz w:val="13"/>
                <w:szCs w:val="13"/>
                <w:color w:val="auto"/>
              </w:rPr>
            </w:pPr>
          </w:p>
        </w:tc>
        <w:tc>
          <w:tcPr>
            <w:tcW w:w="61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27"/>
        </w:trPr>
        <w:tc>
          <w:tcPr>
            <w:tcW w:w="3980" w:type="dxa"/>
            <w:vAlign w:val="bottom"/>
            <w:shd w:val="clear" w:color="auto" w:fill="CCEEFF"/>
          </w:tcPr>
          <w:p>
            <w:pPr>
              <w:spacing w:after="0"/>
              <w:rPr>
                <w:sz w:val="11"/>
                <w:szCs w:val="11"/>
                <w:color w:val="auto"/>
              </w:rPr>
            </w:pPr>
          </w:p>
        </w:tc>
        <w:tc>
          <w:tcPr>
            <w:tcW w:w="61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2025</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2024</w:t>
            </w:r>
          </w:p>
        </w:tc>
      </w:tr>
      <w:tr>
        <w:trPr>
          <w:trHeight w:val="168"/>
        </w:trPr>
        <w:tc>
          <w:tcPr>
            <w:tcW w:w="3980" w:type="dxa"/>
            <w:vAlign w:val="bottom"/>
            <w:tcBorders>
              <w:bottom w:val="single" w:sz="8" w:color="auto"/>
            </w:tcBorders>
            <w:shd w:val="clear" w:color="auto" w:fill="CCEEFF"/>
          </w:tcPr>
          <w:p>
            <w:pPr>
              <w:spacing w:after="0"/>
              <w:rPr>
                <w:sz w:val="14"/>
                <w:szCs w:val="14"/>
                <w:color w:val="auto"/>
              </w:rPr>
            </w:pPr>
          </w:p>
        </w:tc>
        <w:tc>
          <w:tcPr>
            <w:tcW w:w="6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(As Restated)</w:t>
            </w:r>
          </w:p>
        </w:tc>
      </w:tr>
      <w:tr>
        <w:trPr>
          <w:trHeight w:val="162"/>
        </w:trPr>
        <w:tc>
          <w:tcPr>
            <w:tcW w:w="3980" w:type="dxa"/>
            <w:vAlign w:val="bottom"/>
          </w:tcPr>
          <w:p>
            <w:pPr>
              <w:spacing w:after="0"/>
              <w:rPr>
                <w:sz w:val="14"/>
                <w:szCs w:val="14"/>
                <w:color w:val="auto"/>
              </w:rPr>
            </w:pPr>
          </w:p>
        </w:tc>
        <w:tc>
          <w:tcPr>
            <w:tcW w:w="61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as stated under IFRS</w:t>
            </w:r>
          </w:p>
        </w:tc>
        <w:tc>
          <w:tcPr>
            <w:tcW w:w="61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7,085,997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7,192,396</w:t>
            </w:r>
          </w:p>
        </w:tc>
      </w:tr>
      <w:tr>
        <w:trPr>
          <w:trHeight w:val="202"/>
        </w:trPr>
        <w:tc>
          <w:tcPr>
            <w:tcW w:w="39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6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3980" w:type="dxa"/>
            <w:vAlign w:val="bottom"/>
          </w:tcPr>
          <w:p>
            <w:pPr>
              <w:ind w:left="20"/>
              <w:spacing w:after="0"/>
              <w:rPr>
                <w:sz w:val="20"/>
                <w:szCs w:val="20"/>
                <w:color w:val="auto"/>
              </w:rPr>
            </w:pPr>
            <w:r>
              <w:rPr>
                <w:rFonts w:ascii="Arial" w:cs="Arial" w:eastAsia="Arial" w:hAnsi="Arial"/>
                <w:sz w:val="13"/>
                <w:szCs w:val="13"/>
                <w:color w:val="auto"/>
              </w:rPr>
              <w:t>Deferred tax adjustments on leases (f)</w:t>
            </w:r>
          </w:p>
        </w:tc>
        <w:tc>
          <w:tcPr>
            <w:tcW w:w="6140" w:type="dxa"/>
            <w:vAlign w:val="bottom"/>
          </w:tcPr>
          <w:p>
            <w:pPr>
              <w:jc w:val="right"/>
              <w:ind w:right="336"/>
              <w:spacing w:after="0"/>
              <w:rPr>
                <w:sz w:val="20"/>
                <w:szCs w:val="20"/>
                <w:color w:val="auto"/>
              </w:rPr>
            </w:pPr>
            <w:r>
              <w:rPr>
                <w:rFonts w:ascii="Arial" w:cs="Arial" w:eastAsia="Arial" w:hAnsi="Arial"/>
                <w:sz w:val="13"/>
                <w:szCs w:val="13"/>
                <w:b w:val="1"/>
                <w:bCs w:val="1"/>
                <w:color w:val="auto"/>
              </w:rPr>
              <w:t>1,457</w:t>
            </w:r>
          </w:p>
        </w:tc>
        <w:tc>
          <w:tcPr>
            <w:tcW w:w="1140" w:type="dxa"/>
            <w:vAlign w:val="bottom"/>
          </w:tcPr>
          <w:p>
            <w:pPr>
              <w:jc w:val="right"/>
              <w:spacing w:after="0"/>
              <w:rPr>
                <w:sz w:val="20"/>
                <w:szCs w:val="20"/>
                <w:color w:val="auto"/>
              </w:rPr>
            </w:pPr>
            <w:r>
              <w:rPr>
                <w:rFonts w:ascii="Arial" w:cs="Arial" w:eastAsia="Arial" w:hAnsi="Arial"/>
                <w:sz w:val="13"/>
                <w:szCs w:val="13"/>
                <w:color w:val="auto"/>
              </w:rPr>
              <w:t>1,072</w:t>
            </w:r>
          </w:p>
        </w:tc>
      </w:tr>
      <w:tr>
        <w:trPr>
          <w:trHeight w:val="170"/>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Re-measurement of defined benefit liability</w:t>
            </w:r>
          </w:p>
        </w:tc>
        <w:tc>
          <w:tcPr>
            <w:tcW w:w="61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944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Provision for onerous contracts (i)</w:t>
            </w:r>
          </w:p>
        </w:tc>
        <w:tc>
          <w:tcPr>
            <w:tcW w:w="6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(12,000)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 as stated under U.S. GAAP</w:t>
            </w:r>
          </w:p>
        </w:tc>
        <w:tc>
          <w:tcPr>
            <w:tcW w:w="6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7,076,398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7,193,468</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6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09"/>
        </w:trPr>
        <w:tc>
          <w:tcPr>
            <w:tcW w:w="3980" w:type="dxa"/>
            <w:vAlign w:val="bottom"/>
          </w:tcPr>
          <w:p>
            <w:pPr>
              <w:spacing w:after="0"/>
              <w:rPr>
                <w:sz w:val="24"/>
                <w:szCs w:val="24"/>
                <w:color w:val="auto"/>
              </w:rPr>
            </w:pPr>
          </w:p>
        </w:tc>
        <w:tc>
          <w:tcPr>
            <w:tcW w:w="6140" w:type="dxa"/>
            <w:vAlign w:val="bottom"/>
          </w:tcPr>
          <w:p>
            <w:pPr>
              <w:jc w:val="right"/>
              <w:ind w:right="4296"/>
              <w:spacing w:after="0"/>
              <w:rPr>
                <w:sz w:val="20"/>
                <w:szCs w:val="20"/>
                <w:color w:val="auto"/>
              </w:rPr>
            </w:pPr>
            <w:r>
              <w:rPr>
                <w:rFonts w:ascii="Arial" w:cs="Arial" w:eastAsia="Arial" w:hAnsi="Arial"/>
                <w:sz w:val="13"/>
                <w:szCs w:val="13"/>
                <w:color w:val="auto"/>
              </w:rPr>
              <w:t>155</w:t>
            </w:r>
          </w:p>
        </w:tc>
        <w:tc>
          <w:tcPr>
            <w:tcW w:w="1140" w:type="dxa"/>
            <w:vAlign w:val="bottom"/>
          </w:tcPr>
          <w:p>
            <w:pPr>
              <w:spacing w:after="0"/>
              <w:rPr>
                <w:sz w:val="24"/>
                <w:szCs w:val="24"/>
                <w:color w:val="auto"/>
              </w:rPr>
            </w:pPr>
          </w:p>
        </w:tc>
      </w:tr>
    </w:tbl>
    <w:p>
      <w:pPr>
        <w:sectPr>
          <w:pgSz w:w="11900" w:h="16838" w:orient="portrait"/>
          <w:cols w:equalWidth="0" w:num="1">
            <w:col w:w="11260"/>
          </w:cols>
          <w:pgMar w:left="300" w:top="698"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Appendix A: Risk Factors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Business and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potential loss or delay of our large contracts, or of multiple contracts, could adversely affect our results.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28" w:lineRule="exact"/>
        <w:rPr>
          <w:sz w:val="20"/>
          <w:szCs w:val="20"/>
          <w:color w:val="auto"/>
        </w:rPr>
      </w:pPr>
    </w:p>
    <w:p>
      <w:pPr>
        <w:ind w:left="500" w:hanging="240"/>
        <w:spacing w:after="0"/>
        <w:tabs>
          <w:tab w:leader="none" w:pos="5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cost reductions or change in prioritisation of resources;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failure of products being tested to satisfy safety or efficacy requirements;</w:t>
      </w:r>
    </w:p>
    <w:p>
      <w:pPr>
        <w:ind w:left="500" w:hanging="240"/>
        <w:spacing w:after="0" w:line="221" w:lineRule="auto"/>
        <w:tabs>
          <w:tab w:leader="none" w:pos="5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unexpected or undesired clinical results of the product;</w:t>
      </w:r>
    </w:p>
    <w:p>
      <w:pPr>
        <w:ind w:left="500" w:hanging="240"/>
        <w:spacing w:after="0"/>
        <w:tabs>
          <w:tab w:leader="none" w:pos="5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decision that a particular study is no longer necessary or viable;</w:t>
      </w:r>
    </w:p>
    <w:p>
      <w:pPr>
        <w:ind w:left="500" w:hanging="240"/>
        <w:spacing w:after="0"/>
        <w:tabs>
          <w:tab w:leader="none" w:pos="5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poor project performance, quality concerns, insufficient patient enrolment or investigator recruitment; and</w:t>
      </w:r>
    </w:p>
    <w:p>
      <w:pPr>
        <w:ind w:left="500" w:hanging="240"/>
        <w:spacing w:after="0"/>
        <w:tabs>
          <w:tab w:leader="none" w:pos="5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production problems resulting in shortages of the drug.</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utilisation rates. In addition, we may not realise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business is dependent on our ability to generate new business awards from new and existing customers and maintain and execute existing customer contracts. If we were unable to generate new business awards on a timely basis and contract, execute and deliver those awards, that could have a material impact on our business, financial condition, results of operations or cash flows.</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depend on a limited number of customers and a loss of, or significant decrease in, business or an inability to pay outstanding invoices by one or more of them could affect our business.</w:t>
      </w:r>
    </w:p>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While no customers individually contributed more than 10% of our revenues during the years ended 31 December 2025 and 31 December 2024, our top five customers represented 24.8% and 25.2% (as restated) of our revenues respectively, our largest customer represented 7.0% and 7.8% (as restated) of our revenues, respectively, and our top twenty five customers represented 64.0% and</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62.4% (as restated) of our revenues, respectively. The loss of, or a significant decrease in, business from one or more of these key customers, or an inability to pay outstanding invoices due to us, could have a material adverse impact on our results of operations and financial results.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inability of biotechnology customers to raise adequate financing or funding could affect our business.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 portion of our revenue is generated from sales and services to the biotechnology industry. The clients we serve are commonly subject to financial pressures, including, but not limited to, the ability to obtain adequate financing or generate sufficient funding. To the extent our clients face such pressures, or they change how they utilise our offerings, the demand for our services, or the prices our clients are willing to pay for those services, may decline. Any such decline could have a material adverse effect on our business, operating results and financial condition.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financial results may be adversely impacted if we underprice our contracts, overrun our cost estimates or fail to receive approval for, or experience delays in, documenting change orders.</w:t>
      </w:r>
    </w:p>
    <w:p>
      <w:pPr>
        <w:spacing w:after="0" w:line="91"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Many of our contracts are long-term contracts for services. As a result, variations in the timing and progress of large contracts may materially adversely affect our financial results. Revenue recognised on these service contracts is based on an assessment of progress towards completion, being the cost of time and other third party costs as a percentage of total estimated time and other third party costs to deliver our services. Estimating time and costs to complete requires judgment and includes consideration of the complexity of the study, the number of sites where trials are to be conducted and the number of patients to be recruited. We regularly review the estimated hours on each contract to determine if the budget accurately reflects the agreed tasks to be performed, taking into account the state of progress at the time of review.</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bear the risk of cost overruns unless the scope of activity and/or the assumptions upon which a budget is built are revised via a change order and we are able to negotiate a contract modification. We endeavour to ensure that any changes in scope are appropriately monitored and change orders or contract modifications are promptly negotiated and documented. If we fail to successfully negotiate change orders for changes in the resources required or the scope of the work to be performed, it could materially adversely affect our operations and financial results.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156</w:t>
      </w:r>
    </w:p>
    <w:p>
      <w:pPr>
        <w:sectPr>
          <w:pgSz w:w="11900" w:h="16838" w:orient="portrait"/>
          <w:cols w:equalWidth="0" w:num="1">
            <w:col w:w="11280"/>
          </w:cols>
          <w:pgMar w:left="300" w:top="698" w:right="31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successfully develop and market new services or enter new markets, our growth, results of operations or financial condition could be adversely affected.</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A key element of our growth strategy is the successful development and marketing of new services or entering new markets that complement or expand our existing business. As we develop new services or enter new markets, we may not be able to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or financial condition could be adversely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attract or retain key personnel, our performance may suffer.</w:t>
      </w:r>
    </w:p>
    <w:p>
      <w:pPr>
        <w:spacing w:after="0" w:line="148"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Our business, future success and ability to continue to expand operations depend upon our ability to attract, hire, train and retain qualified professional, scientific and technical operating people. We compete for qualified professionals with other Contract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face challenges retaining employees which could cause disruption to our day-to-day activities which may result in additional costs to the business.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is an award-winning workplace that enables employees to make a difference to patients’ lives by being part of a world-class CRO that helps deliver new medicines and medical devices that are benefiting patients worldwide. The attraction, development and retention of our talent is critical to the success of the Company, and we continue to strengthen processes around these areas to minimise retention risk. The Company is taking meaningful action to retain employees. Through our annual Talent Review process, we have identified opportunities for improvement as it relates to employee retention. Our People Plans have set specific goals for each functional area in terms of three critical areas: talent attraction, development and retention. However, we can provide no assurances that our efforts in this respect will be successful.</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the ability to recruit suitable willing patients.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successful completion of clinical trials is dependent upon the ability to recruit suitable and willing patients on which to test the drug under study. The availability of suitable patients for enrolment in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enrolment may result in the termination or delay of a study which could have a material adverse impact on our results of operations.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is focused on continuing to develop its expertise in patient recruitment through Accellacare, a global clinical research network, offering patients easier and faster access to innovative treatments and offering customers the option to deploy decentralised trials. The focus is on making it easier for the site and the patient to actively participate in a trial to ensure increased predictability, enrolment and retention. Our site and patient solutions group includes upfront planning of site and patient management including identification, enrolment and engagement.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Improved site selection is achieved through:</w:t>
      </w:r>
    </w:p>
    <w:p>
      <w:pPr>
        <w:spacing w:after="0" w:line="190" w:lineRule="exact"/>
        <w:rPr>
          <w:sz w:val="20"/>
          <w:szCs w:val="20"/>
          <w:color w:val="auto"/>
        </w:rPr>
      </w:pPr>
    </w:p>
    <w:p>
      <w:pPr>
        <w:ind w:left="500" w:hanging="240"/>
        <w:spacing w:after="0"/>
        <w:tabs>
          <w:tab w:leader="none" w:pos="5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leading technology to identify where the patients are that match the protocol;</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assessment of the qualification of sites based on real data; and</w:t>
      </w:r>
    </w:p>
    <w:p>
      <w:pPr>
        <w:ind w:left="520" w:hanging="260"/>
        <w:spacing w:after="0" w:line="235" w:lineRule="auto"/>
        <w:tabs>
          <w:tab w:leader="none" w:pos="511" w:val="left"/>
        </w:tabs>
        <w:numPr>
          <w:ilvl w:val="0"/>
          <w:numId w:val="87"/>
        </w:numPr>
        <w:rPr>
          <w:rFonts w:ascii="Arial" w:cs="Arial" w:eastAsia="Arial" w:hAnsi="Arial"/>
          <w:sz w:val="13"/>
          <w:szCs w:val="13"/>
          <w:color w:val="auto"/>
        </w:rPr>
      </w:pPr>
      <w:r>
        <w:rPr>
          <w:rFonts w:ascii="Arial" w:cs="Arial" w:eastAsia="Arial" w:hAnsi="Arial"/>
          <w:sz w:val="13"/>
          <w:szCs w:val="13"/>
          <w:color w:val="auto"/>
        </w:rPr>
        <w:t>partnerships with leading technology vendors and developing the capability to enable Electronic Medical Record (“EMR”) interrogation into clinical insights such as sub-populations and larger pre-screened pools where the technology and regulations are enabled.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our ability to recruit suitable willing investigators.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157</w:t>
      </w:r>
    </w:p>
    <w:p>
      <w:pPr>
        <w:sectPr>
          <w:pgSz w:w="11900" w:h="16838" w:orient="portrait"/>
          <w:cols w:equalWidth="0" w:num="1">
            <w:col w:w="11280"/>
          </w:cols>
          <w:pgMar w:left="300" w:top="698" w:right="31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Climate change, extreme weather events, earthquakes and other natural disasters could adversely affect our business.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floods, wildfires or other events that may result from the impact of climate change on the environment.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disease outbreak, epidemic or pandemic could adversely affect our business performance.</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A disease outbreak could negatively impact our operations. We could experience restrictions on our ability to travel, or the ability of patients or other service providers to travel, to monitor our clinical trials and to ensure laboratory samples are collected and analysed on time as a result of an outbreak. The potential impact of an epidemic or pandemic may also result in increased operating costs and result in a requirement to increase investment in impact prevention in addition to adversely affecting the economies and financial markets worldwide, resulting in an economic downturn that could impact our business, financial condition and results of operations.</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Due to the global nature of our business and our reliance on information systems to provide our services, we use web-enabled and other integrated information systems in delivering our services. We continue to increase the use of technology. The systems may be either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70" w:lineRule="exact"/>
        <w:rPr>
          <w:sz w:val="20"/>
          <w:szCs w:val="20"/>
          <w:color w:val="auto"/>
        </w:rPr>
      </w:pPr>
    </w:p>
    <w:p>
      <w:pPr>
        <w:ind w:left="500" w:hanging="240"/>
        <w:spacing w:after="0"/>
        <w:tabs>
          <w:tab w:leader="none" w:pos="5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disruption or failure of data centres, telecommunications facilities or other key infrastructure platforms;</w:t>
      </w:r>
    </w:p>
    <w:p>
      <w:pPr>
        <w:ind w:left="520" w:hanging="260"/>
        <w:spacing w:after="0" w:line="238" w:lineRule="auto"/>
        <w:tabs>
          <w:tab w:leader="none" w:pos="511" w:val="left"/>
        </w:tabs>
        <w:numPr>
          <w:ilvl w:val="0"/>
          <w:numId w:val="88"/>
        </w:numPr>
        <w:rPr>
          <w:rFonts w:ascii="Arial" w:cs="Arial" w:eastAsia="Arial" w:hAnsi="Arial"/>
          <w:sz w:val="13"/>
          <w:szCs w:val="13"/>
          <w:color w:val="auto"/>
        </w:rPr>
      </w:pPr>
      <w:r>
        <w:rPr>
          <w:rFonts w:ascii="Arial" w:cs="Arial" w:eastAsia="Arial" w:hAnsi="Arial"/>
          <w:sz w:val="13"/>
          <w:szCs w:val="13"/>
          <w:color w:val="auto"/>
        </w:rPr>
        <w:t>security breaches, cyber attacks or other failures (such as inappropriate software updates) or malfunctions in our application or information systems or their associated hardware or other systems that we have access to, or that we rely upon, or that have access to our systems;</w:t>
      </w:r>
    </w:p>
    <w:p>
      <w:pPr>
        <w:ind w:left="500" w:hanging="240"/>
        <w:spacing w:after="0"/>
        <w:tabs>
          <w:tab w:leader="none" w:pos="5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security breaches, cyber attacks or malfunctions with key suppliers or partners who we rely on to provide services to customers;</w:t>
      </w:r>
    </w:p>
    <w:p>
      <w:pPr>
        <w:ind w:left="500" w:hanging="240"/>
        <w:spacing w:after="0"/>
        <w:tabs>
          <w:tab w:leader="none" w:pos="5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use of Artificial Intelligence (“AI”) resulting in inappropriate interpretation of data; and</w:t>
      </w:r>
    </w:p>
    <w:p>
      <w:pPr>
        <w:ind w:left="500" w:hanging="240"/>
        <w:spacing w:after="0"/>
        <w:tabs>
          <w:tab w:leader="none" w:pos="5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excessive costs, excessive delays or other deficiencies in, or problems with, systems development and deployment.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as well as reputational harm.</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addition, as AI powered cyber threats evolve, our cybersecurity programme strives to keep pace through the development of advanced detection and mitigation mechanisms. However, the dynamic nature of AI-driven attacks poses an ongoing challenge, as staying one step ahead requires constant adaptation and innovation in defensive strategies to effectively protect the organisation against emerging threats.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3"/>
          <w:szCs w:val="13"/>
          <w:color w:val="auto"/>
        </w:rPr>
        <w:t>While we have cybersecurity controls and disaster recovery plans in place, they might not adequately protect us in the event of a system failure, security breach or cyber attack. To date, no cyber attacks have had a material impact on our results of operations or financial reporting. Additionally, despite any precautions we take, damage from fire, floods, hurricanes, power loss, telecommunications failures, computer viruses, information system security breaches, cyber attacks and similar events that impact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attacks, natural disasters, the outbreak of war, the escalation of hostilities and acts of terrorism, particularly involving cities in which we have offices, could adversely affect our business.</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Unauthorised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unauthorised access to our information systems or those we develop for our clients, whether by our employees or third parties, including a cyber attack by computer programmers and hackers who may attack ICON systems, develop and deploy viruses, worms, ransomware or other malicious software programmes, could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158</w:t>
      </w:r>
    </w:p>
    <w:p>
      <w:pPr>
        <w:sectPr>
          <w:pgSz w:w="11900" w:h="16838" w:orient="portrait"/>
          <w:cols w:equalWidth="0" w:num="1">
            <w:col w:w="11280"/>
          </w:cols>
          <w:pgMar w:left="300" w:top="698" w:right="31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cover provided or amount to adequately cover us against claims related to security breaches, cyber attacks and other related breaches.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We may also face cybersecurity risks due to hybrid work arrangements, which could create opportunities for cybercriminals to exploit vulnerabilities.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Upgrading the information systems that support our operating processes and evolving the technology platform for our services pose risks to our business.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Continued efficient operation of our business requires that we implement standardised global business processes and evolve our information systems to enable this. We have continued to undertake significant programmes to optimise business processes. A failure to effectively manage the implementation and adapt to new processes designed in these new or upgraded systems in a timely and cost-effective manner may result in disruption to our business and negatively affect our results of operations.</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have entered into agreements with certain vendors to provide systems development and integration services that develop or licence to us the IT platform for programs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licence payments from us.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has a dedicated Artificial Intelligence Centre of Excellence. By leveraging innovative Artificial Intelligence (“AI”) and Machine Learning (“ML”), we accelerate trials, optimise resources, and ensure strict compliance, all while upholding the highest standards of ethical governance and data privacy. Our focus is to expedite our ability to:</w:t>
      </w:r>
    </w:p>
    <w:p>
      <w:pPr>
        <w:spacing w:after="0" w:line="157" w:lineRule="exact"/>
        <w:rPr>
          <w:sz w:val="20"/>
          <w:szCs w:val="20"/>
          <w:color w:val="auto"/>
        </w:rPr>
      </w:pP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find signals quickly;</w:t>
      </w:r>
    </w:p>
    <w:p>
      <w:pPr>
        <w:spacing w:after="0" w:line="11" w:lineRule="exact"/>
        <w:rPr>
          <w:rFonts w:ascii="Arial" w:cs="Arial" w:eastAsia="Arial" w:hAnsi="Arial"/>
          <w:sz w:val="13"/>
          <w:szCs w:val="13"/>
          <w:color w:val="auto"/>
        </w:rPr>
      </w:pPr>
    </w:p>
    <w:p>
      <w:pPr>
        <w:ind w:left="500" w:hanging="240"/>
        <w:spacing w:after="0" w:line="221" w:lineRule="auto"/>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connect information intelligently;</w:t>
      </w: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predict outcomes; and</w:t>
      </w:r>
    </w:p>
    <w:p>
      <w:pPr>
        <w:ind w:left="500" w:hanging="240"/>
        <w:spacing w:after="0"/>
        <w:tabs>
          <w:tab w:leader="none" w:pos="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take proactive action to accelerate processes or mitigate emerging risks.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Regulations relating to the use of AI and the interpretation of those regulations by regulators, courts and others are in the early stages of development and evolving, which may make it difficult to identify adequate compliance requirements or suitable governance practices to meet those requirements.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To remain competitive within our industry and keep pace with the rapid evolution of the technological landscape, it is critical that we continue to innovate and expand the capabilities of our current technologies. Increased requirements for investment in information technology or failure to comply with regulations may negatively impact our financial condition, including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Uncertainties related to the development, deployment and use of artificial intelligence could adversely affect our business, operations, and reputation.</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is increasingly exploring and adopting artificial intelligence, machine learning, and other advanced technologies to enhance efficiency, improve predictability, and empower data-driven decision-making. While these technologies present significant opportunities, their use also involves risks and uncertainties that could adversely affect our business, results of operations, information security, regulatory compliance, and reputation. Failure to keep pace with rapid developments in AI technologies could adversely affect our competitive position and results of operation.</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AI-based systems rely on complex algorithms and large datasets, which may be flawed, incomplete, outdated, insufficient, or contain biases. Inaccurate or biased outputs could lead to suboptimal outcomes, flawed analyses, inappropriate recommendations, or errors in supporting client decision-making. If the insights or services derived from AI-assisted tools prove to be inaccurate or unreliable, we could experience competitive harm, loss of client trust, contractual disputes, litigation exposure, regulatory scrutiny, or reputational damage.</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use of AI and automated tools also presents cybersecurity and data protection risks. AI systems may process sensitive or confidential information, including proprietary client data, personal data, or health-related data. Security vulnerabilities, misuse by employees or third-party vendors, model leakage, or unauthorised access could result in the disclosure or misuse of confidential information, violations of data protection laws, contractual obligations, or intellectual property rights, and may expose us to fines, penalties, litigation, or loss of business.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159</w:t>
      </w:r>
    </w:p>
    <w:p>
      <w:pPr>
        <w:sectPr>
          <w:pgSz w:w="11900" w:h="16838" w:orient="portrait"/>
          <w:cols w:equalWidth="0" w:num="1">
            <w:col w:w="11280"/>
          </w:cols>
          <w:pgMar w:left="300" w:top="698" w:right="31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rely on third-party providers and AI developers for certain infrastructure. Any operational failure, service discontinuation, or ethical controversy involving these vendors could disrupt our AI-enabled workflows. Furthermore, as competitors develop more advanced or cost-effective AI solutions, our failure to innovate at a similar pace could lead to a loss of market share and downward pressure on our service pricing.</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the regulatory framework governing AI is evolving and may lag behind the pace of technological advancement, creating uncertainty in interpretation and compliance expectations across jurisdictions and, in some cases, across different customer requirement. Changes in laws, regulations, or regulatory guidance, or divergent global standards, could increase compliance costs, delay deployment of AI solutions, or restrict certain uses of these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meet productivity objectives under our business improvement objectives could adversely impact our competitiveness and therefore our operating results.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continue to pursue business transformation initiatives to embed technology and innovation including through the use of AI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An error in the design, programming or validation of our interactive response technologies could lead to patient safety issues and invalidation of a trial and/or liability claims against the Company, amongst other things, any of which could have a material adverse effect on our financial condition and operations.</w:t>
      </w:r>
    </w:p>
    <w:p>
      <w:pPr>
        <w:spacing w:after="0" w:line="144"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develop and maintain computer run and web based interactive response technologies to automatically manage the randomisation of patients in trials, assign the study drug and adjust the dosage when required for patients enroled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adverse effect on our financial condition and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failure to identify and successfully close and integrate strategic acquisition targets could adversely impact our ongoing business and financial results.</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We have made a number of acquisitions in recent years, including the Merger,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02" w:lineRule="exact"/>
        <w:rPr>
          <w:sz w:val="20"/>
          <w:szCs w:val="20"/>
          <w:color w:val="auto"/>
        </w:rPr>
      </w:pPr>
    </w:p>
    <w:p>
      <w:pPr>
        <w:ind w:left="500" w:hanging="240"/>
        <w:spacing w:after="0"/>
        <w:tabs>
          <w:tab w:leader="none" w:pos="5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effectively and quickly assimilate the operations and services or products of the acquired company or business;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integrate acquired personnel;</w:t>
      </w:r>
    </w:p>
    <w:p>
      <w:pPr>
        <w:ind w:left="500" w:hanging="240"/>
        <w:spacing w:after="0" w:line="221" w:lineRule="auto"/>
        <w:tabs>
          <w:tab w:leader="none" w:pos="5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retain and motivate key employees;</w:t>
      </w:r>
    </w:p>
    <w:p>
      <w:pPr>
        <w:ind w:left="500" w:hanging="240"/>
        <w:spacing w:after="0"/>
        <w:tabs>
          <w:tab w:leader="none" w:pos="5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retain customers; and</w:t>
      </w:r>
    </w:p>
    <w:p>
      <w:pPr>
        <w:ind w:left="500" w:hanging="240"/>
        <w:spacing w:after="0"/>
        <w:tabs>
          <w:tab w:leader="none" w:pos="5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minimise the diversion of management's attention from other business concerns.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Improper performance or delays in performance of our services could adversely impact our reputation and our financial results.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performance of clinical development services is complex and time-consuming. We, or vendors we engage,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endeavour to contractually limit our exposure to such risks, improper performance of our services or delays as a result of our performance could have an adverse effect on our financial condition, damage our reputation and result in the cancellation of current contracts or failure to obtain new contracts from affected or other clients.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160</w:t>
      </w:r>
    </w:p>
    <w:p>
      <w:pPr>
        <w:sectPr>
          <w:pgSz w:w="11900" w:h="16838" w:orient="portrait"/>
          <w:cols w:equalWidth="0" w:num="1">
            <w:col w:w="11280"/>
          </w:cols>
          <w:pgMar w:left="300" w:top="698" w:right="31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only a limited ability to protect our intellectual property rights and these rights are important to our success.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Further, the regulatory landscape surrounding artificial intelligence is also evolving. The intellectual property ownership and licence rights of new technologies such as AI have not been fully addressed by US or global courts. As these technologies’ use expands, we may fail to adequately protect our intellectual property.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biopharmaceutical industry has a history of patent and other intellectual property litigation and we may become involved in costly intellectual property lawsuits.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damages and we could be required to stop the infringing activity or obtain a licence to use technology on unfavourable terms. Any infringement or other legal processing related to intellectual property could have a material adverse effect on our operations and financial condition.</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act as authorised representative or legal representative for some clients pursuant to certain jurisdictional requirements for sponsors of clinical trials to appoint an authorised representative or legal representative with a local presence within the relevant jurisdiction.</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act as authorised representative pursuant to Medical Devices Regulation 2017/745 (“MDR”) for certain clients who are located outside of the European Union. As authorised representative, we act on behalf of medical device manufacturers in relation to specified tasks with regard to their obligations under MDR.</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also act as legal representative pursuant to European Clinical Trials Directive (2021/20/EC) (“CTD”), EU Clinical Trials Regulation (No.536/2014) (“CTR”) and MDR for certain clients who are located outside of the European Union with respect to clinical trials being carried out by those clients in the European Union. We also perform similar legal representative services for certain clients in other non-EU jurisdictions. Where the client is located outside the relevant local jurisdiction, ICON has an established local legal entity in that jurisdiction where analogous local regulations have a similar requirement for a local legal representative for clinical trials being carried out in those jurisdictions. As legal representative, we are responsible for ensuring compliance with the client’s obligations pursuant to CTD, CTR and MDR or analogous local legislation and we are the addressee for all communications with the client provided for under CTD, CTR and MDR or analogous local legislation.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161</w:t>
      </w:r>
    </w:p>
    <w:p>
      <w:pPr>
        <w:sectPr>
          <w:pgSz w:w="11900" w:h="16838" w:orient="portrait"/>
          <w:cols w:equalWidth="0" w:num="1">
            <w:col w:w="11280"/>
          </w:cols>
          <w:pgMar w:left="300" w:top="698" w:right="31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 its obligations in relation to their indemnity.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services are derived from, or include, the use of data we collect from third parties. We have several data suppliers that provide us with a broad scope of information that we collect, use in our business and sell.</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b w:val="1"/>
          <w:bCs w:val="1"/>
          <w:i w:val="1"/>
          <w:iCs w:val="1"/>
          <w:color w:val="auto"/>
        </w:rPr>
        <w:t>We rely on third parties for important products, services and licences to certain technology and intellectual property rights. If there was a failure in delivery by these parties, we might not be able to continue to obtain such products, services and licences.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Some of our services rely on intellectual property, technology and other similar property owned and/or controlled by third parties. Our licences to this property and technology could terminate or expire and we might not be able to replace these licences in a timely manner. Also, we might not be able to renew these licences on similar terms and conditions. Failure to renew these licences, or renewals of these licences on less advantageous terms, could have a material adverse effect on our business, results of operations, financial condition or cash flow.</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Industry</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Outsourcing trends in the pharmaceutical, biotechnology and medical device industries and changes in spending on research and development could adversely affect our operating results and growth rates.</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70" w:lineRule="exact"/>
        <w:rPr>
          <w:sz w:val="20"/>
          <w:szCs w:val="20"/>
          <w:color w:val="auto"/>
        </w:rPr>
      </w:pPr>
    </w:p>
    <w:p>
      <w:pPr>
        <w:ind w:left="500" w:hanging="240"/>
        <w:spacing w:after="0"/>
        <w:tabs>
          <w:tab w:leader="none" w:pos="5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utilise our services;</w:t>
      </w:r>
    </w:p>
    <w:p>
      <w:pPr>
        <w:ind w:left="520" w:hanging="260"/>
        <w:spacing w:after="0" w:line="238" w:lineRule="auto"/>
        <w:tabs>
          <w:tab w:leader="none" w:pos="511"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500" w:hanging="240"/>
        <w:spacing w:after="0"/>
        <w:tabs>
          <w:tab w:leader="none" w:pos="5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unfavourable economic conditions or disruptions in the credit and capital markets negatively impact our customers, this could result in delays or reprioritisation of their research spending.</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Large pharmaceutical companies continually seek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162</w:t>
      </w:r>
    </w:p>
    <w:p>
      <w:pPr>
        <w:sectPr>
          <w:pgSz w:w="11900" w:h="16838" w:orient="portrait"/>
          <w:cols w:equalWidth="0" w:num="1">
            <w:col w:w="11280"/>
          </w:cols>
          <w:pgMar w:left="300" w:top="698" w:right="31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Increased collaboration amongst pharmaceutical companies in research and development activities may lead to fewer research opportunities.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and dynamic market.</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we may also compete with the Research and Development capabilities of our customers; being unable to win work outside of the strategic relationships could have a material adverse impact on our results.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type and depth of services provided by CROs has changed in recent years. Failure to develop and market new services or expand existing service offerings could adversely affect our business and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New entrants may also enter the market which would further increase competition and could adversely affect our business and operations.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addition, the emergence of the use of Real World Evidence and the advancements in new approaches such as machine learning and artificial intelligence (AI), including generative, agentic and foundation models that are increasingly accessible through third-party or open-source platforms, that capitalise on the availability of large data sets may reduce the time and costs of the discovery and development process, may allow our clients to more readily perform for themselves clinical development tasks and services that we have typically provided, may cause even greater price competition and/or reduce the perceived differentiation of certain of our information, analytics and insight-based offerings. If customers are able to obtain comparable insights through alternative AI-enabled solutions, develop such capabilities internally, or shift spending toward lower-cost providers, demand for certain of our services and offerings could decline, pricing pressure could increase, and our margins and growth prospects could be adversely affected which could have a material impact on our business,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adversely affected by industry, customer or therapeutic concentration.</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provide services to biopharmaceutical, biotechnology, medical device and government organisations and our revenue is dependent on expenditures by these customers. Our business could therefore be adversely impacted by mergers, consolidation, business failures, policy decisions, distress in financial markets or other factors resulting in a decrease in the number of potential customers or therapeutic products being developed through the drug development process.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has been consolidation in the biopharmaceutical market in recent years, including the acquisition of biotechnology companies by pharmaceutical companies. If the number of our potential customers were to decline in the future, they may be able to negotiate price discounts or other terms for services that are less favourable to us than they have been historically.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Financial Results and Financial Position</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8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employee attrition and other factors. Our revenue in any period is directly related to the number of employees who were working on billable projects together with investigator activity during that period. We may be unable to compensate for periods of under-utilisation during one part of a fiscal period by earning revenue during another part of that period. We believe that operating results for any particular quarter are not necessarily a meaningful indicator of future results.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 in future quarters, we are unable to continue to deliver operational efficiencies and our expenses grow faster than our revenues, our operating margins, profitability and overall financial condition may be materially adversely impacted.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163</w:t>
      </w:r>
    </w:p>
    <w:p>
      <w:pPr>
        <w:sectPr>
          <w:pgSz w:w="11900" w:h="16838" w:orient="portrait"/>
          <w:cols w:equalWidth="0" w:num="1">
            <w:col w:w="11280"/>
          </w:cols>
          <w:pgMar w:left="300" w:top="698" w:right="31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exposure to exchange rate fluctuations could adversely affect our future results of operations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we are also subject to translation exposures as our consolidated financial results are presented in U.S. dollars, while the local results of a certain number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and rising labour costs could adversely affect our future results of operations.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Inflation and rising labour costs may result in significant increases to the cost of our services, which we may not be able to recover from our customers. If macroeconomic forces, such as inflation, cause the cost of inputs required to deliver these contracts to increase significantly, we may be unable to pass along all of these costs to our customers. A sustained increase in these costs may require us to increase the price of future service offerings. These actions could adversely affect our future revenue, gross margin, or both.</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effective tax rate may fluctuate from quarter-to-quarter, which may adversely affect our results of operations.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Our quarterly effective tax rate has depended and will continue to depend on the geographic distribution of our taxable earnings amongst the multiple tax jurisdictions (such as Ireland, United States and United Kingdom) in which we operate and the tax laws in those jurisdictions. Changes in the geographic mix of our results of operations amongst these jurisdictions may have a significant impact on our effective tax rate from quarter-to-quarter.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time period before being resolved. The resolution of audit issues may lead to additional taxes, interest as well as fines and/or penalties being imposed which could have a material adverse impact on our effective tax rate and our consolidated financial results.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terms of recent legislative changes which could potentially impact our effective tax rate, on 4 July 2025, the U.S. President signed into law the Budget Reconciliation Bill, which extends various expiring tax provisions from the 2017 Tax Cuts and Jobs Act and introduces a variety of other law changes. Our assessment is that it is not expected to have a material impact on our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We cannot predict the impact of any executive orders or regulatory changes that may become effective or enacted by the administration in the United States.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In terms of a global minimum tax rate, the Organisation for Economic Co-operation and Development's (“OECD”) Global Anti-Base Erosion (“GloBE”) Model Rules proposed a global minimum tax rate of 15% and recommended that it be effective from 2024. European Union member states adopted a global minimum tax in December 2022 and member states were obliged to implement the rules by 31 December 2023, which impact large multinational groups with a consolidated revenue of over €750 million. Although there is no assurance that every country in which ICON has a presence will implement GloBE, where a particular jurisdiction has a minimum effective tax rate of less than 15%, the head office location may be obliged to pay a top-up tax. Ireland has also implemented global minimum tax legislation which has been in force from 1 January 2024. The global tax environment is becoming increasingly complex and management continues to review the impact of a global minimum tax on the Company’s financial performance. Further, regulatory or policy changes in geographies in which we operate may have a material adverse impact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unsatisfied performance obligation may not convert to revenue and the rate of conversion may slow.</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unsatisfied performance obligation is the amount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realise this unsatisfied performance obligation in full as revenue. A significant reduction in the rate of conversion could have a material adverse impact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is exposed to various risks in relation to our cash and cash equivalents.</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Cash and cash equivalents comprise cash and highly liquid investments with maturities of three months or less.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164</w:t>
      </w:r>
    </w:p>
    <w:p>
      <w:pPr>
        <w:sectPr>
          <w:pgSz w:w="11900" w:h="16838" w:orient="portrait"/>
          <w:cols w:equalWidth="0" w:num="1">
            <w:col w:w="11280"/>
          </w:cols>
          <w:pgMar w:left="300" w:top="698" w:right="31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Although we have not recognised any significant losses to date on our cash and cash equivalents, any significant declines in their market values could have a material adverse effect on our financial position and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accounting standards may adversely affect our financial statements.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We prepare our Annual Report on Form 20-F in accordance with generally accepted accounting principles in the United States of America (“U.S. GAAP”) which are revised on an on-going basis by the authoritative bodies. We prepare our statutory financial statements in accordance with generally accepted accounting principles in Ireland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of goodwill and intangible assets may adversely impact future results of operations.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record intangible assets, including goodwill, on our Statement of financial position on acquisitions of businesses. The initial identification and valuation of these intangible assets and the determination of the estimated useful lives at the time of acquisition involve use of judgments and estimates. These estimates are based on, among other factors, projections of cash flows that arise from identifiable intangible assets of acquired businesses and discount rates based on an analysis of our weighted average cost of capital, adjusted for specific risks associated with the assets. Disruptions in global financial markets and deterioration of economic conditions could, among other things, impact the discount rate. Other assumptions used in the valuations and actual cash flows arising from a particular intangible asset could vary from projected cash flows, which could imply different carrying values from those established at the dates of acquisition and which could result in impairment of such assets.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If the future growth and operating results of our business are not as strong as anticipated, overall macroeconomic or industry conditions deteriorate and/or our market capitalisation declines, this could impact the assumptions used in establishing the carrying value of goodwill or intangible assets. Should disruption in the global financial markets and deterioration of economic conditions have a prolonged impact on our industry, triggering events may arise resulting in intangible asset, or goodwill impairments. For example, during the year ended 31 December 2025, the Company recorded a goodwill impairment charge of $367.6 million, which represented the entire balance of goodwill attributed to the Data Solutions reporting unit. To the extent intangible assets, or goodwill are impaired, their carrying value will be written down to their implied fair values and a charge will be made to our net income (refer to Note 13 </w:t>
      </w:r>
      <w:r>
        <w:rPr>
          <w:rFonts w:ascii="Arial" w:cs="Arial" w:eastAsia="Arial" w:hAnsi="Arial"/>
          <w:sz w:val="13"/>
          <w:szCs w:val="13"/>
          <w:i w:val="1"/>
          <w:iCs w:val="1"/>
          <w:color w:val="auto"/>
        </w:rPr>
        <w:t>Goodwill and intangible assets</w:t>
      </w:r>
      <w:r>
        <w:rPr>
          <w:rFonts w:ascii="Arial" w:cs="Arial" w:eastAsia="Arial" w:hAnsi="Arial"/>
          <w:sz w:val="13"/>
          <w:szCs w:val="13"/>
          <w:color w:val="auto"/>
        </w:rPr>
        <w:t xml:space="preserve"> in the Notes to the Consolidated Financial Statements for charges recorded during the year ended 31 December 2025). Such an impairment charge could materially and adversely affect our operating results.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i w:val="1"/>
          <w:iCs w:val="1"/>
          <w:color w:val="auto"/>
        </w:rPr>
        <w:t>We have concluded that our internal control over financial reporting and our disclosure controls and procedures were not effective as of 31 December 2025 due to material weaknesses, which has adversely affected our ability to report our financial results in a timely and accurate manner and could have a material adverse impact on our business and financial condition.</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We are required to evaluate the effectiveness of our disclosure controls and procedures and our internal control over financial reporting and publicly disclose the results of these evaluations and related matters in accordance with the requirements of Section 404 of the Sarbanes-Oxley Act of 2002. We have identified material weaknesses in internal controls over financial reporting. As a result of these material weaknesses, our management concluded that our internal control over financial reporting and disclosure controls and procedures were not effective as of 31 December 2025.</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are engaged in developing and implementing a remediation plan, designed to address the material weaknesses, but our remediation efforts are not complete and are ongoing. Although we are working to remedy the ineffectiveness of the Company’s internal control over financial reporting, there can be no assurance as to when the remediation plan will be fully implemented, or the aggregate cost of implementation. Until our remediation plan is fully implemented, our management will continue to devote time and attention to these efforts. If we do not complete our remediation in a timely fashion, or at all, or if our remediation plan is inadequate, there will continue to be an increased risk that we will be unable to timely file future periodic reports with the SEC and that our future consolidated financial statements could contain errors that will be undetected. If we are unable to remediate our material weaknesses or report our results in a timely and accurate manner, our stock price may decline, or our stock may be delisted from NASDAQ, our ability to raise capital may be limited and we may not be able to comply with the applicable covenants in our financing arrangements. In addition, we could be subject to regulatory investigations and penalties or shareholder litigation. Any of these risks could have a material adverse impact on our business and financial condition.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165</w:t>
      </w:r>
    </w:p>
    <w:p>
      <w:pPr>
        <w:sectPr>
          <w:pgSz w:w="11900" w:h="16838" w:orient="portrait"/>
          <w:cols w:equalWidth="0" w:num="1">
            <w:col w:w="11280"/>
          </w:cols>
          <w:pgMar w:left="300" w:top="698" w:right="31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maintain proper and effective internal controls, our business and financial condition could be materially adversely impacted.</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cannot assure you that we will not discover additional deficiencies in our internal control over financial reporting. Moreover, because of the inherent limitations of any control system, material misstatements due to error or fraud may not be prevented or detected on a timely basis, or at all.</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Further and continued determinations that there are deficiencies in the effectiveness of the Company’s internal control over financial reporting could result in another restatement of our consolidated financial statements, cause us to fail to meet our reporting obligations, reduce our ability to obtain financing, negatively affect investor or customer confidence in our management and the accuracy of our financial statements and disclosures, or result in adverse publicity and concerns from investors, any of which could have a negative effect on the price of our common stock, subject us to regulatory investigations and penalties or shareholder litigation, and materially adversely impact our business, financial condition, results of operations and cash flows.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Due to inherent limitations, there can be no assurance that our system of disclosure and internal controls and procedures will be successful in preventing all errors, theft and fraud, or in informing management of all material information in a timely manner.</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Management does not expect that our disclosure controls and procedures and internal controls over financial reporting will prevent all errors or fraud. A control system is designed to give reasonable, but not absolute, assurance that the objectives of the control system are met. In addition, any control system reflects resource constraints and the benefits of controls must be considered relative to their costs. Inherent limitations of a control system may include: judgments in decision making may be faulty, breakdowns can occur simply because of error or mistake and controls can be circumvented by collusion or management override. Due to the inherent limitations in a cost-effective control system, misstatements due to error or fraud may occur and may not be detected.</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Matters relating to or arising from the subject of the Investigation, including expenses and diversion of personnel and resources, regulatory investigations, and proceedings and litigation matters, could have an adverse effect on our business, results of operations and financial condition.</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have incurred, and may continue to incur, significant expenses related to legal, accounting and other professional services in connection with matters relating to or arising from the subject of the Investigation, including with respect to the Putative Class Action (as defined below). To the extent steps we take to remediate deficiencies in our internal controls over financial reporting are not successfully identified and implemented, we may incur significant additional time and expense.</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In addition, we elected to self-report the Investigation to the SEC and other regulatory authorities. If the SEC or any other regulator were to commence legal action against us, we could be required to pay significant penalties and become subject to injunctions, cease and desist orders or other remedies. We can provide no assurances as to the outcome of any governmental inquiry or investigation. The Company and certain of its current and former executive officers are named as defendants in the Putative Class Action. Further, we, our officers and members of our Board of Directors could be named as defendants in other class action lawsuits, contract claims, derivative lawsuits or other actions asserting claims arising out of the subject matter of the Investigation. Defending against these matters can be time-consuming and costly and will divert management's attention from our business operations. Adverse outcomes could result in substantial monetary damages, penalties, injunctive, or other relief, and even if resolved favourably, we may incur significant legal expenses. Further, as a result of any legal proceedings and any related indemnification requirements to our officers and directors, we could be required to pay monetary damages that may be in excess of our insurance coverage or may have additional penalties or other remedies imposed against us or our officers and directors.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of these expenses, and the diversion of the attention of management and other personnel that has occurred and is expected to continue, could adversely affect our business, financial condition, results of operations and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incur additional substantial costs in connection with remediation efforts following the Restatement, which could adversely affect our results of operations.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are undertaking significant efforts to remediate material weaknesses in our internal control over financial reporting and to enhance our disclosure controls and procedures. These efforts have required and will continue to require significant management time and financial resources. We may incur substantial costs in connection with these remediation activities, including consulting fees, audit and professional service fees, and upgrades to our financial reporting systems and controls. These additional expenses could materially adversely affect our results of operations and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We may be required to indemnify our current and former directors, officers and employees in connection with litigation and other actions which could result in significant legal expenses and other costs to us.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certain enumerated circumstances and subject to applicable law, our corporate governance documents and applicable indemnification agreements require us to defend and indemnify our current and former directors and officers, and certain employees against enumerated liabilities and expenses incurred as a result of legal proceedings and investigations,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166</w:t>
      </w:r>
    </w:p>
    <w:p>
      <w:pPr>
        <w:sectPr>
          <w:pgSz w:w="11900" w:h="16838" w:orient="portrait"/>
          <w:cols w:equalWidth="0" w:num="1">
            <w:col w:w="11280"/>
          </w:cols>
          <w:pgMar w:left="300" w:top="698" w:right="31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including any potential regulatory actions or litigation arising out of the matters related to the Investigation and Restatement. As a result, we may be obligated to advance and ultimately pay substantial legal costs, settlement amounts, or judgments on behalf of these individuals. These indemnification obligations could significantly increase our legal expenses and could materially adversely affect our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 may be difficult or costly to obtain director and officer insurance coverage in the future as a result of the Restatement.</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As a result of the restatement, the Investigation and related risks, our current directors’ and officers’ liability insurance (“D&amp;O Insurance”) providers may seek to increase premiums significantly, impose additional exclusions, or refuse to renew coverage altogether. In addition, we may face challenges in obtaining comparable coverage from alternative insurance carriers on commercially reasonable terms, or at all. A reduction in the scope or amount of D&amp;O Insurance coverage could adversely affect our ability to attract and retain qualified directors and officers, and expose us to greater potential liability, which could have a material adverse effect on our financial condition, governance, and ability to operate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Our failure to timely file our Annual Report on Form 20-F with the SEC limits our access to the public markets to raise debt or equity capital, may impact our ability to obtain alternative financing, and could have negative consequences under the terms of our existing credit agreements.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Our failure to timely file our Annual Report on Form 20-F with the SEC restricts our ability to use a registration statement on Form F-3, which limits our ability to access the public markets quickly and efficiently. It may also restrict our ability to raise capital through traditional private placements, as potential investors may be reluctant to invest in a company that is not current or has a history of not being current in its SEC filings. In addition, our failure to file periodic reports could constitute a default under certain covenants in existing or future credit facilities, which could lead to the acceleration of outstanding indebtedness or other adverse consequences. The combined effect of these factors could materially and adversely affect our liquidity,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Indebtedness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incurred substantial additional indebtedness, which could impair our flexibility and access to capital and could adversely affect the Company’s business, financial condition or results of operations.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Following completion of the Merger and the other transactions contemplated by the Merger Agreement, the Company has a substantial amount of debt. ICON borrowed approximately $6,015.0 million in order to pay PRA shareholders the cash consideration due to them as merger consideration under the Merger Agreement, pay related fees and transaction costs in connection with the transactions, and refinance existing indebtedness.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8 May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 As of 31 December 2025 we had outstanding $3,416.7 million of debt.</w:t>
      </w:r>
    </w:p>
    <w:p>
      <w:pPr>
        <w:spacing w:after="0" w:line="15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This level of borrowings could adversely affect the Company in a number of ways, including, but not limited to,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167</w:t>
      </w:r>
    </w:p>
    <w:p>
      <w:pPr>
        <w:sectPr>
          <w:pgSz w:w="11900" w:h="16838" w:orient="portrait"/>
          <w:cols w:equalWidth="0" w:num="1">
            <w:col w:w="11280"/>
          </w:cols>
          <w:pgMar w:left="300" w:top="698" w:right="31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3"/>
          <w:szCs w:val="13"/>
          <w:b w:val="1"/>
          <w:bCs w:val="1"/>
          <w:i w:val="1"/>
          <w:iCs w:val="1"/>
          <w:color w:val="auto"/>
        </w:rPr>
        <w:t>Covenants in our credit agreement and the indentures governing the 2026 Notes and the New Notes may restrict our business and operations. Our financial condition and results of operations could be adversely affected if we do not comply with those covenants.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Senior Secured Credit Facilities and the indentures governing the 2026 Notes and the New Notes include certain customary covenants that limit our ability to, amongst other things, subject to certain exceptions:</w:t>
      </w:r>
    </w:p>
    <w:p>
      <w:pPr>
        <w:spacing w:after="0" w:line="161" w:lineRule="exact"/>
        <w:rPr>
          <w:sz w:val="20"/>
          <w:szCs w:val="20"/>
          <w:color w:val="auto"/>
        </w:rPr>
      </w:pPr>
    </w:p>
    <w:p>
      <w:pPr>
        <w:ind w:left="500" w:hanging="240"/>
        <w:spacing w:after="0"/>
        <w:tabs>
          <w:tab w:leader="none" w:pos="500" w:val="left"/>
        </w:tabs>
        <w:numPr>
          <w:ilvl w:val="0"/>
          <w:numId w:val="92"/>
        </w:numPr>
        <w:rPr>
          <w:rFonts w:ascii="Arial" w:cs="Arial" w:eastAsia="Arial" w:hAnsi="Arial"/>
          <w:sz w:val="16"/>
          <w:szCs w:val="16"/>
          <w:color w:val="auto"/>
        </w:rPr>
      </w:pPr>
      <w:r>
        <w:rPr>
          <w:rFonts w:ascii="Arial" w:cs="Arial" w:eastAsia="Arial" w:hAnsi="Arial"/>
          <w:sz w:val="13"/>
          <w:szCs w:val="13"/>
          <w:color w:val="auto"/>
        </w:rPr>
        <w:t>make dividends, investments and other restricted payments;</w:t>
      </w:r>
    </w:p>
    <w:p>
      <w:pPr>
        <w:spacing w:after="0" w:line="10" w:lineRule="exact"/>
        <w:rPr>
          <w:rFonts w:ascii="Arial" w:cs="Arial" w:eastAsia="Arial" w:hAnsi="Arial"/>
          <w:sz w:val="16"/>
          <w:szCs w:val="16"/>
          <w:color w:val="auto"/>
        </w:rPr>
      </w:pPr>
    </w:p>
    <w:p>
      <w:pPr>
        <w:ind w:left="500" w:hanging="240"/>
        <w:spacing w:after="0" w:line="213"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3"/>
          <w:szCs w:val="13"/>
          <w:color w:val="auto"/>
        </w:rPr>
        <w:t>enter into sale and leaseback transactions;</w:t>
      </w:r>
    </w:p>
    <w:p>
      <w:pPr>
        <w:ind w:left="500" w:hanging="240"/>
        <w:spacing w:after="0"/>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engage in share buybacks;</w:t>
      </w:r>
    </w:p>
    <w:p>
      <w:pPr>
        <w:spacing w:after="0" w:line="5" w:lineRule="exact"/>
        <w:rPr>
          <w:rFonts w:ascii="Arial" w:cs="Arial" w:eastAsia="Arial" w:hAnsi="Arial"/>
          <w:sz w:val="13"/>
          <w:szCs w:val="13"/>
          <w:color w:val="auto"/>
        </w:rPr>
      </w:pPr>
    </w:p>
    <w:p>
      <w:pPr>
        <w:ind w:left="500" w:hanging="240"/>
        <w:spacing w:after="0" w:line="235"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3"/>
          <w:szCs w:val="13"/>
          <w:color w:val="auto"/>
        </w:rPr>
        <w:t>incur or assume liens or additional debt;</w:t>
      </w:r>
    </w:p>
    <w:p>
      <w:pPr>
        <w:spacing w:after="0" w:line="10" w:lineRule="exact"/>
        <w:rPr>
          <w:rFonts w:ascii="Arial" w:cs="Arial" w:eastAsia="Arial" w:hAnsi="Arial"/>
          <w:sz w:val="16"/>
          <w:szCs w:val="16"/>
          <w:color w:val="auto"/>
        </w:rPr>
      </w:pPr>
    </w:p>
    <w:p>
      <w:pPr>
        <w:ind w:left="500" w:hanging="240"/>
        <w:spacing w:after="0" w:line="222"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3"/>
          <w:szCs w:val="13"/>
          <w:color w:val="auto"/>
        </w:rPr>
        <w:t>engage in mergers or reorganisations; or</w:t>
      </w:r>
    </w:p>
    <w:p>
      <w:pPr>
        <w:spacing w:after="0" w:line="10" w:lineRule="exact"/>
        <w:rPr>
          <w:rFonts w:ascii="Arial" w:cs="Arial" w:eastAsia="Arial" w:hAnsi="Arial"/>
          <w:sz w:val="16"/>
          <w:szCs w:val="16"/>
          <w:color w:val="auto"/>
        </w:rPr>
      </w:pPr>
    </w:p>
    <w:p>
      <w:pPr>
        <w:ind w:left="500" w:hanging="240"/>
        <w:spacing w:after="0" w:line="222"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3"/>
          <w:szCs w:val="13"/>
          <w:color w:val="auto"/>
        </w:rPr>
        <w:t>enter into certain types of transactions with affiliates.</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8 December 2023, ICON notified the holders of the 2026 Notes of the upgrade of the instrument rating to investment grade and the consequent suspension of certain of the covenants under the indenture governing the 2026 Notes. The suspension of these covenants remains in place and will continue so long as the instrument remains at investment grade.</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Borrowings under the senior secured term loan facility amortise in equal quarterly instalments in an amount equal to 1.00% per annum of the principal amount, with the remaining balance due at final maturity.</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14 March 2024, the parties to the credit agreement entered into a Third Amendment (the “Third Amendment”) in connection with the repricing of the senior secured term loan facility and the senior secured revolving credit facility.</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interest rate margin applicable to borrowings under the senior secured term loan facility is USD Term SOFR plus an applicable margin which is dependent on the Company's net leverage ratio. At 31 December 2025, the applicable margin is 2.0% (which reflects the Third Amendment). The senior secured term loan facility is subject to a floor of 0.50%.</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On 26 November 2025, the parties to the Credit Agreement entered into a Fourth Amendment (the “Fourth Amendment”) to reprice and extend the senior secured revolving credit facility.</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As a result of the Fourth Amendment, the maturity was extended from a five-year term to a seven-year term ending 1 July 2028. Reflecting the Fourth Amendment, the interest rate margin applicable to borrowings under the revolving loan facility will be, at the option of the borrower, either (i) the applicable base rate plus an applicable margin of 0.35% or 0.00%, based on the Company’s current corporate family rating assigned by S&amp;P of BB (or lower) or BB+ (or higher), respectively, or (ii) Term SOFR plus an applicable margin of 1.35%, 1.00%, 0.75%, 0.55%, or 0.40%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utilisation fees dependent on the proportion of the facility drawn.</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31 December 2025, $nil (31 December 2024: $nil) was outstanding under the revolving loan facility while there was also $nil (31 December 2024: $nil) in letters of credit given to landlords to guarantee lease arrangements under the senior secured revolving loan facility.</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the Company has variable rate debt, fluctuations in interest rates affect our business. We attempt to minimise interest rate risk by issuing fixed term debt to provide a mix of fixed and floating rate debt in the Company debt portfolio. Although the Company manages its interest rate exposure (at 31 December 2025, 73% of the Company's outstanding debt was at a fixed interest rate (31 December 2024: 73%)), significant changes in rates at which the Company can borrow could have a material adverse effect on our financial position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financial results and ability to access cost effective debt may be adversely impacted if we do not maintain our current credit rating.</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In Quarter Four, 2023, S&amp;P Global Ratings (“S&amp;P”) upgraded ICON to an investment grade credit rating of BBB- with a stable outlook. Further Moody's Investors Service upgraded all of ICON plc’s instrument ratings to Baa3 with a stable outlook. In Quarter Four, 2024 S&amp;P affirmed ICON issuer ratings of BBB- and Moody's Investors Service changed the outlook from stable to positive. As at 19 February 2026, Moody's affirmed ICON plc’s instrument ratings of Baa3 however changed the outlook to stable from positive. Our financial results and ability to access cost effective debt may be adversely impacted if we do not maintain our current credit rating.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168</w:t>
      </w:r>
    </w:p>
    <w:p>
      <w:pPr>
        <w:sectPr>
          <w:pgSz w:w="11900" w:h="16838" w:orient="portrait"/>
          <w:cols w:equalWidth="0" w:num="1">
            <w:col w:w="11280"/>
          </w:cols>
          <w:pgMar w:left="300" w:top="698" w:right="31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Political, Legal or Regulatory Environment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opportunities as a result of healthcare reform and the expansion of managed care organisations.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Numerous governments, including the U.S. government, have undertaken efforts to control growing healthcare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addition to healthcare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healthcare sector, on our customers and ultimately on our financial condition or results of operations.</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16 August 2022, the US government enacted the Inflation Reduction Act of 2022 (the “IRA”), which among other things, authorises the U.S. Department of Health and Human Services to establish prices for certain single-source drugs and biologics within the Medicare programme, commencing in 2026. Furthermore, the IRA contains provisions which impose rebate obligations on manufacturers if price increases outpace inflation. On 12 May 2025, the Executive Order titled “Delivering Most-Favored-Nation Prescription Drug Pricing to American Patients” (“MFN”) was signed which aims to reduce drug costs in the U.S. Further, on 4 July 2025, the U.S. enacted the One Big Beautiful Bill Act (“OBBBA”) that reduced healthcare funding and eligibility. The full impact of these IRA provisions, the MFN executive order, and OBBBA on our customers in the biopharmaceutical industry remains uncertain, and any resultant pressure on our customers’ operating results could lead to a reduction in research and development spend and related outsourcing activities, which could have an adverse impact on our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We cannot predict the impact of any executive orders or regulatory changes that may become effective or enacted by the current administration in the United States.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expose us to risks as a result of changes in global political conditions which could adversely affect our results of operations.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Political and/or financial instability and armed conflict in various regions of the world, including, but not limited to, Ukraine, Israel and the conflict area in the Middle East, can lead to sanctions, economic uncertainty and currency exchange rate fluctuations and may interrupt our operations in those areas, which may adversely impact our results of operations. While these situations are subject to change, there remains the possibility of additional and harsher sanctions if a conflict intensifies. If that were to happen, our operations in the impacted region may be severely curtailed or eliminated, which could adversely affect our results of operations. In addition, if a current conflict broadens or further escalates, our operations may be severely curtailed, which could adversely affect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as a result of changes in the regulatory environment</w:t>
      </w:r>
      <w:r>
        <w:rPr>
          <w:rFonts w:ascii="Arial" w:cs="Arial" w:eastAsia="Arial" w:hAnsi="Arial"/>
          <w:sz w:val="13"/>
          <w:szCs w:val="13"/>
          <w:color w:val="auto"/>
        </w:rPr>
        <w:t>.</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3"/>
          <w:szCs w:val="13"/>
          <w:b w:val="1"/>
          <w:bCs w:val="1"/>
          <w:color w:val="auto"/>
        </w:rPr>
        <w:t>.</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U.S. Food and Drug Administration, (“FDA”), and other regulatory and government authorities and agencies inspect and audit us from time to time to ensure that we comply with their regulations and guidelines, including environmental,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169</w:t>
      </w:r>
    </w:p>
    <w:p>
      <w:pPr>
        <w:sectPr>
          <w:pgSz w:w="11900" w:h="16838" w:orient="portrait"/>
          <w:cols w:equalWidth="0" w:num="1">
            <w:col w:w="11280"/>
          </w:cols>
          <w:pgMar w:left="300" w:top="698" w:right="31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If we, or vendors we engage, fail to comply with any of these requirements we could suffer some or all of:</w:t>
      </w:r>
    </w:p>
    <w:p>
      <w:pPr>
        <w:spacing w:after="0" w:line="84" w:lineRule="exact"/>
        <w:rPr>
          <w:sz w:val="20"/>
          <w:szCs w:val="20"/>
          <w:color w:val="auto"/>
        </w:rPr>
      </w:pPr>
    </w:p>
    <w:p>
      <w:pPr>
        <w:ind w:left="1020" w:hanging="251"/>
        <w:spacing w:after="0"/>
        <w:tabs>
          <w:tab w:leader="none" w:pos="10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termination of or delay in any research;</w:t>
      </w:r>
    </w:p>
    <w:p>
      <w:pPr>
        <w:spacing w:after="0" w:line="11" w:lineRule="exact"/>
        <w:rPr>
          <w:rFonts w:ascii="Arial" w:cs="Arial" w:eastAsia="Arial" w:hAnsi="Arial"/>
          <w:sz w:val="13"/>
          <w:szCs w:val="13"/>
          <w:color w:val="auto"/>
        </w:rPr>
      </w:pPr>
    </w:p>
    <w:p>
      <w:pPr>
        <w:ind w:left="1020" w:hanging="251"/>
        <w:spacing w:after="0"/>
        <w:tabs>
          <w:tab w:leader="none" w:pos="10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disqualification of data;</w:t>
      </w:r>
    </w:p>
    <w:p>
      <w:pPr>
        <w:ind w:left="1020" w:hanging="251"/>
        <w:spacing w:after="0" w:line="221" w:lineRule="auto"/>
        <w:tabs>
          <w:tab w:leader="none" w:pos="10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denial of the right to conduct business;</w:t>
      </w:r>
    </w:p>
    <w:p>
      <w:pPr>
        <w:ind w:left="1020" w:hanging="251"/>
        <w:spacing w:after="0"/>
        <w:tabs>
          <w:tab w:leader="none" w:pos="10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criminal penalties;</w:t>
      </w:r>
    </w:p>
    <w:p>
      <w:pPr>
        <w:ind w:left="1020" w:hanging="251"/>
        <w:spacing w:after="0"/>
        <w:tabs>
          <w:tab w:leader="none" w:pos="10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financial penalties;</w:t>
      </w:r>
    </w:p>
    <w:p>
      <w:pPr>
        <w:ind w:left="1020" w:hanging="251"/>
        <w:spacing w:after="0"/>
        <w:tabs>
          <w:tab w:leader="none" w:pos="10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other enforcement actions including debarment from government contracts;</w:t>
      </w:r>
    </w:p>
    <w:p>
      <w:pPr>
        <w:ind w:left="1020" w:hanging="251"/>
        <w:spacing w:after="0"/>
        <w:tabs>
          <w:tab w:leader="none" w:pos="10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loss of clients and/or business; and</w:t>
      </w:r>
    </w:p>
    <w:p>
      <w:pPr>
        <w:ind w:left="1020" w:hanging="251"/>
        <w:spacing w:after="0"/>
        <w:tabs>
          <w:tab w:leader="none" w:pos="10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litigation from clients and/or patients and/or regulatory authorities and/or other affected third parties, and resulting material penalties, damages and costs.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political, regulatory, operational and legal risks associated with our international operations.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We believe 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Changes in the political and regulatory environment in the markets in which we operate such as price, exchange controls or tariffs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 For instance, the US has a complex and evolving framework of tariffs on imports from Canada, Mexico and China. The ongoing conflict in Ukraine has resulted in economic sanctions and export controls environment applicable to our business operations in the region (including Russia and Belarus) as a result of additional trade compliance measures, including those enacted by the United States, United Kingdom and European Union. These economic sanctions and export controls restrict our ability to do business with sanctioned entities, require additional compliance resources, and could have a material adverse effect on the results of our operations. We continue to monitor developments in other regions, including the Middle East and China, and will assess any impact of trade compliance measures, or other restrictions, on our business.</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Uncertainty of the legal environment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If any of the above risks or similar risks associated with our international operations were to materialise, our results of operations and financial condition could be materially adversely affected.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We operate in many different jurisdictions and we could be adversely affected by violations of anti-corruption laws, including the United States Foreign Corrupt Practices Act of 1977 (“FCPA”), UK Bribery Act of 2010 (“UK Bribery Act”) and similar anti-corruption laws in other jurisdictions as well as laws and regulations relating to trade compliance and economic sanctions.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FCPA, UK Bribery Act and similar anti-corruption laws in other jurisdictions prohibit us and our officers, directors, employees and third parties acting on our behalf, including agents, from corruptly offering, promising, authorising, or providing anything of value to a “foreign official” for the purposes of influencing official decisions or obtaining or retaining business or otherwise obtaining favourable treatment. In addition, the FCPA imposes certain books, records and accounting control obligations on public companies and other issuers. The UK Bribery Act also prohibits “commercial” bribery and accepting bribes.</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His Majesty’s Treasury and other relevant trade compliance authorities.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170</w:t>
      </w:r>
    </w:p>
    <w:p>
      <w:pPr>
        <w:sectPr>
          <w:pgSz w:w="11900" w:h="16838" w:orient="portrait"/>
          <w:cols w:equalWidth="0" w:num="1">
            <w:col w:w="11280"/>
          </w:cols>
          <w:pgMar w:left="300" w:top="698" w:right="31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Our internal policies mandate compliance with these anti-corruption and trade compliance laws and regulations. We also operate in many jurisdictions in which bribery or corruption can be common and compliance with anti-bribery laws may conflict with local customs and practices. Despite our training and compliance programme safeguards, we cannot assure that our internal control policies, procedures and safeguards will protect us from acts in violation of anti-corruption and trade compliance laws and regulations committed by employees or other third parties associated with us and our continued expansion, including in developing countries, could increase such risk in the future. Violations of anti-corruption, economic sanctions and trade control laws and regulations, or even allegations of such violations, could disrupt our business and result in a material adverse effect on our financial condition, results of operations, cash flows and reputation. For example, violations of anti-corruption and trade compliance laws can result in restatements of, or irregularities in, our financial statements, disgorgement of profits, related shareholder lawsuits as well as severe criminal or civil sanctions. In some cases, companies that violate anti-corruption and trade compliance laws might be debarred by the U.S. government and/or lose their U.S. export privileges. In addition, the U.S. government or other governments may seek to hold us liable based on successor liability for violations of anti-corruption and trade compliance laws committed by companies that we acquire or in which we invest. Changes in anti-corruption and trade compliance laws or enforcement priorities could also result in increased compliance requirements and related costs which could materially adversely affect our business, financial condition, results of operations and cash flows. The increase in economic sanctions and trade controls, particularly relating to our ongoing operations in Russia, Ukraine and Belarus, has increased the amount of resources necessary to ensure compliance in this area.</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ICON has a strong privacy posture, driven by the implementation of a core privacy governance strategy and the adoption of policies and procedures designed to help ensure that ICON, including our employees and contractors, can comply with applicable data protection laws (including, but not limited to, the General Data Protection Regulation (“GDPR”) (EU) 2016/679). Notwithstanding these measures, failure to comply with applicable data protection laws may occur and could result in increased risk of liability or increased costs to us or could limit our service offerings.</w:t>
      </w:r>
    </w:p>
    <w:p>
      <w:pPr>
        <w:spacing w:after="0" w:line="17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3"/>
          <w:szCs w:val="13"/>
          <w:u w:val="single" w:color="auto"/>
          <w:color w:val="auto"/>
        </w:rPr>
        <w:t>Administrative fines:</w:t>
      </w:r>
      <w:r>
        <w:rPr>
          <w:rFonts w:ascii="Arial" w:cs="Arial" w:eastAsia="Arial" w:hAnsi="Arial"/>
          <w:sz w:val="13"/>
          <w:szCs w:val="13"/>
          <w:color w:val="auto"/>
        </w:rPr>
        <w:t xml:space="preserve"> The GDPR introduced a regime of administrative fines for data protection infringements and provided for a tiered penalty structure based on the nature of the infringement. The EU supervisory authorities for the GDPR can directly impose fines on organisations found to be in breach of the GDPR. Lower tier administrative fines allow for fines of up to 2% of worldwide turnover of the group in the preceding financial year. Higher tier administrative fines allow for fines of up to 4% of worldwide turnover of the group in the preceding financial year. Higher tier administrative fines are more likely to be levied for major infringements of the GDPR and core data protection principles (e.g. transparency, data retention,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-375285</wp:posOffset>
            </wp:positionV>
            <wp:extent cx="609727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7270" cy="94615"/>
                    </a:xfrm>
                    <a:prstGeom prst="rect">
                      <a:avLst/>
                    </a:prstGeom>
                    <a:noFill/>
                  </pic:spPr>
                </pic:pic>
              </a:graphicData>
            </a:graphic>
          </wp:anchor>
        </w:drawing>
      </w:r>
    </w:p>
    <w:p>
      <w:pPr>
        <w:spacing w:after="0" w:line="152"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u w:val="single" w:color="auto"/>
          <w:color w:val="auto"/>
        </w:rPr>
        <w:t>Penalties:</w:t>
      </w:r>
      <w:r>
        <w:rPr>
          <w:rFonts w:ascii="Arial" w:cs="Arial" w:eastAsia="Arial" w:hAnsi="Arial"/>
          <w:sz w:val="13"/>
          <w:szCs w:val="13"/>
          <w:color w:val="auto"/>
        </w:rPr>
        <w:t xml:space="preserve"> The GDPR also permits Member States to implement rules on other penalties applicable to infringements of the GDPR, in particular, for infringements which are not subject to administrative fines under the GDPR itself. Therefore, Member States may legislate for further fines or penalties that may be criminal in nature.</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Any fines levied under the GDPR must be effective, proportionate, and dissuasive. Supervisory authorities have been strengthening enforcement activities across the EU in recent years in respect of breaches of GDPR. The risk of fines and penalties under the GDPR carries increased risk of liability to ICON and can result in increased costs and disruption to the delivery of our services.</w:t>
      </w:r>
    </w:p>
    <w:p>
      <w:pPr>
        <w:spacing w:after="0" w:line="14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3"/>
          <w:szCs w:val="13"/>
          <w:u w:val="single" w:color="auto"/>
          <w:color w:val="auto"/>
        </w:rPr>
        <w:t>Right to compensation of data subjects:</w:t>
      </w:r>
      <w:r>
        <w:rPr>
          <w:rFonts w:ascii="Arial" w:cs="Arial" w:eastAsia="Arial" w:hAnsi="Arial"/>
          <w:sz w:val="13"/>
          <w:szCs w:val="13"/>
          <w:color w:val="auto"/>
        </w:rPr>
        <w:t xml:space="preserve"> In addition to the risk of administrative and criminal penalties, the GDPR also provides that any person who has suffered material or non-material damage as a result of an infringement of the GDPR shall have the right to receive compensation for the damage suffered, from the controller or processor responsible for the infringement. The level of award of damages is set by the competent court in the applicable EU Member State. This carries increased risk of liability for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-291465</wp:posOffset>
            </wp:positionV>
            <wp:extent cx="5376545"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76545" cy="94615"/>
                    </a:xfrm>
                    <a:prstGeom prst="rect">
                      <a:avLst/>
                    </a:prstGeom>
                    <a:noFill/>
                  </pic:spPr>
                </pic:pic>
              </a:graphicData>
            </a:graphic>
          </wp:anchor>
        </w:drawing>
      </w:r>
    </w:p>
    <w:p>
      <w:pPr>
        <w:spacing w:after="0" w:line="14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3"/>
          <w:szCs w:val="13"/>
          <w:u w:val="single" w:color="auto"/>
          <w:color w:val="auto"/>
        </w:rPr>
        <w:t>Corrective Powers of the supervisory authorities:</w:t>
      </w:r>
      <w:r>
        <w:rPr>
          <w:rFonts w:ascii="Arial" w:cs="Arial" w:eastAsia="Arial" w:hAnsi="Arial"/>
          <w:sz w:val="13"/>
          <w:szCs w:val="13"/>
          <w:color w:val="auto"/>
        </w:rPr>
        <w:t xml:space="preserve"> </w:t>
      </w:r>
      <w:r>
        <w:rPr>
          <w:rFonts w:ascii="Arial" w:cs="Arial" w:eastAsia="Arial" w:hAnsi="Arial"/>
          <w:sz w:val="13"/>
          <w:szCs w:val="13"/>
          <w:color w:val="auto"/>
          <w:highlight w:val="white"/>
        </w:rPr>
        <w:t>Each supervisory authority across the Member States of the EU also has corrective powers. Supervisory authorities have the power to order</w:t>
      </w:r>
      <w:r>
        <w:rPr>
          <w:rFonts w:ascii="Arial" w:cs="Arial" w:eastAsia="Arial" w:hAnsi="Arial"/>
          <w:sz w:val="13"/>
          <w:szCs w:val="13"/>
          <w:color w:val="auto"/>
        </w:rPr>
        <w:t xml:space="preserve"> ICON to bring processing operations into compliance with the provisions of the GDPR in a specified manner within a specified time period, or to impose a temporary or definitive limitation including a ban on processing, and to order the suspension of data flows to a recipient in a third country or to an international organisation. Supervisory authorities also have powers to conduct audits and investigations of ICON and instruct ICON to take certain actions. The exercise of these powers by supervisory authorities has the potential to increase costs for ICON and cause disruption to the business and delivery of our services.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foundational principles of the GDPR have helped shape the development of many other privacy laws globally. Internationally, data protection laws continue to be introduced at a rapid rate, with greater protections afforded to personal data than ever before, and greater risk of liability to organisations processing that personal data. As a global organisation, ICON must ensure that our privacy posture continues to adapt to these new laws and regulations.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171</w:t>
      </w:r>
    </w:p>
    <w:p>
      <w:pPr>
        <w:sectPr>
          <w:pgSz w:w="11900" w:h="16838" w:orient="portrait"/>
          <w:cols w:equalWidth="0" w:num="1">
            <w:col w:w="11280"/>
          </w:cols>
          <w:pgMar w:left="300" w:top="698" w:right="31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rPr>
          <w:sz w:val="20"/>
          <w:szCs w:val="20"/>
          <w:color w:val="auto"/>
        </w:rPr>
      </w:pPr>
      <w:r>
        <w:rPr>
          <w:rFonts w:ascii="Arial" w:cs="Arial" w:eastAsia="Arial" w:hAnsi="Arial"/>
          <w:sz w:val="13"/>
          <w:szCs w:val="13"/>
          <w:color w:val="auto"/>
        </w:rPr>
        <w:t>From a US perspective, the confidentiality, collection, use and disclosure of personal data, including clinical trial patient-specific information, is regulated at the federal and state level. The Federal Trade Commission, or FTC, is an independent U.S. law enforcement agency charged with protecting consumers and enhancing competition across broad sectors of the economy. The FTC’s authority with respect to data privacy and security comes from Section 5 of the FTC Act. The FTC uses its broad grant of authority to regulate data privacy and security, using including, but not limited to, requiring the implementation of comprehensive privacy and security programmes, biennial assessments by independent experts, monetary redress to consumers, and provision of robust notice and choice mechanisms to consumers. Similar laws exist at the state level, which are used by state attorneys general to enforce against privacy and security-related acts or practices deemed to be unfair or deceptive.</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3"/>
          <w:szCs w:val="13"/>
          <w:color w:val="auto"/>
        </w:rPr>
        <w:t>Certain US states have adopted a comprehensive consumer privacy law or a consumer health data privacy law that regulates how certain businesses collect, use, and disclose the personal information of consumers residing in the state. In general, these laws provide for certain consumer privacy rights and impose transparency standards for business data collection and processing practices. These laws have broad exemptions for personal information that constitutes protected health information under the Health Insurance Portability and Accountability Act of 1996 (“HIPAA”) and de-identified health data as defined under HIPAA. As a result, we do not expect to have compliance obligations under these laws with respect to most patient information we collect and process. However, we are required to comply with these consumer privacy laws insofar as we collect other categories of consumers’ personal information, which could include, for example, information about website visitors. These state consumer privacy laws are generally enforced by the respective state Attorney General. California’s law also includes a private right of action for certain data breaches. Other states are currently considering similar consumer privacy laws, which could impact our operations if enacted.</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US federal administrative simplification regulations under HIPAA require individuals’ written authorisation, in addition to any required informed consent, before protected health information may be used for research (unless an institutional review board has waived the authorisation requirement or another exception applies).</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are directly regulated by HIPAA as a “business associate” because we obtain individually identifiable health information from “covered entity” third parties that are subject to such regulations. We can be directly liable to the covered entity contractually for mishandling protected health information and, under HIPAA’s enforcement scheme, we can be subject to up to approximately $2.1 million per year in civil money penalties for multiple violations of the same HIPAA requirement in 2025. The per violation penalties and calendar year cap on penalties are adjusted annually for inflation under the Federal Civil Penalties Inflation Adjustment Act.</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Additional legislation or regulation of this type might, among other things, require us to implement new security measures and processes which may require substantial expenditures or limit our ability to offer some of our services. Additionally, if we violate applicable laws, regulations or duties relating to the use, processing or security of personal data, we could be subject to civil liability or criminal prosecution, be forced to alter our business practices or suffer reputational harm.</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unauthorised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programmes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172</w:t>
      </w:r>
    </w:p>
    <w:p>
      <w:pPr>
        <w:sectPr>
          <w:pgSz w:w="11900" w:h="16838" w:orient="portrait"/>
          <w:cols w:equalWidth="0" w:num="1">
            <w:col w:w="11280"/>
          </w:cols>
          <w:pgMar w:left="300" w:top="698" w:right="31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failure to comply with our government contracts or applicable laws and regulations could result in, among other things, fines or other liabilities, and changes in government procurement regulations could adversely impact our business, results of operations or cash flows.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contracts in the public segment are generally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Liability claims brought against us could result in payment of substantial damages, costs and liabilities and decrease our profitability.</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may face legal claims involving shareholder, consumers, clinical trial subjects, competitors, regulators and other parties. Litigation and other legal proceedings are inherently uncertain, and adverse rulings could occur, including monetary damages, or an injunction stopping us from engaging in business practices, or requiring other remedies, including, but not limited to, compulsory licensing of patents.</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Customer Claims</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provide staff to deliver our services,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Claims relating to Investigators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contract with physicians who serve as investigators in conducting clinical trials to test new drugs on their patients. These patients will generally have underlying health conditions and this testing creates the risk of liability for personal injury to the patient or the risk of a serious adverse event occurring.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Indemnification from Customers</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 their indemnification obligations. Furthermore, we would be liable for our own negligence and negligence of our employees which could lead to litigation from customers or action or enforcement by regulatory authorities.</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Insurance</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Claims to Date</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173</w:t>
      </w:r>
    </w:p>
    <w:p>
      <w:pPr>
        <w:sectPr>
          <w:pgSz w:w="11900" w:h="16838" w:orient="portrait"/>
          <w:cols w:equalWidth="0" w:num="1">
            <w:col w:w="11280"/>
          </w:cols>
          <w:pgMar w:left="300" w:top="698" w:right="31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Sustainability matters may impact our business and reputation.</w:t>
      </w:r>
    </w:p>
    <w:p>
      <w:pPr>
        <w:spacing w:after="0" w:line="190" w:lineRule="exact"/>
        <w:rPr>
          <w:sz w:val="20"/>
          <w:szCs w:val="20"/>
          <w:color w:val="auto"/>
        </w:rPr>
      </w:pPr>
    </w:p>
    <w:p>
      <w:pPr>
        <w:jc w:val="both"/>
        <w:spacing w:after="0" w:line="155" w:lineRule="exact"/>
        <w:rPr>
          <w:sz w:val="20"/>
          <w:szCs w:val="20"/>
          <w:color w:val="auto"/>
        </w:rPr>
      </w:pPr>
      <w:r>
        <w:rPr>
          <w:rFonts w:ascii="Arial" w:cs="Arial" w:eastAsia="Arial" w:hAnsi="Arial"/>
          <w:sz w:val="13"/>
          <w:szCs w:val="13"/>
          <w:color w:val="auto"/>
        </w:rPr>
        <w:t>Sustainability matters continue to attract significant attention from stakeholders, including customers, investors, regulators, and ratings agencies. Companies are increasingly assessed on their sustainability performance and long</w:t>
      </w:r>
      <w:r>
        <w:rPr>
          <w:rFonts w:ascii="MS PGothic" w:cs="MS PGothic" w:eastAsia="MS PGothic" w:hAnsi="MS PGothic"/>
          <w:sz w:val="13"/>
          <w:szCs w:val="13"/>
          <w:color w:val="auto"/>
        </w:rPr>
        <w:t>‑</w:t>
      </w:r>
      <w:r>
        <w:rPr>
          <w:rFonts w:ascii="Arial" w:cs="Arial" w:eastAsia="Arial" w:hAnsi="Arial"/>
          <w:sz w:val="13"/>
          <w:szCs w:val="13"/>
          <w:color w:val="auto"/>
        </w:rPr>
        <w:t>term practices. Customers may also impose specific sustainability</w:t>
      </w:r>
      <w:r>
        <w:rPr>
          <w:rFonts w:ascii="MS PGothic" w:cs="MS PGothic" w:eastAsia="MS PGothic" w:hAnsi="MS PGothic"/>
          <w:sz w:val="13"/>
          <w:szCs w:val="13"/>
          <w:color w:val="auto"/>
        </w:rPr>
        <w:t>‑</w:t>
      </w:r>
      <w:r>
        <w:rPr>
          <w:rFonts w:ascii="Arial" w:cs="Arial" w:eastAsia="Arial" w:hAnsi="Arial"/>
          <w:sz w:val="13"/>
          <w:szCs w:val="13"/>
          <w:color w:val="auto"/>
        </w:rPr>
        <w:t>related requirements, and failure to meet these expectations could adversely affect our ability to win or retain business.</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Regulatory focus on sustainability matters is also increasing globally. This has resulted in the adoption of legal and regulatory requirements designed to mitigate the effects of climate change on the environment, as well as legal and regulatory requirements requiring climate, human rights and supply chain-related disclosures. If new laws or regulations are more stringent than current legal or regulatory requirements, we may experience increased compliance burdens and costs to meet such obligations.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selection of voluntary disclosure frameworks and standards, and the interpretation or application of those frameworks and standards, may change from time to time or may not meet the expectations of investors or other stakeholders. Our ability to achieve our sustainability expectations and commitments is subject to numerous risks, many of which are outside of our control.</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Volatility in the market price of our common stock could lead to losses by investors.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market price of our common stock has experienced volatility in the past and may experience volatility in the future which could lead to losses for investors. Factors impacting volatility in the market price of our common stock include, among others:</w:t>
      </w:r>
    </w:p>
    <w:p>
      <w:pPr>
        <w:spacing w:after="0" w:line="157" w:lineRule="exact"/>
        <w:rPr>
          <w:sz w:val="20"/>
          <w:szCs w:val="20"/>
          <w:color w:val="auto"/>
        </w:rPr>
      </w:pPr>
    </w:p>
    <w:p>
      <w:pPr>
        <w:ind w:left="500" w:hanging="240"/>
        <w:spacing w:after="0"/>
        <w:tabs>
          <w:tab w:leader="none" w:pos="5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general market and economic conditions;</w:t>
      </w:r>
    </w:p>
    <w:p>
      <w:pPr>
        <w:ind w:left="500" w:hanging="240"/>
        <w:spacing w:after="0"/>
        <w:tabs>
          <w:tab w:leader="none" w:pos="5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public perception of biotechnology and pharmaceutical companies;</w:t>
      </w:r>
    </w:p>
    <w:p>
      <w:pPr>
        <w:ind w:left="500" w:hanging="240"/>
        <w:spacing w:after="0"/>
        <w:tabs>
          <w:tab w:leader="none" w:pos="5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our results of operations;</w:t>
      </w:r>
    </w:p>
    <w:p>
      <w:pPr>
        <w:ind w:left="500" w:hanging="240"/>
        <w:spacing w:after="0"/>
        <w:tabs>
          <w:tab w:leader="none" w:pos="5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w:t>
      </w:r>
    </w:p>
    <w:p>
      <w:pPr>
        <w:ind w:left="500" w:hanging="240"/>
        <w:spacing w:after="0"/>
        <w:tabs>
          <w:tab w:leader="none" w:pos="5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developments impacting the industry or our competitors;</w:t>
      </w:r>
    </w:p>
    <w:p>
      <w:pPr>
        <w:ind w:left="500" w:hanging="240"/>
        <w:spacing w:after="0" w:line="221" w:lineRule="auto"/>
        <w:tabs>
          <w:tab w:leader="none" w:pos="5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declines in the market prices of stocks generally;</w:t>
      </w:r>
    </w:p>
    <w:p>
      <w:pPr>
        <w:ind w:left="500" w:hanging="240"/>
        <w:spacing w:after="0"/>
        <w:tabs>
          <w:tab w:leader="none" w:pos="5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strategic actions by us or our competitors;</w:t>
      </w:r>
    </w:p>
    <w:p>
      <w:pPr>
        <w:ind w:left="500" w:hanging="240"/>
        <w:spacing w:after="0"/>
        <w:tabs>
          <w:tab w:leader="none" w:pos="500" w:val="left"/>
        </w:tabs>
        <w:numPr>
          <w:ilvl w:val="0"/>
          <w:numId w:val="95"/>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contracts, new products, acquisitions, joint marketing relationships, joint ventures, other strategic relationships or capital commitments;</w:t>
      </w:r>
    </w:p>
    <w:p>
      <w:pPr>
        <w:spacing w:after="0" w:line="10"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the public's reaction to press releases, other public announcements by us or third parties, including our filings with the SEC;</w:t>
      </w:r>
    </w:p>
    <w:p>
      <w:pPr>
        <w:ind w:left="260"/>
        <w:spacing w:after="0"/>
        <w:rPr>
          <w:rFonts w:ascii="Arial" w:cs="Arial" w:eastAsia="Arial" w:hAnsi="Arial"/>
          <w:sz w:val="12"/>
          <w:szCs w:val="12"/>
          <w:color w:val="auto"/>
        </w:rPr>
      </w:pPr>
      <w:r>
        <w:rPr>
          <w:rFonts w:ascii="Arial" w:cs="Arial" w:eastAsia="Arial" w:hAnsi="Arial"/>
          <w:sz w:val="13"/>
          <w:szCs w:val="13"/>
          <w:color w:val="auto"/>
        </w:rPr>
        <w:t>•   guidance, if any, that we provide to the public, any changes in this guidance or failure to meet this guidance;</w:t>
      </w:r>
    </w:p>
    <w:p>
      <w:pPr>
        <w:ind w:left="260"/>
        <w:spacing w:after="0" w:line="221" w:lineRule="auto"/>
        <w:rPr>
          <w:rFonts w:ascii="Arial" w:cs="Arial" w:eastAsia="Arial" w:hAnsi="Arial"/>
          <w:sz w:val="12"/>
          <w:szCs w:val="12"/>
          <w:color w:val="auto"/>
        </w:rPr>
      </w:pPr>
      <w:r>
        <w:rPr>
          <w:rFonts w:ascii="Arial" w:cs="Arial" w:eastAsia="Arial" w:hAnsi="Arial"/>
          <w:sz w:val="13"/>
          <w:szCs w:val="13"/>
          <w:color w:val="auto"/>
        </w:rPr>
        <w:t>•   changes in the credit rating of our debt;</w:t>
      </w:r>
    </w:p>
    <w:p>
      <w:pPr>
        <w:ind w:left="260"/>
        <w:spacing w:after="0"/>
        <w:rPr>
          <w:rFonts w:ascii="Arial" w:cs="Arial" w:eastAsia="Arial" w:hAnsi="Arial"/>
          <w:sz w:val="12"/>
          <w:szCs w:val="12"/>
          <w:color w:val="auto"/>
        </w:rPr>
      </w:pPr>
      <w:r>
        <w:rPr>
          <w:rFonts w:ascii="Arial" w:cs="Arial" w:eastAsia="Arial" w:hAnsi="Arial"/>
          <w:sz w:val="13"/>
          <w:szCs w:val="13"/>
          <w:color w:val="auto"/>
        </w:rPr>
        <w:t>•   sale, or anticipated sale, of large blocks of our stock;</w:t>
      </w:r>
    </w:p>
    <w:p>
      <w:pPr>
        <w:ind w:left="260"/>
        <w:spacing w:after="0"/>
        <w:rPr>
          <w:rFonts w:ascii="Arial" w:cs="Arial" w:eastAsia="Arial" w:hAnsi="Arial"/>
          <w:sz w:val="12"/>
          <w:szCs w:val="12"/>
          <w:color w:val="auto"/>
        </w:rPr>
      </w:pPr>
      <w:r>
        <w:rPr>
          <w:rFonts w:ascii="Arial" w:cs="Arial" w:eastAsia="Arial" w:hAnsi="Arial"/>
          <w:sz w:val="13"/>
          <w:szCs w:val="13"/>
          <w:color w:val="auto"/>
        </w:rPr>
        <w:t>•   additions or departures of key personnel;</w:t>
      </w:r>
    </w:p>
    <w:p>
      <w:pPr>
        <w:ind w:left="260"/>
        <w:spacing w:after="0"/>
        <w:rPr>
          <w:rFonts w:ascii="Arial" w:cs="Arial" w:eastAsia="Arial" w:hAnsi="Arial"/>
          <w:sz w:val="12"/>
          <w:szCs w:val="12"/>
          <w:color w:val="auto"/>
        </w:rPr>
      </w:pPr>
      <w:r>
        <w:rPr>
          <w:rFonts w:ascii="Arial" w:cs="Arial" w:eastAsia="Arial" w:hAnsi="Arial"/>
          <w:sz w:val="13"/>
          <w:szCs w:val="13"/>
          <w:color w:val="auto"/>
        </w:rPr>
        <w:t>•   regulatory or political developments;</w:t>
      </w:r>
    </w:p>
    <w:p>
      <w:pPr>
        <w:ind w:left="260"/>
        <w:spacing w:after="0"/>
        <w:rPr>
          <w:rFonts w:ascii="Arial" w:cs="Arial" w:eastAsia="Arial" w:hAnsi="Arial"/>
          <w:sz w:val="12"/>
          <w:szCs w:val="12"/>
          <w:color w:val="auto"/>
        </w:rPr>
      </w:pPr>
      <w:r>
        <w:rPr>
          <w:rFonts w:ascii="Arial" w:cs="Arial" w:eastAsia="Arial" w:hAnsi="Arial"/>
          <w:sz w:val="13"/>
          <w:szCs w:val="13"/>
          <w:color w:val="auto"/>
        </w:rPr>
        <w:t>•   our performance on sustainability matters;</w:t>
      </w:r>
    </w:p>
    <w:p>
      <w:pPr>
        <w:ind w:left="260"/>
        <w:spacing w:after="0" w:line="221" w:lineRule="auto"/>
        <w:rPr>
          <w:rFonts w:ascii="Arial" w:cs="Arial" w:eastAsia="Arial" w:hAnsi="Arial"/>
          <w:sz w:val="12"/>
          <w:szCs w:val="12"/>
          <w:color w:val="auto"/>
        </w:rPr>
      </w:pPr>
      <w:r>
        <w:rPr>
          <w:rFonts w:ascii="Arial" w:cs="Arial" w:eastAsia="Arial" w:hAnsi="Arial"/>
          <w:sz w:val="13"/>
          <w:szCs w:val="13"/>
          <w:color w:val="auto"/>
        </w:rPr>
        <w:t>•   litigation and governmental investigations;</w:t>
      </w:r>
    </w:p>
    <w:p>
      <w:pPr>
        <w:ind w:left="260"/>
        <w:spacing w:after="0"/>
        <w:rPr>
          <w:rFonts w:ascii="Arial" w:cs="Arial" w:eastAsia="Arial" w:hAnsi="Arial"/>
          <w:sz w:val="12"/>
          <w:szCs w:val="12"/>
          <w:color w:val="auto"/>
        </w:rPr>
      </w:pPr>
      <w:r>
        <w:rPr>
          <w:rFonts w:ascii="Arial" w:cs="Arial" w:eastAsia="Arial" w:hAnsi="Arial"/>
          <w:sz w:val="13"/>
          <w:szCs w:val="13"/>
          <w:color w:val="auto"/>
        </w:rPr>
        <w:t>•   changing economic conditions;</w:t>
      </w:r>
    </w:p>
    <w:p>
      <w:pPr>
        <w:ind w:left="260"/>
        <w:spacing w:after="0"/>
        <w:rPr>
          <w:rFonts w:ascii="Arial" w:cs="Arial" w:eastAsia="Arial" w:hAnsi="Arial"/>
          <w:sz w:val="12"/>
          <w:szCs w:val="12"/>
          <w:color w:val="auto"/>
        </w:rPr>
      </w:pPr>
      <w:r>
        <w:rPr>
          <w:rFonts w:ascii="Arial" w:cs="Arial" w:eastAsia="Arial" w:hAnsi="Arial"/>
          <w:sz w:val="13"/>
          <w:szCs w:val="13"/>
          <w:color w:val="auto"/>
        </w:rPr>
        <w:t>•   exchange rate fluctuations;</w:t>
      </w:r>
    </w:p>
    <w:p>
      <w:pPr>
        <w:ind w:left="260"/>
        <w:spacing w:after="0"/>
        <w:rPr>
          <w:rFonts w:ascii="Arial" w:cs="Arial" w:eastAsia="Arial" w:hAnsi="Arial"/>
          <w:sz w:val="12"/>
          <w:szCs w:val="12"/>
          <w:color w:val="auto"/>
        </w:rPr>
      </w:pPr>
      <w:r>
        <w:rPr>
          <w:rFonts w:ascii="Arial" w:cs="Arial" w:eastAsia="Arial" w:hAnsi="Arial"/>
          <w:sz w:val="13"/>
          <w:szCs w:val="13"/>
          <w:color w:val="auto"/>
        </w:rPr>
        <w:t>•   changes in accounting principles; and</w:t>
      </w:r>
    </w:p>
    <w:p>
      <w:pPr>
        <w:ind w:left="260"/>
        <w:spacing w:after="0"/>
        <w:rPr>
          <w:rFonts w:ascii="Arial" w:cs="Arial" w:eastAsia="Arial" w:hAnsi="Arial"/>
          <w:sz w:val="12"/>
          <w:szCs w:val="12"/>
          <w:color w:val="auto"/>
        </w:rPr>
      </w:pPr>
      <w:r>
        <w:rPr>
          <w:rFonts w:ascii="Arial" w:cs="Arial" w:eastAsia="Arial" w:hAnsi="Arial"/>
          <w:sz w:val="13"/>
          <w:szCs w:val="13"/>
          <w:color w:val="auto"/>
        </w:rPr>
        <w:t>•   other events or factors, including those resulting from natural disasters, war, acts of terrorism or responses to those events.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investor's return may be reduced if we lose our foreign private issuer status.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short-swing profit recapture rules are not applicable to us. Recently, the United States passed new legislation that imposes Section 16 reporting obligations on our directors and officers. More regulatory changes could follow.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174</w:t>
      </w:r>
    </w:p>
    <w:p>
      <w:pPr>
        <w:sectPr>
          <w:pgSz w:w="11900" w:h="16838" w:orient="portrait"/>
          <w:cols w:equalWidth="0" w:num="1">
            <w:col w:w="11280"/>
          </w:cols>
          <w:pgMar w:left="300" w:top="698" w:right="31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expect to pay any cash dividends for the foreseeable future.</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currently do not expect to declare dividends on our common stock and have not done so in the past. We continue to anticipate that our earnings will be used to provide working capital, to support operations, to make debt repayments and to finance the growth and development of our business. They may also be used to continue our share repurchase programme.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shareholders to achieve a return on their investment may be if the market price of our common stock appreciates and shares are sold at a profit. The market price for our common stock may not appreciate and may fall below the price shareholders paid for such common stock.</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144"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Transfers of ICON ordinary shares effected by means of the transfer of book entry interests in the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Statements included herein which are not historical facts are forward-looking statements. Such forward-looking statements are made pursuant to the safe harbour provisions of the U.S. Private Securities Litigation Reform Act of 1995 (the “PSLRA”). Examples of forward-looking statements include, but are not limited to, statements regarding the following: the remediation of material weaknesses in the Company’s internal control over financial reporting and the implementation of the Group’s corrective action plan; the Group’s expectations regarding business momentum, market opportunity, demand trends, growth, and commercial performance; and the Group’s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forward-looking statements involve a number of risks and uncertainties and are subject to change at any time. In the event such risks or uncertainties materialise,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Group's services, risks related to the Group's ability to execute on its commercial strategy and maintain relationships with large pharmaceutical customers, risks relating to the Group's strategic partnerships, the dependence on certain key executives, changes in the regulatory environment, exchange rate fluctuations, inflation and rising labour costs, the effect of material weaknesses on our internal control over financial reporting, the risk that material weaknesses in the Group's internal control over financial reporting are not remediated on the timeline expected or at all, and other factors identified in the Company’s United States Securities and Exchange Commission filings and this Annual Report. The Group’s forward-looking statements speak only as of the date of this report or as of the date they are made, and the Group undertakes no obligation to update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175</w:t>
      </w:r>
    </w:p>
    <w:sectPr>
      <w:pgSz w:w="11900" w:h="16838" w:orient="portrait"/>
      <w:cols w:equalWidth="0" w:num="1">
        <w:col w:w="11280"/>
      </w:cols>
      <w:pgMar w:left="300" w:top="6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1."/>
      <w:numFmt w:val="decimal"/>
      <w:start w:val="4"/>
    </w:lvl>
  </w:abstractNum>
  <w:abstractNum w:abstractNumId="3">
    <w:nsid w:val="579478FE"/>
    <w:multiLevelType w:val="hybridMultilevel"/>
    <w:lvl w:ilvl="0">
      <w:lvlJc w:val="left"/>
      <w:lvlText w:val="%1."/>
      <w:numFmt w:val="decimal"/>
      <w:start w:val="5"/>
    </w:lvl>
  </w:abstractNum>
  <w:abstractNum w:abstractNumId="4">
    <w:nsid w:val="749ABB43"/>
    <w:multiLevelType w:val="hybridMultilevel"/>
    <w:lvl w:ilvl="0">
      <w:lvlJc w:val="left"/>
      <w:lvlText w:val="%1."/>
      <w:numFmt w:val="decimal"/>
      <w:start w:val="6"/>
    </w:lvl>
    <w:lvl w:ilvl="1">
      <w:lvlJc w:val="left"/>
      <w:lvlText w:val="(%2)"/>
      <w:numFmt w:val="lowerRoman"/>
      <w:start w:val="1"/>
    </w:lvl>
  </w:abstractNum>
  <w:abstractNum w:abstractNumId="5">
    <w:nsid w:val="3DC240FB"/>
    <w:multiLevelType w:val="hybridMultilevel"/>
    <w:lvl w:ilvl="0">
      <w:lvlJc w:val="left"/>
      <w:lvlText w:val="%1."/>
      <w:numFmt w:val="decimal"/>
      <w:start w:val="7"/>
    </w:lvl>
    <w:lvl w:ilvl="1">
      <w:lvlJc w:val="left"/>
      <w:lvlText w:val="(%2)"/>
      <w:numFmt w:val="lowerRoman"/>
      <w:start w:val="1"/>
    </w:lvl>
  </w:abstractNum>
  <w:abstractNum w:abstractNumId="6">
    <w:nsid w:val="1BA026FA"/>
    <w:multiLevelType w:val="hybridMultilevel"/>
    <w:lvl w:ilvl="0">
      <w:lvlJc w:val="left"/>
      <w:lvlText w:val="%1."/>
      <w:numFmt w:val="decimal"/>
      <w:start w:val="8"/>
    </w:lvl>
    <w:lvl w:ilvl="1">
      <w:lvlJc w:val="left"/>
      <w:lvlText w:val="(%2)"/>
      <w:numFmt w:val="lowerRoman"/>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1."/>
      <w:numFmt w:val="decimal"/>
      <w:start w:val="3"/>
    </w:lvl>
  </w:abstractNum>
  <w:abstractNum w:abstractNumId="9">
    <w:nsid w:val="12E685FB"/>
    <w:multiLevelType w:val="hybridMultilevel"/>
    <w:lvl w:ilvl="0">
      <w:lvlJc w:val="left"/>
      <w:lvlText w:val="%1."/>
      <w:numFmt w:val="decimal"/>
      <w:start w:val="4"/>
    </w:lvl>
  </w:abstractNum>
  <w:abstractNum w:abstractNumId="10">
    <w:nsid w:val="70C6A529"/>
    <w:multiLevelType w:val="hybridMultilevel"/>
    <w:lvl w:ilvl="0">
      <w:lvlJc w:val="left"/>
      <w:lvlText w:val="%1."/>
      <w:numFmt w:val="decimal"/>
      <w:start w:val="5"/>
    </w:lvl>
    <w:lvl w:ilvl="1">
      <w:lvlJc w:val="left"/>
      <w:lvlText w:val="•"/>
      <w:numFmt w:val="bullet"/>
      <w:start w:val="1"/>
    </w:lvl>
  </w:abstractNum>
  <w:abstractNum w:abstractNumId="11">
    <w:nsid w:val="520EEDD1"/>
    <w:multiLevelType w:val="hybridMultilevel"/>
    <w:lvl w:ilvl="0">
      <w:lvlJc w:val="left"/>
      <w:lvlText w:val="%1."/>
      <w:numFmt w:val="decimal"/>
      <w:start w:val="6"/>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lvl w:ilvl="1">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2"/>
    </w:lvl>
  </w:abstractNum>
  <w:abstractNum w:abstractNumId="42">
    <w:nsid w:val="6590700B"/>
    <w:multiLevelType w:val="hybridMultilevel"/>
    <w:lvl w:ilvl="0">
      <w:lvlJc w:val="left"/>
      <w:lvlText w:val="(%1)"/>
      <w:numFmt w:val="lowerLetter"/>
      <w:start w:val="3"/>
    </w:lvl>
  </w:abstractNum>
  <w:abstractNum w:abstractNumId="43">
    <w:nsid w:val="15014ACB"/>
    <w:multiLevelType w:val="hybridMultilevel"/>
    <w:lvl w:ilvl="0">
      <w:lvlJc w:val="left"/>
      <w:lvlText w:val="(%1)"/>
      <w:numFmt w:val="lowerLetter"/>
      <w:start w:val="4"/>
    </w:lvl>
  </w:abstractNum>
  <w:abstractNum w:abstractNumId="44">
    <w:nsid w:val="5F5E7FD0"/>
    <w:multiLevelType w:val="hybridMultilevel"/>
    <w:lvl w:ilvl="0">
      <w:lvlJc w:val="left"/>
      <w:lvlText w:val="(%1)"/>
      <w:numFmt w:val="lowerLetter"/>
      <w:start w:val="5"/>
    </w:lvl>
  </w:abstractNum>
  <w:abstractNum w:abstractNumId="45">
    <w:nsid w:val="98A3148"/>
    <w:multiLevelType w:val="hybridMultilevel"/>
    <w:lvl w:ilvl="0">
      <w:lvlJc w:val="left"/>
      <w:lvlText w:val="(%1)"/>
      <w:numFmt w:val="lowerLetter"/>
      <w:start w:val="6"/>
    </w:lvl>
  </w:abstractNum>
  <w:abstractNum w:abstractNumId="46">
    <w:nsid w:val="799D0247"/>
    <w:multiLevelType w:val="hybridMultilevel"/>
    <w:lvl w:ilvl="0">
      <w:lvlJc w:val="left"/>
      <w:lvlText w:val="(%1)"/>
      <w:numFmt w:val="lowerLetter"/>
      <w:start w:val="7"/>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1)"/>
      <w:numFmt w:val="decimal"/>
      <w:start w:val="2"/>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lowerLetter"/>
      <w:start w:val="1"/>
    </w:lvl>
  </w:abstractNum>
  <w:abstractNum w:abstractNumId="62">
    <w:nsid w:val="1A32234B"/>
    <w:multiLevelType w:val="hybridMultilevel"/>
    <w:lvl w:ilvl="0">
      <w:lvlJc w:val="left"/>
      <w:lvlText w:val="(%1)"/>
      <w:numFmt w:val="lowerLetter"/>
      <w:start w:val="2"/>
    </w:lvl>
  </w:abstractNum>
  <w:abstractNum w:abstractNumId="63">
    <w:nsid w:val="3B0FD379"/>
    <w:multiLevelType w:val="hybridMultilevel"/>
    <w:lvl w:ilvl="0">
      <w:lvlJc w:val="left"/>
      <w:lvlText w:val="%1."/>
      <w:numFmt w:val="decimal"/>
      <w:start w:val="23"/>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1)"/>
      <w:numFmt w:val="lowerLetter"/>
      <w:start w:val="1"/>
    </w:lvl>
  </w:abstractNum>
  <w:abstractNum w:abstractNumId="67">
    <w:nsid w:val="6A5EE64"/>
    <w:multiLevelType w:val="hybridMultilevel"/>
    <w:lvl w:ilvl="0">
      <w:lvlJc w:val="left"/>
      <w:lvlText w:val="(%1)"/>
      <w:numFmt w:val="lowerLetter"/>
      <w:start w:val="2"/>
    </w:lvl>
  </w:abstractNum>
  <w:abstractNum w:abstractNumId="68">
    <w:nsid w:val="14330624"/>
    <w:multiLevelType w:val="hybridMultilevel"/>
    <w:lvl w:ilvl="0">
      <w:lvlJc w:val="left"/>
      <w:lvlText w:val="(%1)"/>
      <w:numFmt w:val="lowerLetter"/>
      <w:start w:val="3"/>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decimal"/>
      <w:start w:val="27"/>
    </w:lvl>
  </w:abstractNum>
  <w:abstractNum w:abstractNumId="71">
    <w:nsid w:val="71EA1109"/>
    <w:multiLevelType w:val="hybridMultilevel"/>
    <w:lvl w:ilvl="0">
      <w:lvlJc w:val="left"/>
      <w:lvlText w:val="(%1)"/>
      <w:numFmt w:val="lowerRoman"/>
      <w:start w:val="1"/>
    </w:lvl>
  </w:abstractNum>
  <w:abstractNum w:abstractNumId="72">
    <w:nsid w:val="100F59DC"/>
    <w:multiLevelType w:val="hybridMultilevel"/>
    <w:lvl w:ilvl="0">
      <w:lvlJc w:val="left"/>
      <w:lvlText w:val="(%1)"/>
      <w:numFmt w:val="lowerRoman"/>
      <w:start w:val="2"/>
    </w:lvl>
  </w:abstractNum>
  <w:abstractNum w:abstractNumId="73">
    <w:nsid w:val="7FB7E0AA"/>
    <w:multiLevelType w:val="hybridMultilevel"/>
    <w:lvl w:ilvl="0">
      <w:lvlJc w:val="left"/>
      <w:lvlText w:val="1"/>
      <w:numFmt w:val="bullet"/>
      <w:start w:val="1"/>
    </w:lvl>
  </w:abstractNum>
  <w:abstractNum w:abstractNumId="74">
    <w:nsid w:val="6EB5BD4"/>
    <w:multiLevelType w:val="hybridMultilevel"/>
    <w:lvl w:ilvl="0">
      <w:lvlJc w:val="left"/>
      <w:lvlText w:val="%1."/>
      <w:numFmt w:val="decimal"/>
      <w:start w:val="31"/>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6"/>
    </w:lvl>
  </w:abstractNum>
  <w:abstractNum w:abstractNumId="77">
    <w:nsid w:val="885E1B"/>
    <w:multiLevelType w:val="hybridMultilevel"/>
    <w:lvl w:ilvl="0">
      <w:lvlJc w:val="left"/>
      <w:lvlText w:val="%1."/>
      <w:numFmt w:val="decimal"/>
      <w:start w:val="8"/>
    </w:lvl>
  </w:abstractNum>
  <w:abstractNum w:abstractNumId="78">
    <w:nsid w:val="76272110"/>
    <w:multiLevelType w:val="hybridMultilevel"/>
    <w:lvl w:ilvl="0">
      <w:lvlJc w:val="left"/>
      <w:lvlText w:val="%1."/>
      <w:numFmt w:val="decimal"/>
      <w:start w:val="10"/>
    </w:lvl>
  </w:abstractNum>
  <w:abstractNum w:abstractNumId="79">
    <w:nsid w:val="4C04A8AF"/>
    <w:multiLevelType w:val="hybridMultilevel"/>
    <w:lvl w:ilvl="0">
      <w:lvlJc w:val="left"/>
      <w:lvlText w:val="%1."/>
      <w:numFmt w:val="decimal"/>
      <w:start w:val="11"/>
    </w:lvl>
  </w:abstractNum>
  <w:abstractNum w:abstractNumId="80">
    <w:nsid w:val="1716703B"/>
    <w:multiLevelType w:val="hybridMultilevel"/>
    <w:lvl w:ilvl="0">
      <w:lvlJc w:val="left"/>
      <w:lvlText w:val="%1."/>
      <w:numFmt w:val="decimal"/>
      <w:start w:val="12"/>
    </w:lvl>
  </w:abstractNum>
  <w:abstractNum w:abstractNumId="81">
    <w:nsid w:val="14E17E33"/>
    <w:multiLevelType w:val="hybridMultilevel"/>
    <w:lvl w:ilvl="0">
      <w:lvlJc w:val="left"/>
      <w:lvlText w:val="%1."/>
      <w:numFmt w:val="decimal"/>
      <w:start w:val="13"/>
    </w:lvl>
  </w:abstractNum>
  <w:abstractNum w:abstractNumId="82">
    <w:nsid w:val="3222E7CD"/>
    <w:multiLevelType w:val="hybridMultilevel"/>
    <w:lvl w:ilvl="0">
      <w:lvlJc w:val="left"/>
      <w:lvlText w:val="%1"/>
      <w:numFmt w:val="lowerLetter"/>
      <w:start w:val="1"/>
    </w:lvl>
    <w:lvl w:ilvl="1">
      <w:lvlJc w:val="left"/>
      <w:lvlText w:val="(%2)"/>
      <w:numFmt w:val="lowerRoman"/>
      <w:start w:val="1"/>
    </w:lvl>
  </w:abstractNum>
  <w:abstractNum w:abstractNumId="83">
    <w:nsid w:val="74DE0EE3"/>
    <w:multiLevelType w:val="hybridMultilevel"/>
    <w:lvl w:ilvl="0">
      <w:lvlJc w:val="left"/>
      <w:lvlText w:val="(%1)"/>
      <w:numFmt w:val="lowerLetter"/>
      <w:start w:val="3"/>
    </w:lvl>
    <w:lvl w:ilvl="1">
      <w:lvlJc w:val="left"/>
      <w:lvlText w:val="%2"/>
      <w:numFmt w:val="lowerRoman"/>
      <w:start w:val="1"/>
    </w:lvl>
  </w:abstractNum>
  <w:abstractNum w:abstractNumId="84">
    <w:nsid w:val="68EBC550"/>
    <w:multiLevelType w:val="hybridMultilevel"/>
    <w:lvl w:ilvl="0">
      <w:lvlJc w:val="left"/>
      <w:lvlText w:val="(%1)"/>
      <w:numFmt w:val="lowerLetter"/>
      <w:start w:val="6"/>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2026-06-26T07:11:36Z</dcterms:created>
  <dcterms:modified xsi:type="dcterms:W3CDTF">2026-06-26T07:11:36Z</dcterms:modified>
</cp:coreProperties>
</file>