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79"/>
        <w:spacing w:after="0"/>
        <w:rPr>
          <w:sz w:val="20"/>
          <w:szCs w:val="20"/>
          <w:color w:val="auto"/>
        </w:rPr>
      </w:pPr>
      <w:r>
        <w:rPr>
          <w:rFonts w:ascii="Arial" w:cs="Arial" w:eastAsia="Arial" w:hAnsi="Arial"/>
          <w:sz w:val="29"/>
          <w:szCs w:val="29"/>
          <w:b w:val="1"/>
          <w:bCs w:val="1"/>
          <w:color w:val="auto"/>
        </w:rPr>
        <w:t>FORM 6-K</w:t>
      </w:r>
    </w:p>
    <w:p>
      <w:pPr>
        <w:spacing w:after="0" w:line="342"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060"/>
        <w:spacing w:after="0"/>
        <w:rPr>
          <w:sz w:val="20"/>
          <w:szCs w:val="20"/>
          <w:color w:val="auto"/>
        </w:rPr>
      </w:pPr>
      <w:r>
        <w:rPr>
          <w:rFonts w:ascii="Arial" w:cs="Arial" w:eastAsia="Arial" w:hAnsi="Arial"/>
          <w:sz w:val="22"/>
          <w:szCs w:val="22"/>
          <w:color w:val="auto"/>
        </w:rPr>
        <w:t>For the month ended November, 2019</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3440"/>
        <w:spacing w:after="0"/>
        <w:tabs>
          <w:tab w:leader="none" w:pos="536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3440"/>
        <w:spacing w:after="0"/>
        <w:tabs>
          <w:tab w:leader="none" w:pos="53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3440"/>
        <w:spacing w:after="0"/>
        <w:tabs>
          <w:tab w:leader="none" w:pos="53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3440"/>
        <w:spacing w:after="0"/>
        <w:tabs>
          <w:tab w:leader="none" w:pos="53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4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to Present at Evercore ISI 2</w:t>
      </w:r>
      <w:r>
        <w:rPr>
          <w:rFonts w:ascii="Arial" w:cs="Arial" w:eastAsia="Arial" w:hAnsi="Arial"/>
          <w:sz w:val="26"/>
          <w:szCs w:val="26"/>
          <w:u w:val="single" w:color="auto"/>
          <w:color w:val="0000EE"/>
          <w:vertAlign w:val="superscript"/>
        </w:rPr>
        <w:t>nd</w:t>
      </w:r>
      <w:r>
        <w:rPr>
          <w:rFonts w:ascii="Arial" w:cs="Arial" w:eastAsia="Arial" w:hAnsi="Arial"/>
          <w:sz w:val="16"/>
          <w:szCs w:val="16"/>
          <w:u w:val="single" w:color="auto"/>
          <w:color w:val="0000EE"/>
        </w:rPr>
        <w:t xml:space="preserve"> Annual HealthCONx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6280" w:type="dxa"/>
            <w:vAlign w:val="bottom"/>
            <w:vMerge w:val="restart"/>
          </w:tcPr>
          <w:p>
            <w:pPr>
              <w:spacing w:after="0"/>
              <w:rPr>
                <w:sz w:val="20"/>
                <w:szCs w:val="20"/>
                <w:color w:val="auto"/>
              </w:rPr>
            </w:pPr>
            <w:r>
              <w:rPr>
                <w:rFonts w:ascii="Arial" w:cs="Arial" w:eastAsia="Arial" w:hAnsi="Arial"/>
                <w:sz w:val="18"/>
                <w:szCs w:val="18"/>
                <w:color w:val="auto"/>
              </w:rPr>
              <w:t>Date: November 27, 2019</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6280" w:type="dxa"/>
            <w:vAlign w:val="bottom"/>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35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Evercore ISI 2nd Annual HealthCONx Conference</w:t>
      </w:r>
    </w:p>
    <w:p>
      <w:pPr>
        <w:spacing w:after="0" w:line="227"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DUBLIN--(BUSINESS WIRE)--November 27, 2019--ICON plc, (NASDAQ: ICLR) a global provider of drug and device development and commercialisation services to the pharmaceutical, biotechnology and medical device industries, today announced that Mr. Brendan Brennan, CFO of ICON plc, will present at Evercore ISI 2nd Annual HealthCONx Conference on Wednesday, December 4, 2019. The presentation will be webcast live from 2pm EST.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link to the live webcast will be available via the Investor section of our website under “Events”.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currently operates from 99 locations in 40 countries and has approximately 14,600 employees as at September 30, 2019. Further information is available at www.iconplc.com.</w:t>
      </w:r>
    </w:p>
    <w:p>
      <w:pPr>
        <w:spacing w:after="0" w:line="148" w:lineRule="exact"/>
        <w:rPr>
          <w:sz w:val="20"/>
          <w:szCs w:val="20"/>
          <w:color w:val="auto"/>
        </w:rPr>
      </w:pPr>
    </w:p>
    <w:p>
      <w:pPr>
        <w:ind w:right="80"/>
        <w:spacing w:after="0" w:line="271" w:lineRule="auto"/>
        <w:rPr>
          <w:sz w:val="20"/>
          <w:szCs w:val="20"/>
          <w:color w:val="auto"/>
        </w:rPr>
      </w:pPr>
      <w:r>
        <w:rPr>
          <w:rFonts w:ascii="Arial" w:cs="Arial" w:eastAsia="Arial" w:hAnsi="Arial"/>
          <w:sz w:val="19"/>
          <w:szCs w:val="19"/>
          <w:i w:val="1"/>
          <w:iCs w:val="1"/>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w:t>
      </w:r>
    </w:p>
    <w:p>
      <w:pPr>
        <w:spacing w:after="0" w:line="231" w:lineRule="auto"/>
        <w:rPr>
          <w:sz w:val="20"/>
          <w:szCs w:val="20"/>
          <w:color w:val="auto"/>
        </w:rPr>
      </w:pPr>
      <w:r>
        <w:rPr>
          <w:rFonts w:ascii="Arial" w:cs="Arial" w:eastAsia="Arial" w:hAnsi="Arial"/>
          <w:sz w:val="22"/>
          <w:szCs w:val="22"/>
          <w:color w:val="auto"/>
        </w:rPr>
        <w:t>Vice President Corporate Finance and Investor Relations</w:t>
      </w: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2019-11-27T05:42:39Z</dcterms:created>
  <dcterms:modified xsi:type="dcterms:W3CDTF">2019-11-27T05:42:39Z</dcterms:modified>
</cp:coreProperties>
</file>