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79"/>
        <w:spacing w:after="0"/>
        <w:rPr>
          <w:sz w:val="20"/>
          <w:szCs w:val="20"/>
          <w:color w:val="auto"/>
        </w:rPr>
      </w:pPr>
      <w:r>
        <w:rPr>
          <w:rFonts w:ascii="Arial" w:cs="Arial" w:eastAsia="Arial" w:hAnsi="Arial"/>
          <w:sz w:val="29"/>
          <w:szCs w:val="29"/>
          <w:b w:val="1"/>
          <w:bCs w:val="1"/>
          <w:color w:val="auto"/>
        </w:rPr>
        <w:t>FORM 6-K</w:t>
      </w:r>
    </w:p>
    <w:p>
      <w:pPr>
        <w:spacing w:after="0" w:line="342"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Pursuant to Rule 13a-16 under</w:t>
      </w:r>
    </w:p>
    <w:p>
      <w:pPr>
        <w:jc w:val="center"/>
        <w:ind w:right="-79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060"/>
        <w:spacing w:after="0"/>
        <w:rPr>
          <w:sz w:val="20"/>
          <w:szCs w:val="20"/>
          <w:color w:val="auto"/>
        </w:rPr>
      </w:pPr>
      <w:r>
        <w:rPr>
          <w:rFonts w:ascii="Arial" w:cs="Arial" w:eastAsia="Arial" w:hAnsi="Arial"/>
          <w:sz w:val="22"/>
          <w:szCs w:val="22"/>
          <w:color w:val="auto"/>
        </w:rPr>
        <w:t>For the month ended November, 2019</w:t>
      </w:r>
    </w:p>
    <w:p>
      <w:pPr>
        <w:spacing w:after="0" w:line="200" w:lineRule="exact"/>
        <w:rPr>
          <w:sz w:val="24"/>
          <w:szCs w:val="24"/>
          <w:color w:val="auto"/>
        </w:rPr>
      </w:pPr>
    </w:p>
    <w:p>
      <w:pPr>
        <w:spacing w:after="0" w:line="26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8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Brendan Brennan, CFO</w:t>
      </w:r>
    </w:p>
    <w:p>
      <w:pPr>
        <w:jc w:val="center"/>
        <w:ind w:right="-79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799"/>
        <w:spacing w:after="0" w:line="230" w:lineRule="auto"/>
        <w:rPr>
          <w:sz w:val="20"/>
          <w:szCs w:val="20"/>
          <w:color w:val="auto"/>
        </w:rPr>
      </w:pPr>
      <w:r>
        <w:rPr>
          <w:rFonts w:ascii="Arial" w:cs="Arial" w:eastAsia="Arial" w:hAnsi="Arial"/>
          <w:sz w:val="22"/>
          <w:szCs w:val="22"/>
          <w:color w:val="auto"/>
        </w:rPr>
        <w:t>Brendan.Brennan@iconplc.com</w:t>
      </w:r>
    </w:p>
    <w:p>
      <w:pPr>
        <w:jc w:val="center"/>
        <w:ind w:right="-799"/>
        <w:spacing w:after="0" w:line="231" w:lineRule="auto"/>
        <w:rPr>
          <w:sz w:val="20"/>
          <w:szCs w:val="20"/>
          <w:color w:val="auto"/>
        </w:rPr>
      </w:pPr>
      <w:r>
        <w:rPr>
          <w:rFonts w:ascii="Arial" w:cs="Arial" w:eastAsia="Arial" w:hAnsi="Arial"/>
          <w:sz w:val="22"/>
          <w:szCs w:val="22"/>
          <w:color w:val="auto"/>
        </w:rPr>
        <w:t>+353-1-291-2000</w:t>
      </w:r>
    </w:p>
    <w:p>
      <w:pPr>
        <w:spacing w:after="0" w:line="1"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3440"/>
        <w:spacing w:after="0"/>
        <w:tabs>
          <w:tab w:leader="none" w:pos="5360" w:val="left"/>
        </w:tabs>
        <w:rPr>
          <w:sz w:val="20"/>
          <w:szCs w:val="20"/>
          <w:color w:val="auto"/>
        </w:rPr>
      </w:pPr>
      <w:r>
        <w:rPr>
          <w:rFonts w:ascii="Arial" w:cs="Arial" w:eastAsia="Arial" w:hAnsi="Arial"/>
          <w:sz w:val="18"/>
          <w:szCs w:val="18"/>
          <w:color w:val="auto"/>
        </w:rPr>
        <w:t>Form 20-F_X___</w:t>
      </w:r>
      <w:r>
        <w:rPr>
          <w:sz w:val="20"/>
          <w:szCs w:val="20"/>
          <w:color w:val="auto"/>
        </w:rPr>
        <w:tab/>
      </w:r>
      <w:r>
        <w:rPr>
          <w:rFonts w:ascii="Arial" w:cs="Arial" w:eastAsia="Arial" w:hAnsi="Arial"/>
          <w:sz w:val="16"/>
          <w:szCs w:val="16"/>
          <w:color w:val="auto"/>
        </w:rPr>
        <w:t>Form 40-F_______</w:t>
      </w:r>
    </w:p>
    <w:p>
      <w:pPr>
        <w:spacing w:after="0" w:line="211" w:lineRule="exact"/>
        <w:rPr>
          <w:sz w:val="24"/>
          <w:szCs w:val="24"/>
          <w:color w:val="auto"/>
        </w:rPr>
      </w:pPr>
    </w:p>
    <w:p>
      <w:pPr>
        <w:jc w:val="center"/>
        <w:ind w:right="1200"/>
        <w:spacing w:after="0"/>
        <w:rPr>
          <w:sz w:val="20"/>
          <w:szCs w:val="20"/>
          <w:color w:val="auto"/>
        </w:rPr>
      </w:pPr>
      <w:r>
        <w:rPr>
          <w:rFonts w:ascii="Arial" w:cs="Arial" w:eastAsia="Arial" w:hAnsi="Arial"/>
          <w:sz w:val="16"/>
          <w:szCs w:val="16"/>
          <w:color w:val="auto"/>
        </w:rPr>
        <w:t>Indicate by check mark whether the registrant is submitting the Form 6-K in paper as permitted by Regulation S-T Rule 101(b)(1):</w:t>
      </w:r>
    </w:p>
    <w:p>
      <w:pPr>
        <w:spacing w:after="0" w:line="46" w:lineRule="exact"/>
        <w:rPr>
          <w:sz w:val="24"/>
          <w:szCs w:val="24"/>
          <w:color w:val="auto"/>
        </w:rPr>
      </w:pPr>
    </w:p>
    <w:p>
      <w:pPr>
        <w:ind w:left="3440"/>
        <w:spacing w:after="0"/>
        <w:tabs>
          <w:tab w:leader="none" w:pos="536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jc w:val="center"/>
        <w:ind w:right="1200"/>
        <w:spacing w:after="0"/>
        <w:rPr>
          <w:sz w:val="20"/>
          <w:szCs w:val="20"/>
          <w:color w:val="auto"/>
        </w:rPr>
      </w:pPr>
      <w:r>
        <w:rPr>
          <w:rFonts w:ascii="Arial" w:cs="Arial" w:eastAsia="Arial" w:hAnsi="Arial"/>
          <w:sz w:val="16"/>
          <w:szCs w:val="16"/>
          <w:color w:val="auto"/>
        </w:rPr>
        <w:t>Indicate by check mark whether the registrant is submitting the Form 6-K in paper as permitted by Regulation S-T Rule 101(b)(7):</w:t>
      </w:r>
    </w:p>
    <w:p>
      <w:pPr>
        <w:spacing w:after="0" w:line="46" w:lineRule="exact"/>
        <w:rPr>
          <w:sz w:val="24"/>
          <w:szCs w:val="24"/>
          <w:color w:val="auto"/>
        </w:rPr>
      </w:pPr>
    </w:p>
    <w:p>
      <w:pPr>
        <w:ind w:left="3440"/>
        <w:spacing w:after="0"/>
        <w:tabs>
          <w:tab w:leader="none" w:pos="536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3440"/>
        <w:spacing w:after="0"/>
        <w:tabs>
          <w:tab w:leader="none" w:pos="536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p>
      <w:pPr>
        <w:jc w:val="right"/>
        <w:ind w:right="3779"/>
        <w:spacing w:after="0"/>
        <w:rPr>
          <w:sz w:val="20"/>
          <w:szCs w:val="20"/>
          <w:color w:val="auto"/>
        </w:rPr>
      </w:pPr>
      <w:r>
        <w:rPr>
          <w:rFonts w:ascii="Arial" w:cs="Arial" w:eastAsia="Arial" w:hAnsi="Arial"/>
          <w:sz w:val="22"/>
          <w:szCs w:val="22"/>
          <w:b w:val="1"/>
          <w:bCs w:val="1"/>
          <w:u w:val="single" w:color="auto"/>
          <w:color w:val="auto"/>
        </w:rPr>
        <w:t>EXHIBIT LIST</w:t>
      </w:r>
    </w:p>
    <w:p>
      <w:pPr>
        <w:spacing w:after="0" w:line="24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1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to Present at Evercore ISI 2</w:t>
      </w:r>
      <w:r>
        <w:rPr>
          <w:rFonts w:ascii="Arial" w:cs="Arial" w:eastAsia="Arial" w:hAnsi="Arial"/>
          <w:sz w:val="26"/>
          <w:szCs w:val="26"/>
          <w:u w:val="single" w:color="auto"/>
          <w:color w:val="0000EE"/>
          <w:vertAlign w:val="superscript"/>
        </w:rPr>
        <w:t>nd</w:t>
      </w:r>
      <w:r>
        <w:rPr>
          <w:rFonts w:ascii="Arial" w:cs="Arial" w:eastAsia="Arial" w:hAnsi="Arial"/>
          <w:sz w:val="16"/>
          <w:szCs w:val="16"/>
          <w:u w:val="single" w:color="auto"/>
          <w:color w:val="0000EE"/>
        </w:rPr>
        <w:t xml:space="preserve"> Annual HealthCONx Conference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19"/>
          </w:cols>
          <w:pgMar w:left="240" w:top="355"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39"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8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871"/>
        </w:trPr>
        <w:tc>
          <w:tcPr>
            <w:tcW w:w="6280" w:type="dxa"/>
            <w:vAlign w:val="bottom"/>
            <w:vMerge w:val="restart"/>
          </w:tcPr>
          <w:p>
            <w:pPr>
              <w:spacing w:after="0"/>
              <w:rPr>
                <w:sz w:val="20"/>
                <w:szCs w:val="20"/>
                <w:color w:val="auto"/>
              </w:rPr>
            </w:pPr>
            <w:r>
              <w:rPr>
                <w:rFonts w:ascii="Arial" w:cs="Arial" w:eastAsia="Arial" w:hAnsi="Arial"/>
                <w:sz w:val="18"/>
                <w:szCs w:val="18"/>
                <w:color w:val="auto"/>
              </w:rPr>
              <w:t>Date: November 27, 2019</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202"/>
        </w:trPr>
        <w:tc>
          <w:tcPr>
            <w:tcW w:w="6280" w:type="dxa"/>
            <w:vAlign w:val="bottom"/>
            <w:vMerge w:val="continue"/>
          </w:tcPr>
          <w:p>
            <w:pPr>
              <w:spacing w:after="0"/>
              <w:rPr>
                <w:sz w:val="17"/>
                <w:szCs w:val="17"/>
                <w:color w:val="auto"/>
              </w:rPr>
            </w:pPr>
          </w:p>
        </w:tc>
        <w:tc>
          <w:tcPr>
            <w:tcW w:w="514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628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bl>
    <w:p>
      <w:pPr>
        <w:sectPr>
          <w:pgSz w:w="11900" w:h="16838" w:orient="portrait"/>
          <w:cols w:equalWidth="0" w:num="1">
            <w:col w:w="11420"/>
          </w:cols>
          <w:pgMar w:left="240" w:top="355"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ICON plc to Present at Evercore ISI 2nd Annual HealthCONx Conference</w:t>
      </w:r>
    </w:p>
    <w:p>
      <w:pPr>
        <w:spacing w:after="0" w:line="227" w:lineRule="exact"/>
        <w:rPr>
          <w:sz w:val="20"/>
          <w:szCs w:val="20"/>
          <w:color w:val="auto"/>
        </w:rPr>
      </w:pPr>
    </w:p>
    <w:p>
      <w:pPr>
        <w:ind w:right="80"/>
        <w:spacing w:after="0" w:line="238" w:lineRule="auto"/>
        <w:rPr>
          <w:sz w:val="20"/>
          <w:szCs w:val="20"/>
          <w:color w:val="auto"/>
        </w:rPr>
      </w:pPr>
      <w:r>
        <w:rPr>
          <w:rFonts w:ascii="Arial" w:cs="Arial" w:eastAsia="Arial" w:hAnsi="Arial"/>
          <w:sz w:val="22"/>
          <w:szCs w:val="22"/>
          <w:color w:val="auto"/>
        </w:rPr>
        <w:t>DUBLIN--(BUSINESS WIRE)--November 27, 2019--ICON plc, (NASDAQ: ICLR) a global provider of drug and device development and commercialisation services to the pharmaceutical, biotechnology and medical device industries, today announced that Mr. Brendan Brennan, CFO of ICON plc, will present at Evercore ISI 2nd Annual HealthCONx Conference on Wednesday, December 4, 2019. The presentation will be webcast live from 2pm EST.</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A link to the live webcast will be available via the Investor section of our website under “Events”.</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12" w:lineRule="exact"/>
        <w:rPr>
          <w:sz w:val="20"/>
          <w:szCs w:val="20"/>
          <w:color w:val="auto"/>
        </w:rPr>
      </w:pPr>
    </w:p>
    <w:p>
      <w:pPr>
        <w:ind w:right="320"/>
        <w:spacing w:after="0" w:line="282" w:lineRule="auto"/>
        <w:rPr>
          <w:sz w:val="20"/>
          <w:szCs w:val="20"/>
          <w:color w:val="auto"/>
        </w:rPr>
      </w:pPr>
      <w:r>
        <w:rPr>
          <w:rFonts w:ascii="Arial" w:cs="Arial" w:eastAsia="Arial" w:hAnsi="Arial"/>
          <w:sz w:val="19"/>
          <w:szCs w:val="19"/>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currently operates from 99 locations in 40 countries and has approximately 14,600 employees as at September 30, 2019. Further information is available at www.iconplc.com.</w:t>
      </w:r>
    </w:p>
    <w:p>
      <w:pPr>
        <w:spacing w:after="0" w:line="148" w:lineRule="exact"/>
        <w:rPr>
          <w:sz w:val="20"/>
          <w:szCs w:val="20"/>
          <w:color w:val="auto"/>
        </w:rPr>
      </w:pPr>
    </w:p>
    <w:p>
      <w:pPr>
        <w:ind w:right="80"/>
        <w:spacing w:after="0" w:line="271" w:lineRule="auto"/>
        <w:rPr>
          <w:sz w:val="20"/>
          <w:szCs w:val="20"/>
          <w:color w:val="auto"/>
        </w:rPr>
      </w:pPr>
      <w:r>
        <w:rPr>
          <w:rFonts w:ascii="Arial" w:cs="Arial" w:eastAsia="Arial" w:hAnsi="Arial"/>
          <w:sz w:val="19"/>
          <w:szCs w:val="19"/>
          <w:i w:val="1"/>
          <w:iCs w:val="1"/>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http://www.sec.gov.</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ICON/ICLR-G</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w:t>
      </w:r>
    </w:p>
    <w:p>
      <w:pPr>
        <w:spacing w:after="0" w:line="238" w:lineRule="auto"/>
        <w:rPr>
          <w:sz w:val="20"/>
          <w:szCs w:val="20"/>
          <w:color w:val="auto"/>
        </w:rPr>
      </w:pPr>
      <w:r>
        <w:rPr>
          <w:rFonts w:ascii="Arial" w:cs="Arial" w:eastAsia="Arial" w:hAnsi="Arial"/>
          <w:sz w:val="22"/>
          <w:szCs w:val="22"/>
          <w:color w:val="auto"/>
        </w:rPr>
        <w:t>+1888 381 7923</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Jonathan Curtain</w:t>
      </w:r>
    </w:p>
    <w:p>
      <w:pPr>
        <w:spacing w:after="0" w:line="231" w:lineRule="auto"/>
        <w:rPr>
          <w:sz w:val="20"/>
          <w:szCs w:val="20"/>
          <w:color w:val="auto"/>
        </w:rPr>
      </w:pPr>
      <w:r>
        <w:rPr>
          <w:rFonts w:ascii="Arial" w:cs="Arial" w:eastAsia="Arial" w:hAnsi="Arial"/>
          <w:sz w:val="22"/>
          <w:szCs w:val="22"/>
          <w:color w:val="auto"/>
        </w:rPr>
        <w:t>Vice President Corporate Finance and Investor Relations</w:t>
      </w:r>
    </w:p>
    <w:p>
      <w:pPr>
        <w:spacing w:after="0"/>
        <w:rPr>
          <w:sz w:val="20"/>
          <w:szCs w:val="20"/>
          <w:color w:val="auto"/>
        </w:rPr>
      </w:pPr>
      <w:r>
        <w:rPr>
          <w:rFonts w:ascii="Arial" w:cs="Arial" w:eastAsia="Arial" w:hAnsi="Arial"/>
          <w:sz w:val="22"/>
          <w:szCs w:val="22"/>
          <w:color w:val="auto"/>
        </w:rPr>
        <w:t>+353 1 291 2000</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2019-11-27T05:42:39Z</dcterms:created>
  <dcterms:modified xsi:type="dcterms:W3CDTF">2019-11-27T05:42:39Z</dcterms:modified>
</cp:coreProperties>
</file>