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751.xml.htm"/>
      <w:bookmarkStart w:id="1" w:name="kswkform4_17864797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Balfe Barry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07"/>
        <w:gridCol w:w="457"/>
        <w:gridCol w:w="840"/>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5,186</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163.8</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165.14</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4,804</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456"/>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166.05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32,635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08/10/2034</w:t>
            </w: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share units were granted on August 7, 2023 and 728 restricted share units vested on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restricted share units were granted on August 10, 2026 and are scheduled to vest in three approximately equal installments on March 8, 2027, March 8, 2028, and March 8,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stock options were granted on August 10, 2026 and are scheduled to vest in four approximately equal installments on March 8, 2027, March 8, 2028, March 8, 2029, and March 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options expire on the eighth anniversary of the grant date, subject to automatic extension until the 30th trading day following any period during which trading is prohibited under the Issuer's Share Trading Policy or applicable law, but in no event later than the tenth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614"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915</Words>
  <Characters>4850</Characters>
  <CharactersWithSpaces>5638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