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620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62051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16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300" w:type="dxa"/>
            <w:vAlign w:val="bottom"/>
            <w:gridSpan w:val="3"/>
          </w:tcPr>
          <w:p>
            <w:pPr>
              <w:ind w:left="660"/>
              <w:spacing w:after="0"/>
              <w:rPr>
                <w:sz w:val="20"/>
                <w:szCs w:val="20"/>
                <w:color w:val="auto"/>
              </w:rPr>
            </w:pPr>
            <w:r>
              <w:rPr>
                <w:rFonts w:ascii="Arial" w:cs="Arial" w:eastAsia="Arial" w:hAnsi="Arial"/>
                <w:sz w:val="13"/>
                <w:szCs w:val="13"/>
                <w:color w:val="auto"/>
                <w:w w:val="99"/>
              </w:rPr>
              <w:t xml:space="preserve">2. Issuer Name </w:t>
            </w:r>
            <w:r>
              <w:rPr>
                <w:rFonts w:ascii="Arial" w:cs="Arial" w:eastAsia="Arial" w:hAnsi="Arial"/>
                <w:sz w:val="13"/>
                <w:szCs w:val="13"/>
                <w:b w:val="1"/>
                <w:bCs w:val="1"/>
                <w:color w:val="auto"/>
                <w:w w:val="99"/>
              </w:rPr>
              <w:t>and</w:t>
            </w:r>
            <w:r>
              <w:rPr>
                <w:rFonts w:ascii="Arial" w:cs="Arial" w:eastAsia="Arial" w:hAnsi="Arial"/>
                <w:sz w:val="13"/>
                <w:szCs w:val="13"/>
                <w:color w:val="auto"/>
                <w:w w:val="99"/>
              </w:rPr>
              <w:t xml:space="preserve"> Ticker or Trading Symbol</w:t>
            </w:r>
          </w:p>
        </w:tc>
        <w:tc>
          <w:tcPr>
            <w:tcW w:w="0" w:type="dxa"/>
            <w:vAlign w:val="bottom"/>
          </w:tcPr>
          <w:p>
            <w:pPr>
              <w:spacing w:after="0"/>
              <w:rPr>
                <w:sz w:val="1"/>
                <w:szCs w:val="1"/>
                <w:color w:val="auto"/>
              </w:rPr>
            </w:pPr>
          </w:p>
        </w:tc>
      </w:tr>
      <w:tr>
        <w:trPr>
          <w:trHeight w:val="182"/>
        </w:trPr>
        <w:tc>
          <w:tcPr>
            <w:tcW w:w="3160" w:type="dxa"/>
            <w:vAlign w:val="bottom"/>
            <w:gridSpan w:val="3"/>
            <w:vMerge w:val="restart"/>
          </w:tcPr>
          <w:p>
            <w:pPr>
              <w:ind w:left="4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Balfe Barry Edward</w:t>
              </w:r>
            </w:hyperlink>
          </w:p>
        </w:tc>
        <w:tc>
          <w:tcPr>
            <w:tcW w:w="660" w:type="dxa"/>
            <w:vAlign w:val="bottom"/>
          </w:tcPr>
          <w:p>
            <w:pPr>
              <w:spacing w:after="0"/>
              <w:rPr>
                <w:sz w:val="15"/>
                <w:szCs w:val="15"/>
                <w:color w:val="auto"/>
              </w:rPr>
            </w:pPr>
          </w:p>
        </w:tc>
        <w:tc>
          <w:tcPr>
            <w:tcW w:w="264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ICON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ICLR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20"/>
        </w:trPr>
        <w:tc>
          <w:tcPr>
            <w:tcW w:w="3160" w:type="dxa"/>
            <w:vAlign w:val="bottom"/>
            <w:gridSpan w:val="3"/>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3160" w:type="dxa"/>
            <w:vAlign w:val="bottom"/>
            <w:gridSpan w:val="3"/>
            <w:vMerge w:val="continue"/>
          </w:tcPr>
          <w:p>
            <w:pPr>
              <w:spacing w:after="0"/>
              <w:rPr>
                <w:sz w:val="5"/>
                <w:szCs w:val="5"/>
                <w:color w:val="auto"/>
              </w:rPr>
            </w:pPr>
          </w:p>
        </w:tc>
        <w:tc>
          <w:tcPr>
            <w:tcW w:w="660" w:type="dxa"/>
            <w:vAlign w:val="bottom"/>
            <w:vMerge w:val="restart"/>
          </w:tcPr>
          <w:p>
            <w:pPr>
              <w:spacing w:after="0"/>
              <w:rPr>
                <w:sz w:val="5"/>
                <w:szCs w:val="5"/>
                <w:color w:val="auto"/>
              </w:rPr>
            </w:pPr>
          </w:p>
        </w:tc>
        <w:tc>
          <w:tcPr>
            <w:tcW w:w="264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680" w:type="dxa"/>
            <w:vAlign w:val="bottom"/>
            <w:tcBorders>
              <w:top w:val="single" w:sz="8" w:color="0000EE"/>
            </w:tcBorders>
          </w:tcPr>
          <w:p>
            <w:pPr>
              <w:spacing w:after="0"/>
              <w:rPr>
                <w:sz w:val="8"/>
                <w:szCs w:val="8"/>
                <w:color w:val="auto"/>
              </w:rPr>
            </w:pPr>
          </w:p>
        </w:tc>
        <w:tc>
          <w:tcPr>
            <w:tcW w:w="14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jc w:val="both"/>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0"/>
          <w:szCs w:val="20"/>
          <w:color w:val="auto"/>
        </w:rPr>
      </w:pPr>
    </w:p>
    <w:p>
      <w:pPr>
        <w:sectPr>
          <w:pgSz w:w="11900" w:h="16838" w:orient="portrait"/>
          <w:cols w:equalWidth="0" w:num="2">
            <w:col w:w="7015" w:space="720"/>
            <w:col w:w="3345"/>
          </w:cols>
          <w:pgMar w:left="460" w:top="216" w:right="359" w:bottom="0" w:gutter="0" w:footer="0" w:header="0"/>
          <w:type w:val="continuous"/>
        </w:sectPr>
      </w:pPr>
    </w:p>
    <w:tbl>
      <w:tblPr>
        <w:tblLayout w:type="fixed"/>
        <w:tblInd w:w="100" w:type="dxa"/>
        <w:tblCellMar>
          <w:top w:w="0" w:type="dxa"/>
          <w:left w:w="0" w:type="dxa"/>
          <w:bottom w:w="0" w:type="dxa"/>
          <w:right w:w="0" w:type="dxa"/>
        </w:tblCellMar>
      </w:tblPr>
      <w:tr>
        <w:trPr>
          <w:trHeight w:val="51"/>
        </w:trPr>
        <w:tc>
          <w:tcPr>
            <w:tcW w:w="80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5760" w:type="dxa"/>
            <w:vAlign w:val="bottom"/>
            <w:vMerge w:val="restart"/>
          </w:tcPr>
          <w:p>
            <w:pPr>
              <w:ind w:left="4500"/>
              <w:spacing w:after="0"/>
              <w:rPr>
                <w:sz w:val="20"/>
                <w:szCs w:val="20"/>
                <w:color w:val="auto"/>
              </w:rPr>
            </w:pPr>
            <w:r>
              <w:rPr>
                <w:rFonts w:ascii="Arial" w:cs="Arial" w:eastAsia="Arial" w:hAnsi="Arial"/>
                <w:sz w:val="13"/>
                <w:szCs w:val="13"/>
                <w:color w:val="auto"/>
              </w:rPr>
              <w:t>Officer (give title</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57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5760" w:type="dxa"/>
            <w:vAlign w:val="bottom"/>
          </w:tcPr>
          <w:p>
            <w:pPr>
              <w:ind w:left="4500"/>
              <w:spacing w:after="0"/>
              <w:rPr>
                <w:sz w:val="20"/>
                <w:szCs w:val="20"/>
                <w:color w:val="auto"/>
              </w:rPr>
            </w:pPr>
            <w:r>
              <w:rPr>
                <w:rFonts w:ascii="Arial" w:cs="Arial" w:eastAsia="Arial" w:hAnsi="Arial"/>
                <w:sz w:val="13"/>
                <w:szCs w:val="13"/>
                <w:color w:val="auto"/>
              </w:rPr>
              <w:t>below)</w:t>
            </w:r>
          </w:p>
        </w:tc>
        <w:tc>
          <w:tcPr>
            <w:tcW w:w="112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2"/>
        </w:trPr>
        <w:tc>
          <w:tcPr>
            <w:tcW w:w="8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 ICON PLC</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4"/>
          </w:tcPr>
          <w:p>
            <w:pPr>
              <w:ind w:left="380"/>
              <w:spacing w:after="0" w:line="131" w:lineRule="exact"/>
              <w:rPr>
                <w:sz w:val="20"/>
                <w:szCs w:val="20"/>
                <w:color w:val="auto"/>
              </w:rPr>
            </w:pPr>
            <w:r>
              <w:rPr>
                <w:rFonts w:ascii="Times New Roman" w:cs="Times New Roman" w:eastAsia="Times New Roman" w:hAnsi="Times New Roman"/>
                <w:sz w:val="15"/>
                <w:szCs w:val="15"/>
                <w:color w:val="0000FF"/>
              </w:rPr>
              <w:t>Chief Executive Officer</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SOUTH COUNTY BUSINESS PARK,</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6"/>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4"/>
            <w:vMerge w:val="continue"/>
          </w:tcPr>
          <w:p>
            <w:pPr>
              <w:spacing w:after="0"/>
              <w:rPr>
                <w:sz w:val="15"/>
                <w:szCs w:val="15"/>
                <w:color w:val="auto"/>
              </w:rPr>
            </w:pPr>
          </w:p>
        </w:tc>
        <w:tc>
          <w:tcPr>
            <w:tcW w:w="1620" w:type="dxa"/>
            <w:vAlign w:val="bottom"/>
            <w:gridSpan w:val="5"/>
          </w:tcPr>
          <w:p>
            <w:pPr>
              <w:ind w:left="220"/>
              <w:spacing w:after="0" w:line="182" w:lineRule="exact"/>
              <w:rPr>
                <w:sz w:val="20"/>
                <w:szCs w:val="20"/>
                <w:color w:val="auto"/>
              </w:rPr>
            </w:pPr>
            <w:r>
              <w:rPr>
                <w:rFonts w:ascii="Times New Roman" w:cs="Times New Roman" w:eastAsia="Times New Roman" w:hAnsi="Times New Roman"/>
                <w:sz w:val="17"/>
                <w:szCs w:val="17"/>
                <w:color w:val="0000FF"/>
              </w:rPr>
              <w:t>10/31/2026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LEOPARDSTOWN</w:t>
            </w: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7"/>
            <w:vMerge w:val="restart"/>
          </w:tcPr>
          <w:p>
            <w:pPr>
              <w:jc w:val="center"/>
              <w:ind w:right="91"/>
              <w:spacing w:after="0"/>
              <w:rPr>
                <w:sz w:val="20"/>
                <w:szCs w:val="20"/>
                <w:color w:val="auto"/>
              </w:rPr>
            </w:pPr>
            <w:r>
              <w:rPr>
                <w:rFonts w:ascii="Arial" w:cs="Arial" w:eastAsia="Arial" w:hAnsi="Arial"/>
                <w:sz w:val="13"/>
                <w:szCs w:val="13"/>
                <w:color w:val="auto"/>
                <w:w w:val="99"/>
              </w:rPr>
              <w:t>4. If Amendment, Date of Original Filed (Month/Day/Year)</w:t>
            </w:r>
          </w:p>
        </w:tc>
        <w:tc>
          <w:tcPr>
            <w:tcW w:w="260" w:type="dxa"/>
            <w:vAlign w:val="bottom"/>
          </w:tcPr>
          <w:p>
            <w:pPr>
              <w:spacing w:after="0"/>
              <w:rPr>
                <w:sz w:val="12"/>
                <w:szCs w:val="12"/>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DUBLIN</w:t>
            </w: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D18X5R3</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gridSpan w:val="7"/>
            <w:vMerge w:val="continue"/>
          </w:tcPr>
          <w:p>
            <w:pPr>
              <w:spacing w:after="0"/>
              <w:rPr>
                <w:sz w:val="3"/>
                <w:szCs w:val="3"/>
                <w:color w:val="auto"/>
              </w:rPr>
            </w:pPr>
          </w:p>
        </w:tc>
        <w:tc>
          <w:tcPr>
            <w:tcW w:w="260" w:type="dxa"/>
            <w:vAlign w:val="bottom"/>
          </w:tcPr>
          <w:p>
            <w:pPr>
              <w:spacing w:after="0"/>
              <w:rPr>
                <w:sz w:val="3"/>
                <w:szCs w:val="3"/>
                <w:color w:val="auto"/>
              </w:rPr>
            </w:pPr>
          </w:p>
        </w:tc>
        <w:tc>
          <w:tcPr>
            <w:tcW w:w="340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26" w:lineRule="exact"/>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IRELAND</w:t>
            </w: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(Country)</w:t>
            </w: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32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4"/>
          </w:tcPr>
          <w:p>
            <w:pPr>
              <w:jc w:val="center"/>
              <w:ind w:left="50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Pr>
          <w:p>
            <w:pPr>
              <w:spacing w:after="0"/>
              <w:rPr>
                <w:sz w:val="22"/>
                <w:szCs w:val="22"/>
                <w:color w:val="auto"/>
              </w:rPr>
            </w:pPr>
          </w:p>
        </w:tc>
        <w:tc>
          <w:tcPr>
            <w:tcW w:w="1760" w:type="dxa"/>
            <w:vAlign w:val="bottom"/>
            <w:gridSpan w:val="4"/>
          </w:tcPr>
          <w:p>
            <w:pPr>
              <w:jc w:val="center"/>
              <w:ind w:left="508"/>
              <w:spacing w:after="0"/>
              <w:rPr>
                <w:sz w:val="20"/>
                <w:szCs w:val="20"/>
                <w:color w:val="auto"/>
              </w:rPr>
            </w:pPr>
            <w:r>
              <w:rPr>
                <w:rFonts w:ascii="Times New Roman" w:cs="Times New Roman" w:eastAsia="Times New Roman" w:hAnsi="Times New Roman"/>
                <w:sz w:val="17"/>
                <w:szCs w:val="17"/>
                <w:color w:val="0000FF"/>
              </w:rPr>
              <w:t>10/31/2026</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w w:val="99"/>
              </w:rPr>
              <w:t>9,662</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tcPr>
          <w:p>
            <w:pPr>
              <w:jc w:val="center"/>
              <w:ind w:left="130"/>
              <w:spacing w:after="0"/>
              <w:rPr>
                <w:sz w:val="20"/>
                <w:szCs w:val="20"/>
                <w:color w:val="auto"/>
              </w:rPr>
            </w:pPr>
            <w:r>
              <w:rPr>
                <w:rFonts w:ascii="Times New Roman" w:cs="Times New Roman" w:eastAsia="Times New Roman" w:hAnsi="Times New Roman"/>
                <w:sz w:val="11"/>
                <w:szCs w:val="11"/>
                <w:color w:val="008000"/>
                <w:w w:val="93"/>
              </w:rPr>
              <w:t>(1)(2)</w:t>
            </w:r>
          </w:p>
        </w:tc>
        <w:tc>
          <w:tcPr>
            <w:tcW w:w="1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14,466</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680" w:type="dxa"/>
            <w:vAlign w:val="bottom"/>
            <w:tcBorders>
              <w:bottom w:val="single" w:sz="8" w:color="2C2C2C"/>
            </w:tcBorders>
          </w:tcPr>
          <w:p>
            <w:pPr>
              <w:jc w:val="center"/>
              <w:ind w:left="149"/>
              <w:spacing w:after="0"/>
              <w:rPr>
                <w:sz w:val="20"/>
                <w:szCs w:val="20"/>
                <w:color w:val="auto"/>
              </w:rPr>
            </w:pPr>
            <w:r>
              <w:rPr>
                <w:rFonts w:ascii="Times New Roman" w:cs="Times New Roman" w:eastAsia="Times New Roman" w:hAnsi="Times New Roman"/>
                <w:sz w:val="17"/>
                <w:szCs w:val="17"/>
                <w:color w:val="0000FF"/>
                <w:w w:val="99"/>
              </w:rPr>
              <w:t>1,053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204.91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13,413</w:t>
            </w:r>
            <w:r>
              <w:rPr>
                <w:rFonts w:ascii="Times New Roman" w:cs="Times New Roman" w:eastAsia="Times New Roman" w:hAnsi="Times New Roman"/>
                <w:sz w:val="21"/>
                <w:szCs w:val="21"/>
                <w:color w:val="008000"/>
                <w:w w:val="95"/>
                <w:vertAlign w:val="superscript"/>
              </w:rPr>
              <w:t>(4)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680" w:type="dxa"/>
            <w:vAlign w:val="bottom"/>
            <w:tcBorders>
              <w:bottom w:val="single" w:sz="8" w:color="2C2C2C"/>
            </w:tcBorders>
          </w:tcPr>
          <w:p>
            <w:pPr>
              <w:jc w:val="center"/>
              <w:ind w:left="149"/>
              <w:spacing w:after="0"/>
              <w:rPr>
                <w:sz w:val="20"/>
                <w:szCs w:val="20"/>
                <w:color w:val="auto"/>
              </w:rPr>
            </w:pPr>
            <w:r>
              <w:rPr>
                <w:rFonts w:ascii="Times New Roman" w:cs="Times New Roman" w:eastAsia="Times New Roman" w:hAnsi="Times New Roman"/>
                <w:sz w:val="17"/>
                <w:szCs w:val="17"/>
                <w:color w:val="0000FF"/>
                <w:w w:val="99"/>
              </w:rPr>
              <w:t>1,509</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206.15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11,904</w:t>
            </w:r>
            <w:r>
              <w:rPr>
                <w:rFonts w:ascii="Times New Roman" w:cs="Times New Roman" w:eastAsia="Times New Roman" w:hAnsi="Times New Roman"/>
                <w:sz w:val="21"/>
                <w:szCs w:val="21"/>
                <w:color w:val="008000"/>
                <w:w w:val="95"/>
                <w:vertAlign w:val="superscript"/>
              </w:rPr>
              <w:t>(5)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680" w:type="dxa"/>
            <w:vAlign w:val="bottom"/>
            <w:tcBorders>
              <w:bottom w:val="single" w:sz="8" w:color="2C2C2C"/>
            </w:tcBorders>
          </w:tcPr>
          <w:p>
            <w:pPr>
              <w:jc w:val="center"/>
              <w:ind w:left="149"/>
              <w:spacing w:after="0"/>
              <w:rPr>
                <w:sz w:val="20"/>
                <w:szCs w:val="20"/>
                <w:color w:val="auto"/>
              </w:rPr>
            </w:pPr>
            <w:r>
              <w:rPr>
                <w:rFonts w:ascii="Times New Roman" w:cs="Times New Roman" w:eastAsia="Times New Roman" w:hAnsi="Times New Roman"/>
                <w:sz w:val="17"/>
                <w:szCs w:val="17"/>
                <w:color w:val="0000FF"/>
                <w:w w:val="99"/>
              </w:rPr>
              <w:t>1,224</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207.16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10,680</w:t>
            </w:r>
            <w:r>
              <w:rPr>
                <w:rFonts w:ascii="Times New Roman" w:cs="Times New Roman" w:eastAsia="Times New Roman" w:hAnsi="Times New Roman"/>
                <w:sz w:val="21"/>
                <w:szCs w:val="21"/>
                <w:color w:val="008000"/>
                <w:w w:val="95"/>
                <w:vertAlign w:val="superscript"/>
              </w:rPr>
              <w:t>(6)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680" w:type="dxa"/>
            <w:vAlign w:val="bottom"/>
            <w:tcBorders>
              <w:bottom w:val="single" w:sz="8" w:color="2C2C2C"/>
            </w:tcBorders>
          </w:tcPr>
          <w:p>
            <w:pPr>
              <w:jc w:val="center"/>
              <w:ind w:left="149"/>
              <w:spacing w:after="0"/>
              <w:rPr>
                <w:sz w:val="20"/>
                <w:szCs w:val="20"/>
                <w:color w:val="auto"/>
              </w:rPr>
            </w:pPr>
            <w:r>
              <w:rPr>
                <w:rFonts w:ascii="Times New Roman" w:cs="Times New Roman" w:eastAsia="Times New Roman" w:hAnsi="Times New Roman"/>
                <w:sz w:val="17"/>
                <w:szCs w:val="17"/>
                <w:color w:val="0000FF"/>
                <w:w w:val="99"/>
              </w:rPr>
              <w:t>1,314</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9,366</w:t>
            </w:r>
            <w:r>
              <w:rPr>
                <w:rFonts w:ascii="Times New Roman" w:cs="Times New Roman" w:eastAsia="Times New Roman" w:hAnsi="Times New Roman"/>
                <w:sz w:val="21"/>
                <w:szCs w:val="21"/>
                <w:color w:val="008000"/>
                <w:w w:val="95"/>
                <w:vertAlign w:val="superscript"/>
              </w:rPr>
              <w:t>(7)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11/02/2026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680" w:type="dxa"/>
            <w:vAlign w:val="bottom"/>
            <w:tcBorders>
              <w:bottom w:val="single" w:sz="8" w:color="2C2C2C"/>
            </w:tcBorders>
          </w:tcPr>
          <w:p>
            <w:pPr>
              <w:jc w:val="center"/>
              <w:ind w:left="169"/>
              <w:spacing w:after="0"/>
              <w:rPr>
                <w:sz w:val="20"/>
                <w:szCs w:val="20"/>
                <w:color w:val="auto"/>
              </w:rPr>
            </w:pPr>
            <w:r>
              <w:rPr>
                <w:rFonts w:ascii="Times New Roman" w:cs="Times New Roman" w:eastAsia="Times New Roman" w:hAnsi="Times New Roman"/>
                <w:sz w:val="17"/>
                <w:szCs w:val="17"/>
                <w:color w:val="0000FF"/>
                <w:w w:val="93"/>
              </w:rPr>
              <w:t>75</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209.53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9,291</w:t>
            </w:r>
            <w:r>
              <w:rPr>
                <w:rFonts w:ascii="Times New Roman" w:cs="Times New Roman" w:eastAsia="Times New Roman" w:hAnsi="Times New Roman"/>
                <w:sz w:val="21"/>
                <w:szCs w:val="21"/>
                <w:color w:val="008000"/>
                <w:w w:val="95"/>
                <w:vertAlign w:val="superscript"/>
              </w:rPr>
              <w:t>(8)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5"/>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8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309"/>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9,662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40" w:type="dxa"/>
            <w:vAlign w:val="bottom"/>
            <w:vMerge w:val="continue"/>
          </w:tcPr>
          <w:p>
            <w:pPr>
              <w:spacing w:after="0"/>
              <w:rPr>
                <w:sz w:val="5"/>
                <w:szCs w:val="5"/>
                <w:color w:val="auto"/>
              </w:rPr>
            </w:pPr>
          </w:p>
        </w:tc>
        <w:tc>
          <w:tcPr>
            <w:tcW w:w="10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10/31/2026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9,662</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19,324</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15" w:lineRule="exact"/>
        <w:rPr>
          <w:rFonts w:ascii="Times New Roman" w:cs="Times New Roman" w:eastAsia="Times New Roman" w:hAnsi="Times New Roman"/>
          <w:sz w:val="13"/>
          <w:szCs w:val="13"/>
          <w:color w:val="008000"/>
        </w:rPr>
      </w:pPr>
    </w:p>
    <w:p>
      <w:pPr>
        <w:ind w:left="40" w:right="6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 units were granted on October 31, 2025. The first installment of 9,662 shares vested on October 31, 2026, and the remaining restricted share units will vest in two equal annual installments on October 31, 2027 and October 31, 2028.</w:t>
      </w:r>
    </w:p>
    <w:p>
      <w:pPr>
        <w:spacing w:after="0" w:line="15" w:lineRule="exact"/>
        <w:rPr>
          <w:rFonts w:ascii="Times New Roman" w:cs="Times New Roman" w:eastAsia="Times New Roman" w:hAnsi="Times New Roman"/>
          <w:sz w:val="13"/>
          <w:szCs w:val="13"/>
          <w:color w:val="008000"/>
        </w:rPr>
      </w:pPr>
    </w:p>
    <w:p>
      <w:pPr>
        <w:ind w:left="40" w:right="7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jc w:val="both"/>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aggregated transactions at prices within the range of $204.6100 to $205.6099,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5" w:lineRule="exact"/>
        <w:rPr>
          <w:rFonts w:ascii="Times New Roman" w:cs="Times New Roman" w:eastAsia="Times New Roman" w:hAnsi="Times New Roman"/>
          <w:sz w:val="13"/>
          <w:szCs w:val="13"/>
          <w:color w:val="008000"/>
        </w:rPr>
      </w:pPr>
    </w:p>
    <w:p>
      <w:pPr>
        <w:jc w:val="both"/>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aggregated transactions at prices within the range of $205.6800 to $206.6799,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5" w:lineRule="exact"/>
        <w:rPr>
          <w:rFonts w:ascii="Times New Roman" w:cs="Times New Roman" w:eastAsia="Times New Roman" w:hAnsi="Times New Roman"/>
          <w:sz w:val="13"/>
          <w:szCs w:val="13"/>
          <w:color w:val="008000"/>
        </w:rPr>
      </w:pPr>
    </w:p>
    <w:p>
      <w:pPr>
        <w:jc w:val="both"/>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aggregated transactions at prices within the range of $206.7100 to $207.7099,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5" w:lineRule="exact"/>
        <w:rPr>
          <w:rFonts w:ascii="Times New Roman" w:cs="Times New Roman" w:eastAsia="Times New Roman" w:hAnsi="Times New Roman"/>
          <w:sz w:val="13"/>
          <w:szCs w:val="13"/>
          <w:color w:val="008000"/>
        </w:rPr>
      </w:pPr>
    </w:p>
    <w:p>
      <w:pPr>
        <w:jc w:val="both"/>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aggregated transactions at prices within the range of $207.7100 to $208.7099,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firstLine="3"/>
        <w:spacing w:after="0" w:line="244"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aggregated transactions at prices within the range of $208.7100 to $209.7099,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3"/>
          <w:szCs w:val="13"/>
          <w:color w:val="008000"/>
        </w:rPr>
        <w:t>Due to the issuer's status as a foreign private issuer pursuant to Rule 3a12-3(b) under the Securities Exchange Act of 1934 (the "Act"), the reporting person's transactions in the issuer's equity securities are exempt from Sections 16(b) and 16(c) of the Act.</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Erina Joan Fox, as</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11/03/2026</w:t>
            </w:r>
          </w:p>
        </w:tc>
        <w:tc>
          <w:tcPr>
            <w:tcW w:w="0" w:type="dxa"/>
            <w:vAlign w:val="bottom"/>
          </w:tcPr>
          <w:p>
            <w:pPr>
              <w:spacing w:after="0"/>
              <w:rPr>
                <w:sz w:val="1"/>
                <w:szCs w:val="1"/>
                <w:color w:val="auto"/>
              </w:rPr>
            </w:pPr>
          </w:p>
        </w:tc>
      </w:tr>
      <w:tr>
        <w:trPr>
          <w:trHeight w:val="89"/>
        </w:trPr>
        <w:tc>
          <w:tcPr>
            <w:tcW w:w="146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4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60" w:firstLine="3"/>
        <w:spacing w:after="0" w:line="313" w:lineRule="auto"/>
        <w:tabs>
          <w:tab w:leader="none" w:pos="137"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8614" TargetMode="External"/><Relationship Id="rId14"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2026-11-03T15:32:24Z</dcterms:created>
  <dcterms:modified xsi:type="dcterms:W3CDTF">2026-11-03T15:32:24Z</dcterms:modified>
</cp:coreProperties>
</file>