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6)*</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ICON PLC</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Common</w:t>
      </w:r>
    </w:p>
    <w:p>
      <w:pPr>
        <w:spacing w:after="0" w:line="14"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G4705A100</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4" w:lineRule="exact"/>
        <w:rPr>
          <w:sz w:val="24"/>
          <w:szCs w:val="24"/>
          <w:color w:val="auto"/>
        </w:rPr>
      </w:pPr>
    </w:p>
    <w:p>
      <w:pPr>
        <w:ind w:left="32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15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G4705A100</w:t>
            </w:r>
          </w:p>
        </w:tc>
      </w:tr>
    </w:tbl>
    <w:p>
      <w:pPr>
        <w:spacing w:after="0" w:line="238" w:lineRule="exact"/>
        <w:rPr>
          <w:sz w:val="20"/>
          <w:szCs w:val="20"/>
          <w:color w:val="auto"/>
        </w:rPr>
      </w:pPr>
    </w:p>
    <w:p>
      <w:pPr>
        <w:ind w:left="680" w:hanging="56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WCM Investment Management, LLC</w:t>
      </w:r>
    </w:p>
    <w:p>
      <w:pPr>
        <w:spacing w:after="0" w:line="23" w:lineRule="exact"/>
        <w:rPr>
          <w:sz w:val="20"/>
          <w:szCs w:val="20"/>
          <w:color w:val="auto"/>
        </w:rPr>
      </w:pPr>
    </w:p>
    <w:p>
      <w:pPr>
        <w:ind w:left="680" w:hanging="56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280" w:hanging="29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280" w:hanging="29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680" w:hanging="56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680" w:right="7760" w:hanging="568"/>
        <w:spacing w:after="0" w:line="386"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 w:lineRule="exact"/>
        <w:rPr>
          <w:sz w:val="20"/>
          <w:szCs w:val="20"/>
          <w:color w:val="auto"/>
        </w:rPr>
      </w:pPr>
    </w:p>
    <w:p>
      <w:pPr>
        <w:ind w:left="3000" w:hanging="755"/>
        <w:spacing w:after="0"/>
        <w:tabs>
          <w:tab w:leader="none" w:pos="3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760" w:type="dxa"/>
            <w:vAlign w:val="bottom"/>
            <w:vMerge w:val="restart"/>
          </w:tcPr>
          <w:p>
            <w:pPr>
              <w:jc w:val="center"/>
              <w:ind w:right="310"/>
              <w:spacing w:after="0"/>
              <w:rPr>
                <w:sz w:val="20"/>
                <w:szCs w:val="20"/>
                <w:color w:val="auto"/>
              </w:rPr>
            </w:pPr>
            <w:r>
              <w:rPr>
                <w:rFonts w:ascii="Arial" w:cs="Arial" w:eastAsia="Arial" w:hAnsi="Arial"/>
                <w:sz w:val="18"/>
                <w:szCs w:val="18"/>
                <w:b w:val="1"/>
                <w:bCs w:val="1"/>
                <w:color w:val="auto"/>
                <w:w w:val="93"/>
              </w:rPr>
              <w:t>Number of</w:t>
            </w:r>
          </w:p>
        </w:tc>
        <w:tc>
          <w:tcPr>
            <w:tcW w:w="52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3,976,550</w:t>
            </w:r>
          </w:p>
        </w:tc>
        <w:tc>
          <w:tcPr>
            <w:tcW w:w="0" w:type="dxa"/>
            <w:vAlign w:val="bottom"/>
          </w:tcPr>
          <w:p>
            <w:pPr>
              <w:spacing w:after="0"/>
              <w:rPr>
                <w:sz w:val="1"/>
                <w:szCs w:val="1"/>
                <w:color w:val="auto"/>
              </w:rPr>
            </w:pPr>
          </w:p>
        </w:tc>
      </w:tr>
      <w:tr>
        <w:trPr>
          <w:trHeight w:val="191"/>
        </w:trPr>
        <w:tc>
          <w:tcPr>
            <w:tcW w:w="1760" w:type="dxa"/>
            <w:vAlign w:val="bottom"/>
            <w:vMerge w:val="continue"/>
          </w:tcPr>
          <w:p>
            <w:pPr>
              <w:spacing w:after="0"/>
              <w:rPr>
                <w:sz w:val="16"/>
                <w:szCs w:val="16"/>
                <w:color w:val="auto"/>
              </w:rPr>
            </w:pPr>
          </w:p>
        </w:tc>
        <w:tc>
          <w:tcPr>
            <w:tcW w:w="5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6</w:t>
            </w:r>
          </w:p>
        </w:tc>
        <w:tc>
          <w:tcPr>
            <w:tcW w:w="8580" w:type="dxa"/>
            <w:vAlign w:val="bottom"/>
          </w:tcPr>
          <w:p>
            <w:pPr>
              <w:ind w:left="34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Shares</w:t>
            </w:r>
          </w:p>
        </w:tc>
        <w:tc>
          <w:tcPr>
            <w:tcW w:w="5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Beneficially</w:t>
            </w:r>
          </w:p>
        </w:tc>
        <w:tc>
          <w:tcPr>
            <w:tcW w:w="520" w:type="dxa"/>
            <w:vAlign w:val="bottom"/>
            <w:tcBorders>
              <w:bottom w:val="single" w:sz="8" w:color="auto"/>
            </w:tcBorders>
          </w:tcPr>
          <w:p>
            <w:pPr>
              <w:spacing w:after="0"/>
              <w:rPr>
                <w:sz w:val="20"/>
                <w:szCs w:val="20"/>
                <w:color w:val="auto"/>
              </w:rPr>
            </w:pPr>
          </w:p>
        </w:tc>
        <w:tc>
          <w:tcPr>
            <w:tcW w:w="8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8"/>
        </w:trPr>
        <w:tc>
          <w:tcPr>
            <w:tcW w:w="1760" w:type="dxa"/>
            <w:vAlign w:val="bottom"/>
          </w:tcPr>
          <w:p>
            <w:pPr>
              <w:jc w:val="center"/>
              <w:ind w:right="33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520" w:type="dxa"/>
            <w:vAlign w:val="bottom"/>
          </w:tcPr>
          <w:p>
            <w:pPr>
              <w:jc w:val="right"/>
              <w:ind w:right="230"/>
              <w:spacing w:after="0" w:line="177" w:lineRule="exact"/>
              <w:rPr>
                <w:sz w:val="20"/>
                <w:szCs w:val="20"/>
                <w:color w:val="auto"/>
              </w:rPr>
            </w:pPr>
            <w:r>
              <w:rPr>
                <w:rFonts w:ascii="Arial" w:cs="Arial" w:eastAsia="Arial" w:hAnsi="Arial"/>
                <w:sz w:val="18"/>
                <w:szCs w:val="18"/>
                <w:b w:val="1"/>
                <w:bCs w:val="1"/>
                <w:color w:val="auto"/>
              </w:rPr>
              <w:t>7</w:t>
            </w:r>
          </w:p>
        </w:tc>
        <w:tc>
          <w:tcPr>
            <w:tcW w:w="8580" w:type="dxa"/>
            <w:vAlign w:val="bottom"/>
          </w:tcPr>
          <w:p>
            <w:pPr>
              <w:ind w:left="34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Reporting Person</w:t>
            </w:r>
          </w:p>
        </w:tc>
        <w:tc>
          <w:tcPr>
            <w:tcW w:w="5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7"/>
              </w:rPr>
              <w:t>With:</w:t>
            </w:r>
          </w:p>
        </w:tc>
        <w:tc>
          <w:tcPr>
            <w:tcW w:w="52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3,976,550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19"/>
                <w:szCs w:val="19"/>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b w:val="1"/>
                <w:bCs w:val="1"/>
                <w:color w:val="auto"/>
              </w:rPr>
              <w:t>8</w:t>
            </w:r>
          </w:p>
        </w:tc>
        <w:tc>
          <w:tcPr>
            <w:tcW w:w="8580" w:type="dxa"/>
            <w:vAlign w:val="bottom"/>
          </w:tcPr>
          <w:p>
            <w:pPr>
              <w:ind w:left="3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680" w:hanging="56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3,976,550</w:t>
      </w:r>
    </w:p>
    <w:p>
      <w:pPr>
        <w:spacing w:after="0" w:line="23" w:lineRule="exact"/>
        <w:rPr>
          <w:sz w:val="20"/>
          <w:szCs w:val="20"/>
          <w:color w:val="auto"/>
        </w:rPr>
      </w:pPr>
    </w:p>
    <w:p>
      <w:pPr>
        <w:ind w:left="680" w:right="3880" w:hanging="568"/>
        <w:spacing w:after="0" w:line="383"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80" w:right="6760" w:hanging="568"/>
        <w:spacing w:after="0" w:line="383"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7.53%</w:t>
      </w:r>
    </w:p>
    <w:p>
      <w:pPr>
        <w:ind w:left="680" w:hanging="56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07" w:lineRule="exact"/>
        <w:rPr>
          <w:sz w:val="20"/>
          <w:szCs w:val="20"/>
          <w:color w:val="auto"/>
        </w:rPr>
      </w:pPr>
    </w:p>
    <w:p>
      <w:pPr>
        <w:ind w:left="700" w:hanging="692"/>
        <w:spacing w:after="0"/>
        <w:tabs>
          <w:tab w:leader="none" w:pos="7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 ICON PLC</w:t>
      </w:r>
    </w:p>
    <w:p>
      <w:pPr>
        <w:spacing w:after="0" w:line="206" w:lineRule="exact"/>
        <w:rPr>
          <w:rFonts w:ascii="Arial" w:cs="Arial" w:eastAsia="Arial" w:hAnsi="Arial"/>
          <w:sz w:val="22"/>
          <w:szCs w:val="22"/>
          <w:b w:val="1"/>
          <w:bCs w:val="1"/>
          <w:color w:val="auto"/>
        </w:rPr>
      </w:pPr>
    </w:p>
    <w:p>
      <w:pPr>
        <w:ind w:firstLine="8"/>
        <w:spacing w:after="0" w:line="256" w:lineRule="auto"/>
        <w:tabs>
          <w:tab w:leader="none" w:pos="67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 SOUTH COUNTY BUSINESS PARK, LEOPARDSTOWN DUBLIN 18 IRELAND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 WCM Investment Management, LLC</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Address of Principal Business Office or, if None, Residence: 281 Brooks Street, Laguna Beach, California 92651</w:t>
      </w:r>
    </w:p>
    <w:p>
      <w:pPr>
        <w:spacing w:after="0" w:line="240" w:lineRule="exact"/>
        <w:rPr>
          <w:rFonts w:ascii="Arial" w:cs="Arial" w:eastAsia="Arial" w:hAnsi="Arial"/>
          <w:sz w:val="19"/>
          <w:szCs w:val="19"/>
          <w:b w:val="1"/>
          <w:bCs w:val="1"/>
          <w:color w:val="auto"/>
        </w:rPr>
      </w:pP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Delaware</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 Common</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CUSIP No.:   G4705A100</w:t>
      </w:r>
    </w:p>
    <w:p>
      <w:pPr>
        <w:spacing w:after="0" w:line="206"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20" w:right="20" w:hanging="1264"/>
        <w:spacing w:after="0" w:line="250" w:lineRule="auto"/>
        <w:tabs>
          <w:tab w:leader="none" w:pos="1325" w:val="left"/>
        </w:tabs>
        <w:numPr>
          <w:ilvl w:val="0"/>
          <w:numId w:val="11"/>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20" w:hanging="1264"/>
        <w:spacing w:after="0" w:line="250" w:lineRule="auto"/>
        <w:tabs>
          <w:tab w:leader="none" w:pos="13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 ____</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left="700" w:hanging="692"/>
        <w:spacing w:after="0"/>
        <w:tabs>
          <w:tab w:leader="none" w:pos="7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Amount Beneficially Owned:  </w:t>
      </w:r>
      <w:r>
        <w:rPr>
          <w:rFonts w:ascii="Arial" w:cs="Arial" w:eastAsia="Arial" w:hAnsi="Arial"/>
          <w:sz w:val="22"/>
          <w:szCs w:val="22"/>
          <w:color w:val="auto"/>
        </w:rPr>
        <w:t>3,976,550</w:t>
      </w:r>
    </w:p>
    <w:p>
      <w:pPr>
        <w:spacing w:after="0" w:line="206" w:lineRule="exact"/>
        <w:rPr>
          <w:rFonts w:ascii="Arial" w:cs="Arial" w:eastAsia="Arial" w:hAnsi="Arial"/>
          <w:sz w:val="22"/>
          <w:szCs w:val="22"/>
          <w:b w:val="1"/>
          <w:bCs w:val="1"/>
          <w:color w:val="auto"/>
        </w:rPr>
      </w:pPr>
    </w:p>
    <w:p>
      <w:pPr>
        <w:ind w:left="700" w:hanging="692"/>
        <w:spacing w:after="0"/>
        <w:tabs>
          <w:tab w:leader="none" w:pos="7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w:t>
      </w:r>
      <w:r>
        <w:rPr>
          <w:rFonts w:ascii="Arial" w:cs="Arial" w:eastAsia="Arial" w:hAnsi="Arial"/>
          <w:sz w:val="22"/>
          <w:szCs w:val="22"/>
          <w:color w:val="auto"/>
        </w:rPr>
        <w:t>7.53%</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vote or to direct the vote: </w:t>
      </w:r>
      <w:r>
        <w:rPr>
          <w:rFonts w:ascii="Arial" w:cs="Arial" w:eastAsia="Arial" w:hAnsi="Arial"/>
          <w:sz w:val="22"/>
          <w:szCs w:val="22"/>
          <w:color w:val="auto"/>
        </w:rPr>
        <w:t>3,976,550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vote or to direct the vote: </w:t>
      </w:r>
      <w:r>
        <w:rPr>
          <w:rFonts w:ascii="Arial" w:cs="Arial" w:eastAsia="Arial" w:hAnsi="Arial"/>
          <w:sz w:val="22"/>
          <w:szCs w:val="22"/>
          <w:color w:val="auto"/>
        </w:rPr>
        <w:t>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dispose or to direct the disposition of: </w:t>
      </w:r>
      <w:r>
        <w:rPr>
          <w:rFonts w:ascii="Arial" w:cs="Arial" w:eastAsia="Arial" w:hAnsi="Arial"/>
          <w:sz w:val="22"/>
          <w:szCs w:val="22"/>
          <w:color w:val="auto"/>
        </w:rPr>
        <w:t>3,976,550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dispose or to direct the disposition of: </w:t>
      </w:r>
      <w:r>
        <w:rPr>
          <w:rFonts w:ascii="Arial" w:cs="Arial" w:eastAsia="Arial" w:hAnsi="Arial"/>
          <w:sz w:val="22"/>
          <w:szCs w:val="22"/>
          <w:color w:val="auto"/>
        </w:rPr>
        <w:t>0</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06"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David A. Brewer, SVP/Chief Compliance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2021-02-10T08:05:36Z</dcterms:created>
  <dcterms:modified xsi:type="dcterms:W3CDTF">2021-02-10T08:05:36Z</dcterms:modified>
</cp:coreProperties>
</file>