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June,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458" w:right="9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LIST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Exhibit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9380" w:type="dxa"/>
            <w:vAlign w:val="bottom"/>
            <w:gridSpan w:val="2"/>
          </w:tcPr>
          <w:p>
            <w:pPr>
              <w:spacing w:after="0"/>
              <w:rPr>
                <w:sz w:val="17"/>
                <w:szCs w:val="17"/>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40" w:type="dxa"/>
            <w:vAlign w:val="bottom"/>
          </w:tcPr>
          <w:p>
            <w:pPr>
              <w:spacing w:after="0"/>
              <w:rPr>
                <w:sz w:val="17"/>
                <w:szCs w:val="17"/>
                <w:color w:val="auto"/>
              </w:rPr>
            </w:pPr>
          </w:p>
        </w:tc>
        <w:tc>
          <w:tcPr>
            <w:tcW w:w="10460" w:type="dxa"/>
            <w:vAlign w:val="bottom"/>
            <w:gridSpan w:val="4"/>
          </w:tcPr>
          <w:p>
            <w:pPr>
              <w:ind w:left="2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ICON Shareholders Vote in Favour of All Resolutions at its Extraordinary General Meeting</w:t>
              </w:r>
            </w:hyperlink>
          </w:p>
        </w:tc>
      </w:tr>
      <w:tr>
        <w:trPr>
          <w:trHeight w:val="203"/>
        </w:trPr>
        <w:tc>
          <w:tcPr>
            <w:tcW w:w="320" w:type="dxa"/>
            <w:vAlign w:val="bottom"/>
            <w:tcBorders>
              <w:top w:val="single" w:sz="8" w:color="0000EE"/>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top w:val="single" w:sz="8" w:color="0000EE"/>
              <w:bottom w:val="single" w:sz="8" w:color="auto"/>
            </w:tcBorders>
          </w:tcPr>
          <w:p>
            <w:pPr>
              <w:spacing w:after="0"/>
              <w:rPr>
                <w:sz w:val="17"/>
                <w:szCs w:val="17"/>
                <w:color w:val="auto"/>
              </w:rPr>
            </w:pPr>
          </w:p>
        </w:tc>
        <w:tc>
          <w:tcPr>
            <w:tcW w:w="5800" w:type="dxa"/>
            <w:vAlign w:val="bottom"/>
            <w:tcBorders>
              <w:top w:val="single" w:sz="8" w:color="0000EE"/>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40" w:type="dxa"/>
            <w:vAlign w:val="bottom"/>
            <w:vMerge w:val="restart"/>
          </w:tcPr>
          <w:p>
            <w:pPr>
              <w:spacing w:after="0"/>
              <w:rPr>
                <w:sz w:val="20"/>
                <w:szCs w:val="20"/>
                <w:color w:val="auto"/>
              </w:rPr>
            </w:pPr>
            <w:r>
              <w:rPr>
                <w:rFonts w:ascii="Arial" w:cs="Arial" w:eastAsia="Arial" w:hAnsi="Arial"/>
                <w:sz w:val="18"/>
                <w:szCs w:val="18"/>
                <w:color w:val="auto"/>
              </w:rPr>
              <w:t>Date: June 15, 2021</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Shareholders Vote in Favour of All Resolutions at its Extraordinary General Meeting</w:t>
      </w:r>
    </w:p>
    <w:p>
      <w:pPr>
        <w:spacing w:after="0" w:line="221"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DUBLIN--(BUSINESS WIRE)--June 15, 2021--</w:t>
      </w:r>
      <w:r>
        <w:rPr>
          <w:rFonts w:ascii="Arial" w:cs="Arial" w:eastAsia="Arial" w:hAnsi="Arial"/>
          <w:sz w:val="19"/>
          <w:szCs w:val="19"/>
          <w:b w:val="1"/>
          <w:bCs w:val="1"/>
          <w:color w:val="auto"/>
        </w:rPr>
        <w:t>ICON plc (NASDAQ: ICLR) (“ICON”),</w:t>
      </w:r>
      <w:r>
        <w:rPr>
          <w:rFonts w:ascii="Arial" w:cs="Arial" w:eastAsia="Arial" w:hAnsi="Arial"/>
          <w:sz w:val="19"/>
          <w:szCs w:val="19"/>
          <w:color w:val="auto"/>
        </w:rPr>
        <w:t xml:space="preserve"> a global provider of outsourced drug and device development and commercialisation services to pharmaceutical, biotechnology, medical device and government and public health organisations, today announced that all resolutions at the ICON Extraordinary General Meeting of the Company (“EGM”) held on June 15, 2021 (which resolutions had all been recommended by the Board) were all duly passed by shareholders. These resolutions, approving the issuance of ICON ordinary shares in connection with the acquisition of PRA Health Sciences, Inc. (“PRA”), were set out in the Notice of the EGM sent to shareholders dated April 27, 2021.</w:t>
      </w:r>
    </w:p>
    <w:p>
      <w:pPr>
        <w:spacing w:after="0" w:line="15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As previously disclosed, on February 24, 2021, ICON, a public limited company in Ireland, ICON US Holdings Inc., a Delaware corporation and subsidiary of ICON (“US HoldCo”), and Indigo Merger Sub, Inc., a Delaware corporation and subsidiary of ICON and US HoldCo (“Merger Subsidiary”) entered into an Agreement and Plan of Merger (the “Merger Agreement”) with PRA, a Delaware corporation. Upon the terms and subject to the conditions of the Merger Agreement, Merger Subsidiary will merge with and into PRA (the “Merger”), with PRA surviving as a subsidiary of ICON and US HoldCo.</w:t>
      </w:r>
    </w:p>
    <w:p>
      <w:pPr>
        <w:spacing w:after="0" w:line="147"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On June 15, 2021, PRA also held a special meeting of its stockholders (the “Special Meeting”). At the Special Meeting, based on preliminary voting results reported by PRA, PRA’s stockholders voted to (a) adopt the Merger Agreement, (b) approve, on an advisory (non-binding) basis, the executive officer compensation that will or may be paid to PRA’s named executive officers that is based on or otherwise relates to the transactions contemplated by the Merger Agreement, and (c) approve the adjournment of the Special Meeting under certain circumstances.</w:t>
      </w:r>
    </w:p>
    <w:p>
      <w:pPr>
        <w:spacing w:after="0" w:line="187" w:lineRule="exact"/>
        <w:rPr>
          <w:sz w:val="20"/>
          <w:szCs w:val="20"/>
          <w:color w:val="auto"/>
        </w:rPr>
      </w:pPr>
    </w:p>
    <w:p>
      <w:pPr>
        <w:ind w:right="940"/>
        <w:spacing w:after="0"/>
        <w:rPr>
          <w:sz w:val="20"/>
          <w:szCs w:val="20"/>
          <w:color w:val="auto"/>
        </w:rPr>
      </w:pPr>
      <w:r>
        <w:rPr>
          <w:rFonts w:ascii="Arial" w:cs="Arial" w:eastAsia="Arial" w:hAnsi="Arial"/>
          <w:sz w:val="22"/>
          <w:szCs w:val="22"/>
          <w:color w:val="auto"/>
        </w:rPr>
        <w:t>Based on the results of the EGM and the Special Meeting, subject to the satisfaction or waiver of the remaining closing conditions under the Merger Agreement, the transactions contemplated by the Merger Agreement are expected to be consummated on July 1, 2020.</w:t>
      </w:r>
    </w:p>
    <w:p>
      <w:pPr>
        <w:spacing w:after="0" w:line="186"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Forms of Proxy were received by ICON plc before the meeting, appointing proxies and giving them the following voting instructions: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60" w:type="dxa"/>
            <w:vAlign w:val="bottom"/>
            <w:tcBorders>
              <w:top w:val="single" w:sz="8" w:color="auto"/>
              <w:left w:val="single" w:sz="8" w:color="auto"/>
              <w:right w:val="single" w:sz="8" w:color="auto"/>
            </w:tcBorders>
          </w:tcPr>
          <w:p>
            <w:pPr>
              <w:spacing w:after="0"/>
              <w:rPr>
                <w:sz w:val="19"/>
                <w:szCs w:val="19"/>
                <w:color w:val="auto"/>
              </w:rPr>
            </w:pPr>
          </w:p>
        </w:tc>
        <w:tc>
          <w:tcPr>
            <w:tcW w:w="500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140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tcPr>
          <w:p>
            <w:pPr>
              <w:spacing w:after="0"/>
              <w:rPr>
                <w:sz w:val="9"/>
                <w:szCs w:val="9"/>
                <w:color w:val="auto"/>
              </w:rPr>
            </w:pPr>
          </w:p>
        </w:tc>
        <w:tc>
          <w:tcPr>
            <w:tcW w:w="50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OF</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50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8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5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13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SHARES VOTE</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SHARES VOTE</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w:t>
            </w:r>
          </w:p>
        </w:tc>
        <w:tc>
          <w:tcPr>
            <w:tcW w:w="50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8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50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VOTE</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tcPr>
          <w:p>
            <w:pPr>
              <w:spacing w:after="0"/>
              <w:rPr>
                <w:sz w:val="9"/>
                <w:szCs w:val="9"/>
                <w:color w:val="auto"/>
              </w:rPr>
            </w:pPr>
          </w:p>
        </w:tc>
        <w:tc>
          <w:tcPr>
            <w:tcW w:w="50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VOTED</w:t>
            </w:r>
          </w:p>
        </w:tc>
        <w:tc>
          <w:tcPr>
            <w:tcW w:w="8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tcPr>
          <w:p>
            <w:pPr>
              <w:spacing w:after="0"/>
              <w:rPr>
                <w:sz w:val="10"/>
                <w:szCs w:val="10"/>
                <w:color w:val="auto"/>
              </w:rPr>
            </w:pPr>
          </w:p>
        </w:tc>
        <w:tc>
          <w:tcPr>
            <w:tcW w:w="500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14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tcPr>
          <w:p>
            <w:pPr>
              <w:spacing w:after="0"/>
              <w:rPr>
                <w:sz w:val="9"/>
                <w:szCs w:val="9"/>
                <w:color w:val="auto"/>
              </w:rPr>
            </w:pPr>
          </w:p>
        </w:tc>
        <w:tc>
          <w:tcPr>
            <w:tcW w:w="50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1</w:t>
            </w:r>
          </w:p>
        </w:tc>
        <w:tc>
          <w:tcPr>
            <w:tcW w:w="50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0"/>
              </w:rPr>
              <w:t>Proposal to approve the issuance of ICON ordinary shares to PRA</w:t>
            </w:r>
          </w:p>
        </w:tc>
        <w:tc>
          <w:tcPr>
            <w:tcW w:w="13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vMerge w:val="continue"/>
          </w:tcPr>
          <w:p>
            <w:pPr>
              <w:spacing w:after="0"/>
              <w:rPr>
                <w:sz w:val="20"/>
                <w:szCs w:val="20"/>
                <w:color w:val="auto"/>
              </w:rPr>
            </w:pP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stockholders pursuant to the merger agreement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45,514,092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45,476,088</w:t>
            </w:r>
          </w:p>
        </w:tc>
        <w:tc>
          <w:tcPr>
            <w:tcW w:w="14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21,190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16,814</w:t>
            </w:r>
          </w:p>
        </w:tc>
        <w:tc>
          <w:tcPr>
            <w:tcW w:w="0" w:type="dxa"/>
            <w:vAlign w:val="bottom"/>
          </w:tcPr>
          <w:p>
            <w:pPr>
              <w:spacing w:after="0"/>
              <w:rPr>
                <w:sz w:val="1"/>
                <w:szCs w:val="1"/>
                <w:color w:val="auto"/>
              </w:rPr>
            </w:pPr>
          </w:p>
        </w:tc>
      </w:tr>
      <w:tr>
        <w:trPr>
          <w:trHeight w:val="215"/>
        </w:trPr>
        <w:tc>
          <w:tcPr>
            <w:tcW w:w="1260" w:type="dxa"/>
            <w:vAlign w:val="bottom"/>
            <w:tcBorders>
              <w:right w:val="single" w:sz="8" w:color="auto"/>
            </w:tcBorders>
          </w:tcPr>
          <w:p>
            <w:pPr>
              <w:spacing w:after="0"/>
              <w:rPr>
                <w:sz w:val="18"/>
                <w:szCs w:val="18"/>
                <w:color w:val="auto"/>
              </w:rPr>
            </w:pPr>
          </w:p>
        </w:tc>
        <w:tc>
          <w:tcPr>
            <w:tcW w:w="5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Proposal to adjourn the ICON EGM to solicit additional proxies if</w:t>
            </w:r>
          </w:p>
        </w:tc>
        <w:tc>
          <w:tcPr>
            <w:tcW w:w="13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2</w:t>
            </w:r>
          </w:p>
        </w:tc>
        <w:tc>
          <w:tcPr>
            <w:tcW w:w="5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there are not sufficient votes to approve Resolution Number 1, the</w:t>
            </w:r>
          </w:p>
        </w:tc>
        <w:tc>
          <w:tcPr>
            <w:tcW w:w="13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vMerge w:val="continue"/>
          </w:tcPr>
          <w:p>
            <w:pPr>
              <w:spacing w:after="0"/>
              <w:rPr>
                <w:sz w:val="20"/>
                <w:szCs w:val="20"/>
                <w:color w:val="auto"/>
              </w:rPr>
            </w:pP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ICON share issuance proposal</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45,514,092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45,174,697</w:t>
            </w:r>
          </w:p>
        </w:tc>
        <w:tc>
          <w:tcPr>
            <w:tcW w:w="14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306,268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33,127</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All resolutions are ordinary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1 888 381 7923 or</w:t>
      </w:r>
    </w:p>
    <w:p>
      <w:pPr>
        <w:spacing w:after="0" w:line="238" w:lineRule="auto"/>
        <w:rPr>
          <w:sz w:val="20"/>
          <w:szCs w:val="20"/>
          <w:color w:val="auto"/>
        </w:rPr>
      </w:pPr>
      <w:r>
        <w:rPr>
          <w:rFonts w:ascii="Arial" w:cs="Arial" w:eastAsia="Arial" w:hAnsi="Arial"/>
          <w:sz w:val="22"/>
          <w:szCs w:val="22"/>
          <w:color w:val="auto"/>
        </w:rPr>
        <w:t>Brendan Brennan Chief Financial Officer + 353 1 291 2000</w:t>
      </w:r>
    </w:p>
    <w:p>
      <w:pPr>
        <w:spacing w:after="0" w:line="230" w:lineRule="auto"/>
        <w:rPr>
          <w:sz w:val="20"/>
          <w:szCs w:val="20"/>
          <w:color w:val="auto"/>
        </w:rPr>
      </w:pPr>
      <w:r>
        <w:rPr>
          <w:rFonts w:ascii="Arial" w:cs="Arial" w:eastAsia="Arial" w:hAnsi="Arial"/>
          <w:sz w:val="22"/>
          <w:szCs w:val="22"/>
          <w:color w:val="auto"/>
        </w:rPr>
        <w:t>Jonathan Curtain Vice President Corporate Finance and Investor Relations + 353 1 291 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1200"/>
      </w:cols>
      <w:pgMar w:left="320" w:top="32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2021-06-15T15:22:31Z</dcterms:created>
  <dcterms:modified xsi:type="dcterms:W3CDTF">2021-06-15T15:22:31Z</dcterms:modified>
</cp:coreProperties>
</file>