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JANUARY 31, 2003</w:t>
      </w:r>
    </w:p>
    <w:p>
      <w:pPr>
        <w:spacing w:after="0" w:line="2" w:lineRule="exact"/>
        <w:rPr>
          <w:sz w:val="24"/>
          <w:szCs w:val="24"/>
          <w:color w:val="auto"/>
        </w:rPr>
      </w:pPr>
    </w:p>
    <w:p>
      <w:pPr>
        <w:jc w:val="right"/>
        <w:ind w:right="4380"/>
        <w:spacing w:after="0"/>
        <w:rPr>
          <w:sz w:val="20"/>
          <w:szCs w:val="20"/>
          <w:color w:val="auto"/>
        </w:rPr>
      </w:pPr>
      <w:r>
        <w:rPr>
          <w:rFonts w:ascii="Courier New" w:cs="Courier New" w:eastAsia="Courier New" w:hAnsi="Courier New"/>
          <w:sz w:val="15"/>
          <w:szCs w:val="15"/>
          <w:color w:val="auto"/>
        </w:rPr>
        <w:t>REGISTRATION NO. 333-</w:t>
      </w:r>
    </w:p>
    <w:p>
      <w:pPr>
        <w:spacing w:after="0" w:line="4" w:lineRule="exact"/>
        <w:rPr>
          <w:sz w:val="24"/>
          <w:szCs w:val="24"/>
          <w:color w:val="auto"/>
        </w:rPr>
      </w:pPr>
    </w:p>
    <w:p>
      <w:pPr>
        <w:jc w:val="right"/>
        <w:ind w:righ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FORM F-3</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ICON PUBLIC LIMITED COMPANY</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8"/>
          </w:cols>
          <w:pgMar w:left="232" w:top="231" w:right="139" w:bottom="0" w:gutter="0" w:footer="0" w:header="0"/>
        </w:sectPr>
      </w:pPr>
    </w:p>
    <w:p>
      <w:pPr>
        <w:spacing w:after="0" w:line="346"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IRELAND</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jc w:val="center"/>
        <w:ind w:right="4460"/>
        <w:spacing w:after="0"/>
        <w:rPr>
          <w:sz w:val="20"/>
          <w:szCs w:val="20"/>
          <w:color w:val="auto"/>
        </w:rPr>
      </w:pPr>
      <w:r>
        <w:rPr>
          <w:rFonts w:ascii="Courier New" w:cs="Courier New" w:eastAsia="Courier New" w:hAnsi="Courier New"/>
          <w:sz w:val="15"/>
          <w:szCs w:val="15"/>
          <w:color w:val="auto"/>
        </w:rPr>
        <w:t>NOT APPLICABLE</w:t>
      </w:r>
    </w:p>
    <w:p>
      <w:pPr>
        <w:spacing w:after="0" w:line="4"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55" w:lineRule="exact"/>
        <w:rPr>
          <w:sz w:val="24"/>
          <w:szCs w:val="24"/>
          <w:color w:val="auto"/>
        </w:rPr>
      </w:pPr>
    </w:p>
    <w:p>
      <w:pPr>
        <w:sectPr>
          <w:pgSz w:w="11900" w:h="16838" w:orient="portrait"/>
          <w:cols w:equalWidth="0" w:num="2">
            <w:col w:w="2948" w:space="720"/>
            <w:col w:w="7860"/>
          </w:cols>
          <w:pgMar w:left="232" w:top="231" w:right="139" w:bottom="0" w:gutter="0" w:footer="0" w:header="0"/>
          <w:type w:val="continuous"/>
        </w:sectPr>
      </w:pPr>
    </w:p>
    <w:p>
      <w:pPr>
        <w:ind w:left="1528"/>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SOUTH COUNTY BUSINESS PARK,</w:t>
      </w:r>
    </w:p>
    <w:p>
      <w:pPr>
        <w:spacing w:after="0" w:line="2"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LEOPARDSTOWN, DUBLIN 18,</w:t>
      </w:r>
    </w:p>
    <w:p>
      <w:pPr>
        <w:spacing w:after="0" w:line="2"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IRELAND</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(353) 1-216-1100</w:t>
      </w:r>
    </w:p>
    <w:p>
      <w:pPr>
        <w:spacing w:after="0" w:line="2"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(Address and telephone number of</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CT CORPORATION SYSTEM</w:t>
      </w:r>
    </w:p>
    <w:p>
      <w:pPr>
        <w:spacing w:after="0" w:line="2"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111 EIGHTH AVENUE</w:t>
      </w:r>
    </w:p>
    <w:p>
      <w:pPr>
        <w:spacing w:after="0" w:line="2"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NEW YORK, NEW YORK 10011</w:t>
      </w:r>
    </w:p>
    <w:p>
      <w:pPr>
        <w:spacing w:after="0" w:line="2"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(212) 894-8581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and telephone number</w:t>
      </w:r>
    </w:p>
    <w:p>
      <w:pPr>
        <w:spacing w:after="0" w:line="1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of agent for service)</w:t>
      </w:r>
    </w:p>
    <w:p>
      <w:pPr>
        <w:spacing w:after="0" w:line="176" w:lineRule="exact"/>
        <w:rPr>
          <w:sz w:val="24"/>
          <w:szCs w:val="24"/>
          <w:color w:val="auto"/>
        </w:rPr>
      </w:pPr>
    </w:p>
    <w:p>
      <w:pPr>
        <w:sectPr>
          <w:pgSz w:w="11900" w:h="16838" w:orient="portrait"/>
          <w:cols w:equalWidth="0" w:num="2">
            <w:col w:w="3668" w:space="180"/>
            <w:col w:w="7680"/>
          </w:cols>
          <w:pgMar w:left="232" w:top="231" w:right="139" w:bottom="0" w:gutter="0" w:footer="0" w:header="0"/>
          <w:type w:val="continuous"/>
        </w:sectPr>
      </w:pPr>
    </w:p>
    <w:p>
      <w:pPr>
        <w:ind w:left="312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ind w:left="3128"/>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1528"/>
          </w:cols>
          <w:pgMar w:left="232" w:top="231" w:right="139" w:bottom="0"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SEAN LEECH</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CHIEF FINANCIAL OFFICER ICON plc</w:t>
      </w:r>
    </w:p>
    <w:p>
      <w:pPr>
        <w:spacing w:after="0" w:line="12"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SOUTH COUNTY BUSINESS PARK</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LEOPARDSTOWN, DUBLIN 18, IRELAND</w:t>
      </w:r>
    </w:p>
    <w:p>
      <w:pPr>
        <w:spacing w:after="0" w:line="1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(353) 1-216-1100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WILLIAM M. HARTNETT, ESQ.</w:t>
      </w:r>
    </w:p>
    <w:p>
      <w:pPr>
        <w:spacing w:after="0" w:line="1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CAHILL GORDON &amp; REINDEL</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80 PINE STREET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NEW YORK 10005</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(212) 701-3000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KATHRYN A. CAMPBELL, ESQ.</w:t>
      </w:r>
    </w:p>
    <w:p>
      <w:pPr>
        <w:spacing w:after="0" w:line="12"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SULLIVAN &amp; CROMWELL LLP</w:t>
      </w:r>
    </w:p>
    <w:p>
      <w:pPr>
        <w:spacing w:after="0" w:line="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 NEW FETTER LANE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LONDON EC4A 1AN, ENGLAND</w:t>
      </w:r>
    </w:p>
    <w:p>
      <w:pPr>
        <w:spacing w:after="0" w:line="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(44 20) 7959 8900</w:t>
      </w:r>
    </w:p>
    <w:p>
      <w:pPr>
        <w:spacing w:after="0" w:line="200" w:lineRule="exact"/>
        <w:rPr>
          <w:sz w:val="24"/>
          <w:szCs w:val="24"/>
          <w:color w:val="auto"/>
        </w:rPr>
      </w:pPr>
    </w:p>
    <w:p>
      <w:pPr>
        <w:sectPr>
          <w:pgSz w:w="11900" w:h="16838" w:orient="portrait"/>
          <w:cols w:equalWidth="0" w:num="3">
            <w:col w:w="3308" w:space="720"/>
            <w:col w:w="2940" w:space="720"/>
            <w:col w:w="3840"/>
          </w:cols>
          <w:pgMar w:left="232" w:top="231" w:right="139" w:bottom="0" w:gutter="0" w:footer="0" w:header="0"/>
          <w:type w:val="continuous"/>
        </w:sectPr>
      </w:pPr>
    </w:p>
    <w:p>
      <w:pPr>
        <w:spacing w:after="0" w:line="146"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4560" w:firstLine="537"/>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hereof.</w:t>
      </w:r>
    </w:p>
    <w:p>
      <w:pPr>
        <w:spacing w:after="0" w:line="176" w:lineRule="exact"/>
        <w:rPr>
          <w:sz w:val="24"/>
          <w:szCs w:val="24"/>
          <w:color w:val="auto"/>
        </w:rPr>
      </w:pPr>
    </w:p>
    <w:p>
      <w:pPr>
        <w:ind w:left="8" w:right="4460" w:firstLine="537"/>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jc w:val="both"/>
        <w:ind w:left="8" w:right="4560" w:firstLine="537"/>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6" w:lineRule="exact"/>
        <w:rPr>
          <w:sz w:val="24"/>
          <w:szCs w:val="24"/>
          <w:color w:val="auto"/>
        </w:rPr>
      </w:pPr>
    </w:p>
    <w:p>
      <w:pPr>
        <w:ind w:left="8" w:right="4380" w:firstLine="53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560" w:firstLine="537"/>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380" w:firstLine="537"/>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4"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8"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tbl>
      <w:tblPr>
        <w:tblLayout w:type="fixed"/>
        <w:tblInd w:w="88"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8"/>
              </w:rPr>
              <w:t>PROPOSED MAXIMUM</w:t>
            </w:r>
          </w:p>
        </w:tc>
        <w:tc>
          <w:tcPr>
            <w:tcW w:w="2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PROPOSED MAXIMUM</w:t>
            </w:r>
          </w:p>
        </w:tc>
        <w:tc>
          <w:tcPr>
            <w:tcW w:w="166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TITLE OF EACH CLASS OF SECURITIES</w:t>
            </w:r>
          </w:p>
        </w:tc>
        <w:tc>
          <w:tcPr>
            <w:tcW w:w="18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AMOUNT TO BE</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9"/>
              </w:rPr>
              <w:t>OFFERING PRICE</w:t>
            </w:r>
          </w:p>
        </w:tc>
        <w:tc>
          <w:tcPr>
            <w:tcW w:w="2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AGGREGATE OFFERING</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AMOUNT OF</w:t>
            </w:r>
          </w:p>
        </w:tc>
      </w:tr>
      <w:tr>
        <w:trPr>
          <w:trHeight w:val="172"/>
        </w:trPr>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TO BE REGISTERED</w:t>
            </w:r>
          </w:p>
        </w:tc>
        <w:tc>
          <w:tcPr>
            <w:tcW w:w="18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REGISTERED</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8"/>
              </w:rPr>
              <w:t>PER SHARE(2)</w:t>
            </w:r>
          </w:p>
        </w:tc>
        <w:tc>
          <w:tcPr>
            <w:tcW w:w="2200" w:type="dxa"/>
            <w:vAlign w:val="bottom"/>
          </w:tcPr>
          <w:p>
            <w:pPr>
              <w:ind w:left="980"/>
              <w:spacing w:after="0"/>
              <w:rPr>
                <w:sz w:val="20"/>
                <w:szCs w:val="20"/>
                <w:color w:val="auto"/>
              </w:rPr>
            </w:pPr>
            <w:r>
              <w:rPr>
                <w:rFonts w:ascii="Courier New" w:cs="Courier New" w:eastAsia="Courier New" w:hAnsi="Courier New"/>
                <w:sz w:val="15"/>
                <w:szCs w:val="15"/>
                <w:color w:val="auto"/>
              </w:rPr>
              <w:t>PRICE</w:t>
            </w: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w w:val="98"/>
              </w:rPr>
              <w:t>REGISTRATION FEE</w:t>
            </w:r>
          </w:p>
        </w:tc>
      </w:tr>
    </w:tbl>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4"/>
          <w:szCs w:val="24"/>
          <w:color w:val="auto"/>
        </w:rPr>
      </w:pPr>
    </w:p>
    <w:p>
      <w:pPr>
        <w:ind w:left="348"/>
        <w:spacing w:after="0"/>
        <w:tabs>
          <w:tab w:leader="none" w:pos="4088" w:val="left"/>
          <w:tab w:leader="none" w:pos="6148" w:val="left"/>
          <w:tab w:leader="none" w:pos="8208" w:val="left"/>
          <w:tab w:leader="none" w:pos="10268" w:val="left"/>
        </w:tabs>
        <w:rPr>
          <w:sz w:val="20"/>
          <w:szCs w:val="20"/>
          <w:color w:val="auto"/>
        </w:rPr>
      </w:pPr>
      <w:r>
        <w:rPr>
          <w:rFonts w:ascii="Courier New" w:cs="Courier New" w:eastAsia="Courier New" w:hAnsi="Courier New"/>
          <w:sz w:val="15"/>
          <w:szCs w:val="15"/>
          <w:color w:val="auto"/>
        </w:rPr>
        <w:t>PAR VALUE 6 EURO CENT EACH (1)</w:t>
      </w:r>
      <w:r>
        <w:rPr>
          <w:sz w:val="20"/>
          <w:szCs w:val="20"/>
          <w:color w:val="auto"/>
        </w:rPr>
        <w:tab/>
      </w:r>
      <w:r>
        <w:rPr>
          <w:rFonts w:ascii="Courier New" w:cs="Courier New" w:eastAsia="Courier New" w:hAnsi="Courier New"/>
          <w:sz w:val="15"/>
          <w:szCs w:val="15"/>
          <w:color w:val="auto"/>
        </w:rPr>
        <w:t>3,450,000</w:t>
      </w:r>
      <w:r>
        <w:rPr>
          <w:sz w:val="20"/>
          <w:szCs w:val="20"/>
          <w:color w:val="auto"/>
        </w:rPr>
        <w:tab/>
      </w:r>
      <w:r>
        <w:rPr>
          <w:rFonts w:ascii="Courier New" w:cs="Courier New" w:eastAsia="Courier New" w:hAnsi="Courier New"/>
          <w:sz w:val="15"/>
          <w:szCs w:val="15"/>
          <w:color w:val="auto"/>
        </w:rPr>
        <w:t>$28.53</w:t>
      </w:r>
      <w:r>
        <w:rPr>
          <w:sz w:val="20"/>
          <w:szCs w:val="20"/>
          <w:color w:val="auto"/>
        </w:rPr>
        <w:tab/>
      </w:r>
      <w:r>
        <w:rPr>
          <w:rFonts w:ascii="Courier New" w:cs="Courier New" w:eastAsia="Courier New" w:hAnsi="Courier New"/>
          <w:sz w:val="15"/>
          <w:szCs w:val="15"/>
          <w:color w:val="auto"/>
        </w:rPr>
        <w:t>$98,428,500</w:t>
      </w:r>
      <w:r>
        <w:rPr>
          <w:sz w:val="20"/>
          <w:szCs w:val="20"/>
          <w:color w:val="auto"/>
        </w:rPr>
        <w:tab/>
      </w:r>
      <w:r>
        <w:rPr>
          <w:rFonts w:ascii="Courier New" w:cs="Courier New" w:eastAsia="Courier New" w:hAnsi="Courier New"/>
          <w:sz w:val="14"/>
          <w:szCs w:val="14"/>
          <w:color w:val="auto"/>
        </w:rPr>
        <w:t>$9,055.42</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4"/>
          <w:szCs w:val="24"/>
          <w:color w:val="auto"/>
        </w:rPr>
      </w:pPr>
    </w:p>
    <w:p>
      <w:pPr>
        <w:ind w:left="448" w:right="4380" w:hanging="448"/>
        <w:spacing w:after="0" w:line="242"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Depositary Shares ("ADSs") evidenced by American Depositary Receipts issuable upon deposit of Ordinary Shares of par value (euro) 0.06 each (the "Ordinary Shares") of ICON plc have been registered on a separate registration statement on Form F-6, Registration No. 333-13442. Each ADS represents one Ordinary Share.</w:t>
      </w:r>
    </w:p>
    <w:p>
      <w:pPr>
        <w:spacing w:after="0" w:line="3" w:lineRule="exact"/>
        <w:rPr>
          <w:rFonts w:ascii="Courier New" w:cs="Courier New" w:eastAsia="Courier New" w:hAnsi="Courier New"/>
          <w:sz w:val="15"/>
          <w:szCs w:val="15"/>
          <w:color w:val="auto"/>
        </w:rPr>
      </w:pPr>
    </w:p>
    <w:p>
      <w:pPr>
        <w:ind w:left="448" w:right="4460" w:hanging="448"/>
        <w:spacing w:after="0" w:line="242"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amount of the registration fee required by the Securities Act of 1933 and computed under Rule 457(c) based upon the average of the high and low prices of the ADSs as reported on The Nasdaq National Market on January 30, 2003.</w:t>
      </w:r>
    </w:p>
    <w:p>
      <w:pPr>
        <w:sectPr>
          <w:pgSz w:w="11900" w:h="16838" w:orient="portrait"/>
          <w:cols w:equalWidth="0" w:num="1">
            <w:col w:w="11528"/>
          </w:cols>
          <w:pgMar w:left="232" w:top="231" w:right="139" w:bottom="0" w:gutter="0" w:footer="0" w:header="0"/>
          <w:type w:val="continuous"/>
        </w:sectPr>
      </w:pPr>
    </w:p>
    <w:bookmarkStart w:id="1" w:name="page2"/>
    <w:bookmarkEnd w:id="1"/>
    <w:p>
      <w:pPr>
        <w:ind w:left="31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3079"/>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4"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Subject to Completion. Dated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2003.</w:t>
            </w:r>
          </w:p>
        </w:tc>
      </w:tr>
    </w:tbl>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[ICON LOGO]</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3,000,000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American Depositary Shares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Representing</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3,000,000 Ordinary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This is an offering of American Depositary Shares, or ADSs, of ICON plc. We are offering 1,500,000 ADSs. The selling shareholders identified in this prospectus are offering an additional 1,500,000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ADSs are quoted on The Nasdaq National Market under the symbol "ICLR." On January 30, 2003, the last reported sale price of our ADSs on The Nasdaq National Market was $28.77 per ADS. Our ordinary shares are listed on the Official List of the Irish Stock Exchange.</w:t>
      </w:r>
    </w:p>
    <w:p>
      <w:pPr>
        <w:spacing w:after="0" w:line="175" w:lineRule="exact"/>
        <w:rPr>
          <w:sz w:val="20"/>
          <w:szCs w:val="20"/>
          <w:color w:val="auto"/>
        </w:rPr>
      </w:pPr>
    </w:p>
    <w:p>
      <w:pPr>
        <w:ind w:right="3259" w:firstLine="537"/>
        <w:spacing w:after="0"/>
        <w:rPr>
          <w:sz w:val="20"/>
          <w:szCs w:val="20"/>
          <w:color w:val="auto"/>
        </w:rPr>
      </w:pPr>
      <w:r>
        <w:rPr>
          <w:rFonts w:ascii="Courier New" w:cs="Courier New" w:eastAsia="Courier New" w:hAnsi="Courier New"/>
          <w:sz w:val="15"/>
          <w:szCs w:val="15"/>
          <w:color w:val="auto"/>
        </w:rPr>
        <w:t>SEE "RISK FACTORS" BEGINNING ON PAGE 5 TO READ ABOUT CERTAIN FACTORS YOU SHOULD CONSIDER BEFORE BUYING THE ADSs.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339" w:firstLine="537"/>
        <w:spacing w:after="0" w:line="241" w:lineRule="auto"/>
        <w:rPr>
          <w:sz w:val="20"/>
          <w:szCs w:val="20"/>
          <w:color w:val="auto"/>
        </w:rPr>
      </w:pPr>
      <w:r>
        <w:rPr>
          <w:rFonts w:ascii="Courier New" w:cs="Courier New" w:eastAsia="Courier New" w:hAnsi="Courier New"/>
          <w:sz w:val="15"/>
          <w:szCs w:val="15"/>
          <w:color w:val="auto"/>
        </w:rPr>
        <w:t>A copy of this document, together with the consents referred to on page 47, has been delivered to the Registrar of Companies in Ireland in accordance with Section 47 of the Companies Act, 1963.</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0" w:right="1440" w:bottom="515" w:gutter="0" w:footer="0" w:header="0"/>
        </w:sectPr>
      </w:pPr>
    </w:p>
    <w:p>
      <w:pPr>
        <w:spacing w:after="0" w:line="174" w:lineRule="exact"/>
        <w:rPr>
          <w:sz w:val="20"/>
          <w:szCs w:val="20"/>
          <w:color w:val="auto"/>
        </w:rPr>
      </w:pPr>
    </w:p>
    <w:p>
      <w:pPr>
        <w:jc w:val="center"/>
        <w:ind w:left="5260"/>
        <w:spacing w:after="0"/>
        <w:rPr>
          <w:sz w:val="20"/>
          <w:szCs w:val="20"/>
          <w:color w:val="auto"/>
        </w:rPr>
      </w:pPr>
      <w:r>
        <w:rPr>
          <w:rFonts w:ascii="Courier New" w:cs="Courier New" w:eastAsia="Courier New" w:hAnsi="Courier New"/>
          <w:sz w:val="15"/>
          <w:szCs w:val="15"/>
          <w:color w:val="auto"/>
        </w:rPr>
        <w:t>Per ADS</w:t>
      </w:r>
    </w:p>
    <w:p>
      <w:pPr>
        <w:spacing w:after="0" w:line="2" w:lineRule="exact"/>
        <w:rPr>
          <w:sz w:val="20"/>
          <w:szCs w:val="20"/>
          <w:color w:val="auto"/>
        </w:rPr>
      </w:pPr>
    </w:p>
    <w:p>
      <w:pPr>
        <w:jc w:val="center"/>
        <w:ind w:left="5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2">
            <w:col w:w="6080" w:space="620"/>
            <w:col w:w="3519"/>
          </w:cols>
          <w:pgMar w:left="240" w:top="140" w:right="1440" w:bottom="51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Initial price to public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 discount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before expenses, to ICON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4" w:lineRule="exact"/>
        <w:rPr>
          <w:sz w:val="20"/>
          <w:szCs w:val="20"/>
          <w:color w:val="auto"/>
        </w:rPr>
      </w:pPr>
    </w:p>
    <w:p>
      <w:pPr>
        <w:sectPr>
          <w:pgSz w:w="11900" w:h="16838" w:orient="portrait"/>
          <w:cols w:equalWidth="0" w:num="3">
            <w:col w:w="4920" w:space="180"/>
            <w:col w:w="620" w:space="720"/>
            <w:col w:w="3779"/>
          </w:cols>
          <w:pgMar w:left="240" w:top="140" w:right="1440" w:bottom="51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Proceeds, before expenses, to the</w:t>
      </w:r>
    </w:p>
    <w:p>
      <w:pPr>
        <w:sectPr>
          <w:pgSz w:w="11900" w:h="16838" w:orient="portrait"/>
          <w:cols w:equalWidth="0" w:num="1">
            <w:col w:w="10219"/>
          </w:cols>
          <w:pgMar w:left="240" w:top="140" w:right="1440" w:bottom="515"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selling shareholders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3">
            <w:col w:w="4920" w:space="180"/>
            <w:col w:w="620" w:space="720"/>
            <w:col w:w="3779"/>
          </w:cols>
          <w:pgMar w:left="240" w:top="140" w:right="1440" w:bottom="515" w:gutter="0" w:footer="0" w:header="0"/>
          <w:type w:val="continuous"/>
        </w:sectPr>
      </w:pPr>
    </w:p>
    <w:p>
      <w:pPr>
        <w:ind w:right="3259" w:firstLine="537"/>
        <w:spacing w:after="0" w:line="242" w:lineRule="auto"/>
        <w:rPr>
          <w:sz w:val="20"/>
          <w:szCs w:val="20"/>
          <w:color w:val="auto"/>
        </w:rPr>
      </w:pPr>
      <w:r>
        <w:rPr>
          <w:rFonts w:ascii="Courier New" w:cs="Courier New" w:eastAsia="Courier New" w:hAnsi="Courier New"/>
          <w:sz w:val="15"/>
          <w:szCs w:val="15"/>
          <w:color w:val="auto"/>
        </w:rPr>
        <w:t>To the extent that the underwriters sell more than 3,000,000 ADSs, the underwriters have the option to purchase up to an additional 450,000 ADSs from the selling shareholders at the initial price to public less the underwriting discount.</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underwriters expect to deliver the ADSs against payment in New York,</w:t>
      </w:r>
    </w:p>
    <w:p>
      <w:pPr>
        <w:spacing w:after="0" w:line="2"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5"/>
          <w:szCs w:val="15"/>
          <w:color w:val="auto"/>
        </w:rPr>
        <w:t>, 2003.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WILLIAM BLAIR &amp; COMPANY</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BEAR, STEARNS &amp; CO. INC.</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4"/>
          <w:szCs w:val="14"/>
          <w:color w:val="auto"/>
        </w:rPr>
        <w:t>DAVY STOCKBROKERS</w:t>
      </w:r>
    </w:p>
    <w:p>
      <w:pPr>
        <w:spacing w:after="0" w:line="18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0" w:right="1440" w:bottom="515" w:gutter="0" w:footer="0" w:header="0"/>
          <w:type w:val="continuous"/>
        </w:sectPr>
      </w:pPr>
    </w:p>
    <w:p>
      <w:pPr>
        <w:spacing w:after="0" w:line="176"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2003.</w:t>
      </w:r>
    </w:p>
    <w:p>
      <w:pPr>
        <w:sectPr>
          <w:pgSz w:w="11900" w:h="16838" w:orient="portrait"/>
          <w:cols w:equalWidth="0" w:num="2">
            <w:col w:w="3660" w:space="720"/>
            <w:col w:w="5839"/>
          </w:cols>
          <w:pgMar w:left="240" w:top="140" w:right="1440" w:bottom="515" w:gutter="0" w:footer="0" w:header="0"/>
          <w:type w:val="continuous"/>
        </w:sectPr>
      </w:pPr>
    </w:p>
    <w:bookmarkStart w:id="2" w:name="page3"/>
    <w:bookmarkEnd w:id="2"/>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3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SUMMARY</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18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ICON PLC</w:t>
      </w:r>
    </w:p>
    <w:p>
      <w:pPr>
        <w:spacing w:after="0" w:line="176" w:lineRule="exact"/>
        <w:rPr>
          <w:sz w:val="20"/>
          <w:szCs w:val="20"/>
          <w:color w:val="auto"/>
        </w:rPr>
      </w:pPr>
    </w:p>
    <w:p>
      <w:pPr>
        <w:ind w:left="8" w:right="3079" w:firstLine="537"/>
        <w:spacing w:after="0" w:line="261" w:lineRule="auto"/>
        <w:rPr>
          <w:sz w:val="20"/>
          <w:szCs w:val="20"/>
          <w:color w:val="auto"/>
        </w:rPr>
      </w:pPr>
      <w:r>
        <w:rPr>
          <w:rFonts w:ascii="Courier New" w:cs="Courier New" w:eastAsia="Courier New" w:hAnsi="Courier New"/>
          <w:sz w:val="14"/>
          <w:szCs w:val="14"/>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believe that we are one of a select group of CROs with the capability and expertise to conduct clinical trials in most major therapeutic areas on a global basis. We have approximately 2,200 employees and operations in 27 locations in 16 countries. Our main regions of operations are the United States, Europe and the Rest of the World. For the six months ended November 30, 2002, we derived approximately 70.3%, 27.1% and 2.6% of our net revenue in the United States, Europe and the Rest of the World, respectively.</w:t>
      </w:r>
    </w:p>
    <w:p>
      <w:pPr>
        <w:spacing w:after="0" w:line="166" w:lineRule="exact"/>
        <w:rPr>
          <w:sz w:val="20"/>
          <w:szCs w:val="20"/>
          <w:color w:val="auto"/>
        </w:rPr>
      </w:pPr>
    </w:p>
    <w:p>
      <w:pPr>
        <w:ind w:left="8" w:right="3079" w:firstLine="537"/>
        <w:spacing w:after="0" w:line="263" w:lineRule="auto"/>
        <w:rPr>
          <w:sz w:val="20"/>
          <w:szCs w:val="20"/>
          <w:color w:val="auto"/>
        </w:rPr>
      </w:pPr>
      <w:r>
        <w:rPr>
          <w:rFonts w:ascii="Courier New" w:cs="Courier New" w:eastAsia="Courier New" w:hAnsi="Courier New"/>
          <w:sz w:val="14"/>
          <w:szCs w:val="14"/>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for fiscal 2002. In 2002 revenue was earned from over 270 clients, including 19 of the top 20 pharmaceutical companies, as ranked by 2001 revenues.</w:t>
      </w:r>
    </w:p>
    <w:p>
      <w:pPr>
        <w:spacing w:after="0" w:line="161" w:lineRule="exact"/>
        <w:rPr>
          <w:sz w:val="20"/>
          <w:szCs w:val="20"/>
          <w:color w:val="auto"/>
        </w:rPr>
      </w:pPr>
    </w:p>
    <w:p>
      <w:pPr>
        <w:ind w:left="8" w:right="3079" w:firstLine="537"/>
        <w:spacing w:after="0" w:line="261" w:lineRule="auto"/>
        <w:rPr>
          <w:sz w:val="20"/>
          <w:szCs w:val="20"/>
          <w:color w:val="auto"/>
        </w:rPr>
      </w:pPr>
      <w:r>
        <w:rPr>
          <w:rFonts w:ascii="Courier New" w:cs="Courier New" w:eastAsia="Courier New" w:hAnsi="Courier New"/>
          <w:sz w:val="14"/>
          <w:szCs w:val="14"/>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67" w:lineRule="exact"/>
        <w:rPr>
          <w:sz w:val="20"/>
          <w:szCs w:val="20"/>
          <w:color w:val="auto"/>
        </w:rPr>
      </w:pPr>
    </w:p>
    <w:p>
      <w:pPr>
        <w:ind w:left="8" w:right="3159" w:firstLine="537"/>
        <w:spacing w:after="0" w:line="242" w:lineRule="auto"/>
        <w:rPr>
          <w:sz w:val="20"/>
          <w:szCs w:val="20"/>
          <w:color w:val="auto"/>
        </w:rPr>
      </w:pPr>
      <w:r>
        <w:rPr>
          <w:rFonts w:ascii="Courier New" w:cs="Courier New" w:eastAsia="Courier New" w:hAnsi="Courier New"/>
          <w:sz w:val="15"/>
          <w:szCs w:val="15"/>
          <w:color w:val="auto"/>
        </w:rPr>
        <w:t>Since inception, we have invested significantly in developing and maintaining a quality system that supports and reinforces our culture of customer focus, client service and high quality output. We were the first major CRO to become ISO 9002 accredited in 1994, and we recently transitioned to the new ISO 9001:2000 standard, which, in addition to validating the system, incorporates total quality management principles into our processes.</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Our principal executive offices are located in South County Business Park, Leopardstown, Dublin 18, Ireland and our telephone number is (353) 1-216-1100. Our principal offices in the United States are located at 212 Church Road, North Wales, PA 19454.</w:t>
      </w:r>
    </w:p>
    <w:p>
      <w:pPr>
        <w:spacing w:after="0" w:line="175"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4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807" w:right="1440" w:bottom="1440" w:gutter="0" w:footer="0" w:header="0"/>
        </w:sectPr>
      </w:pPr>
    </w:p>
    <w:bookmarkStart w:id="3" w:name="page4"/>
    <w:bookmarkEnd w:id="3"/>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0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OFFERING</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Offering price ................</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U.S.$</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per ADSs</w:t>
            </w:r>
          </w:p>
        </w:tc>
        <w:tc>
          <w:tcPr>
            <w:tcW w:w="2320" w:type="dxa"/>
            <w:vAlign w:val="bottom"/>
          </w:tcPr>
          <w:p>
            <w:pPr>
              <w:spacing w:after="0"/>
              <w:rPr>
                <w:sz w:val="14"/>
                <w:szCs w:val="14"/>
                <w:color w:val="auto"/>
              </w:rPr>
            </w:pP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ADSs offered by us ............</w:t>
            </w:r>
          </w:p>
        </w:tc>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1,500,000 ADSs</w:t>
            </w:r>
          </w:p>
        </w:tc>
        <w:tc>
          <w:tcPr>
            <w:tcW w:w="2320" w:type="dxa"/>
            <w:vAlign w:val="bottom"/>
          </w:tcPr>
          <w:p>
            <w:pPr>
              <w:spacing w:after="0"/>
              <w:rPr>
                <w:sz w:val="24"/>
                <w:szCs w:val="24"/>
                <w:color w:val="auto"/>
              </w:rPr>
            </w:pP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ADSs offered by the</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selling shareholders .......</w:t>
            </w:r>
          </w:p>
        </w:tc>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1,500,000 ADSs</w:t>
            </w:r>
          </w:p>
        </w:tc>
        <w:tc>
          <w:tcPr>
            <w:tcW w:w="2320" w:type="dxa"/>
            <w:vAlign w:val="bottom"/>
          </w:tcPr>
          <w:p>
            <w:pPr>
              <w:spacing w:after="0"/>
              <w:rPr>
                <w:sz w:val="14"/>
                <w:szCs w:val="14"/>
                <w:color w:val="auto"/>
              </w:rPr>
            </w:pP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Selling shareholders ..........</w:t>
            </w: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Dr. Ronan Lambe and Dr. John Climax through</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Wineberry Limited, a company controlled by him.</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Ordinary shares outstanding</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after this offering (1) ....</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13,315,637</w:t>
            </w:r>
          </w:p>
        </w:tc>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Ordinary shares per ADS .......</w:t>
            </w: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One. The ADSs are issued pursuant to the</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Deposit Agreement with The Bank of New York,</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dated as of May 20, 1998.</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Option to purchase</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additional ADSs ............</w:t>
            </w: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If the underwriters exercise the option to</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purchase additional ADSs described under the</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heading "Underwriting", the selling</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shareholders may sell up to an additional</w:t>
            </w:r>
          </w:p>
        </w:tc>
      </w:tr>
      <w:tr>
        <w:trPr>
          <w:trHeight w:val="172"/>
        </w:trPr>
        <w:tc>
          <w:tcPr>
            <w:tcW w:w="2860" w:type="dxa"/>
            <w:vAlign w:val="bottom"/>
          </w:tcPr>
          <w:p>
            <w:pPr>
              <w:spacing w:after="0"/>
              <w:rPr>
                <w:sz w:val="14"/>
                <w:szCs w:val="14"/>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450,000 ADSs.</w:t>
            </w:r>
          </w:p>
        </w:tc>
        <w:tc>
          <w:tcPr>
            <w:tcW w:w="2320" w:type="dxa"/>
            <w:vAlign w:val="bottom"/>
          </w:tcPr>
          <w:p>
            <w:pPr>
              <w:spacing w:after="0"/>
              <w:rPr>
                <w:sz w:val="14"/>
                <w:szCs w:val="14"/>
                <w:color w:val="auto"/>
              </w:rPr>
            </w:pP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Lock-up arrangements ..........</w:t>
            </w: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We have agreed with the underwriters, subject</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to certain exceptions, not to dispose of or</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hedge any of our ordinary shares, ADSs or</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securities convertible into or exchangeable for</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ordinary shares or ADSs during the period from</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date of this prospectus continuing through</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date 90 days after the date of this</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prospectus, except with the prior written</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consent of Goldman, Sachs &amp; Co. The selling</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shareholders have agreed with the underwriters,</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subject to certain exceptions, not to dispose</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of or hedge any of our ordinary shares, ADSs or</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securities convertible into or exchangeable for</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ordinary shares or ADSs during the period from</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date of this prospectus continuing through</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 date 180 days after the date of this</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prospectus, except with the prior written</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consent of Goldman, Sachs &amp; Co.</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Use of proceeds ...............</w:t>
            </w: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We estimate that the net proceeds from this</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offering, after deducting underwriting</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discounts and the estimated offering expenses</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payable by us, will be approximately $</w:t>
            </w:r>
          </w:p>
        </w:tc>
      </w:tr>
      <w:tr>
        <w:trPr>
          <w:trHeight w:val="172"/>
        </w:trPr>
        <w:tc>
          <w:tcPr>
            <w:tcW w:w="2860" w:type="dxa"/>
            <w:vAlign w:val="bottom"/>
          </w:tcPr>
          <w:p>
            <w:pPr>
              <w:spacing w:after="0"/>
              <w:rPr>
                <w:sz w:val="14"/>
                <w:szCs w:val="14"/>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million, or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million if the</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underwriters exercise their option to purchase</w:t>
            </w:r>
          </w:p>
        </w:tc>
      </w:tr>
      <w:tr>
        <w:trPr>
          <w:trHeight w:val="172"/>
        </w:trPr>
        <w:tc>
          <w:tcPr>
            <w:tcW w:w="2860" w:type="dxa"/>
            <w:vAlign w:val="bottom"/>
          </w:tcPr>
          <w:p>
            <w:pPr>
              <w:spacing w:after="0"/>
              <w:rPr>
                <w:sz w:val="14"/>
                <w:szCs w:val="14"/>
                <w:color w:val="auto"/>
              </w:rPr>
            </w:pPr>
          </w:p>
        </w:tc>
        <w:tc>
          <w:tcPr>
            <w:tcW w:w="4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additional ADSs in full. We will not receive</w:t>
            </w:r>
          </w:p>
        </w:tc>
      </w:tr>
    </w:tbl>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any of the proceeds from the sale of ADSs by</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the selling shareholders. We intend to use the</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net proceeds from this offering, together with</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our existing cash, cash equivalents, short-term</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investments and cash generated from operations,</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for general corporate purposes, including, but</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not limited to funding the continued growth and</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development of the business, opportunistic</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acquisitions, and working capital requirements.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Please refer to "Use of Proceeds" for further</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discussion of how we intend to use the net</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proceeds from this offering.</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Nasdaq symbol .................. ICLR</w:t>
      </w:r>
    </w:p>
    <w:p>
      <w:pPr>
        <w:spacing w:after="0" w:line="346"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339" w:hanging="359"/>
        <w:spacing w:after="0" w:line="242" w:lineRule="auto"/>
        <w:tabs>
          <w:tab w:leader="none" w:pos="44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calculation of the number of ordinary shares to be outstanding after this offering is based upon the number of ordinary shares outstanding on December 31, 2002. The number of ordinary shares to be outstanding after this offering does not include 965,120 ordinary shares reserved for issuance upon the exercise of stock options outstanding on December 31, 2002.</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4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807" w:right="1440" w:bottom="1440" w:gutter="0" w:footer="0" w:header="0"/>
        </w:sectPr>
      </w:pPr>
    </w:p>
    <w:bookmarkStart w:id="4" w:name="page5"/>
    <w:bookmarkEnd w:id="4"/>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SUMMARY HISTORICAL CONSOLIDATED FINANCIAL DATA</w:t>
      </w:r>
    </w:p>
    <w:p>
      <w:pPr>
        <w:spacing w:after="0" w:line="176" w:lineRule="exact"/>
        <w:rPr>
          <w:sz w:val="20"/>
          <w:szCs w:val="20"/>
          <w:color w:val="auto"/>
        </w:rPr>
      </w:pPr>
    </w:p>
    <w:p>
      <w:pPr>
        <w:ind w:left="8" w:right="4220" w:firstLine="537"/>
        <w:spacing w:after="0" w:line="242" w:lineRule="auto"/>
        <w:rPr>
          <w:sz w:val="20"/>
          <w:szCs w:val="20"/>
          <w:color w:val="auto"/>
        </w:rPr>
      </w:pPr>
      <w:r>
        <w:rPr>
          <w:rFonts w:ascii="Courier New" w:cs="Courier New" w:eastAsia="Courier New" w:hAnsi="Courier New"/>
          <w:sz w:val="15"/>
          <w:szCs w:val="15"/>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six-month periods ended November 30, 2001 and 2002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six-month periods ended November 30, 2001 and 2002.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185" w:lineRule="exact"/>
        <w:rPr>
          <w:sz w:val="20"/>
          <w:szCs w:val="20"/>
          <w:color w:val="auto"/>
        </w:rPr>
      </w:pPr>
    </w:p>
    <w:p>
      <w:pPr>
        <w:ind w:left="8" w:right="4220" w:firstLine="537"/>
        <w:spacing w:after="0" w:line="242" w:lineRule="auto"/>
        <w:rPr>
          <w:sz w:val="20"/>
          <w:szCs w:val="20"/>
          <w:color w:val="auto"/>
        </w:rPr>
      </w:pPr>
      <w:r>
        <w:rPr>
          <w:rFonts w:ascii="Courier New" w:cs="Courier New" w:eastAsia="Courier New" w:hAnsi="Courier New"/>
          <w:sz w:val="15"/>
          <w:szCs w:val="15"/>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177" w:lineRule="exact"/>
        <w:rPr>
          <w:sz w:val="20"/>
          <w:szCs w:val="20"/>
          <w:color w:val="auto"/>
        </w:rPr>
      </w:pPr>
    </w:p>
    <w:p>
      <w:pPr>
        <w:ind w:left="8" w:right="4400" w:firstLine="537"/>
        <w:spacing w:after="0" w:line="242" w:lineRule="auto"/>
        <w:rPr>
          <w:sz w:val="20"/>
          <w:szCs w:val="20"/>
          <w:color w:val="auto"/>
        </w:rPr>
      </w:pPr>
      <w:r>
        <w:rPr>
          <w:rFonts w:ascii="Courier New" w:cs="Courier New" w:eastAsia="Courier New" w:hAnsi="Courier New"/>
          <w:sz w:val="15"/>
          <w:szCs w:val="15"/>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Courier New" w:cs="Courier New" w:eastAsia="Courier New" w:hAnsi="Courier New"/>
                <w:sz w:val="15"/>
                <w:szCs w:val="15"/>
                <w:color w:val="auto"/>
                <w:w w:val="97"/>
              </w:rPr>
              <w:t>YEAR ENDED MAY 31,</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ENDED NOVEMBER 30,</w:t>
            </w:r>
          </w:p>
        </w:tc>
      </w:tr>
      <w:tr>
        <w:trPr>
          <w:trHeight w:val="172"/>
        </w:trPr>
        <w:tc>
          <w:tcPr>
            <w:tcW w:w="33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3"/>
                <w:szCs w:val="3"/>
                <w:color w:val="auto"/>
                <w:w w:val="91"/>
              </w:rPr>
              <w: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4"/>
                <w:szCs w:val="14"/>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(IN THOUSANDS, EXCEPT SHARE AND PER SHARE</w:t>
            </w:r>
          </w:p>
        </w:tc>
        <w:tc>
          <w:tcPr>
            <w:tcW w:w="10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DATA)</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Gross revenue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67,743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98,910</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$ 115,087</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$ 151,832</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$ 218,842</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$ 100,301</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$ 157,065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Subcontractor costs (1) ............</w:t>
            </w:r>
          </w:p>
        </w:tc>
        <w:tc>
          <w:tcPr>
            <w:tcW w:w="3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(22,549)</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(39,003)</w:t>
            </w:r>
          </w:p>
        </w:tc>
        <w:tc>
          <w:tcPr>
            <w:tcW w:w="40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(34,320)</w:t>
            </w:r>
          </w:p>
        </w:tc>
        <w:tc>
          <w:tcPr>
            <w:tcW w:w="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(35,669)</w:t>
            </w:r>
          </w:p>
        </w:tc>
        <w:tc>
          <w:tcPr>
            <w:tcW w:w="26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(62,287)</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(26,313)</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(56,671)</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revenue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45,194</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59,907</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80,767</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116,163</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156,555</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73,988</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100,394</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Direct costs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23,697</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31,662</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42,007</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63,800</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83,371</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39,514</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54,141</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administrative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14,037</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19,200</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27,348</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36,312</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48,951</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23,088</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31,591</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Merger costs (2)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1,617</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1,196</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2,066</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3,264</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4,975</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6,020</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2,878</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3,148</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costs and expenses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38,930</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52,928</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74,236</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105,087</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138,342</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65,480</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88,880</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from operations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6,264</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6,979</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6,531</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11,076</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18,213</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8,508</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11,514</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interest income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2,631</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2,659</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2,519</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1,116</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579</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before provision for</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32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6,453</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9,610</w:t>
            </w:r>
          </w:p>
        </w:tc>
        <w:tc>
          <w:tcPr>
            <w:tcW w:w="40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9,190</w:t>
            </w:r>
          </w:p>
        </w:tc>
        <w:tc>
          <w:tcPr>
            <w:tcW w:w="3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13,595</w:t>
            </w:r>
          </w:p>
        </w:tc>
        <w:tc>
          <w:tcPr>
            <w:tcW w:w="2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19,329</w:t>
            </w:r>
          </w:p>
        </w:tc>
        <w:tc>
          <w:tcPr>
            <w:tcW w:w="1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9,087</w:t>
            </w:r>
          </w:p>
        </w:tc>
        <w:tc>
          <w:tcPr>
            <w:tcW w:w="2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11,773</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Provision for income taxes .........</w:t>
            </w:r>
          </w:p>
        </w:tc>
        <w:tc>
          <w:tcPr>
            <w:tcW w:w="32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(2,110)</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(1,557)</w:t>
            </w:r>
          </w:p>
        </w:tc>
        <w:tc>
          <w:tcPr>
            <w:tcW w:w="40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(3,122)</w:t>
            </w:r>
          </w:p>
        </w:tc>
        <w:tc>
          <w:tcPr>
            <w:tcW w:w="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(2,617)</w:t>
            </w:r>
          </w:p>
        </w:tc>
        <w:tc>
          <w:tcPr>
            <w:tcW w:w="26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(5,129)</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(2,300)</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(3,381)</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(3)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4,343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8,053</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6,068</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10,978</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14,200</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6,787</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8,392</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PER ORDINARY</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SHARE (4):</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Basic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0.56</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0.74</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0.97</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0.59</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0.71</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Diluted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0.51</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0.92</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0.56</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ORDINARY SHARES OUTSTANDING (4):</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Basic ............................</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7,788,349</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10,908,409</w:t>
            </w:r>
          </w:p>
        </w:tc>
        <w:tc>
          <w:tcPr>
            <w:tcW w:w="1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11,050,556</w:t>
            </w:r>
          </w:p>
        </w:tc>
        <w:tc>
          <w:tcPr>
            <w:tcW w:w="11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11,292,610</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11,656,153</w:t>
            </w:r>
          </w:p>
        </w:tc>
        <w:tc>
          <w:tcPr>
            <w:tcW w:w="1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11,507,105</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11,799,125</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Diluted ..........................</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8,805,567</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11,917,605</w:t>
            </w:r>
          </w:p>
        </w:tc>
        <w:tc>
          <w:tcPr>
            <w:tcW w:w="1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11,824,359</w:t>
            </w:r>
          </w:p>
        </w:tc>
        <w:tc>
          <w:tcPr>
            <w:tcW w:w="11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11,943,849</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12,241,820</w:t>
            </w:r>
          </w:p>
        </w:tc>
        <w:tc>
          <w:tcPr>
            <w:tcW w:w="1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12,224,841</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12,143,034</w:t>
            </w:r>
          </w:p>
        </w:tc>
      </w:tr>
      <w:tr>
        <w:trPr>
          <w:trHeight w:val="172"/>
        </w:trPr>
        <w:tc>
          <w:tcPr>
            <w:tcW w:w="334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bl>
    <w:p>
      <w:pPr>
        <w:spacing w:after="0" w:line="174"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34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w:t>
      </w:r>
    </w:p>
    <w:p>
      <w:pPr>
        <w:sectPr>
          <w:pgSz w:w="11900" w:h="16838" w:orient="portrait"/>
          <w:cols w:equalWidth="0" w:num="1">
            <w:col w:w="11368"/>
          </w:cols>
          <w:pgMar w:left="232" w:top="805" w:right="299" w:bottom="850" w:gutter="0" w:footer="0" w:header="0"/>
        </w:sectPr>
      </w:pPr>
    </w:p>
    <w:bookmarkStart w:id="5" w:name="page6"/>
    <w:bookmarkEnd w:id="5"/>
    <w:tbl>
      <w:tblPr>
        <w:tblLayout w:type="fixed"/>
        <w:tblInd w:w="8"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AS OF MAY 31,</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NOVEMBER 30,</w:t>
            </w:r>
          </w:p>
        </w:tc>
      </w:tr>
      <w:tr>
        <w:trPr>
          <w:trHeight w:val="172"/>
        </w:trPr>
        <w:tc>
          <w:tcPr>
            <w:tcW w:w="27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Courier New" w:cs="Courier New" w:eastAsia="Courier New" w:hAnsi="Courier New"/>
                <w:sz w:val="3"/>
                <w:szCs w:val="3"/>
                <w:color w:val="auto"/>
                <w:w w:val="87"/>
              </w:rPr>
              <w:t>----------------------------------------------------</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1998</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11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720" w:type="dxa"/>
            <w:vAlign w:val="bottom"/>
          </w:tcPr>
          <w:p>
            <w:pPr>
              <w:spacing w:after="0"/>
              <w:rPr>
                <w:sz w:val="14"/>
                <w:szCs w:val="14"/>
                <w:color w:val="auto"/>
              </w:rPr>
            </w:pP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Cash and cash equivalents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54,384</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$ 12,353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26,552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$ 11,179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36,291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$ 25,264</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(available for sale) ......</w:t>
            </w:r>
          </w:p>
        </w:tc>
        <w:tc>
          <w:tcPr>
            <w:tcW w:w="32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35,936</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21,405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35,941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18,551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10,877</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Working capital .............</w:t>
            </w:r>
          </w:p>
        </w:tc>
        <w:tc>
          <w:tcPr>
            <w:tcW w:w="32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57,886</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56,944</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61,147</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72,923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68,369</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32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89,981</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95,758</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100,118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128,967</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165,794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186,920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Total debt ..................</w:t>
            </w:r>
          </w:p>
        </w:tc>
        <w:tc>
          <w:tcPr>
            <w:tcW w:w="32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1,312</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3,514</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11,518</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11,745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8,691</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Government grants ...........</w:t>
            </w:r>
          </w:p>
        </w:tc>
        <w:tc>
          <w:tcPr>
            <w:tcW w:w="32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705</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624</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476</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Shareholders' equity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64,074</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$ 71,633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77,053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$ 86,580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107,561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$118,463</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159" w:hanging="359"/>
        <w:spacing w:after="0" w:line="260" w:lineRule="auto"/>
        <w:tabs>
          <w:tab w:leader="none" w:pos="448"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Subcontractor costs comprise investigator payments and certain other costs reimbursed by clients under terms specific to each of our contracts.</w:t>
      </w:r>
    </w:p>
    <w:p>
      <w:pPr>
        <w:ind w:left="448" w:right="3259" w:hanging="359"/>
        <w:spacing w:after="0" w:line="260" w:lineRule="auto"/>
        <w:tabs>
          <w:tab w:leader="none" w:pos="448"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1" w:lineRule="exact"/>
        <w:rPr>
          <w:rFonts w:ascii="Courier New" w:cs="Courier New" w:eastAsia="Courier New" w:hAnsi="Courier New"/>
          <w:sz w:val="14"/>
          <w:szCs w:val="14"/>
          <w:color w:val="auto"/>
        </w:rPr>
      </w:pPr>
    </w:p>
    <w:p>
      <w:pPr>
        <w:ind w:left="448" w:right="3079" w:hanging="359"/>
        <w:spacing w:after="0" w:line="263" w:lineRule="auto"/>
        <w:tabs>
          <w:tab w:leader="none" w:pos="448"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88"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YEAR ENDED MAY 31,</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NOVEMBER 30,</w:t>
            </w:r>
          </w:p>
        </w:tc>
      </w:tr>
      <w:tr>
        <w:trPr>
          <w:trHeight w:val="172"/>
        </w:trPr>
        <w:tc>
          <w:tcPr>
            <w:tcW w:w="2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1"/>
              </w:rPr>
              <w:t>--------------------------------------------</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14"/>
                <w:szCs w:val="14"/>
                <w:color w:val="auto"/>
              </w:rPr>
            </w:pPr>
          </w:p>
        </w:tc>
        <w:tc>
          <w:tcPr>
            <w:tcW w:w="9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2002</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80" w:type="dxa"/>
            <w:vAlign w:val="bottom"/>
            <w:gridSpan w:val="7"/>
          </w:tcPr>
          <w:p>
            <w:pPr>
              <w:jc w:val="right"/>
              <w:ind w:right="425"/>
              <w:spacing w:after="0"/>
              <w:rPr>
                <w:sz w:val="20"/>
                <w:szCs w:val="20"/>
                <w:color w:val="auto"/>
              </w:rPr>
            </w:pPr>
            <w:r>
              <w:rPr>
                <w:rFonts w:ascii="Courier New" w:cs="Courier New" w:eastAsia="Courier New" w:hAnsi="Courier New"/>
                <w:sz w:val="15"/>
                <w:szCs w:val="15"/>
                <w:color w:val="auto"/>
              </w:rPr>
              <w:t>(IN THOUSANDS, EXCEPT PER SHARE DATA)</w:t>
            </w:r>
          </w:p>
        </w:tc>
        <w:tc>
          <w:tcPr>
            <w:tcW w:w="840" w:type="dxa"/>
            <w:vAlign w:val="bottom"/>
          </w:tcPr>
          <w:p>
            <w:pPr>
              <w:spacing w:after="0"/>
              <w:rPr>
                <w:sz w:val="24"/>
                <w:szCs w:val="2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Reported net</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income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$4,343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$8,053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$6,068</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$10,978</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$14,200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$6,787</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$8,392</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Add back goodwill</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amortization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4"/>
                <w:szCs w:val="14"/>
                <w:color w:val="auto"/>
              </w:rPr>
            </w:pP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210</w:t>
            </w:r>
          </w:p>
        </w:tc>
        <w:tc>
          <w:tcPr>
            <w:tcW w:w="2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Adjusted net</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income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$4,343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$8,053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$6,106</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$11,188</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$14,200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$6,787</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$8,392</w:t>
            </w:r>
          </w:p>
        </w:tc>
      </w:tr>
      <w:tr>
        <w:trPr>
          <w:trHeight w:val="172"/>
        </w:trPr>
        <w:tc>
          <w:tcPr>
            <w:tcW w:w="2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Basic net income</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per ordinary</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share reported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$ 0.56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$ 0.74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$ 0.59</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$ 0.71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Add back goodwill</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amortization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0.02</w:t>
            </w:r>
          </w:p>
        </w:tc>
        <w:tc>
          <w:tcPr>
            <w:tcW w:w="2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Adjusted basic net</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income per</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ordinary share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$ 0.56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$ 0.74</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$ 0.59</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$ 0.71</w:t>
            </w:r>
          </w:p>
        </w:tc>
      </w:tr>
      <w:tr>
        <w:trPr>
          <w:trHeight w:val="172"/>
        </w:trPr>
        <w:tc>
          <w:tcPr>
            <w:tcW w:w="2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Diluted net income</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per ordinary</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share reported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$ 0.49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$ 0.68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$ 0.51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$ 0.56</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$ 0.69</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Add back goodwill</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amortization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0.02</w:t>
            </w:r>
          </w:p>
        </w:tc>
        <w:tc>
          <w:tcPr>
            <w:tcW w:w="26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Adjusted diluted</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net income per</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ordinary share .....</w:t>
            </w: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$ 0.49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$ 0.68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$ 0.51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$ 0.56</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$ 0.69</w:t>
            </w:r>
          </w:p>
        </w:tc>
      </w:tr>
      <w:tr>
        <w:trPr>
          <w:trHeight w:val="172"/>
        </w:trPr>
        <w:tc>
          <w:tcPr>
            <w:tcW w:w="2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448" w:right="3159" w:hanging="359"/>
        <w:spacing w:after="0" w:line="267" w:lineRule="auto"/>
        <w:tabs>
          <w:tab w:leader="none" w:pos="448"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ordinary share is based on the weighted average number of outstanding ordinary shares while diluted net income per share is adjusted to include potential ordinary shares from the exercise of options.</w:t>
      </w:r>
    </w:p>
    <w:p>
      <w:pPr>
        <w:spacing w:after="0" w:line="156"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34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1149" w:right="1440" w:bottom="850" w:gutter="0" w:footer="0" w:header="0"/>
        </w:sectPr>
      </w:pPr>
    </w:p>
    <w:bookmarkStart w:id="6" w:name="page7"/>
    <w:bookmarkEnd w:id="6"/>
    <w:p>
      <w:pPr>
        <w:ind w:left="3040"/>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RISKS RELATED TO OUR BUSINESS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WE ARE DEPENDENT ON THE CONTINUED OUTSOURCING OF RESEARCH AND DEVELOPMENT BY THE PHARMACEUTICAL AND BIOTECHNOLOGY INDUSTRIES.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181"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WE DEPEND ON A LIMITED NUMBER OF CLIENTS AND A LOSS OF OR SIGNIFICANT DECREASE IN BUSINESS FROM THEM COULD AFFECT OUR BUSINESS.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180"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IF OUR CLIENTS DISCONTINUE USING OUR SERVICES, OR CANCEL OR DISCONTINUE PROJECTS, OUR REVENUE WILL BE ADVERSELY AFFECTED AND WE MAY NOT RECEIVE THEIR BUSINESS IN THE FUTURE OR MAY NOT BE ABLE TO ATTRACT NEW CLIENTS.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176" w:lineRule="exact"/>
        <w:rPr>
          <w:sz w:val="20"/>
          <w:szCs w:val="20"/>
          <w:color w:val="auto"/>
        </w:rPr>
      </w:pPr>
    </w:p>
    <w:p>
      <w:pPr>
        <w:ind w:left="1060" w:right="3259" w:hanging="532"/>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products being tested to satisfy safety or efficacy requirements;</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or undesired clinical results of the product;</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decision that a particular study is no longer necessary;</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patient enrollment or investigator recruitment; or</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problems resulting in shortages of the drug.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5" w:right="1440" w:bottom="1440" w:gutter="0" w:footer="0" w:header="0"/>
        </w:sectPr>
      </w:pPr>
    </w:p>
    <w:bookmarkStart w:id="7" w:name="page8"/>
    <w:bookmarkEnd w:id="7"/>
    <w:p>
      <w:pPr>
        <w:ind w:right="3079" w:firstLine="537"/>
        <w:spacing w:after="0"/>
        <w:rPr>
          <w:sz w:val="20"/>
          <w:szCs w:val="20"/>
          <w:color w:val="auto"/>
        </w:rPr>
      </w:pPr>
      <w:r>
        <w:rPr>
          <w:rFonts w:ascii="Courier New" w:cs="Courier New" w:eastAsia="Courier New" w:hAnsi="Courier New"/>
          <w:sz w:val="15"/>
          <w:szCs w:val="15"/>
          <w:color w:val="auto"/>
        </w:rPr>
        <w:t>If we lose clients, we may not be able to attract new ones, and if we lose individual projects, we may not be able to replace them.</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market for CROs is highly competitive. We primarily compete against in-house departments of pharmaceutical companies and other CROs including Quintiles Transnational Corporation, Covance, Inc., PAREXEL International Corp., Kendle International Inc., Ingenix Inc. (United Health), Omnicare, Inc., PRA Inc., MDS Inc., Inveresk Research Group,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179" w:lineRule="exact"/>
        <w:rPr>
          <w:sz w:val="20"/>
          <w:szCs w:val="20"/>
          <w:color w:val="auto"/>
        </w:rPr>
      </w:pPr>
    </w:p>
    <w:p>
      <w:pPr>
        <w:ind w:right="3079" w:firstLine="537"/>
        <w:spacing w:after="0" w:line="274" w:lineRule="auto"/>
        <w:rPr>
          <w:sz w:val="20"/>
          <w:szCs w:val="20"/>
          <w:color w:val="auto"/>
        </w:rPr>
      </w:pPr>
      <w:r>
        <w:rPr>
          <w:rFonts w:ascii="Courier New" w:cs="Courier New" w:eastAsia="Courier New" w:hAnsi="Courier New"/>
          <w:sz w:val="14"/>
          <w:szCs w:val="14"/>
          <w:color w:val="auto"/>
        </w:rPr>
        <w:t>Any of these factors may prevent us from getting the opportunity to bid on new projects or prevent us from being competitive in bidding on new contracts.</w:t>
      </w:r>
    </w:p>
    <w:p>
      <w:pPr>
        <w:spacing w:after="0" w:line="15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QUARTERLY RESULTS ARE DEPENDENT UPON A NUMBER OF FACTORS AND CAN FLUCTUATE FROM QUARTER TO QUARTER.</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79"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A SIGNIFICANT PORTION OF OUR NET REVENUE IS EARNED FROM LONG-TERM FIXED-FEE CONTRACTS. WE WOULD LOSE MONEY IN PERFORMING THESE CONTRACTS IF THE COSTS OF PERFORMANCE EXCEED THE FIXED FEES FOR THESE PROJECTS.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significant portion of our net revenue is earned from long-term fixed-fee contracts, and therefore we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WE FAIL TO ATTRACT OR RETAIN QUALIFIED STAFF, OUR PERFORMANCE MAY SUFFER.</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business depends substantially on the performance of our key employees and executive officers. Our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We may not be able to attract a sufficient number of clinical research professionals at an acceptable cost.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7" w:right="1440" w:bottom="1440" w:gutter="0" w:footer="0" w:header="0"/>
        </w:sectPr>
      </w:pPr>
    </w:p>
    <w:bookmarkStart w:id="8" w:name="page9"/>
    <w:bookmarkEnd w:id="8"/>
    <w:p>
      <w:pPr>
        <w:ind w:right="3159"/>
        <w:spacing w:after="0" w:line="241" w:lineRule="auto"/>
        <w:rPr>
          <w:sz w:val="20"/>
          <w:szCs w:val="20"/>
          <w:color w:val="auto"/>
        </w:rPr>
      </w:pPr>
      <w:r>
        <w:rPr>
          <w:rFonts w:ascii="Courier New" w:cs="Courier New" w:eastAsia="Courier New" w:hAnsi="Courier New"/>
          <w:sz w:val="15"/>
          <w:szCs w:val="15"/>
          <w:color w:val="auto"/>
        </w:rPr>
        <w:t>FAILURE TO COMPLY WITH THE REGULATIONS OF THE U.S. FOOD AND DRUG ADMINISTRATION AND OTHER REGULATORY AUTHORITIES COULD RESULT IN SUBSTANTIAL PENALTIES AND/OR LOSS OF BUSINESS.</w:t>
      </w:r>
    </w:p>
    <w:p>
      <w:pPr>
        <w:spacing w:after="0" w:line="176" w:lineRule="exact"/>
        <w:rPr>
          <w:sz w:val="20"/>
          <w:szCs w:val="20"/>
          <w:color w:val="auto"/>
        </w:rPr>
      </w:pPr>
    </w:p>
    <w:p>
      <w:pPr>
        <w:ind w:right="3079" w:firstLine="537"/>
        <w:spacing w:after="0" w:line="263" w:lineRule="auto"/>
        <w:rPr>
          <w:sz w:val="20"/>
          <w:szCs w:val="20"/>
          <w:color w:val="auto"/>
        </w:rPr>
      </w:pPr>
      <w:r>
        <w:rPr>
          <w:rFonts w:ascii="Courier New" w:cs="Courier New" w:eastAsia="Courier New" w:hAnsi="Courier New"/>
          <w:sz w:val="14"/>
          <w:szCs w:val="14"/>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60" w:lineRule="exact"/>
        <w:rPr>
          <w:sz w:val="20"/>
          <w:szCs w:val="20"/>
          <w:color w:val="auto"/>
        </w:rPr>
      </w:pPr>
    </w:p>
    <w:p>
      <w:pPr>
        <w:ind w:left="1060"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research;</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disqualification of data;</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denial of the right to conduct business;</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penalties; and</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enforcement actions.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OUR EXPOSURE TO EXCHANGE RATE FLUCTUATIONS COULD ADVERSELY AFFECT OUR RESULTS OF OPERATIONS.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177"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75"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LIABILITY CLAIMS BROUGHT AGAINST US COULD RESULT IN PAYMENT OF SUBSTANTIAL DAMAGES TO PLAINTIFFS AND DECREASE OUR PROFITABILITY.</w:t>
      </w:r>
    </w:p>
    <w:p>
      <w:pPr>
        <w:spacing w:after="0" w:line="176" w:lineRule="exact"/>
        <w:rPr>
          <w:sz w:val="20"/>
          <w:szCs w:val="20"/>
          <w:color w:val="auto"/>
        </w:rPr>
      </w:pPr>
    </w:p>
    <w:p>
      <w:pPr>
        <w:ind w:right="3339" w:firstLine="537"/>
        <w:spacing w:after="0" w:line="242" w:lineRule="auto"/>
        <w:rPr>
          <w:sz w:val="20"/>
          <w:szCs w:val="20"/>
          <w:color w:val="auto"/>
        </w:rPr>
      </w:pPr>
      <w:r>
        <w:rPr>
          <w:rFonts w:ascii="Courier New" w:cs="Courier New" w:eastAsia="Courier New" w:hAnsi="Courier New"/>
          <w:sz w:val="15"/>
          <w:szCs w:val="15"/>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addition, we may not be able to maintain or continue our current insurance coverage on the same or similar terms. If we are liable for a claim that is beyond the level of insurance coverage, we may be responsible for paying all or part of any award.</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7" w:right="1440" w:bottom="1440" w:gutter="0" w:footer="0" w:header="0"/>
        </w:sectPr>
      </w:pPr>
    </w:p>
    <w:bookmarkStart w:id="9" w:name="page10"/>
    <w:bookmarkEnd w:id="9"/>
    <w:p>
      <w:pPr>
        <w:jc w:val="center"/>
        <w:ind w:right="3079"/>
        <w:spacing w:after="0"/>
        <w:rPr>
          <w:sz w:val="20"/>
          <w:szCs w:val="20"/>
          <w:color w:val="auto"/>
        </w:rPr>
      </w:pPr>
      <w:r>
        <w:rPr>
          <w:rFonts w:ascii="Courier New" w:cs="Courier New" w:eastAsia="Courier New" w:hAnsi="Courier New"/>
          <w:sz w:val="15"/>
          <w:szCs w:val="15"/>
          <w:color w:val="auto"/>
        </w:rPr>
        <w:t>RISKS RELATED TO THIS OFFERING</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IF YOU PURCHASE ADSs IN THIS OFFERING, YOU WILL SUFFER IMMEDIATE AND SUBSTANTIAL DILUTION OF YOUR INVESTMENT.</w:t>
      </w:r>
    </w:p>
    <w:p>
      <w:pPr>
        <w:spacing w:after="0" w:line="176" w:lineRule="exact"/>
        <w:rPr>
          <w:sz w:val="20"/>
          <w:szCs w:val="20"/>
          <w:color w:val="auto"/>
        </w:rPr>
      </w:pPr>
    </w:p>
    <w:p>
      <w:pPr>
        <w:ind w:right="3259" w:firstLine="537"/>
        <w:spacing w:after="0" w:line="260" w:lineRule="auto"/>
        <w:rPr>
          <w:sz w:val="20"/>
          <w:szCs w:val="20"/>
          <w:color w:val="auto"/>
        </w:rPr>
      </w:pPr>
      <w:r>
        <w:rPr>
          <w:rFonts w:ascii="Courier New" w:cs="Courier New" w:eastAsia="Courier New" w:hAnsi="Courier New"/>
          <w:sz w:val="14"/>
          <w:szCs w:val="14"/>
          <w:color w:val="auto"/>
        </w:rPr>
        <w:t>After giving effect to the sale of ADSs in this offering, the number of our ordinary shares outstanding will be 13,315,637 and purchasers of ADSs in this offering will experience an immediate and substantial dilution in the net</w:t>
      </w:r>
    </w:p>
    <w:p>
      <w:pPr>
        <w:spacing w:after="0" w:line="1" w:lineRule="exact"/>
        <w:rPr>
          <w:sz w:val="20"/>
          <w:szCs w:val="20"/>
          <w:color w:val="auto"/>
        </w:rPr>
      </w:pPr>
    </w:p>
    <w:p>
      <w:pPr>
        <w:jc w:val="both"/>
        <w:ind w:right="3339"/>
        <w:spacing w:after="0" w:line="274" w:lineRule="auto"/>
        <w:rPr>
          <w:sz w:val="20"/>
          <w:szCs w:val="20"/>
          <w:color w:val="auto"/>
        </w:rPr>
      </w:pPr>
      <w:r>
        <w:rPr>
          <w:rFonts w:ascii="Courier New" w:cs="Courier New" w:eastAsia="Courier New" w:hAnsi="Courier New"/>
          <w:sz w:val="14"/>
          <w:szCs w:val="14"/>
          <w:color w:val="auto"/>
        </w:rPr>
        <w:t>tangible book value per ordinary share of $ (based on the sale of the ADSs at the public offering price set forth on the cover page of this prospectus).</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HAVE SUBSTANTIAL DISCRETION AS TO HOW TO USE THE PROCEEDS FROM THIS OFFERING.</w:t>
      </w:r>
    </w:p>
    <w:p>
      <w:pPr>
        <w:spacing w:after="0" w:line="185"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175"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FLUCTUATIONS IN THE STOCK MARKET OR GENERAL ECONOMIC CONDITIONS COULD NEGATIVELY AFFECT THE MARKET PRICE OF OUR ADSs.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5" w:right="1440" w:bottom="1440" w:gutter="0" w:footer="0" w:header="0"/>
        </w:sectPr>
      </w:pPr>
    </w:p>
    <w:bookmarkStart w:id="10" w:name="page11"/>
    <w:bookmarkEnd w:id="10"/>
    <w:p>
      <w:pPr>
        <w:ind w:left="1520"/>
        <w:spacing w:after="0"/>
        <w:rPr>
          <w:sz w:val="20"/>
          <w:szCs w:val="20"/>
          <w:color w:val="auto"/>
        </w:rPr>
      </w:pPr>
      <w:r>
        <w:rPr>
          <w:rFonts w:ascii="Courier New" w:cs="Courier New" w:eastAsia="Courier New" w:hAnsi="Courier New"/>
          <w:sz w:val="15"/>
          <w:szCs w:val="15"/>
          <w:color w:val="auto"/>
        </w:rPr>
        <w:t>DISCLOSURE REGARDING FORWARD-LOOKING STATEMENTS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5" w:right="1440" w:bottom="1440" w:gutter="0" w:footer="0" w:header="0"/>
        </w:sectPr>
      </w:pPr>
    </w:p>
    <w:bookmarkStart w:id="11" w:name="page12"/>
    <w:bookmarkEnd w:id="11"/>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079" w:firstLine="537"/>
        <w:spacing w:after="0" w:line="263" w:lineRule="auto"/>
        <w:rPr>
          <w:sz w:val="20"/>
          <w:szCs w:val="20"/>
          <w:color w:val="auto"/>
        </w:rPr>
      </w:pPr>
      <w:r>
        <w:rPr>
          <w:rFonts w:ascii="Courier New" w:cs="Courier New" w:eastAsia="Courier New" w:hAnsi="Courier New"/>
          <w:sz w:val="14"/>
          <w:szCs w:val="14"/>
          <w:color w:val="auto"/>
        </w:rPr>
        <w:t>We estimate that the net proceeds to us from this offering, after deducting underwriting discounts and commissions and the estimated offering expenses payable by us, will be approximately $ million. We intend to use the net proceeds from this offering received by us, together with our existing cash, cash equivalents, short-term investments and cash generated from operations, for general corporate purposes, including, but not limited to funding:</w:t>
      </w:r>
    </w:p>
    <w:p>
      <w:pPr>
        <w:spacing w:after="0" w:line="160" w:lineRule="exact"/>
        <w:rPr>
          <w:sz w:val="20"/>
          <w:szCs w:val="20"/>
          <w:color w:val="auto"/>
        </w:rPr>
      </w:pPr>
    </w:p>
    <w:p>
      <w:pPr>
        <w:ind w:left="1060" w:hanging="532"/>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continued growth and development of the business;</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opportunistic acquisitions; and</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requirements.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management will have broad discretion to allocate the net proceeds from this offering. Pending application of the net proceeds, as described above, we intend to invest the proceeds in investment-grade, short-term, interest-bearing investments with the objective of preserving capital pending its use in the manner described above.</w:t>
      </w:r>
    </w:p>
    <w:p>
      <w:pPr>
        <w:spacing w:after="0" w:line="175" w:lineRule="exact"/>
        <w:rPr>
          <w:sz w:val="20"/>
          <w:szCs w:val="20"/>
          <w:color w:val="auto"/>
        </w:rPr>
      </w:pPr>
    </w:p>
    <w:p>
      <w:pPr>
        <w:ind w:right="3599" w:firstLine="537"/>
        <w:spacing w:after="0"/>
        <w:rPr>
          <w:sz w:val="20"/>
          <w:szCs w:val="20"/>
          <w:color w:val="auto"/>
        </w:rPr>
      </w:pPr>
      <w:r>
        <w:rPr>
          <w:rFonts w:ascii="Courier New" w:cs="Courier New" w:eastAsia="Courier New" w:hAnsi="Courier New"/>
          <w:sz w:val="15"/>
          <w:szCs w:val="15"/>
          <w:color w:val="auto"/>
        </w:rPr>
        <w:t>We will not receive any of the proceeds from the sale of ADSs by the selling shareholders.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05" w:right="1440" w:bottom="1440" w:gutter="0" w:footer="0" w:header="0"/>
        </w:sectPr>
      </w:pPr>
    </w:p>
    <w:bookmarkStart w:id="12" w:name="page13"/>
    <w:bookmarkEnd w:id="12"/>
    <w:p>
      <w:pPr>
        <w:ind w:left="1880"/>
        <w:spacing w:after="0"/>
        <w:rPr>
          <w:sz w:val="20"/>
          <w:szCs w:val="20"/>
          <w:color w:val="auto"/>
        </w:rPr>
      </w:pPr>
      <w:r>
        <w:rPr>
          <w:rFonts w:ascii="Courier New" w:cs="Courier New" w:eastAsia="Courier New" w:hAnsi="Courier New"/>
          <w:sz w:val="15"/>
          <w:szCs w:val="15"/>
          <w:color w:val="auto"/>
        </w:rPr>
        <w:t>PRICE RANGE OF ADSs AND DIVIDEND POLICY</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ADSs are traded on The Nasdaq National Market under the symbol "ICLR." A total of 11,815,637 ordinary shares were issued and outstanding as of December 31, 2002,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ADSs</w:t>
            </w:r>
          </w:p>
        </w:tc>
      </w:tr>
      <w:tr>
        <w:trPr>
          <w:trHeight w:val="172"/>
        </w:trPr>
        <w:tc>
          <w:tcPr>
            <w:tcW w:w="442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NASDAQ</w:t>
            </w:r>
          </w:p>
        </w:tc>
      </w:tr>
      <w:tr>
        <w:trPr>
          <w:trHeight w:val="172"/>
        </w:trPr>
        <w:tc>
          <w:tcPr>
            <w:tcW w:w="442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420" w:type="dxa"/>
            <w:vAlign w:val="bottom"/>
          </w:tcPr>
          <w:p>
            <w:pPr>
              <w:spacing w:after="0"/>
              <w:rPr>
                <w:sz w:val="14"/>
                <w:szCs w:val="14"/>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HIGH</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LOW</w:t>
            </w:r>
          </w:p>
        </w:tc>
      </w:tr>
      <w:tr>
        <w:trPr>
          <w:trHeight w:val="172"/>
        </w:trPr>
        <w:tc>
          <w:tcPr>
            <w:tcW w:w="442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LAST SIX MONTHS:</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January, 2003 (through January 30, 2003)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$26.78</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2002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$22.35</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November, 2002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$22.00</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October, 2002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$18.99</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September, 2002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$19.56</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August, 2002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$18.60</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LAST ELEVEN QUARTERS:</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FISCAL 2003</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$18.99</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FISCAL 2002</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$32.79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$25.13</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$22.93</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$26.74</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$15.38</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$15.38</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$12.19</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LAST FIVE FISCAL YEARS:</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2002 ..........................................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$22.93</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2001 ..........................................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2000 ..........................................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$11.87</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1999 ..........................................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$36.75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w w:val="99"/>
              </w:rPr>
              <w:t>1998 ..........................................</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$23.56</w:t>
            </w:r>
          </w:p>
        </w:tc>
      </w:tr>
    </w:tbl>
    <w:p>
      <w:pPr>
        <w:spacing w:after="0" w:line="176"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Our ordinary shares are also traded on the Official List of the Irish Stock Exchange; however, to date there has been limited trading activity on this exchange.</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5" w:right="1440" w:bottom="1440" w:gutter="0" w:footer="0" w:header="0"/>
        </w:sectPr>
      </w:pPr>
    </w:p>
    <w:bookmarkStart w:id="13" w:name="page14"/>
    <w:bookmarkEnd w:id="13"/>
    <w:p>
      <w:pPr>
        <w:ind w:left="2948"/>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left="8" w:right="3079" w:firstLine="537"/>
        <w:spacing w:after="0"/>
        <w:rPr>
          <w:sz w:val="20"/>
          <w:szCs w:val="20"/>
          <w:color w:val="auto"/>
        </w:rPr>
      </w:pPr>
      <w:r>
        <w:rPr>
          <w:rFonts w:ascii="Courier New" w:cs="Courier New" w:eastAsia="Courier New" w:hAnsi="Courier New"/>
          <w:sz w:val="15"/>
          <w:szCs w:val="15"/>
          <w:color w:val="auto"/>
        </w:rPr>
        <w:t>The following table sets forth, as of November 30, 2002, our cash and cash equivalents, short-term investments, short-term debt and capitalization:</w:t>
      </w:r>
    </w:p>
    <w:p>
      <w:pPr>
        <w:spacing w:after="0" w:line="174" w:lineRule="exact"/>
        <w:rPr>
          <w:sz w:val="20"/>
          <w:szCs w:val="20"/>
          <w:color w:val="auto"/>
        </w:rPr>
      </w:pPr>
    </w:p>
    <w:p>
      <w:pPr>
        <w:ind w:left="1068" w:hanging="532"/>
        <w:spacing w:after="0"/>
        <w:tabs>
          <w:tab w:leader="none" w:pos="10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 actual basis; and</w:t>
      </w:r>
    </w:p>
    <w:p>
      <w:pPr>
        <w:spacing w:after="0" w:line="175" w:lineRule="exact"/>
        <w:rPr>
          <w:rFonts w:ascii="Courier New" w:cs="Courier New" w:eastAsia="Courier New" w:hAnsi="Courier New"/>
          <w:sz w:val="15"/>
          <w:szCs w:val="15"/>
          <w:color w:val="auto"/>
        </w:rPr>
      </w:pPr>
    </w:p>
    <w:p>
      <w:pPr>
        <w:ind w:left="1068" w:right="3259" w:hanging="532"/>
        <w:spacing w:after="0" w:line="260" w:lineRule="auto"/>
        <w:tabs>
          <w:tab w:leader="none" w:pos="106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adjusted to give effect to the issuance and sale of 1,500,000 ADSs by us in this offering at an assumed offering price of $28.77 (based on the last reported sale price of our ADSs on January 30,</w:t>
      </w:r>
    </w:p>
    <w:p>
      <w:pPr>
        <w:ind w:left="10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2003 on the Nasdaq National Market):</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NOVEMBER 30, 2002</w:t>
            </w:r>
          </w:p>
        </w:tc>
      </w:tr>
      <w:tr>
        <w:trPr>
          <w:trHeight w:val="172"/>
        </w:trPr>
        <w:tc>
          <w:tcPr>
            <w:tcW w:w="4780" w:type="dxa"/>
            <w:vAlign w:val="bottom"/>
          </w:tcPr>
          <w:p>
            <w:pPr>
              <w:spacing w:after="0"/>
              <w:rPr>
                <w:sz w:val="14"/>
                <w:szCs w:val="14"/>
                <w:color w:val="auto"/>
              </w:rPr>
            </w:pPr>
          </w:p>
        </w:tc>
        <w:tc>
          <w:tcPr>
            <w:tcW w:w="23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ACTUAL</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AS ADJUSTED</w:t>
            </w:r>
          </w:p>
        </w:tc>
      </w:tr>
      <w:tr>
        <w:trPr>
          <w:trHeight w:val="172"/>
        </w:trPr>
        <w:tc>
          <w:tcPr>
            <w:tcW w:w="4780" w:type="dxa"/>
            <w:vAlign w:val="bottom"/>
          </w:tcPr>
          <w:p>
            <w:pPr>
              <w:spacing w:after="0"/>
              <w:rPr>
                <w:sz w:val="14"/>
                <w:szCs w:val="14"/>
                <w:color w:val="auto"/>
              </w:rPr>
            </w:pP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and cash equivalents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25,264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25,264</w:t>
            </w:r>
          </w:p>
        </w:tc>
      </w:tr>
      <w:tr>
        <w:trPr>
          <w:trHeight w:val="172"/>
        </w:trPr>
        <w:tc>
          <w:tcPr>
            <w:tcW w:w="4780" w:type="dxa"/>
            <w:vAlign w:val="bottom"/>
          </w:tcPr>
          <w:p>
            <w:pPr>
              <w:spacing w:after="0"/>
              <w:rPr>
                <w:sz w:val="14"/>
                <w:szCs w:val="14"/>
                <w:color w:val="auto"/>
              </w:rPr>
            </w:pP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Short-term investments (available for sale)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10,877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50,449</w:t>
            </w:r>
          </w:p>
        </w:tc>
      </w:tr>
      <w:tr>
        <w:trPr>
          <w:trHeight w:val="172"/>
        </w:trPr>
        <w:tc>
          <w:tcPr>
            <w:tcW w:w="4780" w:type="dxa"/>
            <w:vAlign w:val="bottom"/>
          </w:tcPr>
          <w:p>
            <w:pPr>
              <w:spacing w:after="0"/>
              <w:rPr>
                <w:sz w:val="14"/>
                <w:szCs w:val="14"/>
                <w:color w:val="auto"/>
              </w:rPr>
            </w:pP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 short-term debt (1)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8,691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8,691</w:t>
            </w:r>
          </w:p>
        </w:tc>
      </w:tr>
      <w:tr>
        <w:trPr>
          <w:trHeight w:val="172"/>
        </w:trPr>
        <w:tc>
          <w:tcPr>
            <w:tcW w:w="4780" w:type="dxa"/>
            <w:vAlign w:val="bottom"/>
          </w:tcPr>
          <w:p>
            <w:pPr>
              <w:spacing w:after="0"/>
              <w:rPr>
                <w:sz w:val="14"/>
                <w:szCs w:val="14"/>
                <w:color w:val="auto"/>
              </w:rPr>
            </w:pP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Ordinary shares, par value (euro) 0.06 per share:</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20,000,000 shares authorized; 11,814,117</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fully-paid shares issued and outstanding</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(actual); 13,314,117 fully-paid shares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issued and outstanding (as adjusted) .............</w:t>
            </w:r>
          </w:p>
        </w:tc>
        <w:tc>
          <w:tcPr>
            <w:tcW w:w="2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840</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Additional paid-in capital .........................</w:t>
            </w:r>
          </w:p>
        </w:tc>
        <w:tc>
          <w:tcPr>
            <w:tcW w:w="2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60,638</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100,120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w:t>
            </w:r>
          </w:p>
        </w:tc>
        <w:tc>
          <w:tcPr>
            <w:tcW w:w="22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Merger reserve .....................................</w:t>
            </w:r>
          </w:p>
        </w:tc>
        <w:tc>
          <w:tcPr>
            <w:tcW w:w="2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2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57,180</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57,180</w:t>
            </w:r>
          </w:p>
        </w:tc>
      </w:tr>
      <w:tr>
        <w:trPr>
          <w:trHeight w:val="172"/>
        </w:trPr>
        <w:tc>
          <w:tcPr>
            <w:tcW w:w="4780" w:type="dxa"/>
            <w:vAlign w:val="bottom"/>
          </w:tcPr>
          <w:p>
            <w:pPr>
              <w:spacing w:after="0"/>
              <w:rPr>
                <w:sz w:val="14"/>
                <w:szCs w:val="14"/>
                <w:color w:val="auto"/>
              </w:rPr>
            </w:pP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 shareholders' equity .........................</w:t>
            </w:r>
          </w:p>
        </w:tc>
        <w:tc>
          <w:tcPr>
            <w:tcW w:w="2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118,463</w:t>
            </w:r>
          </w:p>
        </w:tc>
        <w:tc>
          <w:tcPr>
            <w:tcW w:w="22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158,035</w:t>
            </w:r>
          </w:p>
        </w:tc>
      </w:tr>
      <w:tr>
        <w:trPr>
          <w:trHeight w:val="172"/>
        </w:trPr>
        <w:tc>
          <w:tcPr>
            <w:tcW w:w="4780" w:type="dxa"/>
            <w:vAlign w:val="bottom"/>
          </w:tcPr>
          <w:p>
            <w:pPr>
              <w:spacing w:after="0"/>
              <w:rPr>
                <w:sz w:val="14"/>
                <w:szCs w:val="14"/>
                <w:color w:val="auto"/>
              </w:rPr>
            </w:pP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Total capitalization ...............................</w:t>
            </w: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$ 127,154</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$ 166,726</w:t>
            </w:r>
          </w:p>
        </w:tc>
      </w:tr>
      <w:tr>
        <w:trPr>
          <w:trHeight w:val="172"/>
        </w:trPr>
        <w:tc>
          <w:tcPr>
            <w:tcW w:w="4780" w:type="dxa"/>
            <w:vAlign w:val="bottom"/>
          </w:tcPr>
          <w:p>
            <w:pPr>
              <w:spacing w:after="0"/>
              <w:rPr>
                <w:sz w:val="14"/>
                <w:szCs w:val="14"/>
                <w:color w:val="auto"/>
              </w:rPr>
            </w:pP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339" w:hanging="359"/>
        <w:spacing w:after="0" w:line="241" w:lineRule="auto"/>
        <w:tabs>
          <w:tab w:leader="none" w:pos="448"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discussion of our indebtedness, see "Management's Discussion and Analysis of Financial Condition and Results of Operations--Liquidity and Capital Resources".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805" w:right="1440" w:bottom="1440" w:gutter="0" w:footer="0" w:header="0"/>
        </w:sectPr>
      </w:pPr>
    </w:p>
    <w:bookmarkStart w:id="14" w:name="page15"/>
    <w:bookmarkEnd w:id="14"/>
    <w:p>
      <w:pPr>
        <w:ind w:left="3228"/>
        <w:spacing w:after="0"/>
        <w:rPr>
          <w:sz w:val="20"/>
          <w:szCs w:val="20"/>
          <w:color w:val="auto"/>
        </w:rPr>
      </w:pPr>
      <w:r>
        <w:rPr>
          <w:rFonts w:ascii="Courier New" w:cs="Courier New" w:eastAsia="Courier New" w:hAnsi="Courier New"/>
          <w:sz w:val="15"/>
          <w:szCs w:val="15"/>
          <w:color w:val="auto"/>
        </w:rPr>
        <w:t>DILUTION</w:t>
      </w:r>
    </w:p>
    <w:p>
      <w:pPr>
        <w:spacing w:after="0" w:line="176" w:lineRule="exact"/>
        <w:rPr>
          <w:sz w:val="20"/>
          <w:szCs w:val="20"/>
          <w:color w:val="auto"/>
        </w:rPr>
      </w:pPr>
    </w:p>
    <w:p>
      <w:pPr>
        <w:ind w:left="8" w:right="3079" w:firstLine="537"/>
        <w:spacing w:after="0" w:line="261" w:lineRule="auto"/>
        <w:rPr>
          <w:sz w:val="20"/>
          <w:szCs w:val="20"/>
          <w:color w:val="auto"/>
        </w:rPr>
      </w:pPr>
      <w:r>
        <w:rPr>
          <w:rFonts w:ascii="Courier New" w:cs="Courier New" w:eastAsia="Courier New" w:hAnsi="Courier New"/>
          <w:sz w:val="14"/>
          <w:szCs w:val="14"/>
          <w:color w:val="auto"/>
        </w:rPr>
        <w:t>As of November 30, 2002, our net tangible book value was $97.7 million, or $8.27 per ordinary share. Net tangible book value per ordinary share represents total consolidated tangible assets less total consolidated liabilities, divided by the aggregate number of ordinary shares outstanding. After giving effect to our sale of the ADSs in this offering, at an assumed public offering price of $28.77 per ADS, and after deducting estimated underwriting discounts and estimated offering expenses payable by us, our pro forma net tangible book value as of November 30, 2002, would have been approximately $137.3 million, or $10.31 per ordinary share. This represents an immediate increase in pro forma net tangible book value to existing stockholders of $2.04 per ordinary share and an immediate dilution to new investors of $18.46 per ordinary share.</w:t>
      </w:r>
    </w:p>
    <w:p>
      <w:pPr>
        <w:spacing w:after="0" w:line="165"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The following table illustrates this per ADS dilution:</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Public offering price per ADS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$ 28.77</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Net tangible book value per ordinary share as of</w:t>
            </w:r>
          </w:p>
        </w:tc>
        <w:tc>
          <w:tcPr>
            <w:tcW w:w="1780" w:type="dxa"/>
            <w:vAlign w:val="bottom"/>
          </w:tcPr>
          <w:p>
            <w:pPr>
              <w:spacing w:after="0"/>
              <w:rPr>
                <w:sz w:val="14"/>
                <w:szCs w:val="14"/>
                <w:color w:val="auto"/>
              </w:rPr>
            </w:pPr>
          </w:p>
        </w:tc>
      </w:tr>
      <w:tr>
        <w:trPr>
          <w:trHeight w:val="172"/>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November 30, 2002(1)</w:t>
            </w:r>
          </w:p>
        </w:tc>
        <w:tc>
          <w:tcPr>
            <w:tcW w:w="17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$ 8.27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Increase in net tangible book value per ordinary share</w:t>
            </w:r>
          </w:p>
        </w:tc>
        <w:tc>
          <w:tcPr>
            <w:tcW w:w="178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attributable to this offering</w:t>
            </w:r>
          </w:p>
        </w:tc>
        <w:tc>
          <w:tcPr>
            <w:tcW w:w="17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$ 2.04</w:t>
            </w:r>
          </w:p>
        </w:tc>
      </w:tr>
      <w:tr>
        <w:trPr>
          <w:trHeight w:val="172"/>
        </w:trPr>
        <w:tc>
          <w:tcPr>
            <w:tcW w:w="5360" w:type="dxa"/>
            <w:vAlign w:val="bottom"/>
          </w:tcPr>
          <w:p>
            <w:pPr>
              <w:spacing w:after="0"/>
              <w:rPr>
                <w:sz w:val="14"/>
                <w:szCs w:val="14"/>
                <w:color w:val="auto"/>
              </w:rPr>
            </w:pPr>
          </w:p>
        </w:tc>
        <w:tc>
          <w:tcPr>
            <w:tcW w:w="17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 forma net tangible book value per ordinary share after</w:t>
            </w:r>
          </w:p>
        </w:tc>
        <w:tc>
          <w:tcPr>
            <w:tcW w:w="178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giving effect to this offering</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$ 10.31</w:t>
            </w:r>
          </w:p>
        </w:tc>
      </w:tr>
      <w:tr>
        <w:trPr>
          <w:trHeight w:val="172"/>
        </w:trPr>
        <w:tc>
          <w:tcPr>
            <w:tcW w:w="53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Dilution in net tangible book value per ordinary share</w:t>
            </w:r>
          </w:p>
        </w:tc>
        <w:tc>
          <w:tcPr>
            <w:tcW w:w="178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to new investors (2)</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$ 18.46</w:t>
            </w:r>
          </w:p>
        </w:tc>
      </w:tr>
      <w:tr>
        <w:trPr>
          <w:trHeight w:val="172"/>
        </w:trPr>
        <w:tc>
          <w:tcPr>
            <w:tcW w:w="53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left="8" w:right="3339" w:firstLine="537"/>
        <w:spacing w:after="0" w:line="242" w:lineRule="auto"/>
        <w:rPr>
          <w:sz w:val="20"/>
          <w:szCs w:val="20"/>
          <w:color w:val="auto"/>
        </w:rPr>
      </w:pPr>
      <w:r>
        <w:rPr>
          <w:rFonts w:ascii="Courier New" w:cs="Courier New" w:eastAsia="Courier New" w:hAnsi="Courier New"/>
          <w:sz w:val="15"/>
          <w:szCs w:val="15"/>
          <w:color w:val="auto"/>
        </w:rPr>
        <w:t>As of November 30, 2002, there were options outstanding to purchase a total of 966,640 ordinary shares. To the extent that any of these options are exercised or shares are issued, there will be further dilution to new public investors.</w:t>
      </w:r>
    </w:p>
    <w:p>
      <w:pPr>
        <w:spacing w:after="0" w:line="173"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159" w:hanging="359"/>
        <w:spacing w:after="0"/>
        <w:tabs>
          <w:tab w:leader="none" w:pos="44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as of November 30, 2002 were $20.8 million, or $1.76 per ordinary share.</w:t>
      </w:r>
    </w:p>
    <w:p>
      <w:pPr>
        <w:spacing w:after="0" w:line="4" w:lineRule="exact"/>
        <w:rPr>
          <w:rFonts w:ascii="Courier New" w:cs="Courier New" w:eastAsia="Courier New" w:hAnsi="Courier New"/>
          <w:sz w:val="15"/>
          <w:szCs w:val="15"/>
          <w:color w:val="auto"/>
        </w:rPr>
      </w:pPr>
    </w:p>
    <w:p>
      <w:pPr>
        <w:jc w:val="both"/>
        <w:ind w:left="448" w:right="3079" w:hanging="359"/>
        <w:spacing w:after="0" w:line="241" w:lineRule="auto"/>
        <w:tabs>
          <w:tab w:leader="none" w:pos="44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Dilution is determined by subtracting pro forma net tangible book value per ordinary share after giving effect to the offering from the public offering price per ADS paid by a new investor.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805" w:right="1440" w:bottom="1440" w:gutter="0" w:footer="0" w:header="0"/>
        </w:sectPr>
      </w:pPr>
    </w:p>
    <w:bookmarkStart w:id="15" w:name="page16"/>
    <w:bookmarkEnd w:id="15"/>
    <w:p>
      <w:pPr>
        <w:jc w:val="center"/>
        <w:ind w:right="2999"/>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537"/>
        <w:spacing w:after="0" w:line="260" w:lineRule="auto"/>
        <w:rPr>
          <w:sz w:val="20"/>
          <w:szCs w:val="20"/>
          <w:color w:val="auto"/>
        </w:rPr>
      </w:pPr>
      <w:r>
        <w:rPr>
          <w:rFonts w:ascii="Courier New" w:cs="Courier New" w:eastAsia="Courier New" w:hAnsi="Courier New"/>
          <w:sz w:val="14"/>
          <w:szCs w:val="14"/>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2,200 employees and operations in 27 locations in 16 countries. Our main regions of operations are the United States, Europe and the Rest of the World. For the six months ended November 30, 2002, we derived approximately</w:t>
      </w:r>
    </w:p>
    <w:p>
      <w:pPr>
        <w:spacing w:after="0" w:line="2"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70.3%, 27.1% and 2.6% of our net revenue in the United States, Europe and the Rest of the World, respectively.</w:t>
      </w:r>
    </w:p>
    <w:p>
      <w:pPr>
        <w:spacing w:after="0" w:line="176" w:lineRule="exact"/>
        <w:rPr>
          <w:sz w:val="20"/>
          <w:szCs w:val="20"/>
          <w:color w:val="auto"/>
        </w:rPr>
      </w:pPr>
    </w:p>
    <w:p>
      <w:pPr>
        <w:ind w:right="3599" w:firstLine="537"/>
        <w:spacing w:after="0"/>
        <w:rPr>
          <w:sz w:val="20"/>
          <w:szCs w:val="20"/>
          <w:color w:val="auto"/>
        </w:rPr>
      </w:pPr>
      <w:r>
        <w:rPr>
          <w:rFonts w:ascii="Courier New" w:cs="Courier New" w:eastAsia="Courier New" w:hAnsi="Courier New"/>
          <w:sz w:val="15"/>
          <w:szCs w:val="15"/>
          <w:color w:val="auto"/>
        </w:rPr>
        <w:t>Since January 2000, we have also expanded our operations through the acquisition of:</w:t>
      </w:r>
    </w:p>
    <w:p>
      <w:pPr>
        <w:spacing w:after="0" w:line="174" w:lineRule="exact"/>
        <w:rPr>
          <w:sz w:val="20"/>
          <w:szCs w:val="20"/>
          <w:color w:val="auto"/>
        </w:rPr>
      </w:pPr>
    </w:p>
    <w:p>
      <w:pPr>
        <w:ind w:left="1060" w:hanging="532"/>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PRAI, a clinical research organization based in San Francisco;</w:t>
      </w:r>
    </w:p>
    <w:p>
      <w:pPr>
        <w:spacing w:after="0" w:line="175" w:lineRule="exact"/>
        <w:rPr>
          <w:rFonts w:ascii="Courier New" w:cs="Courier New" w:eastAsia="Courier New" w:hAnsi="Courier New"/>
          <w:sz w:val="15"/>
          <w:szCs w:val="15"/>
          <w:color w:val="auto"/>
        </w:rPr>
      </w:pPr>
    </w:p>
    <w:p>
      <w:pPr>
        <w:ind w:left="1060" w:right="3519" w:hanging="532"/>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YRCR Limited, or YRCR, a regulatory company based in the United Kingdom;</w:t>
      </w:r>
    </w:p>
    <w:p>
      <w:pPr>
        <w:spacing w:after="0" w:line="176" w:lineRule="exact"/>
        <w:rPr>
          <w:rFonts w:ascii="Courier New" w:cs="Courier New" w:eastAsia="Courier New" w:hAnsi="Courier New"/>
          <w:sz w:val="15"/>
          <w:szCs w:val="15"/>
          <w:color w:val="auto"/>
        </w:rPr>
      </w:pPr>
    </w:p>
    <w:p>
      <w:pPr>
        <w:ind w:left="1060" w:right="3259" w:hanging="532"/>
        <w:spacing w:after="0" w:line="241" w:lineRule="auto"/>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Protocole SAS, or Protocole, a clinical research organization specializing in the execution of veterinary trials based in Paris, France;</w:t>
      </w:r>
    </w:p>
    <w:p>
      <w:pPr>
        <w:spacing w:after="0" w:line="176" w:lineRule="exact"/>
        <w:rPr>
          <w:rFonts w:ascii="Courier New" w:cs="Courier New" w:eastAsia="Courier New" w:hAnsi="Courier New"/>
          <w:sz w:val="15"/>
          <w:szCs w:val="15"/>
          <w:color w:val="auto"/>
        </w:rPr>
      </w:pPr>
    </w:p>
    <w:p>
      <w:pPr>
        <w:ind w:left="1060" w:right="3079" w:hanging="532"/>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UCT (U.S.), Inc., or UCT, a central laboratory organization based in New York, New York;</w:t>
      </w:r>
    </w:p>
    <w:p>
      <w:pPr>
        <w:spacing w:after="0" w:line="176" w:lineRule="exact"/>
        <w:rPr>
          <w:rFonts w:ascii="Courier New" w:cs="Courier New" w:eastAsia="Courier New" w:hAnsi="Courier New"/>
          <w:sz w:val="15"/>
          <w:szCs w:val="15"/>
          <w:color w:val="auto"/>
        </w:rPr>
      </w:pPr>
    </w:p>
    <w:p>
      <w:pPr>
        <w:ind w:left="1060" w:right="3339" w:hanging="532"/>
        <w:spacing w:after="0" w:line="241" w:lineRule="auto"/>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Barton &amp; Polansky Associates, Inc., or BPA, and Managed Clinical Solutions, Inc., or MCS, clinical research organizations based in New York, New York; and</w:t>
      </w:r>
    </w:p>
    <w:p>
      <w:pPr>
        <w:spacing w:after="0" w:line="176" w:lineRule="exact"/>
        <w:rPr>
          <w:rFonts w:ascii="Courier New" w:cs="Courier New" w:eastAsia="Courier New" w:hAnsi="Courier New"/>
          <w:sz w:val="15"/>
          <w:szCs w:val="15"/>
          <w:color w:val="auto"/>
        </w:rPr>
      </w:pPr>
    </w:p>
    <w:p>
      <w:pPr>
        <w:ind w:left="1060" w:right="3159" w:hanging="532"/>
        <w:spacing w:after="0"/>
        <w:tabs>
          <w:tab w:leader="none" w:pos="10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Medeval Group Limited, or Medeval, a specialist provider of Phase I clinical trials based in Manchester, United Kingdom.</w:t>
      </w:r>
    </w:p>
    <w:p>
      <w:pPr>
        <w:spacing w:after="0" w:line="176"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66" w:lineRule="exact"/>
        <w:rPr>
          <w:sz w:val="20"/>
          <w:szCs w:val="20"/>
          <w:color w:val="auto"/>
        </w:rPr>
      </w:pPr>
    </w:p>
    <w:p>
      <w:pPr>
        <w:ind w:right="3339" w:firstLine="537"/>
        <w:spacing w:after="0" w:line="241" w:lineRule="auto"/>
        <w:rPr>
          <w:sz w:val="20"/>
          <w:szCs w:val="20"/>
          <w:color w:val="auto"/>
        </w:rPr>
      </w:pPr>
      <w:r>
        <w:rPr>
          <w:rFonts w:ascii="Courier New" w:cs="Courier New" w:eastAsia="Courier New" w:hAnsi="Courier New"/>
          <w:sz w:val="15"/>
          <w:szCs w:val="15"/>
          <w:color w:val="auto"/>
        </w:rPr>
        <w:t>Direct costs consist primarily of compensation and associated fringe benefits for project-related employees and other direct project driven costs. Selling, general and administrative expenses consist of</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5" w:right="1440" w:bottom="1440" w:gutter="0" w:footer="0" w:header="0"/>
        </w:sectPr>
      </w:pPr>
    </w:p>
    <w:bookmarkStart w:id="16" w:name="page17"/>
    <w:bookmarkEnd w:id="16"/>
    <w:p>
      <w:pPr>
        <w:ind w:right="3439"/>
        <w:spacing w:after="0" w:line="241" w:lineRule="auto"/>
        <w:rPr>
          <w:sz w:val="20"/>
          <w:szCs w:val="20"/>
          <w:color w:val="auto"/>
        </w:rPr>
      </w:pPr>
      <w:r>
        <w:rPr>
          <w:rFonts w:ascii="Courier New" w:cs="Courier New" w:eastAsia="Courier New" w:hAnsi="Courier New"/>
          <w:sz w:val="15"/>
          <w:szCs w:val="15"/>
          <w:color w:val="auto"/>
        </w:rPr>
        <w:t>compensation and related fringe benefits for selling and administrative employees, professional services, advertising costs and all costs related to facilities and information systems.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addition to translation exposures, we are also subject to transaction exposures because the currency in which contracts are priced can be different from the currencies in which costs relating to those contracts are incurred. We have ten operations trading in U.S. dollars, four trading in euro, three in pounds sterling, and one each in Australian dollars, Singapore dollars, Japanese Yen, Israeli Shekels, Latvian Lats, Swedish Krona, South African Rand, Argentine Pesos, Indian Rupees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188"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have received capital and revenue grants from Enterprise Ireland.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November 30, 2002, we have received $1,150,305 and $1,045,348 under the capital grants and operating grants, respectively. Pursuant to the terms of the grant agreements we are restricted from distributing some of these amounts by way of dividend or otherwise.</w:t>
      </w:r>
    </w:p>
    <w:p>
      <w:pPr>
        <w:spacing w:after="0" w:line="182"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7"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44"/>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NOVEMBER 30, 2002 COMPARED TO</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2"/>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NOVEMBER 30, 2001</w:t>
            </w: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44"/>
        </w:trPr>
        <w:tc>
          <w:tcPr>
            <w:tcW w:w="290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NOVEMBER 30,</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NOVEMBER 30,</w:t>
            </w:r>
          </w:p>
        </w:tc>
        <w:tc>
          <w:tcPr>
            <w:tcW w:w="17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900" w:type="dxa"/>
            <w:vAlign w:val="bottom"/>
          </w:tcPr>
          <w:p>
            <w:pPr>
              <w:spacing w:after="0"/>
              <w:rPr>
                <w:sz w:val="14"/>
                <w:szCs w:val="14"/>
                <w:color w:val="auto"/>
              </w:rPr>
            </w:pPr>
          </w:p>
        </w:tc>
        <w:tc>
          <w:tcPr>
            <w:tcW w:w="1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TO 2002</w:t>
            </w:r>
          </w:p>
        </w:tc>
      </w:tr>
      <w:tr>
        <w:trPr>
          <w:trHeight w:val="172"/>
        </w:trPr>
        <w:tc>
          <w:tcPr>
            <w:tcW w:w="2900" w:type="dxa"/>
            <w:vAlign w:val="bottom"/>
          </w:tcPr>
          <w:p>
            <w:pPr>
              <w:spacing w:after="0"/>
              <w:rPr>
                <w:sz w:val="14"/>
                <w:szCs w:val="1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PERCENTAGE OF NET REVENUE</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PERCENTAGE INCREASE</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Net revenue ....................</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7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35.7%</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 costs .................</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53.9%</w:t>
            </w:r>
          </w:p>
        </w:tc>
        <w:tc>
          <w:tcPr>
            <w:tcW w:w="17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37.0%</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2"/>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administrative .............</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31.5%</w:t>
            </w:r>
          </w:p>
        </w:tc>
        <w:tc>
          <w:tcPr>
            <w:tcW w:w="17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36.8%</w:t>
            </w:r>
          </w:p>
        </w:tc>
      </w:tr>
      <w:tr>
        <w:trPr>
          <w:trHeight w:val="172"/>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w w:val="99"/>
              </w:rPr>
              <w:t>Depreciation .................</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3.9%</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17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9.4%</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 .........</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11.5%</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w:t>
            </w:r>
          </w:p>
        </w:tc>
        <w:tc>
          <w:tcPr>
            <w:tcW w:w="17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35.3%</w:t>
            </w:r>
          </w:p>
        </w:tc>
      </w:tr>
    </w:tbl>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Net revenue increased by $26.4 million, or 35.7%, from $74.0 million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$100.4 million. This increase arose through a combination of increased business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existing clients, business won from new clients and revenues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(comprising BPA and MCS) not included in the comparative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additional revenues from these acquisitions were $3.5 million for the two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November 30, 2002. Of the total increase, revenues in the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States and Europe/Rest of World grew by 41.0% and 24.5%, respectively.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November 30, 2002, net revenue for our central laboratory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grew from $11.4 million to $13.2 million, or 16.0% over the comparable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in fiscal 2002, while our clinical research segment grew from $62.6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to $87.2 million, or by 39.3% in the same period. The growth in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laboratory segment was lower due to a higher than normal level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 cancellations in the first quarter 2003.</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Direct costs increased by $14.6 million, or 37.0%, from $39.5 million to $54.1 million, primarily due to increased staff numbers needed to support increased project related activity and increased costs arising from the acquisitions amounting to $2.1 million. Direct costs as a percentage of net revenue increased from 53.4% in the six months to November 30, 2001, to 53.9% for the six months ended November 30, 2002 or 53.7% when the effects of acquisitions have been excluded.</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Selling, general and administrative expenses increased by $8.5 million, or 36.8%, from $23.1 million to $31.6 million. The increase in costs is due to the continued expansion of our operations and additional selling, general and administrative costs from acquisitions of $1.0 million not included in the comparative period. As a percentage of net revenue, selling, general and administrative expenses increased from 31.2% in the six months to November 30, 2001, to 31.5% for the six months ended November 30, 2002 or 31.6% when the effects of acquisitions have been excluded.</w:t>
      </w:r>
    </w:p>
    <w:p>
      <w:pPr>
        <w:spacing w:after="0" w:line="177"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Depreciation increased by $0.3 million, or 9.4%, over the comparable period in fiscal 2002. This increase is due to the continued investment in facilities and information technology to support the growth in activity and in providing for future capacity. As a percentage of net revenue, depreciation decreased from 3.9% of net revenues in the six months to November 30, 2001, to 3.1% for the six months ended November 30, 2002 or 3.3% when the effects of acquisitions have been excluded.</w:t>
      </w:r>
    </w:p>
    <w:p>
      <w:pPr>
        <w:spacing w:after="0" w:line="177"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Income from operations increased by $3.0 million, or 35.3%, from $8.5 million to $11.5 million, including acquisitions. This improvement is due to increased levels of activity carried out by the Company together with the acquisitions of BPA and MCS. As a percentage of net revenue, including the effect of acquisitions, income from operations was 11.5% for both of the six months ended November 30, 2002 and 2001. For the six months ended November 30, 2002, income from operations as a percentage of net revenue for our central laboratory segment fell to 5.4% from 8.9% in the comparable period last fiscal year, due principally to a higher than normal level of project cancellations in the first quarter of fiscal 2003. Income from operations as a percentage of net revenue for our clinical research segment increased from 12.0% to 12.4% for the six months ended November 30, 2002, due to increased levels of activity in this segment combined with the acquisition of BPA and MCS.</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05" w:right="1440" w:bottom="1440" w:gutter="0" w:footer="0" w:header="0"/>
        </w:sectPr>
      </w:pPr>
    </w:p>
    <w:bookmarkStart w:id="18" w:name="page19"/>
    <w:bookmarkEnd w:id="18"/>
    <w:p>
      <w:pPr>
        <w:ind w:right="3079" w:firstLine="537"/>
        <w:spacing w:after="0" w:line="242" w:lineRule="auto"/>
        <w:rPr>
          <w:sz w:val="20"/>
          <w:szCs w:val="20"/>
          <w:color w:val="auto"/>
        </w:rPr>
      </w:pPr>
      <w:r>
        <w:rPr>
          <w:rFonts w:ascii="Courier New" w:cs="Courier New" w:eastAsia="Courier New" w:hAnsi="Courier New"/>
          <w:sz w:val="15"/>
          <w:szCs w:val="15"/>
          <w:color w:val="auto"/>
        </w:rPr>
        <w:t>Net interest income for the six months ended November 30, 2002 was $0.3 million compared to $0.6 million for the equivalent period in fiscal 2002. Net cash invested decreased from $43.1 million at May 31, 2002 to $27.5 million at November 30, 2002, primarily due to the acquisition of BPA and MCS in October 2002. Lower average interest rates for the first six months of fiscal 2003, when compared to the same period last year, contributed to the lower returns on our investments.</w:t>
      </w:r>
    </w:p>
    <w:p>
      <w:pPr>
        <w:spacing w:after="0" w:line="177" w:lineRule="exact"/>
        <w:rPr>
          <w:sz w:val="20"/>
          <w:szCs w:val="20"/>
          <w:color w:val="auto"/>
        </w:rPr>
      </w:pPr>
    </w:p>
    <w:p>
      <w:pPr>
        <w:ind w:right="3259" w:firstLine="537"/>
        <w:spacing w:after="0" w:line="265" w:lineRule="auto"/>
        <w:rPr>
          <w:sz w:val="20"/>
          <w:szCs w:val="20"/>
          <w:color w:val="auto"/>
        </w:rPr>
      </w:pPr>
      <w:r>
        <w:rPr>
          <w:rFonts w:ascii="Courier New" w:cs="Courier New" w:eastAsia="Courier New" w:hAnsi="Courier New"/>
          <w:sz w:val="14"/>
          <w:szCs w:val="14"/>
          <w:color w:val="auto"/>
        </w:rPr>
        <w:t>Our effective tax rate for the six months ended November 30, 2002 was 28.7% compared to 25.3% for the comparable period in fiscal 2002. The increase in the effective rate was due to a change in the geographic distribution of pre-tax earnings and the impact of the acquisitions of BPA and MCS.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MAY 31, 2002 COMPARED TO FISCAL YEAR ENDED MAY 31, 2001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35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 2001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TO 2002</w:t>
            </w:r>
          </w:p>
        </w:tc>
      </w:tr>
      <w:tr>
        <w:trPr>
          <w:trHeight w:val="172"/>
        </w:trPr>
        <w:tc>
          <w:tcPr>
            <w:tcW w:w="35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3520" w:type="dxa"/>
            <w:vAlign w:val="bottom"/>
          </w:tcPr>
          <w:p>
            <w:pPr>
              <w:spacing w:after="0"/>
              <w:rPr>
                <w:sz w:val="14"/>
                <w:szCs w:val="14"/>
                <w:color w:val="auto"/>
              </w:rPr>
            </w:pPr>
          </w:p>
        </w:tc>
        <w:tc>
          <w:tcPr>
            <w:tcW w:w="21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PERCENTAGE OF</w:t>
            </w:r>
          </w:p>
        </w:tc>
        <w:tc>
          <w:tcPr>
            <w:tcW w:w="15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INCREASE/</w:t>
            </w:r>
          </w:p>
        </w:tc>
      </w:tr>
      <w:tr>
        <w:trPr>
          <w:trHeight w:val="172"/>
        </w:trPr>
        <w:tc>
          <w:tcPr>
            <w:tcW w:w="3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w w:val="98"/>
              </w:rPr>
              <w:t>NET REVENUE</w:t>
            </w:r>
          </w:p>
        </w:tc>
        <w:tc>
          <w:tcPr>
            <w:tcW w:w="15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(DECREASE)</w:t>
            </w:r>
          </w:p>
        </w:tc>
      </w:tr>
      <w:tr>
        <w:trPr>
          <w:trHeight w:val="172"/>
        </w:trPr>
        <w:tc>
          <w:tcPr>
            <w:tcW w:w="35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70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revenue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34.8%</w:t>
            </w:r>
          </w:p>
        </w:tc>
      </w:tr>
      <w:tr>
        <w:trPr>
          <w:trHeight w:val="172"/>
        </w:trPr>
        <w:tc>
          <w:tcPr>
            <w:tcW w:w="3520" w:type="dxa"/>
            <w:vAlign w:val="bottom"/>
          </w:tcPr>
          <w:p>
            <w:pPr>
              <w:jc w:val="right"/>
              <w:ind w:right="1745"/>
              <w:spacing w:after="0"/>
              <w:rPr>
                <w:sz w:val="20"/>
                <w:szCs w:val="20"/>
                <w:color w:val="auto"/>
              </w:rPr>
            </w:pPr>
            <w:r>
              <w:rPr>
                <w:rFonts w:ascii="Courier New" w:cs="Courier New" w:eastAsia="Courier New" w:hAnsi="Courier New"/>
                <w:sz w:val="15"/>
                <w:szCs w:val="15"/>
                <w:color w:val="auto"/>
                <w:w w:val="98"/>
              </w:rPr>
              <w:t>Costs and expenses: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Direct costs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54.9%</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30.7%</w:t>
            </w:r>
          </w:p>
        </w:tc>
      </w:tr>
      <w:tr>
        <w:trPr>
          <w:trHeight w:val="172"/>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31.3%</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34.8%</w:t>
            </w:r>
          </w:p>
        </w:tc>
      </w:tr>
      <w:tr>
        <w:trPr>
          <w:trHeight w:val="172"/>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21.0%</w:t>
            </w:r>
          </w:p>
        </w:tc>
      </w:tr>
      <w:tr>
        <w:trPr>
          <w:trHeight w:val="172"/>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from operations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64.4%</w:t>
            </w:r>
          </w:p>
        </w:tc>
      </w:tr>
    </w:tbl>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Net revenue increased by $40.4 million, or 34.8%, from $116.2 million to $156.6 million. This increase arose through a combination of increased business from existing clients and business won from new clients. Of the total increase, revenues in the United States and Europe/Rest of World grew by 31.3% and 43.2%, respectively. Our central laboratory segment grew from $13.6 million to $25.9 million, or by 90.9%, while our clinical research segment grew from $102.6 million to $130.7 million, or 27.4% in fiscal 2002 compared to fiscal 2001. The increase in both of our central laboratory and clinical research segments was driven principally by increased levels of activity.</w:t>
      </w:r>
    </w:p>
    <w:p>
      <w:pPr>
        <w:spacing w:after="0" w:line="178"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Direct costs increased by $19.6 million, or 30.7%, from $63.8 million to $83.4 million, primarily due to increased staff numbers needed to support increased project related activity. Direct costs as a percentage of net revenue decreased from 54.9% in the twelve months to May 31, 2001 to 53.3% in the equivalent period in fiscal 2002 due to increased utilization of our staff on project-related activity.</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175"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16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07" w:right="1440" w:bottom="1440" w:gutter="0" w:footer="0" w:header="0"/>
        </w:sectPr>
      </w:pPr>
    </w:p>
    <w:bookmarkStart w:id="19" w:name="page20"/>
    <w:bookmarkEnd w:id="19"/>
    <w:p>
      <w:pPr>
        <w:ind w:right="3079"/>
        <w:spacing w:after="0" w:line="241" w:lineRule="auto"/>
        <w:rPr>
          <w:sz w:val="20"/>
          <w:szCs w:val="20"/>
          <w:color w:val="auto"/>
        </w:rPr>
      </w:pPr>
      <w:r>
        <w:rPr>
          <w:rFonts w:ascii="Courier New" w:cs="Courier New" w:eastAsia="Courier New" w:hAnsi="Courier New"/>
          <w:sz w:val="15"/>
          <w:szCs w:val="15"/>
          <w:color w:val="auto"/>
        </w:rPr>
        <w:t>as a percentage of net revenue in our central laboratory segment grew from -2.3% to 14.1%, while our clinical research segment income remained at 11.1% for fiscal 2002, the same level as fiscal 2001.</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MAY 31, 2001 COMPARED TO FISCAL YEAR ENDED MAY 31, 2000</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Net revenue increased by $35.4 million, or 43.8%, from $80.8 million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$116.2 million. This increase arose through a combination of increased business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existing clients, business won from new clients and revenues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not included in the comparative period. Of the total increase,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in the United States and Europe/Rest of World grew by 51.4% and 28.0%,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Revenues from acquisitions increased from $0.9 million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May 31, 2000 (comprising YRCR and Protocole) to $16.6 million for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May 31, 2001 (comprising YRCR, Protocole and UCT). Excluding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net revenue increased by 24.7% over the comparable period.</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Direct costs increased by $21.8 million, or 51.9%, from $42.0 million to $63.8 million, primarily due to increased staff numbers needed to support increased project related activity and increased costs arising from the acquisitions amounting to $10.7 million. Excluding acquisitions, direct costs increased by 28.1%. Direct costs including acquisitions as a percentage of net revenue increased from 52.0% in the twelve months to May 31, 2000, to 54.9% in the equivalent period in fiscal 2001. Excluding acquisitions, direct costs were 53.3% of net revenues in the twelve months to May 31, 2001.</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amortisation was 4.4% of net revenues in the year ended May 31, 2001.</w:t>
      </w:r>
    </w:p>
    <w:p>
      <w:pPr>
        <w:spacing w:after="0" w:line="177"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Income from operations increased by $4.6 million, or 69.6%, from $6.5 million to $11.1 million. As a percentage of net revenue, income from operations increased from 8.1% for the year ended May 31, 2000 to 9.5% of net revenues for fiscal 2001, due principally to increased levels of activity, acquisitions made during the year and better utilization of our staff. However, excluding the impact of the acquisition of UCT, income from operations as a percentage of net revenue was 10.6% and was 10.2% when the effects of all acquisitions were excluded.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07" w:right="1440" w:bottom="1440" w:gutter="0" w:footer="0" w:header="0"/>
        </w:sectPr>
      </w:pPr>
    </w:p>
    <w:bookmarkStart w:id="20" w:name="page21"/>
    <w:bookmarkEnd w:id="20"/>
    <w:p>
      <w:pPr>
        <w:ind w:right="3079" w:firstLine="537"/>
        <w:spacing w:after="0" w:line="242" w:lineRule="auto"/>
        <w:rPr>
          <w:sz w:val="20"/>
          <w:szCs w:val="20"/>
          <w:color w:val="auto"/>
        </w:rPr>
      </w:pPr>
      <w:r>
        <w:rPr>
          <w:rFonts w:ascii="Courier New" w:cs="Courier New" w:eastAsia="Courier New" w:hAnsi="Courier New"/>
          <w:sz w:val="15"/>
          <w:szCs w:val="15"/>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17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six months ended November 30, 2001 and November 30, 2002, the aggregate amount of employee compensation, excluding stock compensation expense, paid by us and our subsidiaries amounted to $41.4 million and $59.6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182"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178"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As of November 30, 2002, our working capital was $68.4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59 days at November 30, 2002, 67 days at May 31, 2002 and 93 days at May 31, 2001. The decrease from May 31, 2001 to May 31, 2002 and to November 30, 2002 was due primarily to increased cash collections.</w:t>
      </w:r>
    </w:p>
    <w:p>
      <w:pPr>
        <w:spacing w:after="0" w:line="179"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Net cash provided by operating activities was $9.5 million in the six months ended November 30, 2002, compared to $17.2 million in the six months ended November 30, 2001 and $17.3 million in the year ended May 31, 2002, compared with net cash used of $1.6 million in fiscal 2001. The improvement in operating cash flow from May 31, 2001 to November 30, 2001 was due to substantial improvements in our DSOs from 93 days to 68 days over the period.</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Net cash used in investing activities was $16.8 million in the six months ended November 30, 2002, compared to $9.1 million provided by investing activities in the six months ended November 30, 2001,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7" w:right="1440" w:bottom="1440" w:gutter="0" w:footer="0" w:header="0"/>
        </w:sectPr>
      </w:pPr>
    </w:p>
    <w:bookmarkStart w:id="21" w:name="page22"/>
    <w:bookmarkEnd w:id="21"/>
    <w:p>
      <w:pPr>
        <w:ind w:right="3079" w:firstLine="537"/>
        <w:spacing w:after="0" w:line="242" w:lineRule="auto"/>
        <w:rPr>
          <w:sz w:val="20"/>
          <w:szCs w:val="20"/>
          <w:color w:val="auto"/>
        </w:rPr>
      </w:pPr>
      <w:r>
        <w:rPr>
          <w:rFonts w:ascii="Courier New" w:cs="Courier New" w:eastAsia="Courier New" w:hAnsi="Courier New"/>
          <w:sz w:val="15"/>
          <w:szCs w:val="15"/>
          <w:color w:val="auto"/>
        </w:rPr>
        <w:t>Net cash used in financing activities was $3.5 million in the six months ended November 30, 2002, compared with $1.9 million provided by financing activities in the six months ended November 30, 2001, due principally to the repayment of debt. Net cash provided by financing activities was $2.7 million in the year ended May 31, 2002, compared with $9.6 million in fiscal 2001, due mainly to higher levels of debt in fiscal 2001.</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As a result of these cash flows, cash and cash equivalents decreased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 million in the six months ended November 30, 2002, compared to an increase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$28.5 million in the six months ended November 30, 2001, and increased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 million in the year ended May 31, 2002, compared to a decrease of $15.4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year ended May 31, 2001.</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On November 17, 1998, we entered into an overdraft facility, or the A.I.B. facility, for (euro) 2,539,000 (U.S.$2,525,567) with Allied Irish Banks plc, or A.I.B. This facility bears interest at an annual rate equal to A.I.B. Bank's Prime Rate plus one-quarter of a percent. The full amount of the unpaid principal and interest is due and repayable on demand. This A.I.B. facility will be reviewed on June 30, 2003. As of November 30, 2002, the full amount of this facility was available to be drawn down.</w:t>
      </w:r>
    </w:p>
    <w:p>
      <w:pPr>
        <w:spacing w:after="0" w:line="177" w:lineRule="exact"/>
        <w:rPr>
          <w:sz w:val="20"/>
          <w:szCs w:val="20"/>
          <w:color w:val="auto"/>
        </w:rPr>
      </w:pPr>
    </w:p>
    <w:p>
      <w:pPr>
        <w:ind w:right="3339" w:firstLine="537"/>
        <w:spacing w:after="0" w:line="263" w:lineRule="auto"/>
        <w:rPr>
          <w:sz w:val="20"/>
          <w:szCs w:val="20"/>
          <w:color w:val="auto"/>
        </w:rPr>
      </w:pPr>
      <w:r>
        <w:rPr>
          <w:rFonts w:ascii="Courier New" w:cs="Courier New" w:eastAsia="Courier New" w:hAnsi="Courier New"/>
          <w:sz w:val="14"/>
          <w:szCs w:val="14"/>
          <w:color w:val="auto"/>
        </w:rPr>
        <w:t>On July 29, 2002, we entered into an additional A.I.B. facility for sterling 50,000 (U.S.$77,548). This facility bears interest at an annual rate equal to A.I.B. Bank's Prime Rate plus two percent. The full amount of the unpaid principal and interest is due and repayable on demand. This A.I.B. facility will be reviewed on June 30, 2003. As of November 30, 2002, sterling 35,588 (U.S.$55,196) of this facility was available to be drawn down.</w:t>
      </w:r>
    </w:p>
    <w:p>
      <w:pPr>
        <w:spacing w:after="0" w:line="161"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 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will expire on December 31, 2003. As of November 30, 2002, $8.4 million was drawn down.</w:t>
      </w:r>
    </w:p>
    <w:p>
      <w:pPr>
        <w:spacing w:after="0" w:line="18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We entered into an overdraft agreement with A.I.B., whereby we guarantee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overdrafts of our subsidiaries ICON Clinical Research GmbH and ICON Clinical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Israel Ltd. up to an amount (euro) 112,484 (U.S.$111,889)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U.S.$250,000 (ILS 1,647,741), respectively. As of November 30, 2002, the full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 facility and U.S.$234,324 (ILS 1,091,707) of the Israeli facility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to be drawn down.</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On October 9, 2002, we completed the acquisitions of Barton &amp; Polansky Associates, Inc. and its sister company, Managed Clinical Solutions, Inc., contract research organizations in New York, for an initial cash consideration of $15.7 million.</w:t>
      </w:r>
    </w:p>
    <w:p>
      <w:pPr>
        <w:spacing w:after="0" w:line="175"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Since the end of the quarter, we completed the acquisition of Medeval Group Limited, a specialist provider of Phase I clinical trials to the pharmaceutical and biotechnology industries, for an initial cash consideration of sterling 9.6 million (U.S.$15.5 million).</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07" w:right="1440" w:bottom="1440" w:gutter="0" w:footer="0" w:header="0"/>
        </w:sectPr>
      </w:pPr>
    </w:p>
    <w:bookmarkStart w:id="22" w:name="page23"/>
    <w:bookmarkEnd w:id="22"/>
    <w:p>
      <w:pPr>
        <w:ind w:left="8"/>
        <w:spacing w:after="0"/>
        <w:rPr>
          <w:sz w:val="20"/>
          <w:szCs w:val="20"/>
          <w:color w:val="auto"/>
        </w:rPr>
      </w:pPr>
      <w:r>
        <w:rPr>
          <w:rFonts w:ascii="Courier New" w:cs="Courier New" w:eastAsia="Courier New" w:hAnsi="Courier New"/>
          <w:sz w:val="15"/>
          <w:szCs w:val="15"/>
          <w:color w:val="auto"/>
        </w:rPr>
        <w:t>CONTRACTUAL OBLIGATIONS TABLE</w:t>
      </w:r>
    </w:p>
    <w:p>
      <w:pPr>
        <w:spacing w:after="0" w:line="176" w:lineRule="exact"/>
        <w:rPr>
          <w:sz w:val="20"/>
          <w:szCs w:val="20"/>
          <w:color w:val="auto"/>
        </w:rPr>
      </w:pPr>
    </w:p>
    <w:p>
      <w:pPr>
        <w:ind w:left="8" w:right="3159" w:firstLine="537"/>
        <w:spacing w:after="0"/>
        <w:rPr>
          <w:sz w:val="20"/>
          <w:szCs w:val="20"/>
          <w:color w:val="auto"/>
        </w:rPr>
      </w:pPr>
      <w:r>
        <w:rPr>
          <w:rFonts w:ascii="Courier New" w:cs="Courier New" w:eastAsia="Courier New" w:hAnsi="Courier New"/>
          <w:sz w:val="15"/>
          <w:szCs w:val="15"/>
          <w:color w:val="auto"/>
        </w:rPr>
        <w:t>The following table represents our contractual obligations and commercial commitments as of November 30, 2002.</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PAYMENTS DUE BY PERIOD</w:t>
            </w:r>
          </w:p>
        </w:tc>
        <w:tc>
          <w:tcPr>
            <w:tcW w:w="76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LESS THAN</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 TO 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AFTER 5</w:t>
            </w:r>
          </w:p>
        </w:tc>
      </w:tr>
      <w:tr>
        <w:trPr>
          <w:trHeight w:val="172"/>
        </w:trPr>
        <w:tc>
          <w:tcPr>
            <w:tcW w:w="330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1 YEAR</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YEARS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3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leases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$114,026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$ 6,677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$43,978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$63,371</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Credit facilities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8,691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8,691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Earn-out payments committed for</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contingent consideration (1)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16,060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11,560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$138,777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$26,928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$48,478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$63,371</w:t>
            </w:r>
          </w:p>
        </w:tc>
      </w:tr>
      <w:tr>
        <w:trPr>
          <w:trHeight w:val="172"/>
        </w:trPr>
        <w:tc>
          <w:tcPr>
            <w:tcW w:w="3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159" w:hanging="359"/>
        <w:spacing w:after="0" w:line="241" w:lineRule="auto"/>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cash is payable under earn-out clauses included in acquisitions undertaken in prior years and does not include the contractual obligations related to the Medeval acquisition.</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November 30, 2003, we expect to pay approximately $13.5 million on earn-out payments arising from acquisitions, including an earn-out payment of sterling 1.2 million on Medeval.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180"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INFLATION</w:t>
      </w:r>
    </w:p>
    <w:p>
      <w:pPr>
        <w:spacing w:after="0" w:line="176" w:lineRule="exact"/>
        <w:rPr>
          <w:sz w:val="20"/>
          <w:szCs w:val="20"/>
          <w:color w:val="auto"/>
        </w:rPr>
      </w:pPr>
    </w:p>
    <w:p>
      <w:pPr>
        <w:ind w:left="8" w:right="3159" w:firstLine="537"/>
        <w:spacing w:after="0"/>
        <w:rPr>
          <w:sz w:val="20"/>
          <w:szCs w:val="20"/>
          <w:color w:val="auto"/>
        </w:rPr>
      </w:pPr>
      <w:r>
        <w:rPr>
          <w:rFonts w:ascii="Courier New" w:cs="Courier New" w:eastAsia="Courier New" w:hAnsi="Courier New"/>
          <w:sz w:val="15"/>
          <w:szCs w:val="15"/>
          <w:color w:val="auto"/>
        </w:rPr>
        <w:t>We believe that the effects of inflation generally do not have a material impact on our operations or financial condition.</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CRITICAL ACCOUNTING POLICIES</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175"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805" w:right="1440" w:bottom="1440" w:gutter="0" w:footer="0" w:header="0"/>
        </w:sectPr>
      </w:pPr>
    </w:p>
    <w:bookmarkStart w:id="23" w:name="page24"/>
    <w:bookmarkEnd w:id="23"/>
    <w:p>
      <w:pPr>
        <w:ind w:right="3079" w:firstLine="537"/>
        <w:spacing w:after="0" w:line="242" w:lineRule="auto"/>
        <w:rPr>
          <w:sz w:val="20"/>
          <w:szCs w:val="20"/>
          <w:color w:val="auto"/>
        </w:rPr>
      </w:pPr>
      <w:r>
        <w:rPr>
          <w:rFonts w:ascii="Courier New" w:cs="Courier New" w:eastAsia="Courier New" w:hAnsi="Courier New"/>
          <w:sz w:val="15"/>
          <w:szCs w:val="15"/>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180"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175" w:lineRule="exact"/>
        <w:rPr>
          <w:sz w:val="20"/>
          <w:szCs w:val="20"/>
          <w:color w:val="auto"/>
        </w:rPr>
      </w:pPr>
    </w:p>
    <w:p>
      <w:pPr>
        <w:ind w:left="1060" w:right="3519" w:hanging="532"/>
        <w:spacing w:after="0"/>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underperformance relative to expected historical or projected future operating results;</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negative industry or economic trends;</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decline in our stock price for a sustained period; and</w:t>
      </w:r>
    </w:p>
    <w:p>
      <w:pPr>
        <w:spacing w:after="0" w:line="175"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ratio of our market capitalization to net book value.</w:t>
      </w:r>
    </w:p>
    <w:p>
      <w:pPr>
        <w:spacing w:after="0" w:line="183" w:lineRule="exact"/>
        <w:rPr>
          <w:rFonts w:ascii="Courier New" w:cs="Courier New" w:eastAsia="Courier New" w:hAnsi="Courier New"/>
          <w:sz w:val="14"/>
          <w:szCs w:val="14"/>
          <w:color w:val="auto"/>
        </w:rPr>
      </w:pPr>
    </w:p>
    <w:p>
      <w:pPr>
        <w:ind w:left="2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07" w:right="1440" w:bottom="1440" w:gutter="0" w:footer="0" w:header="0"/>
        </w:sectPr>
      </w:pPr>
    </w:p>
    <w:bookmarkStart w:id="24" w:name="page25"/>
    <w:bookmarkEnd w:id="24"/>
    <w:p>
      <w:pPr>
        <w:jc w:val="both"/>
        <w:ind w:right="3159" w:firstLine="537"/>
        <w:spacing w:after="0" w:line="241" w:lineRule="auto"/>
        <w:rPr>
          <w:sz w:val="20"/>
          <w:szCs w:val="20"/>
          <w:color w:val="auto"/>
        </w:rPr>
      </w:pPr>
      <w:r>
        <w:rPr>
          <w:rFonts w:ascii="Courier New" w:cs="Courier New" w:eastAsia="Courier New" w:hAnsi="Courier New"/>
          <w:sz w:val="15"/>
          <w:szCs w:val="15"/>
          <w:color w:val="auto"/>
        </w:rPr>
        <w:t>The following table reconciles the prior periods' reported net income to their prospective pro forma balances adjusted to exclude goodwill amortization, which is no longer recorded under SFAS No. 142: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240" w:type="dxa"/>
            <w:vAlign w:val="bottom"/>
            <w:gridSpan w:val="3"/>
          </w:tcPr>
          <w:p>
            <w:pPr>
              <w:jc w:val="center"/>
              <w:ind w:left="185"/>
              <w:spacing w:after="0"/>
              <w:rPr>
                <w:sz w:val="20"/>
                <w:szCs w:val="20"/>
                <w:color w:val="auto"/>
              </w:rPr>
            </w:pPr>
            <w:r>
              <w:rPr>
                <w:rFonts w:ascii="Courier New" w:cs="Courier New" w:eastAsia="Courier New" w:hAnsi="Courier New"/>
                <w:sz w:val="15"/>
                <w:szCs w:val="15"/>
                <w:color w:val="auto"/>
                <w:w w:val="99"/>
              </w:rPr>
              <w:t>YEAR ENDED MAY 31,</w:t>
            </w:r>
          </w:p>
        </w:tc>
      </w:tr>
      <w:tr>
        <w:trPr>
          <w:trHeight w:val="172"/>
        </w:trPr>
        <w:tc>
          <w:tcPr>
            <w:tcW w:w="482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2001</w:t>
            </w:r>
          </w:p>
        </w:tc>
      </w:tr>
      <w:tr>
        <w:trPr>
          <w:trHeight w:val="172"/>
        </w:trPr>
        <w:tc>
          <w:tcPr>
            <w:tcW w:w="48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2240" w:type="dxa"/>
            <w:vAlign w:val="bottom"/>
            <w:gridSpan w:val="3"/>
          </w:tcPr>
          <w:p>
            <w:pPr>
              <w:jc w:val="center"/>
              <w:ind w:left="185"/>
              <w:spacing w:after="0"/>
              <w:rPr>
                <w:sz w:val="20"/>
                <w:szCs w:val="20"/>
                <w:color w:val="auto"/>
              </w:rPr>
            </w:pPr>
            <w:r>
              <w:rPr>
                <w:rFonts w:ascii="Courier New" w:cs="Courier New" w:eastAsia="Courier New" w:hAnsi="Courier New"/>
                <w:sz w:val="15"/>
                <w:szCs w:val="15"/>
                <w:color w:val="auto"/>
                <w:w w:val="99"/>
              </w:rPr>
              <w:t>(IN THOUSANDS,</w:t>
            </w:r>
          </w:p>
        </w:tc>
      </w:tr>
      <w:tr>
        <w:trPr>
          <w:trHeight w:val="172"/>
        </w:trPr>
        <w:tc>
          <w:tcPr>
            <w:tcW w:w="4820" w:type="dxa"/>
            <w:vAlign w:val="bottom"/>
          </w:tcPr>
          <w:p>
            <w:pPr>
              <w:spacing w:after="0"/>
              <w:rPr>
                <w:sz w:val="14"/>
                <w:szCs w:val="14"/>
                <w:color w:val="auto"/>
              </w:rPr>
            </w:pPr>
          </w:p>
        </w:tc>
        <w:tc>
          <w:tcPr>
            <w:tcW w:w="2240" w:type="dxa"/>
            <w:vAlign w:val="bottom"/>
            <w:gridSpan w:val="3"/>
          </w:tcPr>
          <w:p>
            <w:pPr>
              <w:jc w:val="center"/>
              <w:ind w:left="205"/>
              <w:spacing w:after="0"/>
              <w:rPr>
                <w:sz w:val="20"/>
                <w:szCs w:val="20"/>
                <w:color w:val="auto"/>
              </w:rPr>
            </w:pPr>
            <w:r>
              <w:rPr>
                <w:rFonts w:ascii="Courier New" w:cs="Courier New" w:eastAsia="Courier New" w:hAnsi="Courier New"/>
                <w:sz w:val="15"/>
                <w:szCs w:val="15"/>
                <w:color w:val="auto"/>
                <w:w w:val="98"/>
              </w:rPr>
              <w:t>EXCEPT PER SHARE DATA)</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Reported net income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$6,068</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$10,978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2"/>
        </w:trPr>
        <w:tc>
          <w:tcPr>
            <w:tcW w:w="48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Adjusted net income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$6,106</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$11,188</w:t>
            </w:r>
          </w:p>
        </w:tc>
      </w:tr>
      <w:tr>
        <w:trPr>
          <w:trHeight w:val="172"/>
        </w:trPr>
        <w:tc>
          <w:tcPr>
            <w:tcW w:w="48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NET INCOME PER ORDINARY SHARE</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Reported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$ 0.55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0.00</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2"/>
        </w:trPr>
        <w:tc>
          <w:tcPr>
            <w:tcW w:w="48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Adjusted basic net income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$ 0.55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0.99</w:t>
            </w:r>
          </w:p>
        </w:tc>
      </w:tr>
      <w:tr>
        <w:trPr>
          <w:trHeight w:val="172"/>
        </w:trPr>
        <w:tc>
          <w:tcPr>
            <w:tcW w:w="48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DILUTED NET INCOME PER ORDINARY SHARE</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Reported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$ 0.51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Add back goodwill amortization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0.00</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2"/>
        </w:trPr>
        <w:tc>
          <w:tcPr>
            <w:tcW w:w="48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Adjusted diluted net income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$ 0.51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0.94</w:t>
            </w:r>
          </w:p>
        </w:tc>
      </w:tr>
      <w:tr>
        <w:trPr>
          <w:trHeight w:val="172"/>
        </w:trPr>
        <w:tc>
          <w:tcPr>
            <w:tcW w:w="48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81"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184"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77" w:lineRule="exact"/>
        <w:rPr>
          <w:sz w:val="20"/>
          <w:szCs w:val="20"/>
          <w:color w:val="auto"/>
        </w:rPr>
      </w:pPr>
    </w:p>
    <w:p>
      <w:pPr>
        <w:ind w:right="3259" w:firstLine="537"/>
        <w:spacing w:after="0" w:line="241"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provides for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07" w:right="1440" w:bottom="1440" w:gutter="0" w:footer="0" w:header="0"/>
        </w:sectPr>
      </w:pPr>
    </w:p>
    <w:bookmarkStart w:id="25" w:name="page26"/>
    <w:bookmarkEnd w:id="25"/>
    <w:p>
      <w:pPr>
        <w:ind w:right="3079"/>
        <w:spacing w:after="0" w:line="262" w:lineRule="auto"/>
        <w:rPr>
          <w:sz w:val="20"/>
          <w:szCs w:val="20"/>
          <w:color w:val="auto"/>
        </w:rPr>
      </w:pPr>
      <w:r>
        <w:rPr>
          <w:rFonts w:ascii="Courier New" w:cs="Courier New" w:eastAsia="Courier New" w:hAnsi="Courier New"/>
          <w:sz w:val="14"/>
          <w:szCs w:val="14"/>
          <w:color w:val="auto"/>
        </w:rPr>
        <w:t>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164"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07" w:right="1440" w:bottom="1440" w:gutter="0" w:footer="0" w:header="0"/>
        </w:sectPr>
      </w:pPr>
    </w:p>
    <w:bookmarkStart w:id="26" w:name="page27"/>
    <w:bookmarkEnd w:id="26"/>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believe that we are one of a select group of CROs with the capability and expertise to conduct clinical trials in most major therapeutic areas on a global basis. We have approximately 2,200 employees and operations in 27 locations in 16 countries. Our main regions of operations are the United States, Europe and the Rest of the World. For the six months ended November 30, 2002, we derived approximately 70.3%, 27.1% and 2.6% of our net revenue in the United States, Europe and the Rest of the World, respectively.</w:t>
      </w:r>
    </w:p>
    <w:p>
      <w:pPr>
        <w:spacing w:after="0" w:line="182" w:lineRule="exact"/>
        <w:rPr>
          <w:sz w:val="20"/>
          <w:szCs w:val="20"/>
          <w:color w:val="auto"/>
        </w:rPr>
      </w:pPr>
    </w:p>
    <w:p>
      <w:pPr>
        <w:ind w:right="3079" w:firstLine="537"/>
        <w:spacing w:after="0" w:line="263" w:lineRule="auto"/>
        <w:rPr>
          <w:sz w:val="20"/>
          <w:szCs w:val="20"/>
          <w:color w:val="auto"/>
        </w:rPr>
      </w:pPr>
      <w:r>
        <w:rPr>
          <w:rFonts w:ascii="Courier New" w:cs="Courier New" w:eastAsia="Courier New" w:hAnsi="Courier New"/>
          <w:sz w:val="14"/>
          <w:szCs w:val="14"/>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for fiscal 2002. In 2002 revenue was earned from over 270 clients, including 19 of the top 20 pharmaceutical companies, as ranked by 2001 revenues.</w:t>
      </w:r>
    </w:p>
    <w:p>
      <w:pPr>
        <w:spacing w:after="0" w:line="161"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67"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Since inception, we have invested significantly in developing and maintaining a quality system that supports and reinforces our culture of customer focus, client service and high quality output. We were the first major CRO to become ISO 9002 accredited in 1994, and we recently transitioned to the new ISO 9001:2000 standard, which, in addition to validating the system, incorporates total quality management principles into our processes.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6"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16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05" w:right="1440" w:bottom="1440" w:gutter="0" w:footer="0" w:header="0"/>
        </w:sectPr>
      </w:pPr>
    </w:p>
    <w:bookmarkStart w:id="27" w:name="page28"/>
    <w:bookmarkEnd w:id="27"/>
    <w:p>
      <w:pPr>
        <w:ind w:right="3079"/>
        <w:spacing w:after="0" w:line="242" w:lineRule="auto"/>
        <w:rPr>
          <w:sz w:val="20"/>
          <w:szCs w:val="20"/>
          <w:color w:val="auto"/>
        </w:rPr>
      </w:pPr>
      <w:r>
        <w:rPr>
          <w:rFonts w:ascii="Courier New" w:cs="Courier New" w:eastAsia="Courier New" w:hAnsi="Courier New"/>
          <w:sz w:val="15"/>
          <w:szCs w:val="15"/>
          <w:color w:val="auto"/>
        </w:rPr>
        <w:t>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TRENDS AFFECTING THE CRO INDUSTRY</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179"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179"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79"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179" w:lineRule="exact"/>
        <w:rPr>
          <w:sz w:val="20"/>
          <w:szCs w:val="20"/>
          <w:color w:val="auto"/>
        </w:rPr>
      </w:pPr>
    </w:p>
    <w:p>
      <w:pPr>
        <w:jc w:val="both"/>
        <w:ind w:right="3439" w:firstLine="537"/>
        <w:spacing w:after="0" w:line="241" w:lineRule="auto"/>
        <w:rPr>
          <w:sz w:val="20"/>
          <w:szCs w:val="20"/>
          <w:color w:val="auto"/>
        </w:rPr>
      </w:pPr>
      <w:r>
        <w:rPr>
          <w:rFonts w:ascii="Courier New" w:cs="Courier New" w:eastAsia="Courier New" w:hAnsi="Courier New"/>
          <w:sz w:val="15"/>
          <w:szCs w:val="15"/>
          <w:color w:val="auto"/>
        </w:rPr>
        <w:t>INCREASING REGULATORY DEMANDS. We believe that regulatory agencies are becoming more demanding with regard to the data required to support new drug approvals and are seeking more evidence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807" w:right="1440" w:bottom="1440" w:gutter="0" w:footer="0" w:header="0"/>
        </w:sectPr>
      </w:pPr>
    </w:p>
    <w:bookmarkStart w:id="28" w:name="page29"/>
    <w:bookmarkEnd w:id="28"/>
    <w:p>
      <w:pPr>
        <w:ind w:right="3079"/>
        <w:spacing w:after="0" w:line="241" w:lineRule="auto"/>
        <w:rPr>
          <w:sz w:val="20"/>
          <w:szCs w:val="20"/>
          <w:color w:val="auto"/>
        </w:rPr>
      </w:pPr>
      <w:r>
        <w:rPr>
          <w:rFonts w:ascii="Courier New" w:cs="Courier New" w:eastAsia="Courier New" w:hAnsi="Courier New"/>
          <w:sz w:val="15"/>
          <w:szCs w:val="15"/>
          <w:color w:val="auto"/>
        </w:rPr>
        <w:t>that new drugs are safer and more effective than existing products. As a result, the complexity of clinical trials and the size of regulatory submissions are driving the demand for services provided by CROs.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six months ended November 30, 2002, approximately 95% of our net revenue was derived from second or subsequent projects with clients. The remaining 5% of the net revenue was derived from 55 initial projects with new clients.</w:t>
      </w:r>
    </w:p>
    <w:p>
      <w:pPr>
        <w:spacing w:after="0" w:line="178"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27 offices in 16 countries and intend to continue expanding into regions that have the potential to increase our client base or increase our investigator and patient populations.</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339" w:firstLine="537"/>
        <w:spacing w:after="0" w:line="262" w:lineRule="auto"/>
        <w:rPr>
          <w:sz w:val="20"/>
          <w:szCs w:val="20"/>
          <w:color w:val="auto"/>
        </w:rPr>
      </w:pPr>
      <w:r>
        <w:rPr>
          <w:rFonts w:ascii="Courier New" w:cs="Courier New" w:eastAsia="Courier New" w:hAnsi="Courier New"/>
          <w:sz w:val="14"/>
          <w:szCs w:val="14"/>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162"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179"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Consistent high quality performance is what we have come to stand for with our clients and one of the driving forces behind this is management's commitment to ISO 9000. In 1994, we became the first multinational CRO to become ISO 9002 registered and remain the only such CRO to have this standard across all offices and operational functions. In order to retain registration we must undergo several quality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807" w:right="1440" w:bottom="1440" w:gutter="0" w:footer="0" w:header="0"/>
        </w:sectPr>
      </w:pPr>
    </w:p>
    <w:bookmarkStart w:id="29" w:name="page30"/>
    <w:bookmarkEnd w:id="29"/>
    <w:p>
      <w:pPr>
        <w:ind w:right="3519"/>
        <w:spacing w:after="0" w:line="241" w:lineRule="auto"/>
        <w:rPr>
          <w:sz w:val="20"/>
          <w:szCs w:val="20"/>
          <w:color w:val="auto"/>
        </w:rPr>
      </w:pPr>
      <w:r>
        <w:rPr>
          <w:rFonts w:ascii="Courier New" w:cs="Courier New" w:eastAsia="Courier New" w:hAnsi="Courier New"/>
          <w:sz w:val="15"/>
          <w:szCs w:val="15"/>
          <w:color w:val="auto"/>
        </w:rPr>
        <w:t>system audits per year. In 2002, we adopted the new standard ISO 9001:2000, which further developed the system through a stronger focus on processes, metrics and continuous improvement.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ORGANIZATIONAL STRUCTURE</w:t>
      </w:r>
    </w:p>
    <w:p>
      <w:pPr>
        <w:spacing w:after="0" w:line="176" w:lineRule="exact"/>
        <w:rPr>
          <w:sz w:val="20"/>
          <w:szCs w:val="20"/>
          <w:color w:val="auto"/>
        </w:rPr>
      </w:pPr>
    </w:p>
    <w:p>
      <w:pPr>
        <w:ind w:right="3599" w:firstLine="537"/>
        <w:spacing w:after="0"/>
        <w:rPr>
          <w:sz w:val="20"/>
          <w:szCs w:val="20"/>
          <w:color w:val="auto"/>
        </w:rPr>
      </w:pPr>
      <w:r>
        <w:rPr>
          <w:rFonts w:ascii="Courier New" w:cs="Courier New" w:eastAsia="Courier New" w:hAnsi="Courier New"/>
          <w:sz w:val="15"/>
          <w:szCs w:val="15"/>
          <w:color w:val="auto"/>
        </w:rPr>
        <w:t>The following list contains all of our principal direct and indirect wholly owned subsidiaries:</w:t>
      </w:r>
    </w:p>
    <w:p>
      <w:pPr>
        <w:sectPr>
          <w:pgSz w:w="11900" w:h="16838" w:orient="portrait"/>
          <w:cols w:equalWidth="0" w:num="1">
            <w:col w:w="10219"/>
          </w:cols>
          <w:pgMar w:left="240" w:top="80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S.A.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Pty Limited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(Canada) Inc.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SARL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Protocole SAS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GmbH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Israel Limited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Japan K.K.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Limited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Pte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Limited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(UK) Limited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Medeval Group Limited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YRCR Limited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Barton &amp; Polansky Associates, Inc.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Clinical Research Inc.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ICON Laboratories, Inc.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Clinical Solutions, Inc.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Research Associates Inc.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OF INCORPORATION</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of 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Africa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76" w:lineRule="exact"/>
        <w:rPr>
          <w:sz w:val="20"/>
          <w:szCs w:val="20"/>
          <w:color w:val="auto"/>
        </w:rPr>
      </w:pPr>
    </w:p>
    <w:p>
      <w:pPr>
        <w:sectPr>
          <w:pgSz w:w="11900" w:h="16838" w:orient="portrait"/>
          <w:cols w:equalWidth="0" w:num="2">
            <w:col w:w="4560" w:space="260"/>
            <w:col w:w="539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INFORMATION SYSTEMS</w:t>
      </w:r>
    </w:p>
    <w:p>
      <w:pPr>
        <w:sectPr>
          <w:pgSz w:w="11900" w:h="16838" w:orient="portrait"/>
          <w:cols w:equalWidth="0" w:num="1">
            <w:col w:w="10219"/>
          </w:cols>
          <w:pgMar w:left="240" w:top="807" w:right="1440" w:bottom="1440" w:gutter="0" w:footer="0" w:header="0"/>
          <w:type w:val="continuous"/>
        </w:sectPr>
      </w:pPr>
    </w:p>
    <w:p>
      <w:pPr>
        <w:spacing w:after="0" w:line="185" w:lineRule="exact"/>
        <w:rPr>
          <w:sz w:val="20"/>
          <w:szCs w:val="20"/>
          <w:color w:val="auto"/>
        </w:rPr>
      </w:pPr>
    </w:p>
    <w:p>
      <w:pPr>
        <w:jc w:val="both"/>
        <w:ind w:right="3339" w:firstLine="537"/>
        <w:spacing w:after="0" w:line="242" w:lineRule="auto"/>
        <w:rPr>
          <w:sz w:val="20"/>
          <w:szCs w:val="20"/>
          <w:color w:val="auto"/>
        </w:rPr>
      </w:pPr>
      <w:r>
        <w:rPr>
          <w:rFonts w:ascii="Courier New" w:cs="Courier New" w:eastAsia="Courier New" w:hAnsi="Courier New"/>
          <w:sz w:val="15"/>
          <w:szCs w:val="15"/>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177"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179" w:lineRule="exact"/>
        <w:rPr>
          <w:sz w:val="20"/>
          <w:szCs w:val="20"/>
          <w:color w:val="auto"/>
        </w:rPr>
      </w:pPr>
    </w:p>
    <w:p>
      <w:pPr>
        <w:ind w:right="3259" w:firstLine="537"/>
        <w:spacing w:after="0" w:line="267" w:lineRule="auto"/>
        <w:rPr>
          <w:sz w:val="20"/>
          <w:szCs w:val="20"/>
          <w:color w:val="auto"/>
        </w:rPr>
      </w:pPr>
      <w:r>
        <w:rPr>
          <w:rFonts w:ascii="Courier New" w:cs="Courier New" w:eastAsia="Courier New" w:hAnsi="Courier New"/>
          <w:sz w:val="14"/>
          <w:szCs w:val="14"/>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807" w:right="1440" w:bottom="1440" w:gutter="0" w:footer="0" w:header="0"/>
          <w:type w:val="continuous"/>
        </w:sectPr>
      </w:pPr>
    </w:p>
    <w:bookmarkStart w:id="30" w:name="page31"/>
    <w:bookmarkEnd w:id="30"/>
    <w:p>
      <w:pPr>
        <w:ind w:right="3159" w:firstLine="537"/>
        <w:spacing w:after="0" w:line="242" w:lineRule="auto"/>
        <w:rPr>
          <w:sz w:val="20"/>
          <w:szCs w:val="20"/>
          <w:color w:val="auto"/>
        </w:rPr>
      </w:pPr>
      <w:r>
        <w:rPr>
          <w:rFonts w:ascii="Courier New" w:cs="Courier New" w:eastAsia="Courier New" w:hAnsi="Courier New"/>
          <w:sz w:val="15"/>
          <w:szCs w:val="15"/>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175"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CLIENTS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have in the past derived and may in the future derive a significant portion of our net revenue from a relatively limited number of major projects or clients. Over the years, we have managed to reduce this concentration and for the first six months of fiscal 2003, our top five clients comprised 55%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180"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We have expanded geographically in order to pursue larger multi-national clinical trials in markets worldwide and have expanded through acquisition to offer a broader range of services. For the six months ended November 30, 2002, we generated 70.3% of our net revenue in the United States, 27.1% in Europe and 2.6% in the Rest of the World.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ARRANGEMENTS</w:t>
      </w:r>
    </w:p>
    <w:p>
      <w:pPr>
        <w:spacing w:after="0" w:line="176" w:lineRule="exact"/>
        <w:rPr>
          <w:sz w:val="20"/>
          <w:szCs w:val="20"/>
          <w:color w:val="auto"/>
        </w:rPr>
      </w:pPr>
    </w:p>
    <w:p>
      <w:pPr>
        <w:ind w:right="3079" w:firstLine="537"/>
        <w:spacing w:after="0"/>
        <w:rPr>
          <w:sz w:val="20"/>
          <w:szCs w:val="20"/>
          <w:color w:val="auto"/>
        </w:rPr>
      </w:pPr>
      <w:r>
        <w:rPr>
          <w:rFonts w:ascii="Courier New" w:cs="Courier New" w:eastAsia="Courier New" w:hAnsi="Courier New"/>
          <w:sz w:val="15"/>
          <w:szCs w:val="15"/>
          <w:color w:val="auto"/>
        </w:rPr>
        <w:t>We are generally awarded contracts based upon our response to requests for proposals received from pharmaceutical and biotechnology companies.</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07" w:right="1440" w:bottom="1440" w:gutter="0" w:footer="0" w:header="0"/>
        </w:sectPr>
      </w:pPr>
    </w:p>
    <w:bookmarkStart w:id="31" w:name="page32"/>
    <w:bookmarkEnd w:id="31"/>
    <w:p>
      <w:pPr>
        <w:ind w:right="3079"/>
        <w:spacing w:after="0" w:line="242" w:lineRule="auto"/>
        <w:rPr>
          <w:sz w:val="20"/>
          <w:szCs w:val="20"/>
          <w:color w:val="auto"/>
        </w:rPr>
      </w:pPr>
      <w:r>
        <w:rPr>
          <w:rFonts w:ascii="Courier New" w:cs="Courier New" w:eastAsia="Courier New" w:hAnsi="Courier New"/>
          <w:sz w:val="15"/>
          <w:szCs w:val="15"/>
          <w:color w:val="auto"/>
        </w:rPr>
        <w:t>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181"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175"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At November 30, 2002, we estimate that we had backlog to be earned in the following twelve months of $184 million, compared with approximately $120 million at November 30, 2001.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Ingenix Inc. (United Health), Omnicare, Inc., PRA Inc., MDS Inc, Inveresk Research Group, Inc. and Pharmaceutical Product Development, Inc. The trend toward CRO industry consolidation has resulted in heightened competition among the larger CROs for clients and acquisition candidates.</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0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OF CLINICAL TRIALS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179"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16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177"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177" w:lineRule="exact"/>
        <w:rPr>
          <w:sz w:val="20"/>
          <w:szCs w:val="20"/>
          <w:color w:val="auto"/>
        </w:rPr>
      </w:pPr>
    </w:p>
    <w:p>
      <w:pPr>
        <w:ind w:right="3339" w:firstLine="537"/>
        <w:spacing w:after="0" w:line="242" w:lineRule="auto"/>
        <w:rPr>
          <w:sz w:val="20"/>
          <w:szCs w:val="20"/>
          <w:color w:val="auto"/>
        </w:rPr>
      </w:pPr>
      <w:r>
        <w:rPr>
          <w:rFonts w:ascii="Courier New" w:cs="Courier New" w:eastAsia="Courier New" w:hAnsi="Courier New"/>
          <w:sz w:val="15"/>
          <w:szCs w:val="15"/>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could result in termination of ongoing research or the disqualification of data, either of which could also result in a material adverse effect.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DRUG DEVELOPMENT -- AN OVERVIEW</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175" w:lineRule="exact"/>
        <w:rPr>
          <w:sz w:val="20"/>
          <w:szCs w:val="20"/>
          <w:color w:val="auto"/>
        </w:rPr>
      </w:pPr>
    </w:p>
    <w:p>
      <w:pPr>
        <w:ind w:left="520" w:right="3159"/>
        <w:spacing w:after="0" w:line="263" w:lineRule="auto"/>
        <w:rPr>
          <w:sz w:val="20"/>
          <w:szCs w:val="20"/>
          <w:color w:val="auto"/>
        </w:rPr>
      </w:pPr>
      <w:r>
        <w:rPr>
          <w:rFonts w:ascii="Courier New" w:cs="Courier New" w:eastAsia="Courier New" w:hAnsi="Courier New"/>
          <w:sz w:val="14"/>
          <w:szCs w:val="14"/>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 will file for an Investigational New Drug Application, or IND, upon which the FDA may grant permission to begin human trials.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805" w:right="1440" w:bottom="1440" w:gutter="0" w:footer="0" w:header="0"/>
        </w:sectPr>
      </w:pPr>
    </w:p>
    <w:bookmarkStart w:id="33" w:name="page34"/>
    <w:bookmarkEnd w:id="33"/>
    <w:p>
      <w:pPr>
        <w:ind w:left="520"/>
        <w:spacing w:after="0"/>
        <w:rPr>
          <w:sz w:val="20"/>
          <w:szCs w:val="20"/>
          <w:color w:val="auto"/>
        </w:rPr>
      </w:pPr>
      <w:r>
        <w:rPr>
          <w:rFonts w:ascii="Courier New" w:cs="Courier New" w:eastAsia="Courier New" w:hAnsi="Courier New"/>
          <w:sz w:val="15"/>
          <w:szCs w:val="15"/>
          <w:color w:val="auto"/>
        </w:rPr>
        <w:t>CLINICAL TRIALS (3.5 TO 6 YEARS)</w:t>
      </w:r>
    </w:p>
    <w:p>
      <w:pPr>
        <w:spacing w:after="0" w:line="176" w:lineRule="exact"/>
        <w:rPr>
          <w:sz w:val="20"/>
          <w:szCs w:val="20"/>
          <w:color w:val="auto"/>
        </w:rPr>
      </w:pPr>
    </w:p>
    <w:p>
      <w:pPr>
        <w:ind w:left="1060" w:right="3159"/>
        <w:spacing w:after="0" w:line="242" w:lineRule="auto"/>
        <w:rPr>
          <w:sz w:val="20"/>
          <w:szCs w:val="20"/>
          <w:color w:val="auto"/>
        </w:rPr>
      </w:pPr>
      <w:r>
        <w:rPr>
          <w:rFonts w:ascii="Courier New" w:cs="Courier New" w:eastAsia="Courier New" w:hAnsi="Courier New"/>
          <w:sz w:val="15"/>
          <w:szCs w:val="15"/>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176" w:lineRule="exact"/>
        <w:rPr>
          <w:sz w:val="20"/>
          <w:szCs w:val="20"/>
          <w:color w:val="auto"/>
        </w:rPr>
      </w:pPr>
    </w:p>
    <w:p>
      <w:pPr>
        <w:ind w:left="1060" w:right="3079"/>
        <w:spacing w:after="0" w:line="242" w:lineRule="auto"/>
        <w:rPr>
          <w:sz w:val="20"/>
          <w:szCs w:val="20"/>
          <w:color w:val="auto"/>
        </w:rPr>
      </w:pPr>
      <w:r>
        <w:rPr>
          <w:rFonts w:ascii="Courier New" w:cs="Courier New" w:eastAsia="Courier New" w:hAnsi="Courier New"/>
          <w:sz w:val="15"/>
          <w:szCs w:val="15"/>
          <w:color w:val="auto"/>
        </w:rPr>
        <w:t>PHASE II (1 TO 2 YEARS). Basic efficacy (effectiveness) and dose-range testing in 100 to 200 patients to help determine the best effective dose, confirm that the drug works as expected, and provide additional safety data.</w:t>
      </w:r>
    </w:p>
    <w:p>
      <w:pPr>
        <w:spacing w:after="0" w:line="175" w:lineRule="exact"/>
        <w:rPr>
          <w:sz w:val="20"/>
          <w:szCs w:val="20"/>
          <w:color w:val="auto"/>
        </w:rPr>
      </w:pPr>
    </w:p>
    <w:p>
      <w:pPr>
        <w:ind w:left="1060" w:right="3079"/>
        <w:spacing w:after="0" w:line="242" w:lineRule="auto"/>
        <w:rPr>
          <w:sz w:val="20"/>
          <w:szCs w:val="20"/>
          <w:color w:val="auto"/>
        </w:rPr>
      </w:pPr>
      <w:r>
        <w:rPr>
          <w:rFonts w:ascii="Courier New" w:cs="Courier New" w:eastAsia="Courier New" w:hAnsi="Courier New"/>
          <w:sz w:val="15"/>
          <w:szCs w:val="15"/>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78" w:lineRule="exact"/>
        <w:rPr>
          <w:sz w:val="20"/>
          <w:szCs w:val="20"/>
          <w:color w:val="auto"/>
        </w:rPr>
      </w:pPr>
    </w:p>
    <w:p>
      <w:pPr>
        <w:jc w:val="both"/>
        <w:ind w:left="520" w:right="3159"/>
        <w:spacing w:after="0" w:line="242" w:lineRule="auto"/>
        <w:rPr>
          <w:sz w:val="20"/>
          <w:szCs w:val="20"/>
          <w:color w:val="auto"/>
        </w:rPr>
      </w:pPr>
      <w:r>
        <w:rPr>
          <w:rFonts w:ascii="Courier New" w:cs="Courier New" w:eastAsia="Courier New" w:hAnsi="Courier New"/>
          <w:sz w:val="15"/>
          <w:szCs w:val="15"/>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175" w:lineRule="exact"/>
        <w:rPr>
          <w:sz w:val="20"/>
          <w:szCs w:val="20"/>
          <w:color w:val="auto"/>
        </w:rPr>
      </w:pPr>
    </w:p>
    <w:p>
      <w:pPr>
        <w:ind w:left="520" w:right="3259"/>
        <w:spacing w:after="0" w:line="242" w:lineRule="auto"/>
        <w:rPr>
          <w:sz w:val="20"/>
          <w:szCs w:val="20"/>
          <w:color w:val="auto"/>
        </w:rPr>
      </w:pPr>
      <w:r>
        <w:rPr>
          <w:rFonts w:ascii="Courier New" w:cs="Courier New" w:eastAsia="Courier New" w:hAnsi="Courier New"/>
          <w:sz w:val="15"/>
          <w:szCs w:val="15"/>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175" w:lineRule="exact"/>
        <w:rPr>
          <w:sz w:val="20"/>
          <w:szCs w:val="20"/>
          <w:color w:val="auto"/>
        </w:rPr>
      </w:pPr>
    </w:p>
    <w:p>
      <w:pPr>
        <w:ind w:left="520" w:right="3159"/>
        <w:spacing w:after="0" w:line="262" w:lineRule="auto"/>
        <w:rPr>
          <w:sz w:val="20"/>
          <w:szCs w:val="20"/>
          <w:color w:val="auto"/>
        </w:rPr>
      </w:pPr>
      <w:r>
        <w:rPr>
          <w:rFonts w:ascii="Courier New" w:cs="Courier New" w:eastAsia="Courier New" w:hAnsi="Courier New"/>
          <w:sz w:val="14"/>
          <w:szCs w:val="14"/>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178"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805" w:right="1440" w:bottom="1440" w:gutter="0" w:footer="0" w:header="0"/>
        </w:sectPr>
      </w:pPr>
    </w:p>
    <w:bookmarkStart w:id="34" w:name="page35"/>
    <w:bookmarkEnd w:id="34"/>
    <w:p>
      <w:pPr>
        <w:ind w:right="3079" w:firstLine="537"/>
        <w:spacing w:after="0" w:line="261" w:lineRule="auto"/>
        <w:rPr>
          <w:sz w:val="20"/>
          <w:szCs w:val="20"/>
          <w:color w:val="auto"/>
        </w:rPr>
      </w:pPr>
      <w:r>
        <w:rPr>
          <w:rFonts w:ascii="Courier New" w:cs="Courier New" w:eastAsia="Courier New" w:hAnsi="Courier New"/>
          <w:sz w:val="14"/>
          <w:szCs w:val="14"/>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We lease all but one of our facilities under operating leases.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176" w:lineRule="exact"/>
        <w:rPr>
          <w:sz w:val="20"/>
          <w:szCs w:val="20"/>
          <w:color w:val="auto"/>
        </w:rPr>
      </w:pPr>
    </w:p>
    <w:p>
      <w:pPr>
        <w:ind w:right="3079" w:firstLine="537"/>
        <w:spacing w:after="0" w:line="262" w:lineRule="auto"/>
        <w:rPr>
          <w:sz w:val="20"/>
          <w:szCs w:val="20"/>
          <w:color w:val="auto"/>
        </w:rPr>
      </w:pPr>
      <w:r>
        <w:rPr>
          <w:rFonts w:ascii="Courier New" w:cs="Courier New" w:eastAsia="Courier New" w:hAnsi="Courier New"/>
          <w:sz w:val="14"/>
          <w:szCs w:val="14"/>
          <w:color w:val="auto"/>
        </w:rPr>
        <w:t>We also maintain U.S. offices in Chicago, Illinois; Philadelphia, Pennsylvania; Nashville, Tennessee; Irvine, San Bruno and Mountain View, California; Houston, Texas; Wilmington, Delaware; Farmingdale and New York, New York. Our European subsidiaries maintain offices in Frankfurt, Germany; Paris, France; Amsterdam, The Netherlands; Southampton, Marlow and Manchester, United Kingdom; Tel Aviv, Israel; Stockholm, Sweden and Riga, Latvia. Our Rest of World offices are located in Tokyo, Japan; Sydney, Australia; Bangalore, India; Buenos Aires, Argentina; Johannesburg, South Africa; Montreal, Canada and Singapore.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From time to time, we may be involved in litigation incidental to the conduct of our business. To date, we have not been a party to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07" w:right="1440" w:bottom="1440" w:gutter="0" w:footer="0" w:header="0"/>
        </w:sectPr>
      </w:pPr>
    </w:p>
    <w:bookmarkStart w:id="35" w:name="page36"/>
    <w:bookmarkEnd w:id="35"/>
    <w:p>
      <w:pPr>
        <w:jc w:val="center"/>
        <w:ind w:right="3752"/>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left="8" w:right="3760" w:firstLine="537"/>
        <w:spacing w:after="0" w:line="242" w:lineRule="auto"/>
        <w:rPr>
          <w:sz w:val="20"/>
          <w:szCs w:val="20"/>
          <w:color w:val="auto"/>
        </w:rPr>
      </w:pPr>
      <w:r>
        <w:rPr>
          <w:rFonts w:ascii="Courier New" w:cs="Courier New" w:eastAsia="Courier New" w:hAnsi="Courier New"/>
          <w:sz w:val="15"/>
          <w:szCs w:val="15"/>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AGE</w:t>
            </w:r>
          </w:p>
        </w:tc>
        <w:tc>
          <w:tcPr>
            <w:tcW w:w="6300" w:type="dxa"/>
            <w:vAlign w:val="bottom"/>
          </w:tcPr>
          <w:p>
            <w:pPr>
              <w:ind w:left="174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30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Dr. John Climax(1)(2)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50</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Peter Gray(1)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48</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Chief Executive Officer, Director</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Sean Leech(1)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32</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Chief Financial Officer and Secretary</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Dr. Ronan Lambe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62</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Thomas Lynch(2)(3)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45</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Edward Roberts(2)(3)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68</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Lee Jones(2)(3)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47</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Dr. Allan Morgan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48</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Chief Medical Officer, Director ICON Clinical Research (UK) Limited</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William Taaffe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54</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Chief Executive Officer and President, ICON Clinical Research - U.S.</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Dr. Thomas Frey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50</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Chief Operating Officer, Europe</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Dr. Markus Weissbach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47</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President of ICON Clinical Research - Europe</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Edward Caffrey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49</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President of ICON Laboratories</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Dr. John Hubbard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46</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Chief Operating Officer, ICON Clinical Research - U.S.</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Josephine Coyle .......................</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44</w:t>
            </w:r>
          </w:p>
        </w:tc>
        <w:tc>
          <w:tcPr>
            <w:tcW w:w="63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for Corporate Quality Assurance</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448"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Compensation Committee</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Audit Committee</w:t>
      </w:r>
    </w:p>
    <w:p>
      <w:pPr>
        <w:spacing w:after="0" w:line="176" w:lineRule="exact"/>
        <w:rPr>
          <w:sz w:val="20"/>
          <w:szCs w:val="20"/>
          <w:color w:val="auto"/>
        </w:rPr>
      </w:pPr>
    </w:p>
    <w:p>
      <w:pPr>
        <w:ind w:left="8" w:right="3840" w:firstLine="537"/>
        <w:spacing w:after="0" w:line="242" w:lineRule="auto"/>
        <w:rPr>
          <w:sz w:val="20"/>
          <w:szCs w:val="20"/>
          <w:color w:val="auto"/>
        </w:rPr>
      </w:pPr>
      <w:r>
        <w:rPr>
          <w:rFonts w:ascii="Courier New" w:cs="Courier New" w:eastAsia="Courier New" w:hAnsi="Courier New"/>
          <w:sz w:val="15"/>
          <w:szCs w:val="15"/>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178" w:lineRule="exact"/>
        <w:rPr>
          <w:sz w:val="20"/>
          <w:szCs w:val="20"/>
          <w:color w:val="auto"/>
        </w:rPr>
      </w:pPr>
    </w:p>
    <w:p>
      <w:pPr>
        <w:ind w:left="8" w:right="3760" w:firstLine="537"/>
        <w:spacing w:after="0" w:line="242" w:lineRule="auto"/>
        <w:rPr>
          <w:sz w:val="20"/>
          <w:szCs w:val="20"/>
          <w:color w:val="auto"/>
        </w:rPr>
      </w:pPr>
      <w:r>
        <w:rPr>
          <w:rFonts w:ascii="Courier New" w:cs="Courier New" w:eastAsia="Courier New" w:hAnsi="Courier New"/>
          <w:sz w:val="15"/>
          <w:szCs w:val="15"/>
          <w:color w:val="auto"/>
        </w:rPr>
        <w:t>PETER GRAY has served as the Chief Executive Officer of ICON and its subsidiaries since November 2002. He served as the Group Chief Operating Officer of ICON and its subsidiaries from June 2001, and prior to that was Chief Financial Officer.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177" w:lineRule="exact"/>
        <w:rPr>
          <w:sz w:val="20"/>
          <w:szCs w:val="20"/>
          <w:color w:val="auto"/>
        </w:rPr>
      </w:pPr>
    </w:p>
    <w:p>
      <w:pPr>
        <w:ind w:left="8" w:right="3940" w:firstLine="537"/>
        <w:spacing w:after="0" w:line="242" w:lineRule="auto"/>
        <w:rPr>
          <w:sz w:val="20"/>
          <w:szCs w:val="20"/>
          <w:color w:val="auto"/>
        </w:rPr>
      </w:pPr>
      <w:r>
        <w:rPr>
          <w:rFonts w:ascii="Courier New" w:cs="Courier New" w:eastAsia="Courier New" w:hAnsi="Courier New"/>
          <w:sz w:val="15"/>
          <w:szCs w:val="15"/>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176" w:lineRule="exact"/>
        <w:rPr>
          <w:sz w:val="20"/>
          <w:szCs w:val="20"/>
          <w:color w:val="auto"/>
        </w:rPr>
      </w:pPr>
    </w:p>
    <w:p>
      <w:pPr>
        <w:ind w:left="8" w:right="3760" w:firstLine="537"/>
        <w:spacing w:after="0" w:line="242" w:lineRule="auto"/>
        <w:rPr>
          <w:sz w:val="20"/>
          <w:szCs w:val="20"/>
          <w:color w:val="auto"/>
        </w:rPr>
      </w:pPr>
      <w:r>
        <w:rPr>
          <w:rFonts w:ascii="Courier New" w:cs="Courier New" w:eastAsia="Courier New" w:hAnsi="Courier New"/>
          <w:sz w:val="15"/>
          <w:szCs w:val="15"/>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200" w:lineRule="exact"/>
        <w:rPr>
          <w:sz w:val="20"/>
          <w:szCs w:val="20"/>
          <w:color w:val="auto"/>
        </w:rPr>
      </w:pPr>
    </w:p>
    <w:p>
      <w:pPr>
        <w:spacing w:after="0" w:line="31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908"/>
          </w:cols>
          <w:pgMar w:left="232" w:top="461" w:right="759" w:bottom="1440" w:gutter="0" w:footer="0" w:header="0"/>
        </w:sectPr>
      </w:pPr>
    </w:p>
    <w:bookmarkStart w:id="36" w:name="page37"/>
    <w:bookmarkEnd w:id="36"/>
    <w:p>
      <w:pPr>
        <w:ind w:right="3079" w:firstLine="537"/>
        <w:spacing w:after="0" w:line="242" w:lineRule="auto"/>
        <w:rPr>
          <w:sz w:val="20"/>
          <w:szCs w:val="20"/>
          <w:color w:val="auto"/>
        </w:rPr>
      </w:pPr>
      <w:r>
        <w:rPr>
          <w:rFonts w:ascii="Courier New" w:cs="Courier New" w:eastAsia="Courier New" w:hAnsi="Courier New"/>
          <w:sz w:val="15"/>
          <w:szCs w:val="15"/>
          <w:color w:val="auto"/>
        </w:rPr>
        <w:t>THOMAS LYNCH has served as an outside director of the Company since January 1996. Mr. Lynch has held several senior positions in Elan Corporation, plc, a specialty pharmaceutical company, from May 1993 to July 2002, including Executive Vice President, Chief Financial Officer and Deputy Chairman. Mr. Lynch is a director of Nanogen, Inc., IDA Ireland and Amarin Corporation plc. Mr. Lynch was a partner at KPMG from May 1990 to May 1993.</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is a partner in Global Health Care Partners, Chairman of Biopartners and Chairman of the Advisory Board of Merz &amp; Co. GmbH.</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LEE JONES has served as an outside director of the Company since June 1,</w:t>
      </w:r>
    </w:p>
    <w:p>
      <w:pPr>
        <w:spacing w:after="0" w:line="4"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2001. He is currently Chairman, Chief Executive Officer and President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175"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175"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DR. MARKUS WEISSBACH served as President of ICON Clinical Research GmbH from 1996 to 1999 and currently holds the position of President of ICON Clinical Research Europe. Dr. Weissbach was the head of the Cardiovascular department of Takeda Euro R&amp;D center from January 1994 to December 1996 and the Associate Director of Clinical Cardiology/Nephrology at BASF Pharmaceuticals from January 1990 to January 1994. Dr. Weissbach received his degree in medicine from the University of Freiburg in 1982.</w:t>
      </w:r>
    </w:p>
    <w:p>
      <w:pPr>
        <w:spacing w:after="0" w:line="177" w:lineRule="exact"/>
        <w:rPr>
          <w:sz w:val="20"/>
          <w:szCs w:val="20"/>
          <w:color w:val="auto"/>
        </w:rPr>
      </w:pPr>
    </w:p>
    <w:p>
      <w:pPr>
        <w:ind w:right="3079" w:firstLine="537"/>
        <w:spacing w:after="0" w:line="263" w:lineRule="auto"/>
        <w:rPr>
          <w:sz w:val="20"/>
          <w:szCs w:val="20"/>
          <w:color w:val="auto"/>
        </w:rPr>
      </w:pPr>
      <w:r>
        <w:rPr>
          <w:rFonts w:ascii="Courier New" w:cs="Courier New" w:eastAsia="Courier New" w:hAnsi="Courier New"/>
          <w:sz w:val="14"/>
          <w:szCs w:val="14"/>
          <w:color w:val="auto"/>
        </w:rPr>
        <w:t>EDWARD CAFFREY has served as President of ICON Laboratories since June 2000. Mr. Caffrey has over 21 years experience in the contract research industry. Before joining ICON, Mr. Caffrey was Senior Vice President of Clinical Operations at Covance North America. Mr. Caffrey is a fellow of the Institute of Biomedical Sciences in London and holds an MSc from Dublin City University.</w:t>
      </w:r>
    </w:p>
    <w:p>
      <w:pPr>
        <w:spacing w:after="0" w:line="163"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DR. JOHN W. HUBBARD has served as Chief Operating Officer of ICON Clinical Research - U.S. since October 1999. Dr. Hubbard has more than 18 years of experience in pharmaceutical research and development. He has held senior management positions at Clinical Studies, a division of Innovative Clinical Solutions, Ltd., PAREXEL International Corporation and Hoechst Marion Roussel Pharmaceuticals. Dr. Hubbard received a Ph.D. in Cardiovascular Physiology from the University of Tennessee and a B.S. in Psychology/Biology from the University of Santa Clara.</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37" w:name="page38"/>
    <w:bookmarkEnd w:id="37"/>
    <w:p>
      <w:pPr>
        <w:ind w:right="3439" w:firstLine="537"/>
        <w:spacing w:after="0" w:line="242" w:lineRule="auto"/>
        <w:rPr>
          <w:sz w:val="20"/>
          <w:szCs w:val="20"/>
          <w:color w:val="auto"/>
        </w:rPr>
      </w:pPr>
      <w:r>
        <w:rPr>
          <w:rFonts w:ascii="Courier New" w:cs="Courier New" w:eastAsia="Courier New" w:hAnsi="Courier New"/>
          <w:sz w:val="15"/>
          <w:szCs w:val="15"/>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As of November 30, 2002, we had 2,007 employees worldwide. There were 1,767 employees working in our clinical research segment and 240 employees in our central laboratory segment. Globally, there were 1,298 employees in the United States, 339 employees in Europe, 296 employees in Ireland and 74 employees in the Rest of the World. Due to the recent acquisition of Medeval, we currently have approximately 2,200 employees.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5" w:right="1440" w:bottom="1440" w:gutter="0" w:footer="0" w:header="0"/>
        </w:sectPr>
      </w:pPr>
    </w:p>
    <w:bookmarkStart w:id="38" w:name="page39"/>
    <w:bookmarkEnd w:id="38"/>
    <w:p>
      <w:pPr>
        <w:ind w:left="2688"/>
        <w:spacing w:after="0"/>
        <w:rPr>
          <w:sz w:val="20"/>
          <w:szCs w:val="20"/>
          <w:color w:val="auto"/>
        </w:rPr>
      </w:pPr>
      <w:r>
        <w:rPr>
          <w:rFonts w:ascii="Courier New" w:cs="Courier New" w:eastAsia="Courier New" w:hAnsi="Courier New"/>
          <w:sz w:val="15"/>
          <w:szCs w:val="15"/>
          <w:color w:val="auto"/>
        </w:rPr>
        <w:t>SELLING SHAREHOLDERS</w:t>
      </w:r>
    </w:p>
    <w:p>
      <w:pPr>
        <w:spacing w:after="0" w:line="176" w:lineRule="exact"/>
        <w:rPr>
          <w:sz w:val="20"/>
          <w:szCs w:val="20"/>
          <w:color w:val="auto"/>
        </w:rPr>
      </w:pPr>
    </w:p>
    <w:p>
      <w:pPr>
        <w:ind w:left="8" w:right="4820" w:firstLine="537"/>
        <w:spacing w:after="0" w:line="241"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our ordinary shares as of December 31, 2002 by the selling shareholders in this offering.</w:t>
      </w:r>
    </w:p>
    <w:p>
      <w:pPr>
        <w:sectPr>
          <w:pgSz w:w="11900" w:h="16838" w:orient="portrait"/>
          <w:cols w:equalWidth="0" w:num="1">
            <w:col w:w="11448"/>
          </w:cols>
          <w:pgMar w:left="232" w:top="6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8"/>
        <w:spacing w:after="0" w:line="267" w:lineRule="auto"/>
        <w:rPr>
          <w:sz w:val="20"/>
          <w:szCs w:val="20"/>
          <w:color w:val="auto"/>
        </w:rPr>
      </w:pPr>
      <w:r>
        <w:rPr>
          <w:rFonts w:ascii="Courier New" w:cs="Courier New" w:eastAsia="Courier New" w:hAnsi="Courier New"/>
          <w:sz w:val="14"/>
          <w:szCs w:val="14"/>
          <w:color w:val="auto"/>
        </w:rPr>
        <w:t>NAME AND ADDRESS OF SELLING SHAREHOLDER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BENEFICIALLY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THIS OFFERING(1)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BEING SOLD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OFFERING(1)</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BENEFICIALLY</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OWNED AFTER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THIS OFFERING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(ASSUMING NO EXERCISE</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OF THE UNDERWRITERS'</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 TO PURCHASE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ADDITIONAL ADSs)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w:t>
      </w:r>
    </w:p>
    <w:p>
      <w:pPr>
        <w:spacing w:after="0" w:line="1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SHARES BENEFICIALLY OWNED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AFTER THIS OFFERING(1)</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(ASSUMING FULL EXERCISE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 THE UNDERWRITERS' OPTION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 PURCHASE ADDITIONAL ADSs)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tabs>
          <w:tab w:leader="none" w:pos="1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p>
    <w:p>
      <w:pPr>
        <w:spacing w:after="0" w:line="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5">
            <w:col w:w="1968" w:space="540"/>
            <w:col w:w="2240" w:space="260"/>
            <w:col w:w="1440" w:space="260"/>
            <w:col w:w="1880" w:space="180"/>
            <w:col w:w="2680"/>
          </w:cols>
          <w:pgMar w:left="232" w:top="633" w:right="219"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Dr. Ronan Lambe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2,408,720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1,408,720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1,183,720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8.6%</w:t>
      </w:r>
    </w:p>
    <w:p>
      <w:pPr>
        <w:spacing w:after="0" w:line="4" w:lineRule="exact"/>
        <w:rPr>
          <w:sz w:val="20"/>
          <w:szCs w:val="20"/>
          <w:color w:val="auto"/>
        </w:rPr>
      </w:pPr>
    </w:p>
    <w:p>
      <w:pPr>
        <w:sectPr>
          <w:pgSz w:w="11900" w:h="16838" w:orient="portrait"/>
          <w:cols w:equalWidth="0" w:num="8">
            <w:col w:w="2328" w:space="260"/>
            <w:col w:w="820" w:space="620"/>
            <w:col w:w="520" w:space="720"/>
            <w:col w:w="820" w:space="620"/>
            <w:col w:w="800" w:space="460"/>
            <w:col w:w="440" w:space="620"/>
            <w:col w:w="980" w:space="720"/>
            <w:col w:w="720"/>
          </w:cols>
          <w:pgMar w:left="232" w:top="633" w:right="21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South County Business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Park, Leopardstown,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Dublin 18, Ireland</w:t>
      </w:r>
    </w:p>
    <w:p>
      <w:pPr>
        <w:sectPr>
          <w:pgSz w:w="11900" w:h="16838" w:orient="portrait"/>
          <w:cols w:equalWidth="0" w:num="1">
            <w:col w:w="11448"/>
          </w:cols>
          <w:pgMar w:left="232" w:top="633" w:right="219"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Dr. John Climax(2)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2,639,120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2,139,120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1,914,120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w:t>
      </w:r>
    </w:p>
    <w:p>
      <w:pPr>
        <w:spacing w:after="0" w:line="13" w:lineRule="exact"/>
        <w:rPr>
          <w:sz w:val="20"/>
          <w:szCs w:val="20"/>
          <w:color w:val="auto"/>
        </w:rPr>
      </w:pPr>
    </w:p>
    <w:p>
      <w:pPr>
        <w:sectPr>
          <w:pgSz w:w="11900" w:h="16838" w:orient="portrait"/>
          <w:cols w:equalWidth="0" w:num="8">
            <w:col w:w="2328" w:space="260"/>
            <w:col w:w="820" w:space="620"/>
            <w:col w:w="620" w:space="720"/>
            <w:col w:w="620" w:space="720"/>
            <w:col w:w="800" w:space="460"/>
            <w:col w:w="440" w:space="620"/>
            <w:col w:w="900" w:space="720"/>
            <w:col w:w="800"/>
          </w:cols>
          <w:pgMar w:left="232" w:top="633" w:right="219"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South County Business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Park, Leopardstown,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Dublin 18, Ireland</w:t>
      </w:r>
    </w:p>
    <w:p>
      <w:pPr>
        <w:sectPr>
          <w:pgSz w:w="11900" w:h="16838" w:orient="portrait"/>
          <w:cols w:equalWidth="0" w:num="1">
            <w:col w:w="11448"/>
          </w:cols>
          <w:pgMar w:left="232" w:top="633" w:right="219" w:bottom="1440" w:gutter="0" w:footer="0" w:header="0"/>
          <w:type w:val="continuous"/>
        </w:sectPr>
      </w:pP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4380" w:hanging="448"/>
        <w:spacing w:after="0" w:line="242" w:lineRule="auto"/>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 security if that such person has the right to acquire within 60 days after such date.</w:t>
      </w:r>
    </w:p>
    <w:p>
      <w:pPr>
        <w:spacing w:after="0" w:line="176" w:lineRule="exact"/>
        <w:rPr>
          <w:rFonts w:ascii="Courier New" w:cs="Courier New" w:eastAsia="Courier New" w:hAnsi="Courier New"/>
          <w:sz w:val="15"/>
          <w:szCs w:val="15"/>
          <w:color w:val="auto"/>
        </w:rPr>
      </w:pPr>
    </w:p>
    <w:p>
      <w:pPr>
        <w:ind w:left="448" w:right="4660" w:hanging="448"/>
        <w:spacing w:after="0" w:line="242" w:lineRule="auto"/>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448"/>
          </w:cols>
          <w:pgMar w:left="232" w:top="633" w:right="219" w:bottom="1440" w:gutter="0" w:footer="0" w:header="0"/>
          <w:type w:val="continuous"/>
        </w:sectPr>
      </w:pPr>
    </w:p>
    <w:bookmarkStart w:id="39" w:name="page40"/>
    <w:bookmarkEnd w:id="39"/>
    <w:p>
      <w:pPr>
        <w:jc w:val="center"/>
        <w:ind w:right="3079"/>
        <w:spacing w:after="0"/>
        <w:rPr>
          <w:sz w:val="20"/>
          <w:szCs w:val="20"/>
          <w:color w:val="auto"/>
        </w:rPr>
      </w:pPr>
      <w:r>
        <w:rPr>
          <w:rFonts w:ascii="Courier New" w:cs="Courier New" w:eastAsia="Courier New" w:hAnsi="Courier New"/>
          <w:sz w:val="15"/>
          <w:szCs w:val="15"/>
          <w:color w:val="auto"/>
        </w:rPr>
        <w:t>U.S. TAXATION CONSIDERATIONS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following discussion is a summary of certain material U.S. federal income tax consequences of the ownership and disposition of ordinary shares or ADSs purchased in this offering by U.S. Holders (as defined below) who hold such ordinary shares or ADSs as capital assets. This discussion is based upon laws, regulations, rulings and decisions currently in effect, all of which are subject to change, retroactively or prospectively.</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This discussion is for general information only and may not apply to certain categories of holders subject to special treatment under the Internal Revenue Code of 1986, as amended (the "Code"), such as Non-U.S. Holders (as defined below), holders that are pass-through entities or investors in pass-through entities, dealers or traders in securities or currencies, banks, insurance companies, traders who elect to mark-to-market their securities, persons whose "functional currency" is not the U.S. dollar, persons who own 10% or more (by voting power) of the shares of ICON, tax-exempt entities, U.S. expatriates and persons who hold ADSs as a position in a straddle or as part of a "hedging", "integrated", "constructive sale" or "conversion" transaction. Moreover, the discussion summarizes only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w:t>
      </w:r>
    </w:p>
    <w:p>
      <w:pPr>
        <w:spacing w:after="0" w:line="184"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For purposes of the following discussion,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176" w:lineRule="exact"/>
        <w:rPr>
          <w:sz w:val="20"/>
          <w:szCs w:val="20"/>
          <w:color w:val="auto"/>
        </w:rPr>
      </w:pPr>
    </w:p>
    <w:p>
      <w:pPr>
        <w:ind w:left="1060" w:right="3159" w:hanging="532"/>
        <w:spacing w:after="0" w:line="267" w:lineRule="auto"/>
        <w:tabs>
          <w:tab w:leader="none" w:pos="10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U.S. court is able to exercise primary supervision over the administration of the trust and one or more U.S. fiduciaries have the authority to control all substantial decisions of the trust; or</w:t>
      </w:r>
    </w:p>
    <w:p>
      <w:pPr>
        <w:spacing w:after="0" w:line="330" w:lineRule="exact"/>
        <w:rPr>
          <w:rFonts w:ascii="Courier New" w:cs="Courier New" w:eastAsia="Courier New" w:hAnsi="Courier New"/>
          <w:sz w:val="14"/>
          <w:szCs w:val="14"/>
          <w:color w:val="auto"/>
        </w:rPr>
      </w:pPr>
    </w:p>
    <w:p>
      <w:pPr>
        <w:ind w:left="1060" w:right="3599" w:hanging="532"/>
        <w:spacing w:after="0"/>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a valid election in effect under applicable U.S. Treasury Regulations to be treated as a U.S. person.</w:t>
      </w:r>
    </w:p>
    <w:p>
      <w:pPr>
        <w:spacing w:after="0" w:line="176"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A "Non-U.S. Holder" means a beneficial owner of ordinary shares or ADSs that is, for U.S. federal income tax purposes, a nonresident alien individual or a corporation, estate or trust that is not a U.S. Holder.</w:t>
      </w:r>
    </w:p>
    <w:p>
      <w:pPr>
        <w:spacing w:after="0" w:line="176" w:lineRule="exact"/>
        <w:rPr>
          <w:sz w:val="20"/>
          <w:szCs w:val="20"/>
          <w:color w:val="auto"/>
        </w:rPr>
      </w:pPr>
    </w:p>
    <w:p>
      <w:pPr>
        <w:ind w:right="3159" w:firstLine="537"/>
        <w:spacing w:after="0"/>
        <w:rPr>
          <w:sz w:val="20"/>
          <w:szCs w:val="20"/>
          <w:color w:val="auto"/>
        </w:rPr>
      </w:pPr>
      <w:r>
        <w:rPr>
          <w:rFonts w:ascii="Courier New" w:cs="Courier New" w:eastAsia="Courier New" w:hAnsi="Courier New"/>
          <w:sz w:val="15"/>
          <w:szCs w:val="15"/>
          <w:color w:val="auto"/>
        </w:rPr>
        <w:t>For U.S. federal income tax purposes, U.S. Holders of ADSs are treated as the owners of the underlying ordinary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Subject to the passive foreign investment company ("PFIC") rules discussed below, the gross amount of a distribution paid on an ADS or on an ordinary share will be a dividend for U.S. federal income tax purposes to the extent paid out of our current or accumulated earnings and profits (as determined for U.S. federal income tax purposes). To the extent that a distribution exceeds our earnings and profits, it will be treated as a nontaxable return of capital to the extent of a U.S. Holder's basis in such shares and thereafter as a capital gain. Dividends paid by us, if any, generally will not qualify for the dividends-received deduction otherwise generally available to corporate shareholders.</w:t>
      </w:r>
    </w:p>
    <w:p>
      <w:pPr>
        <w:spacing w:after="0" w:line="179"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3" w:right="1440" w:bottom="1440" w:gutter="0" w:footer="0" w:header="0"/>
        </w:sectPr>
      </w:pPr>
    </w:p>
    <w:bookmarkStart w:id="40" w:name="page41"/>
    <w:bookmarkEnd w:id="40"/>
    <w:p>
      <w:pPr>
        <w:ind w:right="3079"/>
        <w:spacing w:after="0" w:line="242" w:lineRule="auto"/>
        <w:rPr>
          <w:sz w:val="20"/>
          <w:szCs w:val="20"/>
          <w:color w:val="auto"/>
        </w:rPr>
      </w:pPr>
      <w:r>
        <w:rPr>
          <w:rFonts w:ascii="Courier New" w:cs="Courier New" w:eastAsia="Courier New" w:hAnsi="Courier New"/>
          <w:sz w:val="15"/>
          <w:szCs w:val="15"/>
          <w:color w:val="auto"/>
        </w:rPr>
        <w:t>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Because more than 50% of the total combined voting power of all classes of our shares entitled to vote or the total value of our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DISPOSITION</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Subject to the PFIC rules discussed below, upon a sale, exchange or other disposition of the ordinary shares or ADSs, a U.S. Holder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PASSIVE FOREIGN INVESTMENT COMPANY ("PFIC") STATUS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foreign corporation generally will be a PFIC for United States federal income tax purposes if in any tax year either 75% or more of its gross income is "passive income" (generally including dividends, interest, royalties, rents and annuities) or the average percentage of its assets that produce passive income or are held for the production of passive income is at least 50%. ICON believes that it is not currently a PFIC for U.S. federal income tax purposes. In addition, while there can be no assurance because the determination depends on future events, ICON currently expects, based on current projections of its income and assets, and the manner in which ICON currently intends to manage its business, that it will not be a PFIC in the future. If ICON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avoid or mitigate these adverse tax consequences by making a timely "qualified electing fund" or "mark-to-market" election. U.S. Holders should consult with their tax advisors as to the effect of these rules.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HOLDING COMPANY ("PHC") STATUS</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(without regard to their citizenship or residence)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182"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ICON believes, based on publicly available information regarding its stock ownership, that neither it nor any of its subsidiaries is currently a PHC. Even if this is correct, there can be no assurance that ICON or one or more of its subsidiaries will not be a PHC in the future.</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FOREIGN PERSONAL HOLDING COMPANY ("FPHC") STATUS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foreign corporation generally will be classified as an FPHC (as opposed to a foreign corporation that happens to be a PHC) if (i) five or fewer individuals who are U.S. citizens or residents, directly or indirectly (applying certain attribution rules), own more than 50% of the corporation's stock (measured either by voting power or value) (the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178"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In general, if ICON or any of its foreign subsidiaries were classified as an FPHC, the "undistributed foreign personal holding company income" of such entity - essentially its worldwide after-tax, after-dividends income - would be imputed to all of the U.S. shareholders of ICON who were deemed to hold ICON's stock on the last day of its taxable year, regardless of the size of their respective stockholdings. Such income would be taxable to such persons as a dividend, even if no cash dividend were actually paid.</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ICON believes, based on publicly available information regarding its stock ownership, that neither it nor any of its foreign subsidiaries is an FPHC. Even if this is correct, there can be no assurance that ICON or one or more of its subsidiaries will not be an FPHC in the future.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TAX AND INFORMATION REPORTING</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U.S. Holder of ordinary shares or ADSs may be subject to information reporting requirements and backup withholding tax at the rate of 30% for amounts paid after December 31, 2001, 29% for amounts paid after December 31, 2003 and 28% for amounts paid after December 31, 2005, with respect to dividends paid on the ordinary shares or ADSs, or the proceeds of sale of the ordinary shares or ADSs, unless the holder:</w:t>
      </w:r>
    </w:p>
    <w:p>
      <w:pPr>
        <w:spacing w:after="0" w:line="176" w:lineRule="exact"/>
        <w:rPr>
          <w:sz w:val="20"/>
          <w:szCs w:val="20"/>
          <w:color w:val="auto"/>
        </w:rPr>
      </w:pPr>
    </w:p>
    <w:p>
      <w:pPr>
        <w:ind w:left="1060" w:right="3339" w:hanging="532"/>
        <w:spacing w:after="0"/>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or comes within certain other exempt categories, and when required, demonstrates this fact; or</w:t>
      </w:r>
    </w:p>
    <w:p>
      <w:pPr>
        <w:spacing w:after="0" w:line="176" w:lineRule="exact"/>
        <w:rPr>
          <w:rFonts w:ascii="Courier New" w:cs="Courier New" w:eastAsia="Courier New" w:hAnsi="Courier New"/>
          <w:sz w:val="15"/>
          <w:szCs w:val="15"/>
          <w:color w:val="auto"/>
        </w:rPr>
      </w:pPr>
    </w:p>
    <w:p>
      <w:pPr>
        <w:ind w:left="1060" w:right="3339" w:hanging="532"/>
        <w:spacing w:after="0" w:line="242"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correct taxpayer identification number, or T.I.N., certifies that he, she or it is not subject to backup withholding and otherwise complies with applicable requirements of the backup withholding rules.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3" w:right="1440" w:bottom="1440" w:gutter="0" w:footer="0" w:header="0"/>
        </w:sectPr>
      </w:pPr>
    </w:p>
    <w:bookmarkStart w:id="42" w:name="page43"/>
    <w:bookmarkEnd w:id="42"/>
    <w:p>
      <w:pPr>
        <w:jc w:val="center"/>
        <w:ind w:right="3159"/>
        <w:spacing w:after="0"/>
        <w:rPr>
          <w:sz w:val="20"/>
          <w:szCs w:val="20"/>
          <w:color w:val="auto"/>
        </w:rPr>
      </w:pPr>
      <w:r>
        <w:rPr>
          <w:rFonts w:ascii="Courier New" w:cs="Courier New" w:eastAsia="Courier New" w:hAnsi="Courier New"/>
          <w:sz w:val="15"/>
          <w:szCs w:val="15"/>
          <w:color w:val="auto"/>
        </w:rPr>
        <w:t>IRISH TAXATION CONSIDERATIONS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following summary outlines certain aspects of Irish tax law and practice regarding the ownership and disposition of ordinary shares and ADSs. This summary deals with only ordinary shares and ADSs held as capital assets and does not address special classes of shareholders such as dealers in securities. The summary is not exhaustive and shareholders are advised to contact their own tax advisers with respect to the taxation consequences of their ownership or disposition of ordinary shares or ADSs. The summary is based on current Irish taxation legislation and practice.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7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Non-Irish resident corporate shareholders that:</w:t>
      </w:r>
    </w:p>
    <w:p>
      <w:pPr>
        <w:spacing w:after="0" w:line="174" w:lineRule="exact"/>
        <w:rPr>
          <w:sz w:val="20"/>
          <w:szCs w:val="20"/>
          <w:color w:val="auto"/>
        </w:rPr>
      </w:pPr>
    </w:p>
    <w:p>
      <w:pPr>
        <w:ind w:left="1060" w:hanging="532"/>
        <w:spacing w:after="0"/>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ultimately controlled by residents of a Relevant Territory;</w:t>
      </w:r>
    </w:p>
    <w:p>
      <w:pPr>
        <w:spacing w:after="0" w:line="175" w:lineRule="exact"/>
        <w:rPr>
          <w:rFonts w:ascii="Courier New" w:cs="Courier New" w:eastAsia="Courier New" w:hAnsi="Courier New"/>
          <w:sz w:val="15"/>
          <w:szCs w:val="15"/>
          <w:color w:val="auto"/>
        </w:rPr>
      </w:pPr>
    </w:p>
    <w:p>
      <w:pPr>
        <w:ind w:left="1060" w:right="3079" w:hanging="532"/>
        <w:spacing w:after="0"/>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resident in a Relevant Territory and are not controlled by Irish residents;</w:t>
      </w:r>
    </w:p>
    <w:p>
      <w:pPr>
        <w:spacing w:after="0" w:line="176" w:lineRule="exact"/>
        <w:rPr>
          <w:rFonts w:ascii="Courier New" w:cs="Courier New" w:eastAsia="Courier New" w:hAnsi="Courier New"/>
          <w:sz w:val="15"/>
          <w:szCs w:val="15"/>
          <w:color w:val="auto"/>
        </w:rPr>
      </w:pPr>
    </w:p>
    <w:p>
      <w:pPr>
        <w:ind w:left="1060" w:right="3259" w:hanging="532"/>
        <w:spacing w:after="0" w:line="241" w:lineRule="auto"/>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principal class of their shares, or of a 75% parent, substantially and regularly traded on one or more recognized stock exchanges in a Relevant Territory or Territories; or</w:t>
      </w:r>
    </w:p>
    <w:p>
      <w:pPr>
        <w:spacing w:after="0" w:line="176" w:lineRule="exact"/>
        <w:rPr>
          <w:rFonts w:ascii="Courier New" w:cs="Courier New" w:eastAsia="Courier New" w:hAnsi="Courier New"/>
          <w:sz w:val="15"/>
          <w:szCs w:val="15"/>
          <w:color w:val="auto"/>
        </w:rPr>
      </w:pPr>
    </w:p>
    <w:p>
      <w:pPr>
        <w:ind w:left="1060" w:right="3079" w:hanging="532"/>
        <w:spacing w:after="0" w:line="267" w:lineRule="auto"/>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wholly owned by two or more companies, each of whose principal class of shares is substantially and regularly traded on one or more recognized stock exchanges in a Relevant Territory or Territories;</w:t>
      </w:r>
    </w:p>
    <w:p>
      <w:pPr>
        <w:spacing w:after="0" w:line="159"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will be exempt from withholding tax on the production of the appropriate certificates and declarations.</w:t>
      </w:r>
    </w:p>
    <w:p>
      <w:pPr>
        <w:spacing w:after="0" w:line="176" w:lineRule="exact"/>
        <w:rPr>
          <w:sz w:val="20"/>
          <w:szCs w:val="20"/>
          <w:color w:val="auto"/>
        </w:rPr>
      </w:pPr>
    </w:p>
    <w:p>
      <w:pPr>
        <w:ind w:right="3339" w:firstLine="537"/>
        <w:spacing w:after="0" w:line="242" w:lineRule="auto"/>
        <w:rPr>
          <w:sz w:val="20"/>
          <w:szCs w:val="20"/>
          <w:color w:val="auto"/>
        </w:rPr>
      </w:pPr>
      <w:r>
        <w:rPr>
          <w:rFonts w:ascii="Courier New" w:cs="Courier New" w:eastAsia="Courier New" w:hAnsi="Courier New"/>
          <w:sz w:val="15"/>
          <w:szCs w:val="15"/>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75" w:lineRule="exact"/>
        <w:rPr>
          <w:sz w:val="20"/>
          <w:szCs w:val="20"/>
          <w:color w:val="auto"/>
        </w:rPr>
      </w:pPr>
    </w:p>
    <w:p>
      <w:pPr>
        <w:ind w:left="1060" w:right="3339" w:hanging="532"/>
        <w:spacing w:after="0" w:line="241"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has been authorized by the Irish Revenue Commissioners as a qualifying intermediary and such authorization has not expired or been revoked; and either</w:t>
      </w:r>
    </w:p>
    <w:p>
      <w:pPr>
        <w:spacing w:after="0" w:line="176" w:lineRule="exact"/>
        <w:rPr>
          <w:rFonts w:ascii="Courier New" w:cs="Courier New" w:eastAsia="Courier New" w:hAnsi="Courier New"/>
          <w:sz w:val="15"/>
          <w:szCs w:val="15"/>
          <w:color w:val="auto"/>
        </w:rPr>
      </w:pPr>
    </w:p>
    <w:p>
      <w:pPr>
        <w:ind w:left="1060" w:right="3259" w:hanging="532"/>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bank's ADS register shows that the beneficial owner has a U.S. address on the register; or</w:t>
      </w:r>
    </w:p>
    <w:p>
      <w:pPr>
        <w:spacing w:after="0" w:line="176" w:lineRule="exact"/>
        <w:rPr>
          <w:rFonts w:ascii="Courier New" w:cs="Courier New" w:eastAsia="Courier New" w:hAnsi="Courier New"/>
          <w:sz w:val="15"/>
          <w:szCs w:val="15"/>
          <w:color w:val="auto"/>
        </w:rPr>
      </w:pPr>
    </w:p>
    <w:p>
      <w:pPr>
        <w:ind w:left="1060" w:right="3259" w:hanging="532"/>
        <w:spacing w:after="0" w:line="242"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INCOME TAX</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75"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However, a U.S. Holder will not have an Irish income tax liability on dividends from the company if the U.S. Holder is neither resident nor ordinarily resident in the Republic of Ireland and the U.S. Holder is:</w:t>
      </w:r>
    </w:p>
    <w:p>
      <w:pPr>
        <w:spacing w:after="0" w:line="174" w:lineRule="exact"/>
        <w:rPr>
          <w:sz w:val="20"/>
          <w:szCs w:val="20"/>
          <w:color w:val="auto"/>
        </w:rPr>
      </w:pPr>
    </w:p>
    <w:p>
      <w:pPr>
        <w:ind w:left="1060" w:hanging="532"/>
        <w:spacing w:after="0"/>
        <w:tabs>
          <w:tab w:leader="none" w:pos="10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resident in the U.S. (or several other countries);</w:t>
      </w:r>
    </w:p>
    <w:p>
      <w:pPr>
        <w:spacing w:after="0" w:line="175" w:lineRule="exact"/>
        <w:rPr>
          <w:rFonts w:ascii="Courier New" w:cs="Courier New" w:eastAsia="Courier New" w:hAnsi="Courier New"/>
          <w:sz w:val="15"/>
          <w:szCs w:val="15"/>
          <w:color w:val="auto"/>
        </w:rPr>
      </w:pPr>
    </w:p>
    <w:p>
      <w:pPr>
        <w:ind w:left="1060" w:right="3259" w:hanging="532"/>
        <w:spacing w:after="0"/>
        <w:tabs>
          <w:tab w:leader="none" w:pos="10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that is ultimately controlled by persons resident in the U.S. (or several other countries);</w:t>
      </w:r>
    </w:p>
    <w:p>
      <w:pPr>
        <w:spacing w:after="0" w:line="176" w:lineRule="exact"/>
        <w:rPr>
          <w:rFonts w:ascii="Courier New" w:cs="Courier New" w:eastAsia="Courier New" w:hAnsi="Courier New"/>
          <w:sz w:val="15"/>
          <w:szCs w:val="15"/>
          <w:color w:val="auto"/>
        </w:rPr>
      </w:pPr>
    </w:p>
    <w:p>
      <w:pPr>
        <w:ind w:left="1060" w:right="3079" w:hanging="532"/>
        <w:spacing w:after="0" w:line="265"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59" w:lineRule="exact"/>
        <w:rPr>
          <w:rFonts w:ascii="Courier New" w:cs="Courier New" w:eastAsia="Courier New" w:hAnsi="Courier New"/>
          <w:sz w:val="14"/>
          <w:szCs w:val="14"/>
          <w:color w:val="auto"/>
        </w:rPr>
      </w:pPr>
    </w:p>
    <w:p>
      <w:pPr>
        <w:ind w:left="1060" w:right="3159" w:hanging="532"/>
        <w:spacing w:after="0" w:line="241" w:lineRule="auto"/>
        <w:tabs>
          <w:tab w:leader="none" w:pos="10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resident in another EU member state or in a country with which Ireland has concluded a double taxation treaty, which is not controlled directly or indirectly by Irish residents; or</w:t>
      </w:r>
    </w:p>
    <w:p>
      <w:pPr>
        <w:spacing w:after="0" w:line="176" w:lineRule="exact"/>
        <w:rPr>
          <w:rFonts w:ascii="Courier New" w:cs="Courier New" w:eastAsia="Courier New" w:hAnsi="Courier New"/>
          <w:sz w:val="15"/>
          <w:szCs w:val="15"/>
          <w:color w:val="auto"/>
        </w:rPr>
      </w:pPr>
    </w:p>
    <w:p>
      <w:pPr>
        <w:ind w:left="1060" w:right="3159" w:hanging="532"/>
        <w:spacing w:after="0" w:line="265"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60"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DISPOSITION</w:t>
      </w:r>
    </w:p>
    <w:p>
      <w:pPr>
        <w:spacing w:after="0" w:line="176"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165" w:lineRule="exact"/>
        <w:rPr>
          <w:sz w:val="20"/>
          <w:szCs w:val="20"/>
          <w:color w:val="auto"/>
        </w:rPr>
      </w:pPr>
    </w:p>
    <w:p>
      <w:pPr>
        <w:ind w:left="1060" w:hanging="532"/>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to be Irish resident after December 4, 2002;</w:t>
      </w:r>
    </w:p>
    <w:p>
      <w:pPr>
        <w:spacing w:after="0" w:line="174" w:lineRule="exact"/>
        <w:rPr>
          <w:rFonts w:ascii="Courier New" w:cs="Courier New" w:eastAsia="Courier New" w:hAnsi="Courier New"/>
          <w:sz w:val="15"/>
          <w:szCs w:val="15"/>
          <w:color w:val="auto"/>
        </w:rPr>
      </w:pPr>
    </w:p>
    <w:p>
      <w:pPr>
        <w:ind w:left="1060" w:hanging="532"/>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resume their Irish residence within five years;</w:t>
      </w:r>
    </w:p>
    <w:p>
      <w:pPr>
        <w:spacing w:after="0" w:line="175" w:lineRule="exact"/>
        <w:rPr>
          <w:rFonts w:ascii="Courier New" w:cs="Courier New" w:eastAsia="Courier New" w:hAnsi="Courier New"/>
          <w:sz w:val="15"/>
          <w:szCs w:val="15"/>
          <w:color w:val="auto"/>
        </w:rPr>
      </w:pPr>
    </w:p>
    <w:p>
      <w:pPr>
        <w:ind w:left="1060" w:right="4059" w:hanging="532"/>
        <w:spacing w:after="0"/>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dispose of an interest in a company during this temporary non-residence; and</w:t>
      </w:r>
    </w:p>
    <w:p>
      <w:pPr>
        <w:spacing w:after="0" w:line="176" w:lineRule="exact"/>
        <w:rPr>
          <w:rFonts w:ascii="Courier New" w:cs="Courier New" w:eastAsia="Courier New" w:hAnsi="Courier New"/>
          <w:sz w:val="15"/>
          <w:szCs w:val="15"/>
          <w:color w:val="auto"/>
        </w:rPr>
      </w:pPr>
    </w:p>
    <w:p>
      <w:pPr>
        <w:ind w:left="1060" w:right="3599" w:hanging="532"/>
        <w:spacing w:after="0" w:line="274" w:lineRule="auto"/>
        <w:tabs>
          <w:tab w:leader="none" w:pos="10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disposed of represents 5% or greater of the share capital of the company or is worth at least (euro)500,000.</w:t>
      </w:r>
    </w:p>
    <w:p>
      <w:pPr>
        <w:spacing w:after="0" w:line="154"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STAMP DUTY-ORDINARY SHARES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79"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Transfers of ordinary shares between associated companies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 12.50 (the nominal rate) will apply.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STAMP DUTY-ADSs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 12.50 applies.</w:t>
      </w:r>
    </w:p>
    <w:p>
      <w:pPr>
        <w:spacing w:after="0" w:line="182"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Transfers of ADSs are exempt from Irish stamp duty as long as the ADSs are dealt in on the Nasdaq National Market or any recognized stock exchange in the United States or Canada.</w:t>
      </w:r>
    </w:p>
    <w:p>
      <w:pPr>
        <w:spacing w:after="0" w:line="176" w:lineRule="exact"/>
        <w:rPr>
          <w:sz w:val="20"/>
          <w:szCs w:val="20"/>
          <w:color w:val="auto"/>
        </w:rPr>
      </w:pPr>
    </w:p>
    <w:p>
      <w:pPr>
        <w:jc w:val="both"/>
        <w:ind w:right="3159" w:firstLine="537"/>
        <w:spacing w:after="0" w:line="242" w:lineRule="auto"/>
        <w:rPr>
          <w:sz w:val="20"/>
          <w:szCs w:val="20"/>
          <w:color w:val="auto"/>
        </w:rPr>
      </w:pPr>
      <w:r>
        <w:rPr>
          <w:rFonts w:ascii="Courier New" w:cs="Courier New" w:eastAsia="Courier New" w:hAnsi="Courier New"/>
          <w:sz w:val="15"/>
          <w:szCs w:val="15"/>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ACQUISITIONS TAX</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79" w:lineRule="exact"/>
        <w:rPr>
          <w:sz w:val="20"/>
          <w:szCs w:val="20"/>
          <w:color w:val="auto"/>
        </w:rPr>
      </w:pPr>
    </w:p>
    <w:p>
      <w:pPr>
        <w:ind w:right="3079" w:firstLine="537"/>
        <w:spacing w:after="0" w:line="263" w:lineRule="auto"/>
        <w:rPr>
          <w:sz w:val="20"/>
          <w:szCs w:val="20"/>
          <w:color w:val="auto"/>
        </w:rPr>
      </w:pPr>
      <w:r>
        <w:rPr>
          <w:rFonts w:ascii="Courier New" w:cs="Courier New" w:eastAsia="Courier New" w:hAnsi="Courier New"/>
          <w:sz w:val="14"/>
          <w:szCs w:val="14"/>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3" w:right="1440" w:bottom="1440" w:gutter="0" w:footer="0" w:header="0"/>
        </w:sectPr>
      </w:pPr>
    </w:p>
    <w:bookmarkStart w:id="45" w:name="page46"/>
    <w:bookmarkEnd w:id="45"/>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jc w:val="both"/>
        <w:ind w:right="180" w:firstLine="537"/>
        <w:spacing w:after="0" w:line="242" w:lineRule="auto"/>
        <w:rPr>
          <w:sz w:val="20"/>
          <w:szCs w:val="20"/>
          <w:color w:val="auto"/>
        </w:rPr>
      </w:pPr>
      <w:r>
        <w:rPr>
          <w:rFonts w:ascii="Courier New" w:cs="Courier New" w:eastAsia="Courier New" w:hAnsi="Courier New"/>
          <w:sz w:val="15"/>
          <w:szCs w:val="15"/>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173" w:lineRule="exact"/>
        <w:rPr>
          <w:sz w:val="20"/>
          <w:szCs w:val="20"/>
          <w:color w:val="auto"/>
        </w:rPr>
      </w:pPr>
    </w:p>
    <w:p>
      <w:pPr>
        <w:ind w:left="2760"/>
        <w:spacing w:after="0"/>
        <w:tabs>
          <w:tab w:leader="none" w:pos="5520" w:val="left"/>
        </w:tabs>
        <w:rPr>
          <w:sz w:val="20"/>
          <w:szCs w:val="20"/>
          <w:color w:val="auto"/>
        </w:rPr>
      </w:pPr>
      <w:r>
        <w:rPr>
          <w:rFonts w:ascii="Courier New" w:cs="Courier New" w:eastAsia="Courier New" w:hAnsi="Courier New"/>
          <w:sz w:val="15"/>
          <w:szCs w:val="15"/>
          <w:color w:val="auto"/>
        </w:rPr>
        <w:t>Underwriters</w:t>
      </w:r>
      <w:r>
        <w:rPr>
          <w:sz w:val="20"/>
          <w:szCs w:val="20"/>
          <w:color w:val="auto"/>
        </w:rPr>
        <w:tab/>
      </w:r>
      <w:r>
        <w:rPr>
          <w:rFonts w:ascii="Courier New" w:cs="Courier New" w:eastAsia="Courier New" w:hAnsi="Courier New"/>
          <w:sz w:val="15"/>
          <w:szCs w:val="15"/>
          <w:color w:val="auto"/>
        </w:rPr>
        <w:t>Number of ADSs</w:t>
      </w:r>
    </w:p>
    <w:p>
      <w:pPr>
        <w:spacing w:after="0" w:line="2" w:lineRule="exact"/>
        <w:rPr>
          <w:sz w:val="20"/>
          <w:szCs w:val="20"/>
          <w:color w:val="auto"/>
        </w:rPr>
      </w:pPr>
    </w:p>
    <w:p>
      <w:pPr>
        <w:ind w:left="2760"/>
        <w:spacing w:after="0"/>
        <w:tabs>
          <w:tab w:leader="none" w:pos="5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Goldman, Sachs &amp; Co. .................................</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William Blair &amp; Company, L.L.C. ......................</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Bear, Stearns &amp; Co. Inc. .............................</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J&amp;E Davy (trading as Davy Stockbrokers) ..............</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20"/>
        <w:spacing w:after="0"/>
        <w:tabs>
          <w:tab w:leader="none" w:pos="5780" w:val="left"/>
        </w:tabs>
        <w:rPr>
          <w:sz w:val="20"/>
          <w:szCs w:val="20"/>
          <w:color w:val="auto"/>
        </w:rPr>
      </w:pPr>
      <w:r>
        <w:rPr>
          <w:rFonts w:ascii="Courier New" w:cs="Courier New" w:eastAsia="Courier New" w:hAnsi="Courier New"/>
          <w:sz w:val="15"/>
          <w:szCs w:val="15"/>
          <w:color w:val="auto"/>
        </w:rPr>
        <w:t>Total ............................................</w:t>
      </w:r>
      <w:r>
        <w:rPr>
          <w:sz w:val="20"/>
          <w:szCs w:val="20"/>
          <w:color w:val="auto"/>
        </w:rPr>
        <w:tab/>
      </w:r>
      <w:r>
        <w:rPr>
          <w:rFonts w:ascii="Courier New" w:cs="Courier New" w:eastAsia="Courier New" w:hAnsi="Courier New"/>
          <w:sz w:val="15"/>
          <w:szCs w:val="15"/>
          <w:color w:val="auto"/>
        </w:rPr>
        <w:t>3,000,000</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60" w:firstLine="537"/>
        <w:spacing w:after="0" w:line="241" w:lineRule="auto"/>
        <w:rPr>
          <w:sz w:val="20"/>
          <w:szCs w:val="20"/>
          <w:color w:val="auto"/>
        </w:rPr>
      </w:pPr>
      <w:r>
        <w:rPr>
          <w:rFonts w:ascii="Courier New" w:cs="Courier New" w:eastAsia="Courier New" w:hAnsi="Courier New"/>
          <w:sz w:val="15"/>
          <w:szCs w:val="15"/>
          <w:color w:val="auto"/>
        </w:rPr>
        <w:t>The underwriters are committed to take and pay for all of the ADSs being offered, if any are taken, other than the ADSs covered by the option described below unless and until the option is exercised.</w:t>
      </w:r>
    </w:p>
    <w:p>
      <w:pPr>
        <w:spacing w:after="0" w:line="176" w:lineRule="exact"/>
        <w:rPr>
          <w:sz w:val="20"/>
          <w:szCs w:val="20"/>
          <w:color w:val="auto"/>
        </w:rPr>
      </w:pPr>
    </w:p>
    <w:p>
      <w:pPr>
        <w:ind w:right="260" w:firstLine="537"/>
        <w:spacing w:after="0" w:line="242" w:lineRule="auto"/>
        <w:rPr>
          <w:sz w:val="20"/>
          <w:szCs w:val="20"/>
          <w:color w:val="auto"/>
        </w:rPr>
      </w:pPr>
      <w:r>
        <w:rPr>
          <w:rFonts w:ascii="Courier New" w:cs="Courier New" w:eastAsia="Courier New" w:hAnsi="Courier New"/>
          <w:sz w:val="15"/>
          <w:szCs w:val="15"/>
          <w:color w:val="auto"/>
        </w:rPr>
        <w:t>If the underwriters sell more ADSs than the total number set forth in the table above, the underwriters have an option to buy up to an additional 450,000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176" w:lineRule="exact"/>
        <w:rPr>
          <w:sz w:val="20"/>
          <w:szCs w:val="20"/>
          <w:color w:val="auto"/>
        </w:rPr>
      </w:pPr>
    </w:p>
    <w:p>
      <w:pPr>
        <w:ind w:right="180" w:firstLine="537"/>
        <w:spacing w:after="0" w:line="242" w:lineRule="auto"/>
        <w:rPr>
          <w:sz w:val="20"/>
          <w:szCs w:val="20"/>
          <w:color w:val="auto"/>
        </w:rPr>
      </w:pPr>
      <w:r>
        <w:rPr>
          <w:rFonts w:ascii="Courier New" w:cs="Courier New" w:eastAsia="Courier New" w:hAnsi="Courier New"/>
          <w:sz w:val="15"/>
          <w:szCs w:val="15"/>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450,000 ADSs.</w:t>
      </w:r>
    </w:p>
    <w:p>
      <w:pPr>
        <w:spacing w:after="0" w:line="200" w:lineRule="exact"/>
        <w:rPr>
          <w:sz w:val="20"/>
          <w:szCs w:val="20"/>
          <w:color w:val="auto"/>
        </w:rPr>
      </w:pPr>
    </w:p>
    <w:p>
      <w:pPr>
        <w:spacing w:after="0" w:line="317" w:lineRule="exact"/>
        <w:rPr>
          <w:sz w:val="20"/>
          <w:szCs w:val="20"/>
          <w:color w:val="auto"/>
        </w:rPr>
      </w:pPr>
    </w:p>
    <w:p>
      <w:pPr>
        <w:jc w:val="right"/>
        <w:spacing w:after="0"/>
        <w:tabs>
          <w:tab w:leader="none" w:pos="960" w:val="left"/>
        </w:tabs>
        <w:rPr>
          <w:sz w:val="20"/>
          <w:szCs w:val="20"/>
          <w:color w:val="auto"/>
        </w:rPr>
      </w:pPr>
      <w:r>
        <w:rPr>
          <w:rFonts w:ascii="Courier New" w:cs="Courier New" w:eastAsia="Courier New" w:hAnsi="Courier New"/>
          <w:sz w:val="15"/>
          <w:szCs w:val="15"/>
          <w:color w:val="auto"/>
        </w:rPr>
        <w:t>Paid by the Company and the Selling Shareholders</w:t>
      </w:r>
      <w:r>
        <w:rPr>
          <w:sz w:val="20"/>
          <w:szCs w:val="20"/>
          <w:color w:val="auto"/>
        </w:rPr>
        <w:tab/>
      </w:r>
      <w:r>
        <w:rPr>
          <w:rFonts w:ascii="Courier New" w:cs="Courier New" w:eastAsia="Courier New" w:hAnsi="Courier New"/>
          <w:sz w:val="14"/>
          <w:szCs w:val="14"/>
          <w:color w:val="auto"/>
        </w:rPr>
        <w:t>No Exercise</w:t>
      </w:r>
    </w:p>
    <w:p>
      <w:pPr>
        <w:spacing w:after="0" w:line="4" w:lineRule="exact"/>
        <w:rPr>
          <w:sz w:val="20"/>
          <w:szCs w:val="20"/>
          <w:color w:val="auto"/>
        </w:rPr>
      </w:pPr>
    </w:p>
    <w:p>
      <w:pPr>
        <w:ind w:left="980"/>
        <w:spacing w:after="0"/>
        <w:tabs>
          <w:tab w:leader="none" w:pos="6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ind w:left="520"/>
        <w:spacing w:after="0"/>
        <w:tabs>
          <w:tab w:leader="none" w:pos="6320" w:val="left"/>
        </w:tabs>
        <w:rPr>
          <w:sz w:val="20"/>
          <w:szCs w:val="20"/>
          <w:color w:val="auto"/>
        </w:rPr>
      </w:pPr>
      <w:r>
        <w:rPr>
          <w:rFonts w:ascii="Courier New" w:cs="Courier New" w:eastAsia="Courier New" w:hAnsi="Courier New"/>
          <w:sz w:val="15"/>
          <w:szCs w:val="15"/>
          <w:color w:val="auto"/>
        </w:rPr>
        <w:t>Per ADS .................................................</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520"/>
        <w:spacing w:after="0"/>
        <w:tabs>
          <w:tab w:leader="none" w:pos="6320" w:val="left"/>
        </w:tabs>
        <w:rPr>
          <w:sz w:val="20"/>
          <w:szCs w:val="20"/>
          <w:color w:val="auto"/>
        </w:rPr>
      </w:pPr>
      <w:r>
        <w:rPr>
          <w:rFonts w:ascii="Courier New" w:cs="Courier New" w:eastAsia="Courier New" w:hAnsi="Courier New"/>
          <w:sz w:val="15"/>
          <w:szCs w:val="15"/>
          <w:color w:val="auto"/>
        </w:rPr>
        <w:t>Total ...................................................</w:t>
      </w:r>
      <w:r>
        <w:rPr>
          <w:sz w:val="20"/>
          <w:szCs w:val="20"/>
          <w:color w:val="auto"/>
        </w:rPr>
        <w:tab/>
      </w:r>
      <w:r>
        <w:rPr>
          <w:rFonts w:ascii="Courier New" w:cs="Courier New" w:eastAsia="Courier New" w:hAnsi="Courier New"/>
          <w:sz w:val="15"/>
          <w:szCs w:val="15"/>
          <w:color w:val="auto"/>
        </w:rPr>
        <w:t>$</w:t>
      </w:r>
    </w:p>
    <w:p>
      <w:pPr>
        <w:spacing w:after="0" w:line="348" w:lineRule="exact"/>
        <w:rPr>
          <w:sz w:val="20"/>
          <w:szCs w:val="20"/>
          <w:color w:val="auto"/>
        </w:rPr>
      </w:pPr>
    </w:p>
    <w:p>
      <w:pPr>
        <w:ind w:right="180" w:firstLine="537"/>
        <w:spacing w:after="0" w:line="260" w:lineRule="auto"/>
        <w:rPr>
          <w:sz w:val="20"/>
          <w:szCs w:val="20"/>
          <w:color w:val="auto"/>
        </w:rPr>
      </w:pPr>
      <w:r>
        <w:rPr>
          <w:rFonts w:ascii="Courier New" w:cs="Courier New" w:eastAsia="Courier New" w:hAnsi="Courier New"/>
          <w:sz w:val="14"/>
          <w:szCs w:val="14"/>
          <w:color w:val="auto"/>
        </w:rPr>
        <w:t>ADSs sold by the underwriters to the public will initially be offered at the initial price to public set forth on the cover of this prospectus. Any ADSs sold by the underwriters to securities dealers may be sold at a discount of $ per ADS from the initial price to public. Any such securities dealers may resell any ADSs purchased from the underwriters to certain other brokers or dealers at</w:t>
      </w:r>
    </w:p>
    <w:p>
      <w:pPr>
        <w:spacing w:after="0" w:line="1" w:lineRule="exact"/>
        <w:rPr>
          <w:sz w:val="20"/>
          <w:szCs w:val="20"/>
          <w:color w:val="auto"/>
        </w:rPr>
      </w:pPr>
    </w:p>
    <w:p>
      <w:pPr>
        <w:ind w:right="260"/>
        <w:spacing w:after="0" w:line="241" w:lineRule="auto"/>
        <w:rPr>
          <w:sz w:val="20"/>
          <w:szCs w:val="20"/>
          <w:color w:val="auto"/>
        </w:rPr>
      </w:pPr>
      <w:r>
        <w:rPr>
          <w:rFonts w:ascii="Courier New" w:cs="Courier New" w:eastAsia="Courier New" w:hAnsi="Courier New"/>
          <w:sz w:val="15"/>
          <w:szCs w:val="15"/>
          <w:color w:val="auto"/>
        </w:rPr>
        <w:t>a discount of up to $ per ADS from the initial price to public. If all the ADSs are not sold at the initial price to public, the underwriters may change this offering price and the other selling terms.</w:t>
      </w:r>
    </w:p>
    <w:p>
      <w:pPr>
        <w:spacing w:after="0" w:line="176" w:lineRule="exact"/>
        <w:rPr>
          <w:sz w:val="20"/>
          <w:szCs w:val="20"/>
          <w:color w:val="auto"/>
        </w:rPr>
      </w:pPr>
    </w:p>
    <w:p>
      <w:pPr>
        <w:ind w:right="440" w:firstLine="537"/>
        <w:spacing w:after="0"/>
        <w:rPr>
          <w:sz w:val="20"/>
          <w:szCs w:val="20"/>
          <w:color w:val="auto"/>
        </w:rPr>
      </w:pPr>
      <w:r>
        <w:rPr>
          <w:rFonts w:ascii="Courier New" w:cs="Courier New" w:eastAsia="Courier New" w:hAnsi="Courier New"/>
          <w:sz w:val="15"/>
          <w:szCs w:val="15"/>
          <w:color w:val="auto"/>
        </w:rPr>
        <w:t>J&amp;E Davy (trading as Davy Stockbrokers) has advised us that it will not offer or sell the ADSs in the United States or to U.S. persons.</w:t>
      </w:r>
    </w:p>
    <w:p>
      <w:pPr>
        <w:spacing w:after="0" w:line="176" w:lineRule="exact"/>
        <w:rPr>
          <w:sz w:val="20"/>
          <w:szCs w:val="20"/>
          <w:color w:val="auto"/>
        </w:rPr>
      </w:pPr>
    </w:p>
    <w:p>
      <w:pPr>
        <w:ind w:right="180" w:firstLine="537"/>
        <w:spacing w:after="0" w:line="242" w:lineRule="auto"/>
        <w:rPr>
          <w:sz w:val="20"/>
          <w:szCs w:val="20"/>
          <w:color w:val="auto"/>
        </w:rPr>
      </w:pPr>
      <w:r>
        <w:rPr>
          <w:rFonts w:ascii="Courier New" w:cs="Courier New" w:eastAsia="Courier New" w:hAnsi="Courier New"/>
          <w:sz w:val="15"/>
          <w:szCs w:val="15"/>
          <w:color w:val="auto"/>
        </w:rPr>
        <w:t>We, and our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180" w:lineRule="exact"/>
        <w:rPr>
          <w:sz w:val="20"/>
          <w:szCs w:val="20"/>
          <w:color w:val="auto"/>
        </w:rPr>
      </w:pPr>
    </w:p>
    <w:p>
      <w:pPr>
        <w:ind w:right="180" w:firstLine="537"/>
        <w:spacing w:after="0" w:line="242" w:lineRule="auto"/>
        <w:rPr>
          <w:sz w:val="20"/>
          <w:szCs w:val="20"/>
          <w:color w:val="auto"/>
        </w:rPr>
      </w:pPr>
      <w:r>
        <w:rPr>
          <w:rFonts w:ascii="Courier New" w:cs="Courier New" w:eastAsia="Courier New" w:hAnsi="Courier New"/>
          <w:sz w:val="15"/>
          <w:szCs w:val="15"/>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 Exercise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320" w:space="460"/>
            <w:col w:w="2439"/>
          </w:cols>
          <w:pgMar w:left="240" w:top="633" w:right="1440" w:bottom="1440" w:gutter="0" w:footer="0" w:header="0"/>
        </w:sectPr>
      </w:pPr>
    </w:p>
    <w:bookmarkStart w:id="46" w:name="page47"/>
    <w:bookmarkEnd w:id="46"/>
    <w:p>
      <w:pPr>
        <w:ind w:right="3079"/>
        <w:spacing w:after="0" w:line="242" w:lineRule="auto"/>
        <w:rPr>
          <w:sz w:val="20"/>
          <w:szCs w:val="20"/>
          <w:color w:val="auto"/>
        </w:rPr>
      </w:pPr>
      <w:r>
        <w:rPr>
          <w:rFonts w:ascii="Courier New" w:cs="Courier New" w:eastAsia="Courier New" w:hAnsi="Courier New"/>
          <w:sz w:val="15"/>
          <w:szCs w:val="15"/>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182"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underwriters have represented and agreed that:</w:t>
      </w:r>
    </w:p>
    <w:p>
      <w:pPr>
        <w:spacing w:after="0" w:line="176" w:lineRule="exact"/>
        <w:rPr>
          <w:sz w:val="20"/>
          <w:szCs w:val="20"/>
          <w:color w:val="auto"/>
        </w:rPr>
      </w:pPr>
    </w:p>
    <w:p>
      <w:pPr>
        <w:ind w:left="1060" w:right="3079" w:hanging="532"/>
        <w:spacing w:after="0" w:line="242"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175" w:lineRule="exact"/>
        <w:rPr>
          <w:rFonts w:ascii="Courier New" w:cs="Courier New" w:eastAsia="Courier New" w:hAnsi="Courier New"/>
          <w:sz w:val="15"/>
          <w:szCs w:val="15"/>
          <w:color w:val="auto"/>
        </w:rPr>
      </w:pPr>
    </w:p>
    <w:p>
      <w:pPr>
        <w:ind w:left="1060" w:right="3259" w:hanging="532"/>
        <w:spacing w:after="0" w:line="242"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183"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5" w:right="1440" w:bottom="1440" w:gutter="0" w:footer="0" w:header="0"/>
        </w:sectPr>
      </w:pPr>
    </w:p>
    <w:bookmarkStart w:id="47" w:name="page48"/>
    <w:bookmarkEnd w:id="47"/>
    <w:p>
      <w:pPr>
        <w:ind w:right="3779"/>
        <w:spacing w:after="0"/>
        <w:rPr>
          <w:sz w:val="20"/>
          <w:szCs w:val="20"/>
          <w:color w:val="auto"/>
        </w:rPr>
      </w:pPr>
      <w:r>
        <w:rPr>
          <w:rFonts w:ascii="Courier New" w:cs="Courier New" w:eastAsia="Courier New" w:hAnsi="Courier New"/>
          <w:sz w:val="15"/>
          <w:szCs w:val="15"/>
          <w:color w:val="auto"/>
        </w:rPr>
        <w:t>undertakings with a treasury department, who or which trade or invest in securities in the conduct of a business or profession.</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 of only to persons whose business involves the acquisition, disposal or holding of securities, whether as principal or as agent.</w:t>
      </w:r>
    </w:p>
    <w:p>
      <w:pPr>
        <w:spacing w:after="0" w:line="181"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Each of the underwriters has agreed that it has not and will not offer or sell any ADSs or distribute any document or other material relating to the ADSs, either directly or indirectly, to the public or any member of the public in Singapore other than (i) to an institutional investor or other person specified in Section 106C of the Companies Act, Chapter 50 of Singapore (the "Singapore Companies Act") or (ii) to a sophisticated investor in accordance with the conditions specified in Section 108D of the Singapore Companies Act or (iii) otherwise pursuant to, and in accordance with the conditions of, any other provision of the Singapore Companies Act.</w:t>
      </w:r>
    </w:p>
    <w:p>
      <w:pPr>
        <w:spacing w:after="0" w:line="178"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179" w:lineRule="exact"/>
        <w:rPr>
          <w:sz w:val="20"/>
          <w:szCs w:val="20"/>
          <w:color w:val="auto"/>
        </w:rPr>
      </w:pPr>
    </w:p>
    <w:p>
      <w:pPr>
        <w:ind w:right="3439" w:firstLine="537"/>
        <w:spacing w:after="0" w:line="241" w:lineRule="auto"/>
        <w:rPr>
          <w:sz w:val="20"/>
          <w:szCs w:val="20"/>
          <w:color w:val="auto"/>
        </w:rPr>
      </w:pPr>
      <w:r>
        <w:rPr>
          <w:rFonts w:ascii="Courier New" w:cs="Courier New" w:eastAsia="Courier New" w:hAnsi="Courier New"/>
          <w:sz w:val="15"/>
          <w:szCs w:val="15"/>
          <w:color w:val="auto"/>
        </w:rPr>
        <w:t>We estimate that our share of the total expenses of this offering, excluding underwriting discounts and commissions, will be approximately $1.2 million.</w:t>
      </w:r>
    </w:p>
    <w:p>
      <w:pPr>
        <w:spacing w:after="0" w:line="176" w:lineRule="exact"/>
        <w:rPr>
          <w:sz w:val="20"/>
          <w:szCs w:val="20"/>
          <w:color w:val="auto"/>
        </w:rPr>
      </w:pPr>
    </w:p>
    <w:p>
      <w:pPr>
        <w:jc w:val="both"/>
        <w:ind w:right="3599" w:firstLine="537"/>
        <w:spacing w:after="0" w:line="241" w:lineRule="auto"/>
        <w:rPr>
          <w:sz w:val="20"/>
          <w:szCs w:val="20"/>
          <w:color w:val="auto"/>
        </w:rPr>
      </w:pPr>
      <w:r>
        <w:rPr>
          <w:rFonts w:ascii="Courier New" w:cs="Courier New" w:eastAsia="Courier New" w:hAnsi="Courier New"/>
          <w:sz w:val="15"/>
          <w:szCs w:val="15"/>
          <w:color w:val="auto"/>
        </w:rPr>
        <w:t>We and the selling shareholders have agreed to indemnify the several underwriters against certain liabilities, including liabilities under the Securities Act of 1933.</w:t>
      </w:r>
    </w:p>
    <w:p>
      <w:pPr>
        <w:spacing w:after="0" w:line="176" w:lineRule="exact"/>
        <w:rPr>
          <w:sz w:val="20"/>
          <w:szCs w:val="20"/>
          <w:color w:val="auto"/>
        </w:rPr>
      </w:pPr>
    </w:p>
    <w:p>
      <w:pPr>
        <w:jc w:val="both"/>
        <w:ind w:right="3159" w:firstLine="537"/>
        <w:spacing w:after="0" w:line="242" w:lineRule="auto"/>
        <w:rPr>
          <w:sz w:val="20"/>
          <w:szCs w:val="20"/>
          <w:color w:val="auto"/>
        </w:rPr>
      </w:pPr>
      <w:r>
        <w:rPr>
          <w:rFonts w:ascii="Courier New" w:cs="Courier New" w:eastAsia="Courier New" w:hAnsi="Courier New"/>
          <w:sz w:val="15"/>
          <w:szCs w:val="15"/>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175"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The addresses of the underwriters are as follows: Goldman, Sachs &amp; Co., 85 Broad Street, New York, New York 10004; William Blair &amp; Company, L.L.C., 225 West Adams Street, Chicago, Illinois 60606; Bear,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5" w:right="1440" w:bottom="1440" w:gutter="0" w:footer="0" w:header="0"/>
        </w:sectPr>
      </w:pPr>
    </w:p>
    <w:bookmarkStart w:id="48" w:name="page49"/>
    <w:bookmarkEnd w:id="48"/>
    <w:p>
      <w:pPr>
        <w:ind w:right="3079"/>
        <w:spacing w:after="0" w:line="274" w:lineRule="auto"/>
        <w:rPr>
          <w:sz w:val="20"/>
          <w:szCs w:val="20"/>
          <w:color w:val="auto"/>
        </w:rPr>
      </w:pPr>
      <w:r>
        <w:rPr>
          <w:rFonts w:ascii="Courier New" w:cs="Courier New" w:eastAsia="Courier New" w:hAnsi="Courier New"/>
          <w:sz w:val="14"/>
          <w:szCs w:val="14"/>
          <w:color w:val="auto"/>
        </w:rPr>
        <w:t>Stearns &amp; Co. Inc., 383 Madison Avenue, New York, New York 10179 and J&amp;E Davy (trading as Davy Stockbrokers), Davy House, 49 Dawson Street, Dublin 2, Ireland.</w:t>
      </w:r>
    </w:p>
    <w:p>
      <w:pPr>
        <w:spacing w:after="0" w:line="15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EXCHANGE CONTROLS AND OTHER LIMITATIONS AFFECTING SECURITY HOLDERS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182"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78"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VALIDITY OF THE ADSs AND THE ORDINARY SHARES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Certain matters of U.S. and New York law with respect to this offering will be passed upon for us by Cahill Gordon &amp; Reindel, 80 Pine Street, New York, New York. The validity of the ordinary shares will be passed upon for the underwriters by A&amp;L Goodbody, Solicitors, IFSC, Dublin 1, Ireland. The validity of the ADSs offered hereby will be passed upon by Sullivan &amp; Cromwell LLP, counsel for the underwriters. Cahill Gordon &amp; Reindel and Sullivan &amp; Cromwell LLP may rely upon A&amp;L Goodbody with respect to certain matters governed by Irish law.</w:t>
      </w:r>
    </w:p>
    <w:p>
      <w:pPr>
        <w:spacing w:after="0" w:line="17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consolidated financial statements of ICON plc as of May 31, 2002 and 2001 and for each of the years in the three-year period ended May 31, 2002, have been incorporated by reference herein in reliance upon the report of KPMG, independent chartered accountants, incorporated by reference herein, and upon the authority of said firm as experts in accounting and auditing.</w:t>
      </w:r>
    </w:p>
    <w:p>
      <w:pPr>
        <w:spacing w:after="0" w:line="175" w:lineRule="exact"/>
        <w:rPr>
          <w:sz w:val="20"/>
          <w:szCs w:val="20"/>
          <w:color w:val="auto"/>
        </w:rPr>
      </w:pPr>
    </w:p>
    <w:p>
      <w:pPr>
        <w:jc w:val="both"/>
        <w:ind w:right="3519" w:firstLine="537"/>
        <w:spacing w:after="0" w:line="241" w:lineRule="auto"/>
        <w:rPr>
          <w:sz w:val="20"/>
          <w:szCs w:val="20"/>
          <w:color w:val="auto"/>
        </w:rPr>
      </w:pPr>
      <w:r>
        <w:rPr>
          <w:rFonts w:ascii="Courier New" w:cs="Courier New" w:eastAsia="Courier New" w:hAnsi="Courier New"/>
          <w:sz w:val="15"/>
          <w:szCs w:val="15"/>
          <w:color w:val="auto"/>
        </w:rPr>
        <w:t>KPMG and A&amp;L Goodbody have given and have not withdrawn their written consent to the references in this prospectus to their names in the form and context in which they appear.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5" w:right="1440" w:bottom="1440" w:gutter="0" w:footer="0" w:header="0"/>
        </w:sectPr>
      </w:pPr>
    </w:p>
    <w:bookmarkStart w:id="49" w:name="page50"/>
    <w:bookmarkEnd w:id="49"/>
    <w:p>
      <w:pPr>
        <w:ind w:left="1960"/>
        <w:spacing w:after="0"/>
        <w:rPr>
          <w:sz w:val="20"/>
          <w:szCs w:val="20"/>
          <w:color w:val="auto"/>
        </w:rPr>
      </w:pPr>
      <w:r>
        <w:rPr>
          <w:rFonts w:ascii="Courier New" w:cs="Courier New" w:eastAsia="Courier New" w:hAnsi="Courier New"/>
          <w:sz w:val="15"/>
          <w:szCs w:val="15"/>
          <w:color w:val="auto"/>
        </w:rPr>
        <w:t>EXPENSES OF ISSUANCE AND DISTRIBUTION</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Securities and Exchange Commission registration fee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9,055</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National Association of Securities Dealers, Inc. filing fee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30,500</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Nasdaq National Market fees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Legal fees and expenses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475,000</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Accounting fees and expenses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Printing expenses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Transfer and Registrar fee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Miscellaneous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Subtotal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1,557,055</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Capital duty (Company only)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431,550</w:t>
            </w:r>
          </w:p>
        </w:tc>
      </w:tr>
      <w:tr>
        <w:trPr>
          <w:trHeight w:val="172"/>
        </w:trPr>
        <w:tc>
          <w:tcPr>
            <w:tcW w:w="8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Total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1,988,605</w:t>
            </w:r>
          </w:p>
        </w:tc>
      </w:tr>
    </w:tbl>
    <w:p>
      <w:pPr>
        <w:spacing w:after="0" w:line="34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ENFORCEABILITY OF CIVIL LIABILITIES PROVISIONS OF FEDERAL</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SECURITIES LAWS AGAINST FOREIGN PERSONS</w:t>
      </w:r>
    </w:p>
    <w:p>
      <w:pPr>
        <w:spacing w:after="0" w:line="176"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w:t>
      </w:r>
    </w:p>
    <w:p>
      <w:pPr>
        <w:spacing w:after="0" w:line="16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ICON has appointed CT Corporation System, New York, New York, as its agent to receive service of process in actions against it arising out of the U.S. federal securities laws or out of violations of those laws in any federal or state court in New York, New York, relating to this offering.</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ADDITIONAL INFORMATION</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3" w:right="1440" w:bottom="1440" w:gutter="0" w:footer="0" w:header="0"/>
        </w:sectPr>
      </w:pPr>
    </w:p>
    <w:bookmarkStart w:id="50" w:name="page51"/>
    <w:bookmarkEnd w:id="50"/>
    <w:p>
      <w:pPr>
        <w:ind w:right="3079" w:firstLine="537"/>
        <w:spacing w:after="0" w:line="242" w:lineRule="auto"/>
        <w:rPr>
          <w:sz w:val="20"/>
          <w:szCs w:val="20"/>
          <w:color w:val="auto"/>
        </w:rPr>
      </w:pPr>
      <w:r>
        <w:rPr>
          <w:rFonts w:ascii="Courier New" w:cs="Courier New" w:eastAsia="Courier New" w:hAnsi="Courier New"/>
          <w:sz w:val="15"/>
          <w:szCs w:val="15"/>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177"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175" w:lineRule="exact"/>
        <w:rPr>
          <w:sz w:val="20"/>
          <w:szCs w:val="20"/>
          <w:color w:val="auto"/>
        </w:rPr>
      </w:pPr>
    </w:p>
    <w:p>
      <w:pPr>
        <w:ind w:left="1060" w:right="3439" w:hanging="532"/>
        <w:spacing w:after="0"/>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fiscal year ended May 31, 2002.</w:t>
      </w:r>
    </w:p>
    <w:p>
      <w:pPr>
        <w:spacing w:after="0" w:line="176" w:lineRule="exact"/>
        <w:rPr>
          <w:rFonts w:ascii="Courier New" w:cs="Courier New" w:eastAsia="Courier New" w:hAnsi="Courier New"/>
          <w:sz w:val="15"/>
          <w:szCs w:val="15"/>
          <w:color w:val="auto"/>
        </w:rPr>
      </w:pPr>
    </w:p>
    <w:p>
      <w:pPr>
        <w:ind w:left="1060" w:right="3159" w:hanging="532"/>
        <w:spacing w:after="0"/>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6-K for the periods ending November 30, 2002 and August 31, 2002.</w:t>
      </w:r>
    </w:p>
    <w:p>
      <w:pPr>
        <w:spacing w:after="0" w:line="176" w:lineRule="exact"/>
        <w:rPr>
          <w:rFonts w:ascii="Courier New" w:cs="Courier New" w:eastAsia="Courier New" w:hAnsi="Courier New"/>
          <w:sz w:val="15"/>
          <w:szCs w:val="15"/>
          <w:color w:val="auto"/>
        </w:rPr>
      </w:pPr>
    </w:p>
    <w:p>
      <w:pPr>
        <w:ind w:left="1060" w:right="3519" w:hanging="532"/>
        <w:spacing w:after="0"/>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our ordinary shares contained on Form 6-K, filed with the Commission on January 31, 2003.</w:t>
      </w:r>
    </w:p>
    <w:p>
      <w:pPr>
        <w:spacing w:after="0" w:line="176" w:lineRule="exact"/>
        <w:rPr>
          <w:rFonts w:ascii="Courier New" w:cs="Courier New" w:eastAsia="Courier New" w:hAnsi="Courier New"/>
          <w:sz w:val="15"/>
          <w:szCs w:val="15"/>
          <w:color w:val="auto"/>
        </w:rPr>
      </w:pPr>
    </w:p>
    <w:p>
      <w:pPr>
        <w:ind w:left="1060" w:right="3519" w:hanging="532"/>
        <w:spacing w:after="0"/>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our American Depositary Shares contained on Form 6-K, filed with the Commission on January 31, 2003.</w:t>
      </w:r>
    </w:p>
    <w:p>
      <w:pPr>
        <w:spacing w:after="0" w:line="176" w:lineRule="exact"/>
        <w:rPr>
          <w:rFonts w:ascii="Courier New" w:cs="Courier New" w:eastAsia="Courier New" w:hAnsi="Courier New"/>
          <w:sz w:val="15"/>
          <w:szCs w:val="15"/>
          <w:color w:val="auto"/>
        </w:rPr>
      </w:pPr>
    </w:p>
    <w:p>
      <w:pPr>
        <w:ind w:left="1060" w:right="3159" w:hanging="532"/>
        <w:spacing w:after="0" w:line="274" w:lineRule="auto"/>
        <w:tabs>
          <w:tab w:leader="none" w:pos="10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our Memorandum and Articles of Association contained on Form 6-K, filed with the Commission on January 31, 2003.</w:t>
      </w:r>
    </w:p>
    <w:p>
      <w:pPr>
        <w:spacing w:after="0" w:line="153" w:lineRule="exact"/>
        <w:rPr>
          <w:rFonts w:ascii="Courier New" w:cs="Courier New" w:eastAsia="Courier New" w:hAnsi="Courier New"/>
          <w:sz w:val="14"/>
          <w:szCs w:val="14"/>
          <w:color w:val="auto"/>
        </w:rPr>
      </w:pPr>
    </w:p>
    <w:p>
      <w:pPr>
        <w:ind w:left="1060" w:right="3159" w:hanging="532"/>
        <w:spacing w:after="0" w:line="241"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our Registration Rights Agreement, dated as of December 12, 1997, contained on Form 6-K, filed with the Commission on January 31, 2003.</w:t>
      </w:r>
    </w:p>
    <w:p>
      <w:pPr>
        <w:spacing w:after="0" w:line="176" w:lineRule="exact"/>
        <w:rPr>
          <w:sz w:val="20"/>
          <w:szCs w:val="20"/>
          <w:color w:val="auto"/>
        </w:rPr>
      </w:pPr>
    </w:p>
    <w:p>
      <w:pPr>
        <w:ind w:right="3439" w:firstLine="537"/>
        <w:spacing w:after="0" w:line="242"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our principal executive offices at this address: ICON plc, Attention: Sean Leech, Chief Financial Officer, South County Business Park, Leopardstown, Dublin 18, Ireland, (353) 1-216-1100.</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5"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 dealer, salesperson or other person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to give any information or to represent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anything not contained in this prospectus. You must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rely on any unauthorized information or representations.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prospectus is an offer to sell only the ADSs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hereby, but only under circumstances and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jurisdictions where it is lawful to do so.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contained in this prospectus is current only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its date.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ind w:left="17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516"/>
        </w:trPr>
        <w:tc>
          <w:tcPr>
            <w:tcW w:w="4240" w:type="dxa"/>
            <w:vAlign w:val="bottom"/>
          </w:tcPr>
          <w:p>
            <w:pPr>
              <w:ind w:left="1780"/>
              <w:spacing w:after="0"/>
              <w:rPr>
                <w:sz w:val="20"/>
                <w:szCs w:val="20"/>
                <w:color w:val="auto"/>
              </w:rPr>
            </w:pPr>
            <w:r>
              <w:rPr>
                <w:rFonts w:ascii="Courier New" w:cs="Courier New" w:eastAsia="Courier New" w:hAnsi="Courier New"/>
                <w:sz w:val="15"/>
                <w:szCs w:val="15"/>
                <w:color w:val="auto"/>
              </w:rPr>
              <w:t>TABLE OF CONTENTS</w:t>
            </w:r>
          </w:p>
        </w:tc>
        <w:tc>
          <w:tcPr>
            <w:tcW w:w="580" w:type="dxa"/>
            <w:vAlign w:val="bottom"/>
          </w:tcPr>
          <w:p>
            <w:pPr>
              <w:spacing w:after="0"/>
              <w:rPr>
                <w:sz w:val="24"/>
                <w:szCs w:val="24"/>
                <w:color w:val="auto"/>
              </w:rPr>
            </w:pPr>
          </w:p>
        </w:tc>
      </w:tr>
      <w:tr>
        <w:trPr>
          <w:trHeight w:val="344"/>
        </w:trPr>
        <w:tc>
          <w:tcPr>
            <w:tcW w:w="4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4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Summary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The Offering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Summary Historical Consolidated</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Financial Data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Risk Factors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Disclosure Regarding Forward-Looking</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Statements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Use of Proceeds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Price Range of ADSs and Dividend</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Policy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Capitalization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Dilution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of Financial Condition and Results of</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Operations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Business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Management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Selling Shareholders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U.S. Taxation Considerations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Irish Taxation Considerations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Underwriting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Exchange Controls and Other Limitations</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Affecting Security Holders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Validity of the ADSs and the Ordinary</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Shares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Experts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Expenses of Issuance and Distribution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Enforceability of Civil Liabilities</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Provisions of Federal Securities Laws</w:t>
            </w:r>
          </w:p>
        </w:tc>
        <w:tc>
          <w:tcPr>
            <w:tcW w:w="580" w:type="dxa"/>
            <w:vAlign w:val="bottom"/>
          </w:tcPr>
          <w:p>
            <w:pPr>
              <w:spacing w:after="0"/>
              <w:rPr>
                <w:sz w:val="14"/>
                <w:szCs w:val="14"/>
                <w:color w:val="auto"/>
              </w:rPr>
            </w:pPr>
          </w:p>
        </w:tc>
      </w:tr>
      <w:tr>
        <w:trPr>
          <w:trHeight w:val="172"/>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Against Foreign Persons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Additional Information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Incorporation of Documents by Reference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bl>
    <w:p>
      <w:pPr>
        <w:spacing w:after="0" w:line="176"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3,000,000</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American Depositary Shares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Representing</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3,000,000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WILLIAM BLAIR &amp;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BEAR, STEARNS &amp; CO. INC.</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DAVY STOCKBROKERS</w:t>
      </w:r>
    </w:p>
    <w:p>
      <w:pPr>
        <w:sectPr>
          <w:pgSz w:w="11900" w:h="16838" w:orient="portrait"/>
          <w:cols w:equalWidth="0" w:num="1">
            <w:col w:w="10219"/>
          </w:cols>
          <w:pgMar w:left="240" w:top="977" w:right="1440"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14" w:right="1440" w:bottom="1440" w:gutter="0" w:footer="0" w:header="0"/>
        </w:sectPr>
      </w:pPr>
    </w:p>
    <w:bookmarkStart w:id="53" w:name="page54"/>
    <w:bookmarkEnd w:id="53"/>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INFORMATION NOT REQUIRED IN THE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8.INDEMNIFICATION OF DIRECTORS AND OFFICERS.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Paragraph 139 of the Articles of Association of ICON provides as follows:</w:t>
      </w:r>
    </w:p>
    <w:p>
      <w:pPr>
        <w:spacing w:after="0" w:line="176" w:lineRule="exact"/>
        <w:rPr>
          <w:sz w:val="20"/>
          <w:szCs w:val="20"/>
          <w:color w:val="auto"/>
        </w:rPr>
      </w:pPr>
    </w:p>
    <w:p>
      <w:pPr>
        <w:ind w:left="1600" w:right="3079" w:firstLine="537"/>
        <w:spacing w:after="0" w:line="242" w:lineRule="auto"/>
        <w:rPr>
          <w:sz w:val="20"/>
          <w:szCs w:val="20"/>
          <w:color w:val="auto"/>
        </w:rPr>
      </w:pPr>
      <w:r>
        <w:rPr>
          <w:rFonts w:ascii="Courier New" w:cs="Courier New" w:eastAsia="Courier New" w:hAnsi="Courier New"/>
          <w:sz w:val="15"/>
          <w:szCs w:val="15"/>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83" w:lineRule="exact"/>
        <w:rPr>
          <w:sz w:val="20"/>
          <w:szCs w:val="20"/>
          <w:color w:val="auto"/>
        </w:rPr>
      </w:pPr>
    </w:p>
    <w:p>
      <w:pPr>
        <w:ind w:left="1600" w:right="3079" w:firstLine="537"/>
        <w:spacing w:after="0" w:line="263" w:lineRule="auto"/>
        <w:rPr>
          <w:sz w:val="20"/>
          <w:szCs w:val="20"/>
          <w:color w:val="auto"/>
        </w:rPr>
      </w:pPr>
      <w:r>
        <w:rPr>
          <w:rFonts w:ascii="Courier New" w:cs="Courier New" w:eastAsia="Courier New" w:hAnsi="Courier New"/>
          <w:sz w:val="14"/>
          <w:szCs w:val="14"/>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63"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9.EXHIBITS.</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(a)The following exhibits are filed herewith, or incorporated by reference herein: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840" w:type="dxa"/>
            <w:vAlign w:val="bottom"/>
          </w:tcPr>
          <w:p>
            <w:pPr>
              <w:spacing w:after="0"/>
              <w:rPr>
                <w:sz w:val="14"/>
                <w:szCs w:val="14"/>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w w:val="99"/>
              </w:rPr>
              <w:t>Deposit Agreement, dated as of May 20, 1998, between the Company, The Bank</w:t>
            </w:r>
          </w:p>
        </w:tc>
      </w:tr>
      <w:tr>
        <w:trPr>
          <w:trHeight w:val="172"/>
        </w:trPr>
        <w:tc>
          <w:tcPr>
            <w:tcW w:w="1020" w:type="dxa"/>
            <w:vAlign w:val="bottom"/>
          </w:tcPr>
          <w:p>
            <w:pPr>
              <w:spacing w:after="0"/>
              <w:rPr>
                <w:sz w:val="14"/>
                <w:szCs w:val="14"/>
                <w:color w:val="auto"/>
              </w:rPr>
            </w:pP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of New York and the holders from time to time of the Company's ADRs</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Form of Ordinary Share certificate.</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Form of ADR certificate (included in Exhibit 4.1).</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Registration Rights Agreement, dated as of December 12, 1997.</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Opinion of A&amp;L Goodbody Solicitors as to certain Company related matters.</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805" w:right="1440" w:bottom="1440" w:gutter="0" w:footer="0" w:header="0"/>
        </w:sectPr>
      </w:pPr>
    </w:p>
    <w:bookmarkStart w:id="54" w:name="page55"/>
    <w:bookmarkEnd w:id="54"/>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808" w:space="440"/>
            <w:col w:w="8979"/>
          </w:cols>
          <w:pgMar w:left="232" w:top="977" w:right="1440" w:bottom="1440" w:gutter="0" w:footer="0" w:header="0"/>
        </w:sectPr>
      </w:pPr>
    </w:p>
    <w:p>
      <w:pPr>
        <w:ind w:left="8"/>
        <w:spacing w:after="0"/>
        <w:tabs>
          <w:tab w:leader="none" w:pos="122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KPMG, Chartered Accountants for the Company.</w:t>
      </w:r>
    </w:p>
    <w:p>
      <w:pPr>
        <w:sectPr>
          <w:pgSz w:w="11900" w:h="16838" w:orient="portrait"/>
          <w:cols w:equalWidth="0" w:num="1">
            <w:col w:w="10227"/>
          </w:cols>
          <w:pgMar w:left="232" w:top="977"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23.2*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A&amp;L Goodbody Solicitors (included in Exhibit 5.1).</w:t>
      </w:r>
    </w:p>
    <w:p>
      <w:pPr>
        <w:spacing w:after="0" w:line="184" w:lineRule="exact"/>
        <w:rPr>
          <w:sz w:val="20"/>
          <w:szCs w:val="20"/>
          <w:color w:val="auto"/>
        </w:rPr>
      </w:pPr>
    </w:p>
    <w:p>
      <w:pPr>
        <w:sectPr>
          <w:pgSz w:w="11900" w:h="16838" w:orient="portrait"/>
          <w:cols w:equalWidth="0" w:num="2">
            <w:col w:w="528" w:space="720"/>
            <w:col w:w="8979"/>
          </w:cols>
          <w:pgMar w:left="232" w:top="977" w:right="1440" w:bottom="1440" w:gutter="0" w:footer="0" w:header="0"/>
          <w:type w:val="continuous"/>
        </w:sectPr>
      </w:pPr>
    </w:p>
    <w:p>
      <w:pPr>
        <w:ind w:left="8"/>
        <w:spacing w:after="0"/>
        <w:tabs>
          <w:tab w:leader="none" w:pos="122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(included on a signature page).</w:t>
      </w:r>
    </w:p>
    <w:p>
      <w:pPr>
        <w:sectPr>
          <w:pgSz w:w="11900" w:h="16838" w:orient="portrait"/>
          <w:cols w:equalWidth="0" w:num="1">
            <w:col w:w="10227"/>
          </w:cols>
          <w:pgMar w:left="232" w:top="977" w:right="1440" w:bottom="1440" w:gutter="0" w:footer="0" w:header="0"/>
          <w:type w:val="continuous"/>
        </w:sectPr>
      </w:pPr>
    </w:p>
    <w:p>
      <w:pPr>
        <w:spacing w:after="0" w:line="174" w:lineRule="exact"/>
        <w:rPr>
          <w:sz w:val="20"/>
          <w:szCs w:val="20"/>
          <w:color w:val="auto"/>
        </w:rPr>
      </w:pPr>
    </w:p>
    <w:p>
      <w:pPr>
        <w:ind w:left="1248" w:hanging="1248"/>
        <w:spacing w:after="0"/>
        <w:tabs>
          <w:tab w:leader="none" w:pos="12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4" w:lineRule="exact"/>
        <w:rPr>
          <w:sz w:val="20"/>
          <w:szCs w:val="20"/>
          <w:color w:val="auto"/>
        </w:rPr>
      </w:pPr>
    </w:p>
    <w:p>
      <w:pPr>
        <w:ind w:left="1248" w:hanging="1248"/>
        <w:spacing w:after="0"/>
        <w:tabs>
          <w:tab w:leader="none" w:pos="12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exhibits to the Company's Registration</w:t>
      </w:r>
    </w:p>
    <w:p>
      <w:pPr>
        <w:spacing w:after="0" w:line="3"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Statement on Form F-1 (File No. 333-8672) filed with the Commission on April 23, 1998.</w:t>
      </w:r>
    </w:p>
    <w:p>
      <w:pPr>
        <w:spacing w:after="0" w:line="35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10.UNDERTAKINGS.</w:t>
      </w:r>
    </w:p>
    <w:p>
      <w:pPr>
        <w:spacing w:after="0" w:line="174" w:lineRule="exact"/>
        <w:rPr>
          <w:sz w:val="20"/>
          <w:szCs w:val="20"/>
          <w:color w:val="auto"/>
        </w:rPr>
      </w:pPr>
    </w:p>
    <w:p>
      <w:pPr>
        <w:ind w:left="528" w:hanging="528"/>
        <w:spacing w:after="0"/>
        <w:tabs>
          <w:tab w:leader="none" w:pos="52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5" w:lineRule="exact"/>
        <w:rPr>
          <w:rFonts w:ascii="Courier New" w:cs="Courier New" w:eastAsia="Courier New" w:hAnsi="Courier New"/>
          <w:sz w:val="15"/>
          <w:szCs w:val="15"/>
          <w:color w:val="auto"/>
        </w:rPr>
      </w:pPr>
    </w:p>
    <w:p>
      <w:pPr>
        <w:ind w:left="1068" w:right="3079" w:hanging="532"/>
        <w:spacing w:after="0" w:line="242" w:lineRule="auto"/>
        <w:tabs>
          <w:tab w:leader="none" w:pos="106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as amended (the "Securities Act"), each such post-effective amendment shall be deemed to be a new registration statement relating to the securities offered therein, and this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1068" w:right="3079" w:hanging="532"/>
        <w:spacing w:after="0" w:line="261" w:lineRule="auto"/>
        <w:tabs>
          <w:tab w:leader="none" w:pos="1068"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67" w:lineRule="exact"/>
        <w:rPr>
          <w:rFonts w:ascii="Courier New" w:cs="Courier New" w:eastAsia="Courier New" w:hAnsi="Courier New"/>
          <w:sz w:val="14"/>
          <w:szCs w:val="14"/>
          <w:color w:val="auto"/>
        </w:rPr>
      </w:pPr>
    </w:p>
    <w:p>
      <w:pPr>
        <w:ind w:left="1068" w:right="3079" w:hanging="532"/>
        <w:spacing w:after="0" w:line="242" w:lineRule="auto"/>
        <w:tabs>
          <w:tab w:leader="none" w:pos="106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179" w:lineRule="exact"/>
        <w:rPr>
          <w:rFonts w:ascii="Courier New" w:cs="Courier New" w:eastAsia="Courier New" w:hAnsi="Courier New"/>
          <w:sz w:val="15"/>
          <w:szCs w:val="15"/>
          <w:color w:val="auto"/>
        </w:rPr>
      </w:pPr>
    </w:p>
    <w:p>
      <w:pPr>
        <w:ind w:left="1068" w:right="3079" w:hanging="532"/>
        <w:spacing w:after="0" w:line="242" w:lineRule="auto"/>
        <w:tabs>
          <w:tab w:leader="none" w:pos="106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977" w:right="1440" w:bottom="1440" w:gutter="0" w:footer="0" w:header="0"/>
          <w:type w:val="continuous"/>
        </w:sectPr>
      </w:pPr>
    </w:p>
    <w:bookmarkStart w:id="55" w:name="page56"/>
    <w:bookmarkEnd w:id="55"/>
    <w:p>
      <w:pPr>
        <w:ind w:right="3079" w:firstLine="537"/>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35" w:right="1440" w:bottom="1440" w:gutter="0" w:footer="0" w:header="0"/>
        </w:sectPr>
      </w:pPr>
    </w:p>
    <w:bookmarkStart w:id="56" w:name="page57"/>
    <w:bookmarkEnd w:id="56"/>
    <w:p>
      <w:pPr>
        <w:jc w:val="center"/>
        <w:ind w:right="2991"/>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left="8" w:right="3079" w:firstLine="537"/>
        <w:spacing w:after="0" w:line="261"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constitutes and appoints Peter Gray and Sean Leech and each of them severally, his true and lawful attorneys-in-fact with power of substitution and resubstitution to sign in his name, place and stead, in any and all capacities, to do any and all things and execute any and all instruments that such attorney may deem necessary or advisable under the Securities Act of 1933 (the "Securities Act"), and any rules, regulations and requirements of the U.S. Securities and Exchange Commission in connection with the registration under the Securities Act of ordinary shares of the Registrant, including specifically, but without limiting the generality of the foregoing, the power and authority to sign his name in his respective capacity as a member of the Board of Directors or officer of the Registrant, this Registration Statement and/or such other form of forms as may be appropriate to be filed with the Commission as any of them may deem appropriate in respect of the ordinary shares of the Registrant to any and all amendments thereto (including post-effective amendments) to this Registration Statement, to any related Rule 462(b) Registration Statement and to any documents filed as part of or in connection with this Registration Statement and any and all amendments thereto, including post-effective amendments.</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DATE</w:t>
            </w:r>
          </w:p>
        </w:tc>
        <w:tc>
          <w:tcPr>
            <w:tcW w:w="40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/s/ Dr. John Climax</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January 30,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bl>
    <w:p>
      <w:pPr>
        <w:spacing w:after="0" w:line="2" w:lineRule="exact"/>
        <w:rPr>
          <w:sz w:val="20"/>
          <w:szCs w:val="20"/>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Dr. John Climax</w:t>
      </w:r>
    </w:p>
    <w:p>
      <w:pPr>
        <w:spacing w:after="0" w:line="174" w:lineRule="exact"/>
        <w:rPr>
          <w:sz w:val="20"/>
          <w:szCs w:val="20"/>
          <w:color w:val="auto"/>
        </w:rPr>
      </w:pPr>
    </w:p>
    <w:p>
      <w:pPr>
        <w:ind w:left="8"/>
        <w:spacing w:after="0"/>
        <w:tabs>
          <w:tab w:leader="none" w:pos="4908" w:val="left"/>
        </w:tabs>
        <w:rPr>
          <w:sz w:val="20"/>
          <w:szCs w:val="20"/>
          <w:color w:val="auto"/>
        </w:rPr>
      </w:pPr>
      <w:r>
        <w:rPr>
          <w:rFonts w:ascii="Courier New" w:cs="Courier New" w:eastAsia="Courier New" w:hAnsi="Courier New"/>
          <w:sz w:val="15"/>
          <w:szCs w:val="15"/>
          <w:color w:val="auto"/>
        </w:rPr>
        <w:t>/s/ Peter Gray</w:t>
      </w:r>
      <w:r>
        <w:rPr>
          <w:sz w:val="20"/>
          <w:szCs w:val="20"/>
          <w:color w:val="auto"/>
        </w:rPr>
        <w:tab/>
      </w:r>
      <w:r>
        <w:rPr>
          <w:rFonts w:ascii="Courier New" w:cs="Courier New" w:eastAsia="Courier New" w:hAnsi="Courier New"/>
          <w:sz w:val="14"/>
          <w:szCs w:val="14"/>
          <w:color w:val="auto"/>
        </w:rPr>
        <w:t>January 30, 2003</w:t>
      </w:r>
    </w:p>
    <w:p>
      <w:pPr>
        <w:spacing w:after="0" w:line="2" w:lineRule="exact"/>
        <w:rPr>
          <w:sz w:val="20"/>
          <w:szCs w:val="20"/>
          <w:color w:val="auto"/>
        </w:rPr>
      </w:pPr>
    </w:p>
    <w:p>
      <w:pPr>
        <w:ind w:left="188"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Gray</w:t>
      </w:r>
    </w:p>
    <w:p>
      <w:pPr>
        <w:spacing w:after="0" w:line="174" w:lineRule="exact"/>
        <w:rPr>
          <w:sz w:val="20"/>
          <w:szCs w:val="20"/>
          <w:color w:val="auto"/>
        </w:rPr>
      </w:pPr>
    </w:p>
    <w:p>
      <w:pPr>
        <w:ind w:left="8"/>
        <w:spacing w:after="0"/>
        <w:tabs>
          <w:tab w:leader="none" w:pos="4908" w:val="left"/>
        </w:tabs>
        <w:rPr>
          <w:sz w:val="20"/>
          <w:szCs w:val="20"/>
          <w:color w:val="auto"/>
        </w:rPr>
      </w:pPr>
      <w:r>
        <w:rPr>
          <w:rFonts w:ascii="Courier New" w:cs="Courier New" w:eastAsia="Courier New" w:hAnsi="Courier New"/>
          <w:sz w:val="15"/>
          <w:szCs w:val="15"/>
          <w:color w:val="auto"/>
        </w:rPr>
        <w:t>/s/ Sean Leech</w:t>
      </w:r>
      <w:r>
        <w:rPr>
          <w:sz w:val="20"/>
          <w:szCs w:val="20"/>
          <w:color w:val="auto"/>
        </w:rPr>
        <w:tab/>
      </w:r>
      <w:r>
        <w:rPr>
          <w:rFonts w:ascii="Courier New" w:cs="Courier New" w:eastAsia="Courier New" w:hAnsi="Courier New"/>
          <w:sz w:val="14"/>
          <w:szCs w:val="14"/>
          <w:color w:val="auto"/>
        </w:rPr>
        <w:t>January 30, 2003</w:t>
      </w:r>
    </w:p>
    <w:p>
      <w:pPr>
        <w:spacing w:after="0" w:line="2" w:lineRule="exact"/>
        <w:rPr>
          <w:sz w:val="20"/>
          <w:szCs w:val="20"/>
          <w:color w:val="auto"/>
        </w:rPr>
      </w:pPr>
    </w:p>
    <w:p>
      <w:pPr>
        <w:ind w:left="188" w:hanging="188"/>
        <w:spacing w:after="0"/>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Sean Leech</w:t>
      </w:r>
    </w:p>
    <w:p>
      <w:pPr>
        <w:spacing w:after="0" w:line="174" w:lineRule="exact"/>
        <w:rPr>
          <w:sz w:val="20"/>
          <w:szCs w:val="20"/>
          <w:color w:val="auto"/>
        </w:rPr>
      </w:pPr>
    </w:p>
    <w:p>
      <w:pPr>
        <w:ind w:left="8"/>
        <w:spacing w:after="0"/>
        <w:tabs>
          <w:tab w:leader="none" w:pos="4908" w:val="left"/>
        </w:tabs>
        <w:rPr>
          <w:sz w:val="20"/>
          <w:szCs w:val="20"/>
          <w:color w:val="auto"/>
        </w:rPr>
      </w:pPr>
      <w:r>
        <w:rPr>
          <w:rFonts w:ascii="Courier New" w:cs="Courier New" w:eastAsia="Courier New" w:hAnsi="Courier New"/>
          <w:sz w:val="15"/>
          <w:szCs w:val="15"/>
          <w:color w:val="auto"/>
        </w:rPr>
        <w:t>/s/ Dr. Ronan Lambe</w:t>
      </w:r>
      <w:r>
        <w:rPr>
          <w:sz w:val="20"/>
          <w:szCs w:val="20"/>
          <w:color w:val="auto"/>
        </w:rPr>
        <w:tab/>
      </w:r>
      <w:r>
        <w:rPr>
          <w:rFonts w:ascii="Courier New" w:cs="Courier New" w:eastAsia="Courier New" w:hAnsi="Courier New"/>
          <w:sz w:val="14"/>
          <w:szCs w:val="14"/>
          <w:color w:val="auto"/>
        </w:rPr>
        <w:t>January 30, 2003</w:t>
      </w:r>
    </w:p>
    <w:p>
      <w:pPr>
        <w:spacing w:after="0" w:line="2" w:lineRule="exact"/>
        <w:rPr>
          <w:sz w:val="20"/>
          <w:szCs w:val="20"/>
          <w:color w:val="auto"/>
        </w:rPr>
      </w:pPr>
    </w:p>
    <w:p>
      <w:pPr>
        <w:ind w:left="188" w:hanging="188"/>
        <w:spacing w:after="0"/>
        <w:tabs>
          <w:tab w:leader="none" w:pos="18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Dr. Ronan Lambe</w:t>
      </w:r>
    </w:p>
    <w:p>
      <w:pPr>
        <w:spacing w:after="0" w:line="174" w:lineRule="exact"/>
        <w:rPr>
          <w:sz w:val="20"/>
          <w:szCs w:val="20"/>
          <w:color w:val="auto"/>
        </w:rPr>
      </w:pPr>
    </w:p>
    <w:p>
      <w:pPr>
        <w:ind w:left="8"/>
        <w:spacing w:after="0"/>
        <w:tabs>
          <w:tab w:leader="none" w:pos="4908" w:val="left"/>
        </w:tabs>
        <w:rPr>
          <w:sz w:val="20"/>
          <w:szCs w:val="20"/>
          <w:color w:val="auto"/>
        </w:rPr>
      </w:pPr>
      <w:r>
        <w:rPr>
          <w:rFonts w:ascii="Courier New" w:cs="Courier New" w:eastAsia="Courier New" w:hAnsi="Courier New"/>
          <w:sz w:val="15"/>
          <w:szCs w:val="15"/>
          <w:color w:val="auto"/>
        </w:rPr>
        <w:t>/s/ Thomas Lynch</w:t>
      </w:r>
      <w:r>
        <w:rPr>
          <w:sz w:val="20"/>
          <w:szCs w:val="20"/>
          <w:color w:val="auto"/>
        </w:rPr>
        <w:tab/>
      </w:r>
      <w:r>
        <w:rPr>
          <w:rFonts w:ascii="Courier New" w:cs="Courier New" w:eastAsia="Courier New" w:hAnsi="Courier New"/>
          <w:sz w:val="14"/>
          <w:szCs w:val="14"/>
          <w:color w:val="auto"/>
        </w:rPr>
        <w:t>January 30, 2003</w:t>
      </w:r>
    </w:p>
    <w:p>
      <w:pPr>
        <w:spacing w:after="0" w:line="2" w:lineRule="exact"/>
        <w:rPr>
          <w:sz w:val="20"/>
          <w:szCs w:val="20"/>
          <w:color w:val="auto"/>
        </w:rPr>
      </w:pPr>
    </w:p>
    <w:p>
      <w:pPr>
        <w:ind w:left="188" w:hanging="188"/>
        <w:spacing w:after="0"/>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Lynch</w:t>
      </w:r>
    </w:p>
    <w:p>
      <w:pPr>
        <w:spacing w:after="0" w:line="174" w:lineRule="exact"/>
        <w:rPr>
          <w:sz w:val="20"/>
          <w:szCs w:val="20"/>
          <w:color w:val="auto"/>
        </w:rPr>
      </w:pPr>
    </w:p>
    <w:p>
      <w:pPr>
        <w:ind w:left="8"/>
        <w:spacing w:after="0"/>
        <w:tabs>
          <w:tab w:leader="none" w:pos="4908" w:val="left"/>
        </w:tabs>
        <w:rPr>
          <w:sz w:val="20"/>
          <w:szCs w:val="20"/>
          <w:color w:val="auto"/>
        </w:rPr>
      </w:pPr>
      <w:r>
        <w:rPr>
          <w:rFonts w:ascii="Courier New" w:cs="Courier New" w:eastAsia="Courier New" w:hAnsi="Courier New"/>
          <w:sz w:val="15"/>
          <w:szCs w:val="15"/>
          <w:color w:val="auto"/>
        </w:rPr>
        <w:t>/s/ Edward Roberts</w:t>
      </w:r>
      <w:r>
        <w:rPr>
          <w:sz w:val="20"/>
          <w:szCs w:val="20"/>
          <w:color w:val="auto"/>
        </w:rPr>
        <w:tab/>
      </w:r>
      <w:r>
        <w:rPr>
          <w:rFonts w:ascii="Courier New" w:cs="Courier New" w:eastAsia="Courier New" w:hAnsi="Courier New"/>
          <w:sz w:val="14"/>
          <w:szCs w:val="14"/>
          <w:color w:val="auto"/>
        </w:rPr>
        <w:t>January 30, 2003</w:t>
      </w:r>
    </w:p>
    <w:p>
      <w:pPr>
        <w:spacing w:after="0" w:line="2" w:lineRule="exact"/>
        <w:rPr>
          <w:sz w:val="20"/>
          <w:szCs w:val="20"/>
          <w:color w:val="auto"/>
        </w:rPr>
      </w:pPr>
    </w:p>
    <w:p>
      <w:pPr>
        <w:ind w:left="188" w:hanging="188"/>
        <w:spacing w:after="0"/>
        <w:tabs>
          <w:tab w:leader="none" w:pos="18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Roberts</w:t>
      </w:r>
    </w:p>
    <w:p>
      <w:pPr>
        <w:spacing w:after="0" w:line="174" w:lineRule="exact"/>
        <w:rPr>
          <w:sz w:val="20"/>
          <w:szCs w:val="20"/>
          <w:color w:val="auto"/>
        </w:rPr>
      </w:pPr>
    </w:p>
    <w:p>
      <w:pPr>
        <w:ind w:left="8"/>
        <w:spacing w:after="0"/>
        <w:tabs>
          <w:tab w:leader="none" w:pos="4908" w:val="left"/>
        </w:tabs>
        <w:rPr>
          <w:sz w:val="20"/>
          <w:szCs w:val="20"/>
          <w:color w:val="auto"/>
        </w:rPr>
      </w:pPr>
      <w:r>
        <w:rPr>
          <w:rFonts w:ascii="Courier New" w:cs="Courier New" w:eastAsia="Courier New" w:hAnsi="Courier New"/>
          <w:sz w:val="15"/>
          <w:szCs w:val="15"/>
          <w:color w:val="auto"/>
        </w:rPr>
        <w:t>/s/ Lee Jones</w:t>
      </w:r>
      <w:r>
        <w:rPr>
          <w:sz w:val="20"/>
          <w:szCs w:val="20"/>
          <w:color w:val="auto"/>
        </w:rPr>
        <w:tab/>
      </w:r>
      <w:r>
        <w:rPr>
          <w:rFonts w:ascii="Courier New" w:cs="Courier New" w:eastAsia="Courier New" w:hAnsi="Courier New"/>
          <w:sz w:val="14"/>
          <w:szCs w:val="14"/>
          <w:color w:val="auto"/>
        </w:rPr>
        <w:t>January 30, 2003</w:t>
      </w:r>
    </w:p>
    <w:p>
      <w:pPr>
        <w:spacing w:after="0" w:line="2" w:lineRule="exact"/>
        <w:rPr>
          <w:sz w:val="20"/>
          <w:szCs w:val="20"/>
          <w:color w:val="auto"/>
        </w:rPr>
      </w:pPr>
    </w:p>
    <w:p>
      <w:pPr>
        <w:ind w:left="188" w:hanging="188"/>
        <w:spacing w:after="0"/>
        <w:tabs>
          <w:tab w:leader="none" w:pos="18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Lee Jones</w:t>
      </w:r>
    </w:p>
    <w:p>
      <w:pPr>
        <w:spacing w:after="0" w:line="174" w:lineRule="exact"/>
        <w:rPr>
          <w:sz w:val="20"/>
          <w:szCs w:val="20"/>
          <w:color w:val="auto"/>
        </w:rPr>
      </w:pPr>
    </w:p>
    <w:p>
      <w:pPr>
        <w:ind w:left="8"/>
        <w:spacing w:after="0"/>
        <w:tabs>
          <w:tab w:leader="none" w:pos="4908" w:val="left"/>
        </w:tabs>
        <w:rPr>
          <w:sz w:val="20"/>
          <w:szCs w:val="20"/>
          <w:color w:val="auto"/>
        </w:rPr>
      </w:pPr>
      <w:r>
        <w:rPr>
          <w:rFonts w:ascii="Courier New" w:cs="Courier New" w:eastAsia="Courier New" w:hAnsi="Courier New"/>
          <w:sz w:val="15"/>
          <w:szCs w:val="15"/>
          <w:color w:val="auto"/>
        </w:rPr>
        <w:t>/s/ William Taaffe</w:t>
      </w:r>
      <w:r>
        <w:rPr>
          <w:sz w:val="20"/>
          <w:szCs w:val="20"/>
          <w:color w:val="auto"/>
        </w:rPr>
        <w:tab/>
      </w:r>
      <w:r>
        <w:rPr>
          <w:rFonts w:ascii="Courier New" w:cs="Courier New" w:eastAsia="Courier New" w:hAnsi="Courier New"/>
          <w:sz w:val="14"/>
          <w:szCs w:val="14"/>
          <w:color w:val="auto"/>
        </w:rPr>
        <w:t>January 30, 2003</w:t>
      </w:r>
    </w:p>
    <w:p>
      <w:pPr>
        <w:spacing w:after="0" w:line="2" w:lineRule="exact"/>
        <w:rPr>
          <w:sz w:val="20"/>
          <w:szCs w:val="20"/>
          <w:color w:val="auto"/>
        </w:rPr>
      </w:pPr>
    </w:p>
    <w:p>
      <w:pPr>
        <w:ind w:left="188" w:hanging="188"/>
        <w:spacing w:after="0"/>
        <w:tabs>
          <w:tab w:leader="none" w:pos="18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Taaffe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633" w:right="1440" w:bottom="1440" w:gutter="0" w:footer="0" w:header="0"/>
        </w:sectPr>
      </w:pPr>
    </w:p>
    <w:bookmarkStart w:id="57" w:name="page58"/>
    <w:bookmarkEnd w:id="57"/>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31st day of January, 2003.</w:t>
      </w:r>
    </w:p>
    <w:p>
      <w:pPr>
        <w:spacing w:after="0" w:line="174"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ICON PLC</w:t>
      </w:r>
    </w:p>
    <w:p>
      <w:pPr>
        <w:spacing w:after="0" w:line="346"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By: /s/ Sean Leech</w:t>
      </w:r>
    </w:p>
    <w:p>
      <w:pPr>
        <w:spacing w:after="0" w:line="4"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928"/>
        <w:spacing w:after="0"/>
        <w:rPr>
          <w:sz w:val="20"/>
          <w:szCs w:val="20"/>
          <w:color w:val="auto"/>
        </w:rPr>
      </w:pPr>
      <w:r>
        <w:rPr>
          <w:rFonts w:ascii="Courier New" w:cs="Courier New" w:eastAsia="Courier New" w:hAnsi="Courier New"/>
          <w:sz w:val="15"/>
          <w:szCs w:val="15"/>
          <w:color w:val="auto"/>
        </w:rPr>
        <w:t>Sean Leech</w:t>
      </w:r>
    </w:p>
    <w:p>
      <w:pPr>
        <w:spacing w:after="0" w:line="2" w:lineRule="exact"/>
        <w:rPr>
          <w:sz w:val="20"/>
          <w:szCs w:val="20"/>
          <w:color w:val="auto"/>
        </w:rPr>
      </w:pPr>
    </w:p>
    <w:p>
      <w:pPr>
        <w:ind w:left="4928"/>
        <w:spacing w:after="0"/>
        <w:rPr>
          <w:sz w:val="20"/>
          <w:szCs w:val="20"/>
          <w:color w:val="auto"/>
        </w:rPr>
      </w:pPr>
      <w:r>
        <w:rPr>
          <w:rFonts w:ascii="Courier New" w:cs="Courier New" w:eastAsia="Courier New" w:hAnsi="Courier New"/>
          <w:sz w:val="15"/>
          <w:szCs w:val="15"/>
          <w:color w:val="auto"/>
        </w:rPr>
        <w:t>Chief Financial Officer</w:t>
      </w:r>
    </w:p>
    <w:p>
      <w:pPr>
        <w:spacing w:after="0" w:line="176" w:lineRule="exact"/>
        <w:rPr>
          <w:sz w:val="20"/>
          <w:szCs w:val="20"/>
          <w:color w:val="auto"/>
        </w:rPr>
      </w:pPr>
    </w:p>
    <w:p>
      <w:pPr>
        <w:ind w:left="8" w:right="3779" w:firstLine="53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their respective capacities on the 31st day of January, 2003.</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176" w:lineRule="exact"/>
        <w:rPr>
          <w:sz w:val="20"/>
          <w:szCs w:val="20"/>
          <w:color w:val="auto"/>
        </w:rPr>
      </w:pPr>
    </w:p>
    <w:p>
      <w:pPr>
        <w:sectPr>
          <w:pgSz w:w="11900" w:h="16838" w:orient="portrait"/>
          <w:cols w:equalWidth="0" w:num="2">
            <w:col w:w="3488" w:space="720"/>
            <w:col w:w="6019"/>
          </w:cols>
          <w:pgMar w:left="232" w:top="633" w:right="1440" w:bottom="1440" w:gutter="0" w:footer="0" w:header="0"/>
          <w:type w:val="continuous"/>
        </w:sectPr>
      </w:pPr>
    </w:p>
    <w:p>
      <w:pPr>
        <w:ind w:left="188"/>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Director</w:t>
      </w:r>
    </w:p>
    <w:p>
      <w:pPr>
        <w:spacing w:after="0" w:line="12" w:lineRule="exact"/>
        <w:rPr>
          <w:sz w:val="20"/>
          <w:szCs w:val="20"/>
          <w:color w:val="auto"/>
        </w:rPr>
      </w:pPr>
    </w:p>
    <w:p>
      <w:pPr>
        <w:sectPr>
          <w:pgSz w:w="11900" w:h="16838" w:orient="portrait"/>
          <w:cols w:equalWidth="0" w:num="2">
            <w:col w:w="2848" w:space="720"/>
            <w:col w:w="6659"/>
          </w:cols>
          <w:pgMar w:left="232" w:top="633" w:right="1440" w:bottom="1440" w:gutter="0" w:footer="0" w:header="0"/>
          <w:type w:val="continuous"/>
        </w:sectPr>
      </w:pPr>
    </w:p>
    <w:p>
      <w:pPr>
        <w:ind w:left="188" w:hanging="188"/>
        <w:spacing w:after="0"/>
        <w:tabs>
          <w:tab w:leader="none" w:pos="18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Dr. John Climax</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14"/>
                <w:szCs w:val="1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w w:val="98"/>
              </w:rPr>
              <w:t>Chief Executive Officer, 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Peter Gray</w:t>
            </w:r>
          </w:p>
        </w:tc>
        <w:tc>
          <w:tcPr>
            <w:tcW w:w="3260" w:type="dxa"/>
            <w:vAlign w:val="bottom"/>
          </w:tcPr>
          <w:p>
            <w:pPr>
              <w:spacing w:after="0"/>
              <w:rPr>
                <w:sz w:val="14"/>
                <w:szCs w:val="14"/>
                <w:color w:val="auto"/>
              </w:rPr>
            </w:pPr>
          </w:p>
        </w:tc>
      </w:tr>
      <w:tr>
        <w:trPr>
          <w:trHeight w:val="344"/>
        </w:trPr>
        <w:tc>
          <w:tcPr>
            <w:tcW w:w="3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Sean Leech</w:t>
            </w: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Chief Financial Officer,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ind w:left="480"/>
              <w:spacing w:after="0"/>
              <w:rPr>
                <w:sz w:val="20"/>
                <w:szCs w:val="20"/>
                <w:color w:val="auto"/>
              </w:rPr>
            </w:pPr>
            <w:r>
              <w:rPr>
                <w:rFonts w:ascii="Courier New" w:cs="Courier New" w:eastAsia="Courier New" w:hAnsi="Courier New"/>
                <w:sz w:val="15"/>
                <w:szCs w:val="15"/>
                <w:color w:val="auto"/>
              </w:rPr>
              <w:t>Chief Accounting Officer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Sean Leech</w:t>
            </w:r>
          </w:p>
        </w:tc>
        <w:tc>
          <w:tcPr>
            <w:tcW w:w="3260" w:type="dxa"/>
            <w:vAlign w:val="bottom"/>
          </w:tcPr>
          <w:p>
            <w:pPr>
              <w:spacing w:after="0"/>
              <w:rPr>
                <w:sz w:val="14"/>
                <w:szCs w:val="14"/>
                <w:color w:val="auto"/>
              </w:rPr>
            </w:pPr>
          </w:p>
        </w:tc>
      </w:tr>
      <w:tr>
        <w:trPr>
          <w:trHeight w:val="344"/>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Dr. Ronan Lambe</w:t>
            </w:r>
          </w:p>
        </w:tc>
        <w:tc>
          <w:tcPr>
            <w:tcW w:w="3260" w:type="dxa"/>
            <w:vAlign w:val="bottom"/>
          </w:tcPr>
          <w:p>
            <w:pPr>
              <w:spacing w:after="0"/>
              <w:rPr>
                <w:sz w:val="14"/>
                <w:szCs w:val="14"/>
                <w:color w:val="auto"/>
              </w:rPr>
            </w:pPr>
          </w:p>
        </w:tc>
      </w:tr>
      <w:tr>
        <w:trPr>
          <w:trHeight w:val="344"/>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Thomas Lynch</w:t>
            </w:r>
          </w:p>
        </w:tc>
        <w:tc>
          <w:tcPr>
            <w:tcW w:w="3260" w:type="dxa"/>
            <w:vAlign w:val="bottom"/>
          </w:tcPr>
          <w:p>
            <w:pPr>
              <w:spacing w:after="0"/>
              <w:rPr>
                <w:sz w:val="14"/>
                <w:szCs w:val="14"/>
                <w:color w:val="auto"/>
              </w:rPr>
            </w:pPr>
          </w:p>
        </w:tc>
      </w:tr>
      <w:tr>
        <w:trPr>
          <w:trHeight w:val="344"/>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Edward Roberts</w:t>
            </w:r>
          </w:p>
        </w:tc>
        <w:tc>
          <w:tcPr>
            <w:tcW w:w="3260" w:type="dxa"/>
            <w:vAlign w:val="bottom"/>
          </w:tcPr>
          <w:p>
            <w:pPr>
              <w:spacing w:after="0"/>
              <w:rPr>
                <w:sz w:val="14"/>
                <w:szCs w:val="14"/>
                <w:color w:val="auto"/>
              </w:rPr>
            </w:pPr>
          </w:p>
        </w:tc>
      </w:tr>
      <w:tr>
        <w:trPr>
          <w:trHeight w:val="344"/>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40" w:type="dxa"/>
            <w:vAlign w:val="bottom"/>
          </w:tcPr>
          <w:p>
            <w:pPr>
              <w:spacing w:after="0"/>
              <w:rPr>
                <w:sz w:val="20"/>
                <w:szCs w:val="20"/>
                <w:color w:val="auto"/>
              </w:rPr>
            </w:pPr>
            <w:r>
              <w:rPr>
                <w:rFonts w:ascii="Courier New" w:cs="Courier New" w:eastAsia="Courier New" w:hAnsi="Courier New"/>
                <w:sz w:val="15"/>
                <w:szCs w:val="15"/>
                <w:color w:val="auto"/>
              </w:rPr>
              <w:t>Lee</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Jones</w:t>
            </w:r>
          </w:p>
        </w:tc>
        <w:tc>
          <w:tcPr>
            <w:tcW w:w="3260" w:type="dxa"/>
            <w:vAlign w:val="bottom"/>
          </w:tcPr>
          <w:p>
            <w:pPr>
              <w:spacing w:after="0"/>
              <w:rPr>
                <w:sz w:val="14"/>
                <w:szCs w:val="14"/>
                <w:color w:val="auto"/>
              </w:rPr>
            </w:pPr>
          </w:p>
        </w:tc>
      </w:tr>
      <w:tr>
        <w:trPr>
          <w:trHeight w:val="344"/>
        </w:trPr>
        <w:tc>
          <w:tcPr>
            <w:tcW w:w="3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William Taaffe</w:t>
            </w: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Authorized Representative</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ind w:left="480"/>
              <w:spacing w:after="0"/>
              <w:rPr>
                <w:sz w:val="20"/>
                <w:szCs w:val="20"/>
                <w:color w:val="auto"/>
              </w:rPr>
            </w:pPr>
            <w:r>
              <w:rPr>
                <w:rFonts w:ascii="Courier New" w:cs="Courier New" w:eastAsia="Courier New" w:hAnsi="Courier New"/>
                <w:sz w:val="15"/>
                <w:szCs w:val="15"/>
                <w:color w:val="auto"/>
              </w:rPr>
              <w:t>in the United States</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William Taaffe</w:t>
            </w:r>
          </w:p>
        </w:tc>
        <w:tc>
          <w:tcPr>
            <w:tcW w:w="3260" w:type="dxa"/>
            <w:vAlign w:val="bottom"/>
          </w:tcPr>
          <w:p>
            <w:pPr>
              <w:spacing w:after="0"/>
              <w:rPr>
                <w:sz w:val="14"/>
                <w:szCs w:val="14"/>
                <w:color w:val="auto"/>
              </w:rPr>
            </w:pPr>
          </w:p>
        </w:tc>
      </w:tr>
    </w:tbl>
    <w:p>
      <w:pPr>
        <w:spacing w:after="0" w:line="176" w:lineRule="exact"/>
        <w:rPr>
          <w:sz w:val="20"/>
          <w:szCs w:val="20"/>
          <w:color w:val="auto"/>
        </w:rPr>
      </w:pPr>
    </w:p>
    <w:p>
      <w:pPr>
        <w:ind w:left="3408" w:right="6379" w:hanging="3408"/>
        <w:spacing w:after="0" w:line="795" w:lineRule="auto"/>
        <w:tabs>
          <w:tab w:leader="none" w:pos="18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Signed by Sean Leech as Attorney-in-Fact. II-5</w:t>
      </w:r>
    </w:p>
    <w:p>
      <w:pPr>
        <w:sectPr>
          <w:pgSz w:w="11900" w:h="16838" w:orient="portrait"/>
          <w:cols w:equalWidth="0" w:num="1">
            <w:col w:w="10227"/>
          </w:cols>
          <w:pgMar w:left="232" w:top="633" w:right="1440" w:bottom="1440" w:gutter="0" w:footer="0" w:header="0"/>
          <w:type w:val="continuous"/>
        </w:sectPr>
      </w:pPr>
    </w:p>
    <w:bookmarkStart w:id="58" w:name="page59"/>
    <w:bookmarkEnd w:id="58"/>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6840" w:type="dxa"/>
            <w:vAlign w:val="bottom"/>
          </w:tcPr>
          <w:p>
            <w:pPr>
              <w:ind w:left="2020"/>
              <w:spacing w:after="0"/>
              <w:rPr>
                <w:sz w:val="20"/>
                <w:szCs w:val="20"/>
                <w:color w:val="auto"/>
              </w:rPr>
            </w:pPr>
            <w:r>
              <w:rPr>
                <w:rFonts w:ascii="Courier New" w:cs="Courier New" w:eastAsia="Courier New" w:hAnsi="Courier New"/>
                <w:sz w:val="15"/>
                <w:szCs w:val="15"/>
                <w:color w:val="auto"/>
              </w:rPr>
              <w:t>EXHIBIT INDEX</w:t>
            </w:r>
          </w:p>
        </w:tc>
      </w:tr>
      <w:tr>
        <w:trPr>
          <w:trHeight w:val="688"/>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840" w:type="dxa"/>
            <w:vAlign w:val="bottom"/>
          </w:tcPr>
          <w:p>
            <w:pPr>
              <w:spacing w:after="0"/>
              <w:rPr>
                <w:sz w:val="24"/>
                <w:szCs w:val="24"/>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w w:val="99"/>
              </w:rPr>
              <w:t>Deposit Agreement, dated as of May 20, 1998, between the Company, The Bank</w:t>
            </w:r>
          </w:p>
        </w:tc>
      </w:tr>
      <w:tr>
        <w:trPr>
          <w:trHeight w:val="172"/>
        </w:trPr>
        <w:tc>
          <w:tcPr>
            <w:tcW w:w="1020" w:type="dxa"/>
            <w:vAlign w:val="bottom"/>
          </w:tcPr>
          <w:p>
            <w:pPr>
              <w:spacing w:after="0"/>
              <w:rPr>
                <w:sz w:val="14"/>
                <w:szCs w:val="14"/>
                <w:color w:val="auto"/>
              </w:rPr>
            </w:pP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of New York and the holders from time to time of the Company's ADRs</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Form of Ordinary Share certificate.</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Form of ADR certificate (included in Exhibit 4.1).</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Registration Rights Agreement, dated as of December 12, 1997.</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Opinion of A&amp;L Goodbody Solicitors as to certain Company related matters.</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Consent of KPMG, Chartered Accountants for the Company.</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Consent of A&amp;L Goodbody Solicitors (included in Exhibit 5.1).</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6840" w:type="dxa"/>
            <w:vAlign w:val="bottom"/>
          </w:tcPr>
          <w:p>
            <w:pPr>
              <w:ind w:left="220"/>
              <w:spacing w:after="0"/>
              <w:rPr>
                <w:sz w:val="20"/>
                <w:szCs w:val="20"/>
                <w:color w:val="auto"/>
              </w:rPr>
            </w:pPr>
            <w:r>
              <w:rPr>
                <w:rFonts w:ascii="Courier New" w:cs="Courier New" w:eastAsia="Courier New" w:hAnsi="Courier New"/>
                <w:sz w:val="15"/>
                <w:szCs w:val="15"/>
                <w:color w:val="auto"/>
              </w:rPr>
              <w:t>Power of Attorney (included on a signature page).</w:t>
            </w:r>
          </w:p>
        </w:tc>
      </w:tr>
    </w:tbl>
    <w:p>
      <w:pPr>
        <w:spacing w:after="0" w:line="174" w:lineRule="exact"/>
        <w:rPr>
          <w:sz w:val="20"/>
          <w:szCs w:val="20"/>
          <w:color w:val="auto"/>
        </w:rPr>
      </w:pPr>
    </w:p>
    <w:p>
      <w:pPr>
        <w:ind w:left="1248" w:hanging="1248"/>
        <w:spacing w:after="0"/>
        <w:tabs>
          <w:tab w:leader="none" w:pos="12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4" w:lineRule="exact"/>
        <w:rPr>
          <w:sz w:val="20"/>
          <w:szCs w:val="20"/>
          <w:color w:val="auto"/>
        </w:rPr>
      </w:pPr>
    </w:p>
    <w:p>
      <w:pPr>
        <w:ind w:left="1248" w:hanging="1248"/>
        <w:spacing w:after="0"/>
        <w:tabs>
          <w:tab w:leader="none" w:pos="12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exhibits to the Company's Registration</w:t>
      </w:r>
    </w:p>
    <w:p>
      <w:pPr>
        <w:spacing w:after="0" w:line="3"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Statement on Form F-1 (File No. 333-8672) filed with the Commission on April 23, 1998.</w:t>
      </w:r>
    </w:p>
    <w:p>
      <w:pPr>
        <w:sectPr>
          <w:pgSz w:w="11900" w:h="16838" w:orient="portrait"/>
          <w:cols w:equalWidth="0" w:num="1">
            <w:col w:w="10227"/>
          </w:cols>
          <w:pgMar w:left="232" w:top="633"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[KPMG LOGO]</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340" w:type="dxa"/>
            <w:vAlign w:val="bottom"/>
          </w:tcPr>
          <w:p>
            <w:pPr>
              <w:ind w:left="1060"/>
              <w:spacing w:after="0"/>
              <w:rPr>
                <w:sz w:val="20"/>
                <w:szCs w:val="20"/>
                <w:color w:val="auto"/>
              </w:rPr>
            </w:pPr>
            <w:r>
              <w:rPr>
                <w:rFonts w:ascii="Courier New" w:cs="Courier New" w:eastAsia="Courier New" w:hAnsi="Courier New"/>
                <w:sz w:val="15"/>
                <w:szCs w:val="15"/>
                <w:color w:val="auto"/>
              </w:rPr>
              <w:t>Chartered Accountants</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4"/>
        </w:trPr>
        <w:tc>
          <w:tcPr>
            <w:tcW w:w="3340" w:type="dxa"/>
            <w:vAlign w:val="bottom"/>
          </w:tcPr>
          <w:p>
            <w:pPr>
              <w:ind w:left="1060"/>
              <w:spacing w:after="0"/>
              <w:rPr>
                <w:sz w:val="20"/>
                <w:szCs w:val="20"/>
                <w:color w:val="auto"/>
              </w:rPr>
            </w:pPr>
            <w:r>
              <w:rPr>
                <w:rFonts w:ascii="Courier New" w:cs="Courier New" w:eastAsia="Courier New" w:hAnsi="Courier New"/>
                <w:sz w:val="15"/>
                <w:szCs w:val="15"/>
                <w:color w:val="auto"/>
              </w:rPr>
              <w:t>5 George's Dock</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Telephone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+353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1 410 1000</w:t>
            </w:r>
          </w:p>
        </w:tc>
      </w:tr>
      <w:tr>
        <w:trPr>
          <w:trHeight w:val="172"/>
        </w:trPr>
        <w:tc>
          <w:tcPr>
            <w:tcW w:w="3340" w:type="dxa"/>
            <w:vAlign w:val="bottom"/>
          </w:tcPr>
          <w:p>
            <w:pPr>
              <w:ind w:left="1060"/>
              <w:spacing w:after="0"/>
              <w:rPr>
                <w:sz w:val="20"/>
                <w:szCs w:val="20"/>
                <w:color w:val="auto"/>
              </w:rPr>
            </w:pPr>
            <w:r>
              <w:rPr>
                <w:rFonts w:ascii="Courier New" w:cs="Courier New" w:eastAsia="Courier New" w:hAnsi="Courier New"/>
                <w:sz w:val="15"/>
                <w:szCs w:val="15"/>
                <w:color w:val="auto"/>
              </w:rPr>
              <w:t>IFSC</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Fax</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+353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1 412 1470</w:t>
            </w:r>
          </w:p>
        </w:tc>
      </w:tr>
      <w:tr>
        <w:trPr>
          <w:trHeight w:val="172"/>
        </w:trPr>
        <w:tc>
          <w:tcPr>
            <w:tcW w:w="3340" w:type="dxa"/>
            <w:vAlign w:val="bottom"/>
          </w:tcPr>
          <w:p>
            <w:pPr>
              <w:ind w:left="1060"/>
              <w:spacing w:after="0"/>
              <w:rPr>
                <w:sz w:val="20"/>
                <w:szCs w:val="20"/>
                <w:color w:val="auto"/>
              </w:rPr>
            </w:pPr>
            <w:r>
              <w:rPr>
                <w:rFonts w:ascii="Courier New" w:cs="Courier New" w:eastAsia="Courier New" w:hAnsi="Courier New"/>
                <w:sz w:val="15"/>
                <w:szCs w:val="15"/>
                <w:color w:val="auto"/>
              </w:rPr>
              <w:t>Dublin 1</w:t>
            </w:r>
          </w:p>
        </w:tc>
        <w:tc>
          <w:tcPr>
            <w:tcW w:w="1260" w:type="dxa"/>
            <w:vAlign w:val="bottom"/>
          </w:tcPr>
          <w:p>
            <w:pPr>
              <w:ind w:left="400"/>
              <w:spacing w:after="0"/>
              <w:rPr>
                <w:sz w:val="20"/>
                <w:szCs w:val="20"/>
                <w:color w:val="auto"/>
              </w:rPr>
            </w:pPr>
            <w:r>
              <w:rPr>
                <w:rFonts w:ascii="Courier New" w:cs="Courier New" w:eastAsia="Courier New" w:hAnsi="Courier New"/>
                <w:sz w:val="15"/>
                <w:szCs w:val="15"/>
                <w:color w:val="auto"/>
              </w:rPr>
              <w:t>Internet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www.kpmg.ie</w:t>
            </w:r>
          </w:p>
        </w:tc>
      </w:tr>
    </w:tbl>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Ireland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AND CONFIDENTIAL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County Business Park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Leopardstown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consent to the use of our report dated July 26, 2002, with respect to the consolidated balance sheets of ICON plc as of May 31, 2001 and 2002, and the related consolidated statements of operations, shareholders' equity and comprehensive income and cash flows for each of the years in the three-year period ended May 31, 2002, incorporated herein by reference and to the reference to our firm under the heading "Experts" in the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30, 2003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2)"/>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lvl w:ilvl="1">
      <w:lvlJc w:val="left"/>
      <w:lvlText w:val="(%2)"/>
      <w:numFmt w:val="decimal"/>
      <w:start w:val="1"/>
    </w:lvl>
  </w:abstractNum>
  <w:abstractNum w:abstractNumId="8">
    <w:nsid w:val="B03E0C6"/>
    <w:multiLevelType w:val="hybridMultilevel"/>
    <w:lvl w:ilvl="0">
      <w:lvlJc w:val="left"/>
      <w:lvlText w:val="-"/>
      <w:numFmt w:val="bullet"/>
      <w:start w:val="1"/>
    </w:lvl>
    <w:lvl w:ilvl="1">
      <w:lvlJc w:val="left"/>
      <w:lvlText w:val="(%2)"/>
      <w:numFmt w:val="decimal"/>
      <w:start w:val="4"/>
    </w:lvl>
  </w:abstractNum>
  <w:abstractNum w:abstractNumId="9">
    <w:nsid w:val="189A769B"/>
    <w:multiLevelType w:val="hybridMultilevel"/>
    <w:lvl w:ilvl="0">
      <w:lvlJc w:val="left"/>
      <w:lvlText w:val="o"/>
      <w:numFmt w:val="bullet"/>
      <w:start w:val="1"/>
    </w:lvl>
  </w:abstractNum>
  <w:abstractNum w:abstractNumId="10">
    <w:nsid w:val="54E49EB4"/>
    <w:multiLevelType w:val="hybridMultilevel"/>
    <w:lvl w:ilvl="0">
      <w:lvlJc w:val="left"/>
      <w:lvlText w:val="o"/>
      <w:numFmt w:val="bullet"/>
      <w:start w:val="1"/>
    </w:lvl>
  </w:abstractNum>
  <w:abstractNum w:abstractNumId="11">
    <w:nsid w:val="71F32454"/>
    <w:multiLevelType w:val="hybridMultilevel"/>
    <w:lvl w:ilvl="0">
      <w:lvlJc w:val="left"/>
      <w:lvlText w:val="o"/>
      <w:numFmt w:val="bullet"/>
      <w:start w:val="1"/>
    </w:lvl>
  </w:abstractNum>
  <w:abstractNum w:abstractNumId="12">
    <w:nsid w:val="2CA88611"/>
    <w:multiLevelType w:val="hybridMultilevel"/>
    <w:lvl w:ilvl="0">
      <w:lvlJc w:val="left"/>
      <w:lvlText w:val="o"/>
      <w:numFmt w:val="bullet"/>
      <w:start w:val="1"/>
    </w:lvl>
  </w:abstractNum>
  <w:abstractNum w:abstractNumId="13">
    <w:nsid w:val="836C40E"/>
    <w:multiLevelType w:val="hybridMultilevel"/>
    <w:lvl w:ilvl="0">
      <w:lvlJc w:val="left"/>
      <w:lvlText w:val="-"/>
      <w:numFmt w:val="bullet"/>
      <w:start w:val="1"/>
    </w:lvl>
    <w:lvl w:ilvl="1">
      <w:lvlJc w:val="left"/>
      <w:lvlText w:val="(%2)"/>
      <w:numFmt w:val="decimal"/>
      <w:start w:val="1"/>
    </w:lvl>
  </w:abstractNum>
  <w:abstractNum w:abstractNumId="14">
    <w:nsid w:val="2901D82"/>
    <w:multiLevelType w:val="hybridMultilevel"/>
    <w:lvl w:ilvl="0">
      <w:lvlJc w:val="left"/>
      <w:lvlText w:val="-"/>
      <w:numFmt w:val="bullet"/>
      <w:start w:val="1"/>
    </w:lvl>
    <w:lvl w:ilvl="1">
      <w:lvlJc w:val="left"/>
      <w:lvlText w:val="(%2)"/>
      <w:numFmt w:val="decimal"/>
      <w:start w:val="1"/>
    </w:lvl>
  </w:abstractNum>
  <w:abstractNum w:abstractNumId="15">
    <w:nsid w:val="3A95F874"/>
    <w:multiLevelType w:val="hybridMultilevel"/>
    <w:lvl w:ilvl="0">
      <w:lvlJc w:val="left"/>
      <w:lvlText w:val="o"/>
      <w:numFmt w:val="bullet"/>
      <w:start w:val="1"/>
    </w:lvl>
  </w:abstractNum>
  <w:abstractNum w:abstractNumId="16">
    <w:nsid w:val="8138641"/>
    <w:multiLevelType w:val="hybridMultilevel"/>
    <w:lvl w:ilvl="0">
      <w:lvlJc w:val="left"/>
      <w:lvlText w:val="-"/>
      <w:numFmt w:val="bullet"/>
      <w:start w:val="1"/>
    </w:lvl>
    <w:lvl w:ilvl="1">
      <w:lvlJc w:val="left"/>
      <w:lvlText w:val="(%2)"/>
      <w:numFmt w:val="decimal"/>
      <w:start w:val="1"/>
    </w:lvl>
  </w:abstractNum>
  <w:abstractNum w:abstractNumId="17">
    <w:nsid w:val="1E7FF521"/>
    <w:multiLevelType w:val="hybridMultilevel"/>
    <w:lvl w:ilvl="0">
      <w:lvlJc w:val="left"/>
      <w:lvlText w:val="o"/>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o"/>
      <w:numFmt w:val="bullet"/>
      <w:start w:val="1"/>
    </w:lvl>
  </w:abstractNum>
  <w:abstractNum w:abstractNumId="21">
    <w:nsid w:val="22221A70"/>
    <w:multiLevelType w:val="hybridMultilevel"/>
    <w:lvl w:ilvl="0">
      <w:lvlJc w:val="left"/>
      <w:lvlText w:val="o"/>
      <w:numFmt w:val="bullet"/>
      <w:start w:val="1"/>
    </w:lvl>
  </w:abstractNum>
  <w:abstractNum w:abstractNumId="22">
    <w:nsid w:val="4516DDE9"/>
    <w:multiLevelType w:val="hybridMultilevel"/>
    <w:lvl w:ilvl="0">
      <w:lvlJc w:val="left"/>
      <w:lvlText w:val="o"/>
      <w:numFmt w:val="bullet"/>
      <w:start w:val="1"/>
    </w:lvl>
  </w:abstractNum>
  <w:abstractNum w:abstractNumId="23">
    <w:nsid w:val="3006C83E"/>
    <w:multiLevelType w:val="hybridMultilevel"/>
    <w:lvl w:ilvl="0">
      <w:lvlJc w:val="left"/>
      <w:lvlText w:val="o"/>
      <w:numFmt w:val="bullet"/>
      <w:start w:val="1"/>
    </w:lvl>
  </w:abstractNum>
  <w:abstractNum w:abstractNumId="24">
    <w:nsid w:val="614FD4A1"/>
    <w:multiLevelType w:val="hybridMultilevel"/>
    <w:lvl w:ilvl="0">
      <w:lvlJc w:val="left"/>
      <w:lvlText w:val="o"/>
      <w:numFmt w:val="bullet"/>
      <w:start w:val="1"/>
    </w:lvl>
  </w:abstractNum>
  <w:abstractNum w:abstractNumId="25">
    <w:nsid w:val="419AC241"/>
    <w:multiLevelType w:val="hybridMultilevel"/>
    <w:lvl w:ilvl="0">
      <w:lvlJc w:val="left"/>
      <w:lvlText w:val="o"/>
      <w:numFmt w:val="bullet"/>
      <w:start w:val="1"/>
    </w:lvl>
  </w:abstractNum>
  <w:abstractNum w:abstractNumId="26">
    <w:nsid w:val="5577F8E1"/>
    <w:multiLevelType w:val="hybridMultilevel"/>
    <w:lvl w:ilvl="0">
      <w:lvlJc w:val="left"/>
      <w:lvlText w:val="o"/>
      <w:numFmt w:val="bullet"/>
      <w:start w:val="1"/>
    </w:lvl>
  </w:abstractNum>
  <w:abstractNum w:abstractNumId="27">
    <w:nsid w:val="440BADFC"/>
    <w:multiLevelType w:val="hybridMultilevel"/>
    <w:lvl w:ilvl="0">
      <w:lvlJc w:val="left"/>
      <w:lvlText w:val="o"/>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upperLetter"/>
      <w:start w:val="1"/>
    </w:lvl>
    <w:lvl w:ilvl="1">
      <w:lvlJc w:val="left"/>
      <w:lvlText w:val="%2."/>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2019-12-12T02:13:30Z</dcterms:created>
  <dcterms:modified xsi:type="dcterms:W3CDTF">2019-12-12T02:13:30Z</dcterms:modified>
</cp:coreProperties>
</file>