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4"/>
        </w:trPr>
        <w:tc>
          <w:tcPr>
            <w:tcW w:w="4960" w:type="dxa"/>
            <w:vAlign w:val="bottom"/>
            <w:gridSpan w:val="2"/>
          </w:tcPr>
          <w:p>
            <w:pPr>
              <w:spacing w:after="0"/>
              <w:rPr>
                <w:sz w:val="20"/>
                <w:szCs w:val="20"/>
                <w:color w:val="auto"/>
              </w:rPr>
            </w:pPr>
            <w:r>
              <w:rPr>
                <w:rFonts w:ascii="Courier New" w:cs="Courier New" w:eastAsia="Courier New" w:hAnsi="Courier New"/>
                <w:sz w:val="18"/>
                <w:szCs w:val="18"/>
                <w:color w:val="auto"/>
              </w:rPr>
              <w:t>SCHEDULE 13G</w:t>
            </w:r>
          </w:p>
        </w:tc>
      </w:tr>
      <w:tr>
        <w:trPr>
          <w:trHeight w:val="405"/>
        </w:trPr>
        <w:tc>
          <w:tcPr>
            <w:tcW w:w="4960" w:type="dxa"/>
            <w:vAlign w:val="bottom"/>
            <w:gridSpan w:val="2"/>
          </w:tcPr>
          <w:p>
            <w:pPr>
              <w:spacing w:after="0"/>
              <w:rPr>
                <w:sz w:val="20"/>
                <w:szCs w:val="20"/>
                <w:color w:val="auto"/>
              </w:rPr>
            </w:pPr>
            <w:r>
              <w:rPr>
                <w:rFonts w:ascii="Courier New" w:cs="Courier New" w:eastAsia="Courier New" w:hAnsi="Courier New"/>
                <w:sz w:val="18"/>
                <w:szCs w:val="18"/>
                <w:color w:val="auto"/>
              </w:rPr>
              <w:t>Amendment No. 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ICON PLC</w:t>
            </w:r>
          </w:p>
        </w:tc>
        <w:tc>
          <w:tcPr>
            <w:tcW w:w="4100" w:type="dxa"/>
            <w:vAlign w:val="bottom"/>
          </w:tcPr>
          <w:p>
            <w:pPr>
              <w:spacing w:after="0"/>
              <w:rPr>
                <w:sz w:val="17"/>
                <w:szCs w:val="17"/>
                <w:color w:val="auto"/>
              </w:rPr>
            </w:pPr>
          </w:p>
        </w:tc>
      </w:tr>
      <w:tr>
        <w:trPr>
          <w:trHeight w:val="203"/>
        </w:trPr>
        <w:tc>
          <w:tcPr>
            <w:tcW w:w="4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Common Stock</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G4705A100</w:t>
            </w:r>
          </w:p>
        </w:tc>
      </w:tr>
      <w:tr>
        <w:trPr>
          <w:trHeight w:val="608"/>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G4705A100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 - FMR Corp.</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341,571</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1,760,577</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1,760,577</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41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13.000%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410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HC</w:t>
            </w:r>
          </w:p>
        </w:tc>
      </w:tr>
      <w:tr>
        <w:trPr>
          <w:trHeight w:val="608"/>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G4705A100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Reporting Person - Edward C. Johnson 3d</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1,760,577</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1,760,577</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41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13.000%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41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IN</w:t>
            </w:r>
          </w:p>
        </w:tc>
      </w:tr>
      <w:tr>
        <w:trPr>
          <w:trHeight w:val="608"/>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G4705A100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1,760,577</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1,760,577</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41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13.000%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410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6" w:lineRule="exact"/>
        <w:rPr>
          <w:sz w:val="24"/>
          <w:szCs w:val="24"/>
          <w:color w:val="auto"/>
        </w:rPr>
      </w:pPr>
    </w:p>
    <w:p>
      <w:pPr>
        <w:ind w:right="3779"/>
        <w:spacing w:after="0" w:line="237" w:lineRule="auto"/>
        <w:rPr>
          <w:sz w:val="20"/>
          <w:szCs w:val="20"/>
          <w:color w:val="auto"/>
        </w:rPr>
      </w:pPr>
      <w:r>
        <w:rPr>
          <w:rFonts w:ascii="Courier New" w:cs="Courier New" w:eastAsia="Courier New" w:hAnsi="Courier New"/>
          <w:sz w:val="18"/>
          <w:szCs w:val="18"/>
          <w:color w:val="auto"/>
        </w:rPr>
        <w:t>This filing as of December 31, 2003 includes previously unreported shares beneficially held through shares of American Depository Reciepts ("ADRs"). If this beneficial ownership had been previously filed, a report would have been submitted for the period ended August 31, 2003 indicating beneficial ownership of 11.94%.</w:t>
      </w:r>
    </w:p>
    <w:p>
      <w:pPr>
        <w:sectPr>
          <w:pgSz w:w="11900" w:h="16838" w:orient="portrait"/>
          <w:cols w:equalWidth="0" w:num="1">
            <w:col w:w="10219"/>
          </w:cols>
          <w:pgMar w:left="240" w:top="244" w:right="1440" w:bottom="0" w:gutter="0" w:footer="0" w:header="0"/>
        </w:sectPr>
      </w:pP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200" w:lineRule="exact"/>
        <w:rPr>
          <w:sz w:val="24"/>
          <w:szCs w:val="24"/>
          <w:color w:val="auto"/>
        </w:rPr>
      </w:pPr>
    </w:p>
    <w:p>
      <w:pPr>
        <w:sectPr>
          <w:pgSz w:w="11900" w:h="16838" w:orient="portrait"/>
          <w:cols w:equalWidth="0" w:num="2">
            <w:col w:w="1060" w:space="640"/>
            <w:col w:w="8519"/>
          </w:cols>
          <w:pgMar w:left="240" w:top="244"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ICON PLC</w:t>
      </w:r>
    </w:p>
    <w:p>
      <w:pPr>
        <w:sectPr>
          <w:pgSz w:w="11900" w:h="16838" w:orient="portrait"/>
          <w:cols w:equalWidth="0" w:num="1">
            <w:col w:w="10219"/>
          </w:cols>
          <w:pgMar w:left="240" w:top="244"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1(b).</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Issuer's Principal Executive Offices:</w:t>
      </w:r>
    </w:p>
    <w:p>
      <w:pPr>
        <w:spacing w:after="0" w:line="200" w:lineRule="exact"/>
        <w:rPr>
          <w:sz w:val="24"/>
          <w:szCs w:val="24"/>
          <w:color w:val="auto"/>
        </w:rPr>
      </w:pPr>
    </w:p>
    <w:p>
      <w:pPr>
        <w:sectPr>
          <w:pgSz w:w="11900" w:h="16838" w:orient="portrait"/>
          <w:cols w:equalWidth="0" w:num="2">
            <w:col w:w="1060" w:space="640"/>
            <w:col w:w="8519"/>
          </w:cols>
          <w:pgMar w:left="240" w:top="244"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South Business Park</w:t>
      </w:r>
    </w:p>
    <w:p>
      <w:pPr>
        <w:spacing w:after="0" w:line="16"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Leopardstown</w:t>
      </w:r>
    </w:p>
    <w:p>
      <w:pPr>
        <w:ind w:left="1700"/>
        <w:spacing w:after="0" w:line="238" w:lineRule="auto"/>
        <w:rPr>
          <w:sz w:val="20"/>
          <w:szCs w:val="20"/>
          <w:color w:val="auto"/>
        </w:rPr>
      </w:pPr>
      <w:r>
        <w:rPr>
          <w:rFonts w:ascii="Courier New" w:cs="Courier New" w:eastAsia="Courier New" w:hAnsi="Courier New"/>
          <w:sz w:val="18"/>
          <w:szCs w:val="18"/>
          <w:color w:val="auto"/>
        </w:rPr>
        <w:t>Dublin 18, Ireland</w:t>
      </w:r>
    </w:p>
    <w:p>
      <w:pPr>
        <w:sectPr>
          <w:pgSz w:w="11900" w:h="16838" w:orient="portrait"/>
          <w:cols w:equalWidth="0" w:num="1">
            <w:col w:w="10219"/>
          </w:cols>
          <w:pgMar w:left="240" w:top="244" w:right="1440" w:bottom="0" w:gutter="0" w:footer="0" w:header="0"/>
          <w:type w:val="continuous"/>
        </w:sectPr>
      </w:pP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2(a).</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Person Filing:</w:t>
      </w:r>
    </w:p>
    <w:p>
      <w:pPr>
        <w:spacing w:after="0" w:line="200" w:lineRule="exact"/>
        <w:rPr>
          <w:sz w:val="24"/>
          <w:szCs w:val="24"/>
          <w:color w:val="auto"/>
        </w:rPr>
      </w:pPr>
    </w:p>
    <w:p>
      <w:pPr>
        <w:sectPr>
          <w:pgSz w:w="11900" w:h="16838" w:orient="portrait"/>
          <w:cols w:equalWidth="0" w:num="2">
            <w:col w:w="1060" w:space="640"/>
            <w:col w:w="8519"/>
          </w:cols>
          <w:pgMar w:left="240" w:top="244"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FMR Corp.</w:t>
      </w:r>
    </w:p>
    <w:p>
      <w:pPr>
        <w:sectPr>
          <w:pgSz w:w="11900" w:h="16838" w:orient="portrait"/>
          <w:cols w:equalWidth="0" w:num="1">
            <w:col w:w="10219"/>
          </w:cols>
          <w:pgMar w:left="240" w:top="244"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Residence:</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or Principal Business Office or, if None,</w:t>
      </w:r>
    </w:p>
    <w:p>
      <w:pPr>
        <w:spacing w:after="0" w:line="402" w:lineRule="exact"/>
        <w:rPr>
          <w:sz w:val="24"/>
          <w:szCs w:val="24"/>
          <w:color w:val="auto"/>
        </w:rPr>
      </w:pPr>
    </w:p>
    <w:p>
      <w:pPr>
        <w:sectPr>
          <w:pgSz w:w="11900" w:h="16838" w:orient="portrait"/>
          <w:cols w:equalWidth="0" w:num="2">
            <w:col w:w="1060" w:space="640"/>
            <w:col w:w="8519"/>
          </w:cols>
          <w:pgMar w:left="240" w:top="244" w:right="1440" w:bottom="0" w:gutter="0" w:footer="0" w:header="0"/>
          <w:type w:val="continuous"/>
        </w:sectPr>
      </w:pPr>
    </w:p>
    <w:p>
      <w:pPr>
        <w:spacing w:after="0" w:line="22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Massachusetts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82 Devonshire Street, Boston,</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02109</w:t>
      </w:r>
    </w:p>
    <w:p>
      <w:pPr>
        <w:spacing w:after="0" w:line="200" w:lineRule="exact"/>
        <w:rPr>
          <w:sz w:val="24"/>
          <w:szCs w:val="24"/>
          <w:color w:val="auto"/>
        </w:rPr>
      </w:pPr>
    </w:p>
    <w:p>
      <w:pPr>
        <w:sectPr>
          <w:pgSz w:w="11900" w:h="16838" w:orient="portrait"/>
          <w:cols w:equalWidth="0" w:num="2">
            <w:col w:w="1380" w:space="200"/>
            <w:col w:w="8639"/>
          </w:cols>
          <w:pgMar w:left="240" w:top="244" w:right="1440" w:bottom="0" w:gutter="0" w:footer="0" w:header="0"/>
          <w:type w:val="continuous"/>
        </w:sectPr>
      </w:pP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Citizenship:</w:t>
      </w:r>
    </w:p>
    <w:p>
      <w:pPr>
        <w:spacing w:after="0" w:line="200" w:lineRule="exact"/>
        <w:rPr>
          <w:sz w:val="24"/>
          <w:szCs w:val="24"/>
          <w:color w:val="auto"/>
        </w:rPr>
      </w:pPr>
    </w:p>
    <w:p>
      <w:pPr>
        <w:sectPr>
          <w:pgSz w:w="11900" w:h="16838" w:orient="portrait"/>
          <w:cols w:equalWidth="0" w:num="2">
            <w:col w:w="1060" w:space="640"/>
            <w:col w:w="8519"/>
          </w:cols>
          <w:pgMar w:left="240" w:top="244"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G4705A100</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0"/>
          <w:szCs w:val="20"/>
          <w:color w:val="auto"/>
        </w:rPr>
      </w:pPr>
    </w:p>
    <w:p>
      <w:pPr>
        <w:ind w:right="3779"/>
        <w:spacing w:after="0" w:line="236" w:lineRule="auto"/>
        <w:rPr>
          <w:sz w:val="20"/>
          <w:szCs w:val="20"/>
          <w:color w:val="auto"/>
        </w:rPr>
      </w:pPr>
      <w:r>
        <w:rPr>
          <w:rFonts w:ascii="Courier New" w:cs="Courier New" w:eastAsia="Courier New" w:hAnsi="Courier New"/>
          <w:sz w:val="18"/>
          <w:szCs w:val="18"/>
          <w:color w:val="auto"/>
        </w:rPr>
        <w:t>and the person filing, FMR Corp., is a parent holding company in accordance with Section 240.13d-1(b)(ii)(G). (Note: See Item 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1,760,577</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13.000%</w:t>
            </w:r>
          </w:p>
        </w:tc>
        <w:tc>
          <w:tcPr>
            <w:tcW w:w="100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341,571</w:t>
      </w:r>
    </w:p>
    <w:p>
      <w:pPr>
        <w:spacing w:after="0" w:line="200" w:lineRule="exact"/>
        <w:rPr>
          <w:sz w:val="20"/>
          <w:szCs w:val="20"/>
          <w:color w:val="auto"/>
        </w:rPr>
      </w:pPr>
    </w:p>
    <w:p>
      <w:pPr>
        <w:sectPr>
          <w:pgSz w:w="11900" w:h="16838" w:orient="portrait"/>
          <w:cols w:equalWidth="0" w:num="2">
            <w:col w:w="1160" w:space="540"/>
            <w:col w:w="8519"/>
          </w:cols>
          <w:pgMar w:left="240" w:top="136"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1,760,577</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ICON PLC. No one person's interest in the Common Stock of ICON PLC is more than five percent of the total outstanding Common Stock.</w:t>
      </w:r>
    </w:p>
    <w:p>
      <w:pPr>
        <w:spacing w:after="0" w:line="209"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 and C.</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Schedule 13G in connection with FMR Corp.'s beneficial ownership of</w:t>
      </w:r>
    </w:p>
    <w:p>
      <w:pPr>
        <w:spacing w:after="0" w:line="1" w:lineRule="exact"/>
        <w:rPr>
          <w:sz w:val="20"/>
          <w:szCs w:val="20"/>
          <w:color w:val="auto"/>
        </w:rPr>
      </w:pPr>
    </w:p>
    <w:p>
      <w:pPr>
        <w:ind w:right="4739"/>
        <w:spacing w:after="0" w:line="235" w:lineRule="auto"/>
        <w:rPr>
          <w:sz w:val="20"/>
          <w:szCs w:val="20"/>
          <w:color w:val="auto"/>
        </w:rPr>
      </w:pPr>
      <w:r>
        <w:rPr>
          <w:rFonts w:ascii="Courier New" w:cs="Courier New" w:eastAsia="Courier New" w:hAnsi="Courier New"/>
          <w:sz w:val="18"/>
          <w:szCs w:val="18"/>
          <w:color w:val="auto"/>
        </w:rPr>
        <w:t>the Common Stock of ICON PLC at December 31, 2003 is true, complete and correct.</w:t>
      </w:r>
    </w:p>
    <w:p>
      <w:pPr>
        <w:sectPr>
          <w:pgSz w:w="11900" w:h="16838" w:orient="portrait"/>
          <w:cols w:equalWidth="0" w:num="1">
            <w:col w:w="10219"/>
          </w:cols>
          <w:pgMar w:left="240" w:top="136"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January 12, 2004</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Eric D. Roiter</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rPr>
          <w:sz w:val="20"/>
          <w:szCs w:val="20"/>
          <w:color w:val="auto"/>
        </w:rPr>
      </w:pPr>
      <w:r>
        <w:rPr>
          <w:rFonts w:ascii="Courier New" w:cs="Courier New" w:eastAsia="Courier New" w:hAnsi="Courier New"/>
          <w:sz w:val="18"/>
          <w:szCs w:val="18"/>
          <w:color w:val="auto"/>
        </w:rPr>
        <w:t>dated December 30, 1997 by and on behalf</w:t>
      </w:r>
    </w:p>
    <w:p>
      <w:pPr>
        <w:spacing w:after="0" w:line="237" w:lineRule="auto"/>
        <w:rPr>
          <w:sz w:val="20"/>
          <w:szCs w:val="20"/>
          <w:color w:val="auto"/>
        </w:rPr>
      </w:pPr>
      <w:r>
        <w:rPr>
          <w:rFonts w:ascii="Courier New" w:cs="Courier New" w:eastAsia="Courier New" w:hAnsi="Courier New"/>
          <w:sz w:val="18"/>
          <w:szCs w:val="18"/>
          <w:color w:val="auto"/>
        </w:rPr>
        <w:t>of FMR Corp. and its direct and indirect</w:t>
      </w:r>
    </w:p>
    <w:p>
      <w:pPr>
        <w:spacing w:after="0" w:line="238" w:lineRule="auto"/>
        <w:rPr>
          <w:sz w:val="20"/>
          <w:szCs w:val="20"/>
          <w:color w:val="auto"/>
        </w:rPr>
      </w:pPr>
      <w:r>
        <w:rPr>
          <w:rFonts w:ascii="Courier New" w:cs="Courier New" w:eastAsia="Courier New" w:hAnsi="Courier New"/>
          <w:sz w:val="18"/>
          <w:szCs w:val="18"/>
          <w:color w:val="auto"/>
        </w:rPr>
        <w:t>subsidiaries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Pursuant to the instructions in Item 7 of Schedule</w:t>
      </w:r>
    </w:p>
    <w:p>
      <w:pPr>
        <w:spacing w:after="0" w:line="238" w:lineRule="auto"/>
        <w:rPr>
          <w:sz w:val="20"/>
          <w:szCs w:val="20"/>
          <w:color w:val="auto"/>
        </w:rPr>
      </w:pPr>
      <w:r>
        <w:rPr>
          <w:rFonts w:ascii="Courier New" w:cs="Courier New" w:eastAsia="Courier New" w:hAnsi="Courier New"/>
          <w:sz w:val="18"/>
          <w:szCs w:val="18"/>
          <w:color w:val="auto"/>
        </w:rPr>
        <w:t>13G, Fidelity Management &amp; Research Company</w:t>
      </w:r>
    </w:p>
    <w:p>
      <w:pPr>
        <w:spacing w:after="0"/>
        <w:rPr>
          <w:sz w:val="20"/>
          <w:szCs w:val="20"/>
          <w:color w:val="auto"/>
        </w:rPr>
      </w:pPr>
      <w:r>
        <w:rPr>
          <w:rFonts w:ascii="Courier New" w:cs="Courier New" w:eastAsia="Courier New" w:hAnsi="Courier New"/>
          <w:sz w:val="18"/>
          <w:szCs w:val="18"/>
          <w:color w:val="auto"/>
        </w:rPr>
        <w:t>("Fidelity"), 82 Devonshire Street, Boston, Massachusetts</w:t>
      </w:r>
    </w:p>
    <w:p>
      <w:pPr>
        <w:spacing w:after="0" w:line="237" w:lineRule="auto"/>
        <w:rPr>
          <w:sz w:val="20"/>
          <w:szCs w:val="20"/>
          <w:color w:val="auto"/>
        </w:rPr>
      </w:pPr>
      <w:r>
        <w:rPr>
          <w:rFonts w:ascii="Courier New" w:cs="Courier New" w:eastAsia="Courier New" w:hAnsi="Courier New"/>
          <w:sz w:val="18"/>
          <w:szCs w:val="18"/>
          <w:color w:val="auto"/>
        </w:rPr>
        <w:t>02109, a wholly-owned subsidiary of FMR Corp. and an</w:t>
      </w:r>
    </w:p>
    <w:p>
      <w:pPr>
        <w:spacing w:after="0" w:line="238" w:lineRule="auto"/>
        <w:rPr>
          <w:sz w:val="20"/>
          <w:szCs w:val="20"/>
          <w:color w:val="auto"/>
        </w:rPr>
      </w:pPr>
      <w:r>
        <w:rPr>
          <w:rFonts w:ascii="Courier New" w:cs="Courier New" w:eastAsia="Courier New" w:hAnsi="Courier New"/>
          <w:sz w:val="18"/>
          <w:szCs w:val="18"/>
          <w:color w:val="auto"/>
        </w:rPr>
        <w:t>investment adviser registered under Section 203 of the</w:t>
      </w:r>
    </w:p>
    <w:p>
      <w:pPr>
        <w:spacing w:after="0"/>
        <w:rPr>
          <w:sz w:val="20"/>
          <w:szCs w:val="20"/>
          <w:color w:val="auto"/>
        </w:rPr>
      </w:pPr>
      <w:r>
        <w:rPr>
          <w:rFonts w:ascii="Courier New" w:cs="Courier New" w:eastAsia="Courier New" w:hAnsi="Courier New"/>
          <w:sz w:val="18"/>
          <w:szCs w:val="18"/>
          <w:color w:val="auto"/>
        </w:rPr>
        <w:t>Investment Advisers Act of 1940, is the beneficial owner of</w:t>
      </w:r>
    </w:p>
    <w:p>
      <w:pPr>
        <w:spacing w:after="0" w:line="237" w:lineRule="auto"/>
        <w:rPr>
          <w:sz w:val="20"/>
          <w:szCs w:val="20"/>
          <w:color w:val="auto"/>
        </w:rPr>
      </w:pPr>
      <w:r>
        <w:rPr>
          <w:rFonts w:ascii="Courier New" w:cs="Courier New" w:eastAsia="Courier New" w:hAnsi="Courier New"/>
          <w:sz w:val="18"/>
          <w:szCs w:val="18"/>
          <w:color w:val="auto"/>
        </w:rPr>
        <w:t>1,419,006 shares or 10.477% of the Common Stock</w:t>
      </w:r>
    </w:p>
    <w:p>
      <w:pPr>
        <w:spacing w:after="0"/>
        <w:tabs>
          <w:tab w:leader="none" w:pos="2620" w:val="left"/>
        </w:tabs>
        <w:rPr>
          <w:sz w:val="20"/>
          <w:szCs w:val="20"/>
          <w:color w:val="auto"/>
        </w:rPr>
      </w:pPr>
      <w:r>
        <w:rPr>
          <w:rFonts w:ascii="Courier New" w:cs="Courier New" w:eastAsia="Courier New" w:hAnsi="Courier New"/>
          <w:sz w:val="18"/>
          <w:szCs w:val="18"/>
          <w:color w:val="auto"/>
        </w:rPr>
        <w:t>outstanding of ICON PLC</w:t>
      </w:r>
      <w:r>
        <w:rPr>
          <w:sz w:val="20"/>
          <w:szCs w:val="20"/>
          <w:color w:val="auto"/>
        </w:rPr>
        <w:tab/>
      </w:r>
      <w:r>
        <w:rPr>
          <w:rFonts w:ascii="Courier New" w:cs="Courier New" w:eastAsia="Courier New" w:hAnsi="Courier New"/>
          <w:sz w:val="16"/>
          <w:szCs w:val="16"/>
          <w:color w:val="auto"/>
        </w:rPr>
        <w:t>("the Company") as a result of</w:t>
      </w:r>
    </w:p>
    <w:p>
      <w:pPr>
        <w:spacing w:after="0" w:line="237" w:lineRule="auto"/>
        <w:rPr>
          <w:sz w:val="20"/>
          <w:szCs w:val="20"/>
          <w:color w:val="auto"/>
        </w:rPr>
      </w:pPr>
      <w:r>
        <w:rPr>
          <w:rFonts w:ascii="Courier New" w:cs="Courier New" w:eastAsia="Courier New" w:hAnsi="Courier New"/>
          <w:sz w:val="18"/>
          <w:szCs w:val="18"/>
          <w:color w:val="auto"/>
        </w:rPr>
        <w:t>acting as investment adviser to various investment companies</w:t>
      </w:r>
    </w:p>
    <w:p>
      <w:pPr>
        <w:spacing w:after="0"/>
        <w:rPr>
          <w:sz w:val="20"/>
          <w:szCs w:val="20"/>
          <w:color w:val="auto"/>
        </w:rPr>
      </w:pPr>
      <w:r>
        <w:rPr>
          <w:rFonts w:ascii="Courier New" w:cs="Courier New" w:eastAsia="Courier New" w:hAnsi="Courier New"/>
          <w:sz w:val="18"/>
          <w:szCs w:val="18"/>
          <w:color w:val="auto"/>
        </w:rPr>
        <w:t>registered under Section 8 of the Investment Company Act of</w:t>
      </w:r>
    </w:p>
    <w:p>
      <w:pPr>
        <w:spacing w:after="0" w:line="237" w:lineRule="auto"/>
        <w:rPr>
          <w:sz w:val="20"/>
          <w:szCs w:val="20"/>
          <w:color w:val="auto"/>
        </w:rPr>
      </w:pPr>
      <w:r>
        <w:rPr>
          <w:rFonts w:ascii="Courier New" w:cs="Courier New" w:eastAsia="Courier New" w:hAnsi="Courier New"/>
          <w:sz w:val="18"/>
          <w:szCs w:val="18"/>
          <w:color w:val="auto"/>
        </w:rPr>
        <w:t>1940.</w:t>
      </w:r>
    </w:p>
    <w:p>
      <w:pPr>
        <w:spacing w:after="0" w:line="207"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1,419,006 shares owned by the Funds.</w:t>
      </w:r>
    </w:p>
    <w:p>
      <w:pPr>
        <w:spacing w:after="0" w:line="209"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10" w:lineRule="exact"/>
        <w:rPr>
          <w:sz w:val="20"/>
          <w:szCs w:val="20"/>
          <w:color w:val="auto"/>
        </w:rPr>
      </w:pPr>
    </w:p>
    <w:p>
      <w:pPr>
        <w:ind w:right="4099" w:firstLine="843"/>
        <w:spacing w:after="0" w:line="238" w:lineRule="auto"/>
        <w:rPr>
          <w:sz w:val="20"/>
          <w:szCs w:val="20"/>
          <w:color w:val="auto"/>
        </w:rPr>
      </w:pPr>
      <w:r>
        <w:rPr>
          <w:rFonts w:ascii="Courier New" w:cs="Courier New" w:eastAsia="Courier New" w:hAnsi="Courier New"/>
          <w:sz w:val="18"/>
          <w:szCs w:val="18"/>
          <w:color w:val="auto"/>
        </w:rPr>
        <w:t>Members of the Edward C. Johnson 3d family are the 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8" w:lineRule="exact"/>
        <w:rPr>
          <w:sz w:val="20"/>
          <w:szCs w:val="20"/>
          <w:color w:val="auto"/>
        </w:rPr>
      </w:pPr>
    </w:p>
    <w:p>
      <w:pPr>
        <w:ind w:right="3999" w:firstLine="843"/>
        <w:spacing w:after="0" w:line="237" w:lineRule="auto"/>
        <w:rPr>
          <w:sz w:val="20"/>
          <w:szCs w:val="20"/>
          <w:color w:val="auto"/>
        </w:rPr>
      </w:pPr>
      <w:r>
        <w:rPr>
          <w:rFonts w:ascii="Courier New" w:cs="Courier New" w:eastAsia="Courier New" w:hAnsi="Courier New"/>
          <w:sz w:val="18"/>
          <w:szCs w:val="18"/>
          <w:color w:val="auto"/>
        </w:rPr>
        <w:t>Fidelity International Limited, Pembroke Hall, 42 Crowlane, Hamilton, Bermuda, and various foreign-based subsidiaries provide investment advisory and management services to a number of non-U.S. investment companies (the "International Funds") and certain institutional investors. Fidelity International Limited is the beneficial owner of 341,571 shares or 2.522% of the Common Stock outstanding of the Company. Additional information with respect to the beneficial ownership of Fidelity International Limited is shown on Exhibit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6" w:lineRule="exact"/>
        <w:rPr>
          <w:sz w:val="20"/>
          <w:szCs w:val="20"/>
          <w:color w:val="auto"/>
        </w:rPr>
      </w:pPr>
    </w:p>
    <w:p>
      <w:pPr>
        <w:ind w:right="3459" w:firstLine="843"/>
        <w:spacing w:after="0" w:line="279" w:lineRule="auto"/>
        <w:rPr>
          <w:sz w:val="20"/>
          <w:szCs w:val="20"/>
          <w:color w:val="auto"/>
        </w:rPr>
      </w:pPr>
      <w:r>
        <w:rPr>
          <w:rFonts w:ascii="Courier New" w:cs="Courier New" w:eastAsia="Courier New" w:hAnsi="Courier New"/>
          <w:sz w:val="16"/>
          <w:szCs w:val="16"/>
          <w:color w:val="auto"/>
        </w:rPr>
        <w:t>Pursuant to instructions in Item 7 of Schedule 13G, this Exhibit has been prepared to identify Fidelity International Limited, Pembroke Hall, 42 Crow Lane, Hamilton, Bermuda,</w:t>
      </w:r>
    </w:p>
    <w:p>
      <w:pPr>
        <w:sectPr>
          <w:pgSz w:w="11900" w:h="16838" w:orient="portrait"/>
          <w:cols w:equalWidth="0" w:num="1">
            <w:col w:w="10219"/>
          </w:cols>
          <w:pgMar w:left="240" w:top="339" w:right="1440" w:bottom="0" w:gutter="0" w:footer="0" w:header="0"/>
        </w:sectPr>
      </w:pPr>
    </w:p>
    <w:bookmarkStart w:id="3" w:name="page4"/>
    <w:bookmarkEnd w:id="3"/>
    <w:p>
      <w:pPr>
        <w:ind w:right="3579"/>
        <w:spacing w:after="0" w:line="237" w:lineRule="auto"/>
        <w:rPr>
          <w:sz w:val="20"/>
          <w:szCs w:val="20"/>
          <w:color w:val="auto"/>
        </w:rPr>
      </w:pPr>
      <w:r>
        <w:rPr>
          <w:rFonts w:ascii="Courier New" w:cs="Courier New" w:eastAsia="Courier New" w:hAnsi="Courier New"/>
          <w:sz w:val="18"/>
          <w:szCs w:val="18"/>
          <w:color w:val="auto"/>
        </w:rPr>
        <w:t>a Bermudan joint stock company incorporated for an unlimited duration by private act of the Bermuda Legislature (FIL) and an investment adviser to various investment companies (the "International Funds") and certain institutional investors, as a beneficial owner of the 341,571 shares or 2.522% of the Common Stock outstanding of ICON PLC.</w:t>
      </w:r>
    </w:p>
    <w:p>
      <w:pPr>
        <w:spacing w:after="0" w:line="210"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Prior to June 30, 1980, FIL was a majority-owned subsidiary of Fidelity Management &amp; Research Company (Fidelity), a wholly-owned subsidiary of FMR Corp. On that date, the shares of FIL held by Fidelity were distributed, as a dividend, to the shareholders of FMR Corp. FIL currently operates as an entity independent of FMR Corp. and Fidelity. The International Funds and FIL's other clients, with the exception of Fidelity and an affiliated company of Fidelity, are non-U.S. entities.</w:t>
      </w:r>
    </w:p>
    <w:p>
      <w:pPr>
        <w:spacing w:after="0" w:line="214" w:lineRule="exact"/>
        <w:rPr>
          <w:sz w:val="20"/>
          <w:szCs w:val="20"/>
          <w:color w:val="auto"/>
        </w:rPr>
      </w:pPr>
    </w:p>
    <w:p>
      <w:pPr>
        <w:ind w:right="3899" w:firstLine="843"/>
        <w:spacing w:after="0" w:line="268" w:lineRule="auto"/>
        <w:rPr>
          <w:sz w:val="20"/>
          <w:szCs w:val="20"/>
          <w:color w:val="auto"/>
        </w:rPr>
      </w:pPr>
      <w:r>
        <w:rPr>
          <w:rFonts w:ascii="Courier New" w:cs="Courier New" w:eastAsia="Courier New" w:hAnsi="Courier New"/>
          <w:sz w:val="16"/>
          <w:szCs w:val="16"/>
          <w:color w:val="auto"/>
        </w:rPr>
        <w:t>A partnership controlled by Edward C. Johnson 3d and members of his family owns shares of FIL voting stock with</w:t>
      </w:r>
    </w:p>
    <w:p>
      <w:pPr>
        <w:ind w:right="3579"/>
        <w:spacing w:after="0" w:line="268" w:lineRule="auto"/>
        <w:rPr>
          <w:sz w:val="20"/>
          <w:szCs w:val="20"/>
          <w:color w:val="auto"/>
        </w:rPr>
      </w:pPr>
      <w:r>
        <w:rPr>
          <w:rFonts w:ascii="Courier New" w:cs="Courier New" w:eastAsia="Courier New" w:hAnsi="Courier New"/>
          <w:sz w:val="16"/>
          <w:szCs w:val="16"/>
          <w:color w:val="auto"/>
        </w:rPr>
        <w:t>the right to cast approximately 39.89% of the total votes which may be cast by all holders of FIL voting stock. Mr. Johnson 3d is Chairman of FMR Corp. and FIL. FMR Corp. and FIL</w:t>
      </w:r>
    </w:p>
    <w:p>
      <w:pPr>
        <w:spacing w:after="0" w:line="1" w:lineRule="exact"/>
        <w:rPr>
          <w:sz w:val="20"/>
          <w:szCs w:val="20"/>
          <w:color w:val="auto"/>
        </w:rPr>
      </w:pPr>
    </w:p>
    <w:p>
      <w:pPr>
        <w:ind w:right="3779"/>
        <w:spacing w:after="0" w:line="273" w:lineRule="auto"/>
        <w:rPr>
          <w:sz w:val="20"/>
          <w:szCs w:val="20"/>
          <w:color w:val="auto"/>
        </w:rPr>
      </w:pPr>
      <w:r>
        <w:rPr>
          <w:rFonts w:ascii="Courier New" w:cs="Courier New" w:eastAsia="Courier New" w:hAnsi="Courier New"/>
          <w:sz w:val="16"/>
          <w:szCs w:val="16"/>
          <w:color w:val="auto"/>
        </w:rPr>
        <w:t>are separate and independent corporate entities, and their Boards of Directors are generally composed of different individuals. Other than when one serves as a sub adviser to the other, their investment decisions are made independently, and their clients are generally different organizations.</w:t>
      </w:r>
    </w:p>
    <w:p>
      <w:pPr>
        <w:spacing w:after="0" w:line="17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 and FIL are of the view that they are not</w:t>
      </w:r>
    </w:p>
    <w:p>
      <w:pPr>
        <w:spacing w:after="0" w:line="238" w:lineRule="auto"/>
        <w:rPr>
          <w:sz w:val="20"/>
          <w:szCs w:val="20"/>
          <w:color w:val="auto"/>
        </w:rPr>
      </w:pPr>
      <w:r>
        <w:rPr>
          <w:rFonts w:ascii="Courier New" w:cs="Courier New" w:eastAsia="Courier New" w:hAnsi="Courier New"/>
          <w:sz w:val="18"/>
          <w:szCs w:val="18"/>
          <w:color w:val="auto"/>
        </w:rPr>
        <w:t>acting as a "group" for purposes of Section 13(d) under the</w:t>
      </w:r>
    </w:p>
    <w:p>
      <w:pPr>
        <w:spacing w:after="0"/>
        <w:rPr>
          <w:sz w:val="20"/>
          <w:szCs w:val="20"/>
          <w:color w:val="auto"/>
        </w:rPr>
      </w:pPr>
      <w:r>
        <w:rPr>
          <w:rFonts w:ascii="Courier New" w:cs="Courier New" w:eastAsia="Courier New" w:hAnsi="Courier New"/>
          <w:sz w:val="18"/>
          <w:szCs w:val="18"/>
          <w:color w:val="auto"/>
        </w:rPr>
        <w:t>Securities Exchange Act of 1934 (the "1934" Act) and that</w:t>
      </w:r>
    </w:p>
    <w:p>
      <w:pPr>
        <w:spacing w:after="0" w:line="237" w:lineRule="auto"/>
        <w:rPr>
          <w:sz w:val="20"/>
          <w:szCs w:val="20"/>
          <w:color w:val="auto"/>
        </w:rPr>
      </w:pPr>
      <w:r>
        <w:rPr>
          <w:rFonts w:ascii="Courier New" w:cs="Courier New" w:eastAsia="Courier New" w:hAnsi="Courier New"/>
          <w:sz w:val="18"/>
          <w:szCs w:val="18"/>
          <w:color w:val="auto"/>
        </w:rPr>
        <w:t>they are not otherwise required to attribute to each other the</w:t>
      </w:r>
    </w:p>
    <w:p>
      <w:pPr>
        <w:spacing w:after="0" w:line="238" w:lineRule="auto"/>
        <w:rPr>
          <w:sz w:val="20"/>
          <w:szCs w:val="20"/>
          <w:color w:val="auto"/>
        </w:rPr>
      </w:pPr>
      <w:r>
        <w:rPr>
          <w:rFonts w:ascii="Courier New" w:cs="Courier New" w:eastAsia="Courier New" w:hAnsi="Courier New"/>
          <w:sz w:val="18"/>
          <w:szCs w:val="18"/>
          <w:color w:val="auto"/>
        </w:rPr>
        <w:t>"beneficial ownership" of securities "beneficially owned" by</w:t>
      </w:r>
    </w:p>
    <w:p>
      <w:pPr>
        <w:spacing w:after="0"/>
        <w:rPr>
          <w:sz w:val="20"/>
          <w:szCs w:val="20"/>
          <w:color w:val="auto"/>
        </w:rPr>
      </w:pPr>
      <w:r>
        <w:rPr>
          <w:rFonts w:ascii="Courier New" w:cs="Courier New" w:eastAsia="Courier New" w:hAnsi="Courier New"/>
          <w:sz w:val="18"/>
          <w:szCs w:val="18"/>
          <w:color w:val="auto"/>
        </w:rPr>
        <w:t>the other corporation within the meaning of Rule 13d-3</w:t>
      </w:r>
    </w:p>
    <w:p>
      <w:pPr>
        <w:spacing w:after="0"/>
        <w:tabs>
          <w:tab w:leader="none" w:pos="3460" w:val="left"/>
        </w:tabs>
        <w:rPr>
          <w:sz w:val="20"/>
          <w:szCs w:val="20"/>
          <w:color w:val="auto"/>
        </w:rPr>
      </w:pPr>
      <w:r>
        <w:rPr>
          <w:rFonts w:ascii="Courier New" w:cs="Courier New" w:eastAsia="Courier New" w:hAnsi="Courier New"/>
          <w:sz w:val="18"/>
          <w:szCs w:val="18"/>
          <w:color w:val="auto"/>
        </w:rPr>
        <w:t>promulgated under the 1934 Act.</w:t>
      </w:r>
      <w:r>
        <w:rPr>
          <w:sz w:val="20"/>
          <w:szCs w:val="20"/>
          <w:color w:val="auto"/>
        </w:rPr>
        <w:tab/>
      </w:r>
      <w:r>
        <w:rPr>
          <w:rFonts w:ascii="Courier New" w:cs="Courier New" w:eastAsia="Courier New" w:hAnsi="Courier New"/>
          <w:sz w:val="16"/>
          <w:szCs w:val="16"/>
          <w:color w:val="auto"/>
        </w:rPr>
        <w:t>Therefore, they are of the</w:t>
      </w:r>
    </w:p>
    <w:p>
      <w:pPr>
        <w:spacing w:after="0"/>
        <w:rPr>
          <w:sz w:val="20"/>
          <w:szCs w:val="20"/>
          <w:color w:val="auto"/>
        </w:rPr>
      </w:pPr>
      <w:r>
        <w:rPr>
          <w:rFonts w:ascii="Courier New" w:cs="Courier New" w:eastAsia="Courier New" w:hAnsi="Courier New"/>
          <w:sz w:val="18"/>
          <w:szCs w:val="18"/>
          <w:color w:val="auto"/>
        </w:rPr>
        <w:t>view that the shares held by the other corporation need not be</w:t>
      </w:r>
    </w:p>
    <w:p>
      <w:pPr>
        <w:spacing w:after="0" w:line="237" w:lineRule="auto"/>
        <w:rPr>
          <w:sz w:val="20"/>
          <w:szCs w:val="20"/>
          <w:color w:val="auto"/>
        </w:rPr>
      </w:pPr>
      <w:r>
        <w:rPr>
          <w:rFonts w:ascii="Courier New" w:cs="Courier New" w:eastAsia="Courier New" w:hAnsi="Courier New"/>
          <w:sz w:val="18"/>
          <w:szCs w:val="18"/>
          <w:color w:val="auto"/>
        </w:rPr>
        <w:t>aggregated for purposes of Section 13(d). However, FMR</w:t>
      </w:r>
    </w:p>
    <w:p>
      <w:pPr>
        <w:spacing w:after="0" w:line="5"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Corp. is making this filing on a voluntary basis as if all of the shares are beneficially owned by FMR Corp. and FIL on a joint basis.</w:t>
      </w:r>
    </w:p>
    <w:p>
      <w:pPr>
        <w:spacing w:after="0" w:line="209"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FIL may continue to have the International Funds or other accounts purchase shares subject to a number of factors, including, among others, the availability of shares for sale at what FIL considers to be reasonable prices and other investment opportunities that may be available to the International Funds.</w:t>
      </w:r>
    </w:p>
    <w:p>
      <w:pPr>
        <w:spacing w:after="0" w:line="210" w:lineRule="exact"/>
        <w:rPr>
          <w:sz w:val="20"/>
          <w:szCs w:val="20"/>
          <w:color w:val="auto"/>
        </w:rPr>
      </w:pPr>
    </w:p>
    <w:p>
      <w:pPr>
        <w:ind w:right="3679" w:firstLine="843"/>
        <w:spacing w:after="0" w:line="268" w:lineRule="auto"/>
        <w:rPr>
          <w:sz w:val="20"/>
          <w:szCs w:val="20"/>
          <w:color w:val="auto"/>
        </w:rPr>
      </w:pPr>
      <w:r>
        <w:rPr>
          <w:rFonts w:ascii="Courier New" w:cs="Courier New" w:eastAsia="Courier New" w:hAnsi="Courier New"/>
          <w:sz w:val="16"/>
          <w:szCs w:val="16"/>
          <w:color w:val="auto"/>
        </w:rPr>
        <w:t>FIL intends to review continuously the equity position of the International Funds and other accounts in the Company. Depending upon its future evaluations of the business and prospects of the Company and upon other developments, including, but not limited to, general economic and business conditions and money market and stock market conditions,</w:t>
      </w:r>
    </w:p>
    <w:p>
      <w:pPr>
        <w:spacing w:after="0" w:line="1"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FIL may determine to cease making additional purchases of shares or to increase or decrease the equity interest in the Company by acquiring additional shares, or by disposing of all or a portion of the shares.</w:t>
      </w:r>
    </w:p>
    <w:p>
      <w:pPr>
        <w:spacing w:after="0" w:line="207" w:lineRule="exact"/>
        <w:rPr>
          <w:sz w:val="20"/>
          <w:szCs w:val="20"/>
          <w:color w:val="auto"/>
        </w:rPr>
      </w:pPr>
    </w:p>
    <w:p>
      <w:pPr>
        <w:ind w:right="3679" w:firstLine="843"/>
        <w:spacing w:after="0" w:line="268" w:lineRule="auto"/>
        <w:rPr>
          <w:sz w:val="20"/>
          <w:szCs w:val="20"/>
          <w:color w:val="auto"/>
        </w:rPr>
      </w:pPr>
      <w:r>
        <w:rPr>
          <w:rFonts w:ascii="Courier New" w:cs="Courier New" w:eastAsia="Courier New" w:hAnsi="Courier New"/>
          <w:sz w:val="16"/>
          <w:szCs w:val="16"/>
          <w:color w:val="auto"/>
        </w:rPr>
        <w:t>FIL does not have a present plan or proposal which relates to or would result in (i) an extraordinary corporate transaction, such as a merger, reorganization, liquidation, or sale or transfer of a material amount of assets involving the Company or any of its subsidiaries, (ii) any change in the Company's present Board of Directors or management, (iii)</w:t>
      </w:r>
    </w:p>
    <w:p>
      <w:pPr>
        <w:spacing w:after="0" w:line="1" w:lineRule="exact"/>
        <w:rPr>
          <w:sz w:val="20"/>
          <w:szCs w:val="20"/>
          <w:color w:val="auto"/>
        </w:rPr>
      </w:pPr>
    </w:p>
    <w:p>
      <w:pPr>
        <w:ind w:right="3779"/>
        <w:spacing w:after="0" w:line="272" w:lineRule="auto"/>
        <w:rPr>
          <w:sz w:val="20"/>
          <w:szCs w:val="20"/>
          <w:color w:val="auto"/>
        </w:rPr>
      </w:pPr>
      <w:r>
        <w:rPr>
          <w:rFonts w:ascii="Courier New" w:cs="Courier New" w:eastAsia="Courier New" w:hAnsi="Courier New"/>
          <w:sz w:val="16"/>
          <w:szCs w:val="16"/>
          <w:color w:val="auto"/>
        </w:rPr>
        <w:t>any material changes in the Company's present capitalization or dividend policy or any other material change in the Company's business or corporate structure, (iv) any change in the Company's charter or by-laws, or (v) the Company's common stock becoming eligible for termination of its registration pursuant to Section 12(g)(4) of the 1934 Act.</w:t>
      </w:r>
    </w:p>
    <w:p>
      <w:pPr>
        <w:spacing w:after="0" w:line="186" w:lineRule="exact"/>
        <w:rPr>
          <w:sz w:val="20"/>
          <w:szCs w:val="20"/>
          <w:color w:val="auto"/>
        </w:rPr>
      </w:pPr>
    </w:p>
    <w:p>
      <w:pPr>
        <w:ind w:right="4199" w:firstLine="843"/>
        <w:spacing w:after="0" w:line="235" w:lineRule="auto"/>
        <w:rPr>
          <w:sz w:val="20"/>
          <w:szCs w:val="20"/>
          <w:color w:val="auto"/>
        </w:rPr>
      </w:pPr>
      <w:r>
        <w:rPr>
          <w:rFonts w:ascii="Courier New" w:cs="Courier New" w:eastAsia="Courier New" w:hAnsi="Courier New"/>
          <w:sz w:val="18"/>
          <w:szCs w:val="18"/>
          <w:color w:val="auto"/>
        </w:rPr>
        <w:t>FIL has sole power to vote and the sole power to dispose of 341,571 shares.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ectPr>
          <w:pgSz w:w="11900" w:h="16838" w:orient="portrait"/>
          <w:cols w:equalWidth="0" w:num="1">
            <w:col w:w="10219"/>
          </w:cols>
          <w:pgMar w:left="240" w:top="142" w:right="1440" w:bottom="0" w:gutter="0" w:footer="0" w:header="0"/>
        </w:sectPr>
      </w:pPr>
    </w:p>
    <w:bookmarkStart w:id="4" w:name="page5"/>
    <w:bookmarkEnd w:id="4"/>
    <w:p>
      <w:pPr>
        <w:ind w:left="860"/>
        <w:spacing w:after="0"/>
        <w:rPr>
          <w:sz w:val="20"/>
          <w:szCs w:val="20"/>
          <w:color w:val="auto"/>
        </w:rPr>
      </w:pPr>
      <w:r>
        <w:rPr>
          <w:rFonts w:ascii="Courier New" w:cs="Courier New" w:eastAsia="Courier New" w:hAnsi="Courier New"/>
          <w:sz w:val="18"/>
          <w:szCs w:val="18"/>
          <w:color w:val="auto"/>
        </w:rPr>
        <w:t>The undersigned persons, on January 12, 2004, agree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consent to the joint filing on their behalf of this Schedule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13G in connection with their beneficial ownership of the</w:t>
      </w:r>
    </w:p>
    <w:p>
      <w:pPr>
        <w:spacing w:after="0" w:line="238" w:lineRule="auto"/>
        <w:rPr>
          <w:sz w:val="20"/>
          <w:szCs w:val="20"/>
          <w:color w:val="auto"/>
        </w:rPr>
      </w:pPr>
      <w:r>
        <w:rPr>
          <w:rFonts w:ascii="Courier New" w:cs="Courier New" w:eastAsia="Courier New" w:hAnsi="Courier New"/>
          <w:sz w:val="18"/>
          <w:szCs w:val="18"/>
          <w:color w:val="auto"/>
        </w:rPr>
        <w:t>Common Stock of ICON PLC at December 31, 2003.</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FMR Corp. and its direct and indirect</w:t>
      </w:r>
    </w:p>
    <w:p>
      <w:pPr>
        <w:ind w:left="860"/>
        <w:spacing w:after="0"/>
        <w:rPr>
          <w:sz w:val="20"/>
          <w:szCs w:val="20"/>
          <w:color w:val="auto"/>
        </w:rPr>
      </w:pPr>
      <w:r>
        <w:rPr>
          <w:rFonts w:ascii="Courier New" w:cs="Courier New" w:eastAsia="Courier New" w:hAnsi="Courier New"/>
          <w:sz w:val="18"/>
          <w:szCs w:val="18"/>
          <w:color w:val="auto"/>
        </w:rPr>
        <w:t>subsidiaries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Edward C. Johnson 3d</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Abigail P. Johnson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Senior V.P. and General Counsel</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2019-12-12T01:14:41Z</dcterms:created>
  <dcterms:modified xsi:type="dcterms:W3CDTF">2019-12-12T01:14:41Z</dcterms:modified>
</cp:coreProperties>
</file>