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04"/>
        </w:trPr>
        <w:tc>
          <w:tcPr>
            <w:tcW w:w="4960" w:type="dxa"/>
            <w:vAlign w:val="bottom"/>
            <w:gridSpan w:val="2"/>
          </w:tcPr>
          <w:p>
            <w:pPr>
              <w:spacing w:after="0"/>
              <w:rPr>
                <w:sz w:val="20"/>
                <w:szCs w:val="20"/>
                <w:color w:val="auto"/>
              </w:rPr>
            </w:pPr>
            <w:r>
              <w:rPr>
                <w:rFonts w:ascii="Courier New" w:cs="Courier New" w:eastAsia="Courier New" w:hAnsi="Courier New"/>
                <w:sz w:val="18"/>
                <w:szCs w:val="18"/>
                <w:color w:val="auto"/>
              </w:rPr>
              <w:t>SCHEDULE 13G</w:t>
            </w:r>
          </w:p>
        </w:tc>
      </w:tr>
      <w:tr>
        <w:trPr>
          <w:trHeight w:val="405"/>
        </w:trPr>
        <w:tc>
          <w:tcPr>
            <w:tcW w:w="4960" w:type="dxa"/>
            <w:vAlign w:val="bottom"/>
            <w:gridSpan w:val="2"/>
          </w:tcPr>
          <w:p>
            <w:pPr>
              <w:spacing w:after="0"/>
              <w:rPr>
                <w:sz w:val="20"/>
                <w:szCs w:val="20"/>
                <w:color w:val="auto"/>
              </w:rPr>
            </w:pPr>
            <w:r>
              <w:rPr>
                <w:rFonts w:ascii="Courier New" w:cs="Courier New" w:eastAsia="Courier New" w:hAnsi="Courier New"/>
                <w:sz w:val="18"/>
                <w:szCs w:val="18"/>
                <w:color w:val="auto"/>
              </w:rPr>
              <w:t>Amendment No. 0</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ICON PLC</w:t>
            </w:r>
          </w:p>
        </w:tc>
        <w:tc>
          <w:tcPr>
            <w:tcW w:w="4100" w:type="dxa"/>
            <w:vAlign w:val="bottom"/>
          </w:tcPr>
          <w:p>
            <w:pPr>
              <w:spacing w:after="0"/>
              <w:rPr>
                <w:sz w:val="17"/>
                <w:szCs w:val="17"/>
                <w:color w:val="auto"/>
              </w:rPr>
            </w:pPr>
          </w:p>
        </w:tc>
      </w:tr>
      <w:tr>
        <w:trPr>
          <w:trHeight w:val="203"/>
        </w:trPr>
        <w:tc>
          <w:tcPr>
            <w:tcW w:w="49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Common Stock</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Cusip #</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G4705A100</w:t>
            </w:r>
          </w:p>
        </w:tc>
      </w:tr>
      <w:tr>
        <w:trPr>
          <w:trHeight w:val="608"/>
        </w:trPr>
        <w:tc>
          <w:tcPr>
            <w:tcW w:w="860" w:type="dxa"/>
            <w:vAlign w:val="bottom"/>
          </w:tcPr>
          <w:p>
            <w:pPr>
              <w:spacing w:after="0"/>
              <w:rPr>
                <w:sz w:val="20"/>
                <w:szCs w:val="20"/>
                <w:color w:val="auto"/>
              </w:rPr>
            </w:pPr>
            <w:r>
              <w:rPr>
                <w:rFonts w:ascii="Courier New" w:cs="Courier New" w:eastAsia="Courier New" w:hAnsi="Courier New"/>
                <w:sz w:val="18"/>
                <w:szCs w:val="18"/>
                <w:color w:val="auto"/>
              </w:rPr>
              <w:t>Cusip #</w:t>
            </w:r>
          </w:p>
        </w:tc>
        <w:tc>
          <w:tcPr>
            <w:tcW w:w="4100" w:type="dxa"/>
            <w:vAlign w:val="bottom"/>
          </w:tcPr>
          <w:p>
            <w:pPr>
              <w:spacing w:after="0"/>
              <w:rPr>
                <w:sz w:val="20"/>
                <w:szCs w:val="20"/>
                <w:color w:val="auto"/>
              </w:rPr>
            </w:pPr>
            <w:r>
              <w:rPr>
                <w:rFonts w:ascii="Courier New" w:cs="Courier New" w:eastAsia="Courier New" w:hAnsi="Courier New"/>
                <w:sz w:val="18"/>
                <w:szCs w:val="18"/>
                <w:color w:val="auto"/>
              </w:rPr>
              <w:t>G4705A100</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Reporting Person - FMR Corp.</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4:</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Delaware</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5:</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341,571</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6:</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0</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7:</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1,760,577</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8:</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0</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9:</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1,760,577</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Item 11:</w:t>
            </w:r>
          </w:p>
        </w:tc>
        <w:tc>
          <w:tcPr>
            <w:tcW w:w="4100" w:type="dxa"/>
            <w:vAlign w:val="bottom"/>
          </w:tcPr>
          <w:p>
            <w:pPr>
              <w:ind w:left="840"/>
              <w:spacing w:after="0" w:line="203" w:lineRule="exact"/>
              <w:rPr>
                <w:sz w:val="20"/>
                <w:szCs w:val="20"/>
                <w:color w:val="auto"/>
              </w:rPr>
            </w:pPr>
            <w:r>
              <w:rPr>
                <w:rFonts w:ascii="Courier New" w:cs="Courier New" w:eastAsia="Courier New" w:hAnsi="Courier New"/>
                <w:sz w:val="18"/>
                <w:szCs w:val="18"/>
                <w:color w:val="auto"/>
              </w:rPr>
              <w:t>13.000%</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Item 12:</w:t>
            </w:r>
          </w:p>
        </w:tc>
        <w:tc>
          <w:tcPr>
            <w:tcW w:w="4100" w:type="dxa"/>
            <w:vAlign w:val="bottom"/>
          </w:tcPr>
          <w:p>
            <w:pPr>
              <w:ind w:left="1260"/>
              <w:spacing w:after="0" w:line="203" w:lineRule="exact"/>
              <w:rPr>
                <w:sz w:val="20"/>
                <w:szCs w:val="20"/>
                <w:color w:val="auto"/>
              </w:rPr>
            </w:pPr>
            <w:r>
              <w:rPr>
                <w:rFonts w:ascii="Courier New" w:cs="Courier New" w:eastAsia="Courier New" w:hAnsi="Courier New"/>
                <w:sz w:val="18"/>
                <w:szCs w:val="18"/>
                <w:color w:val="auto"/>
              </w:rPr>
              <w:t>HC</w:t>
            </w:r>
          </w:p>
        </w:tc>
      </w:tr>
      <w:tr>
        <w:trPr>
          <w:trHeight w:val="608"/>
        </w:trPr>
        <w:tc>
          <w:tcPr>
            <w:tcW w:w="860" w:type="dxa"/>
            <w:vAlign w:val="bottom"/>
          </w:tcPr>
          <w:p>
            <w:pPr>
              <w:spacing w:after="0"/>
              <w:rPr>
                <w:sz w:val="20"/>
                <w:szCs w:val="20"/>
                <w:color w:val="auto"/>
              </w:rPr>
            </w:pPr>
            <w:r>
              <w:rPr>
                <w:rFonts w:ascii="Courier New" w:cs="Courier New" w:eastAsia="Courier New" w:hAnsi="Courier New"/>
                <w:sz w:val="18"/>
                <w:szCs w:val="18"/>
                <w:color w:val="auto"/>
              </w:rPr>
              <w:t>Cusip #</w:t>
            </w:r>
          </w:p>
        </w:tc>
        <w:tc>
          <w:tcPr>
            <w:tcW w:w="4100" w:type="dxa"/>
            <w:vAlign w:val="bottom"/>
          </w:tcPr>
          <w:p>
            <w:pPr>
              <w:spacing w:after="0"/>
              <w:rPr>
                <w:sz w:val="20"/>
                <w:szCs w:val="20"/>
                <w:color w:val="auto"/>
              </w:rPr>
            </w:pPr>
            <w:r>
              <w:rPr>
                <w:rFonts w:ascii="Courier New" w:cs="Courier New" w:eastAsia="Courier New" w:hAnsi="Courier New"/>
                <w:sz w:val="18"/>
                <w:szCs w:val="18"/>
                <w:color w:val="auto"/>
              </w:rPr>
              <w:t>G4705A100</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w w:val="96"/>
              </w:rPr>
              <w:t>Reporting Person - Edward C. Johnson 3d</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4:</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United States of America</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5:</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0</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6:</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0</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7:</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1,760,577</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8:</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0</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9:</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1,760,577</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Item 11:</w:t>
            </w:r>
          </w:p>
        </w:tc>
        <w:tc>
          <w:tcPr>
            <w:tcW w:w="4100" w:type="dxa"/>
            <w:vAlign w:val="bottom"/>
          </w:tcPr>
          <w:p>
            <w:pPr>
              <w:ind w:left="840"/>
              <w:spacing w:after="0" w:line="203" w:lineRule="exact"/>
              <w:rPr>
                <w:sz w:val="20"/>
                <w:szCs w:val="20"/>
                <w:color w:val="auto"/>
              </w:rPr>
            </w:pPr>
            <w:r>
              <w:rPr>
                <w:rFonts w:ascii="Courier New" w:cs="Courier New" w:eastAsia="Courier New" w:hAnsi="Courier New"/>
                <w:sz w:val="18"/>
                <w:szCs w:val="18"/>
                <w:color w:val="auto"/>
              </w:rPr>
              <w:t>13.000%</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Item 12:</w:t>
            </w:r>
          </w:p>
        </w:tc>
        <w:tc>
          <w:tcPr>
            <w:tcW w:w="4100" w:type="dxa"/>
            <w:vAlign w:val="bottom"/>
          </w:tcPr>
          <w:p>
            <w:pPr>
              <w:ind w:left="840"/>
              <w:spacing w:after="0" w:line="203" w:lineRule="exact"/>
              <w:rPr>
                <w:sz w:val="20"/>
                <w:szCs w:val="20"/>
                <w:color w:val="auto"/>
              </w:rPr>
            </w:pPr>
            <w:r>
              <w:rPr>
                <w:rFonts w:ascii="Courier New" w:cs="Courier New" w:eastAsia="Courier New" w:hAnsi="Courier New"/>
                <w:sz w:val="18"/>
                <w:szCs w:val="18"/>
                <w:color w:val="auto"/>
              </w:rPr>
              <w:t>IN</w:t>
            </w:r>
          </w:p>
        </w:tc>
      </w:tr>
      <w:tr>
        <w:trPr>
          <w:trHeight w:val="608"/>
        </w:trPr>
        <w:tc>
          <w:tcPr>
            <w:tcW w:w="860" w:type="dxa"/>
            <w:vAlign w:val="bottom"/>
          </w:tcPr>
          <w:p>
            <w:pPr>
              <w:spacing w:after="0"/>
              <w:rPr>
                <w:sz w:val="20"/>
                <w:szCs w:val="20"/>
                <w:color w:val="auto"/>
              </w:rPr>
            </w:pPr>
            <w:r>
              <w:rPr>
                <w:rFonts w:ascii="Courier New" w:cs="Courier New" w:eastAsia="Courier New" w:hAnsi="Courier New"/>
                <w:sz w:val="18"/>
                <w:szCs w:val="18"/>
                <w:color w:val="auto"/>
              </w:rPr>
              <w:t>Cusip #</w:t>
            </w:r>
          </w:p>
        </w:tc>
        <w:tc>
          <w:tcPr>
            <w:tcW w:w="4100" w:type="dxa"/>
            <w:vAlign w:val="bottom"/>
          </w:tcPr>
          <w:p>
            <w:pPr>
              <w:spacing w:after="0"/>
              <w:rPr>
                <w:sz w:val="20"/>
                <w:szCs w:val="20"/>
                <w:color w:val="auto"/>
              </w:rPr>
            </w:pPr>
            <w:r>
              <w:rPr>
                <w:rFonts w:ascii="Courier New" w:cs="Courier New" w:eastAsia="Courier New" w:hAnsi="Courier New"/>
                <w:sz w:val="18"/>
                <w:szCs w:val="18"/>
                <w:color w:val="auto"/>
              </w:rPr>
              <w:t>G4705A100</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Reporting Person - Abigail P. Johnson</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4:</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United States of America</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5:</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0</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6:</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0</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7:</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1,760,577</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8:</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0</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9:</w:t>
            </w:r>
          </w:p>
        </w:tc>
        <w:tc>
          <w:tcPr>
            <w:tcW w:w="4100" w:type="dxa"/>
            <w:vAlign w:val="bottom"/>
          </w:tcPr>
          <w:p>
            <w:pPr>
              <w:spacing w:after="0" w:line="203" w:lineRule="exact"/>
              <w:rPr>
                <w:sz w:val="20"/>
                <w:szCs w:val="20"/>
                <w:color w:val="auto"/>
              </w:rPr>
            </w:pPr>
            <w:r>
              <w:rPr>
                <w:rFonts w:ascii="Courier New" w:cs="Courier New" w:eastAsia="Courier New" w:hAnsi="Courier New"/>
                <w:sz w:val="18"/>
                <w:szCs w:val="18"/>
                <w:color w:val="auto"/>
              </w:rPr>
              <w:t>1,760,577</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Item 11:</w:t>
            </w:r>
          </w:p>
        </w:tc>
        <w:tc>
          <w:tcPr>
            <w:tcW w:w="4100" w:type="dxa"/>
            <w:vAlign w:val="bottom"/>
          </w:tcPr>
          <w:p>
            <w:pPr>
              <w:ind w:left="840"/>
              <w:spacing w:after="0" w:line="203" w:lineRule="exact"/>
              <w:rPr>
                <w:sz w:val="20"/>
                <w:szCs w:val="20"/>
                <w:color w:val="auto"/>
              </w:rPr>
            </w:pPr>
            <w:r>
              <w:rPr>
                <w:rFonts w:ascii="Courier New" w:cs="Courier New" w:eastAsia="Courier New" w:hAnsi="Courier New"/>
                <w:sz w:val="18"/>
                <w:szCs w:val="18"/>
                <w:color w:val="auto"/>
              </w:rPr>
              <w:t>13.000%</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Item 12:</w:t>
            </w:r>
          </w:p>
        </w:tc>
        <w:tc>
          <w:tcPr>
            <w:tcW w:w="4100" w:type="dxa"/>
            <w:vAlign w:val="bottom"/>
          </w:tcPr>
          <w:p>
            <w:pPr>
              <w:ind w:left="1260"/>
              <w:spacing w:after="0" w:line="203" w:lineRule="exact"/>
              <w:rPr>
                <w:sz w:val="20"/>
                <w:szCs w:val="20"/>
                <w:color w:val="auto"/>
              </w:rPr>
            </w:pPr>
            <w:r>
              <w:rPr>
                <w:rFonts w:ascii="Courier New" w:cs="Courier New" w:eastAsia="Courier New" w:hAnsi="Courier New"/>
                <w:sz w:val="18"/>
                <w:szCs w:val="18"/>
                <w:color w:val="auto"/>
              </w:rPr>
              <w:t>IN</w:t>
            </w:r>
          </w:p>
        </w:tc>
      </w:tr>
    </w:tbl>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SCHEDULE 13G - TO BE INCLUDED IN</w:t>
      </w:r>
    </w:p>
    <w:p>
      <w:pPr>
        <w:spacing w:after="0" w:line="238" w:lineRule="auto"/>
        <w:rPr>
          <w:sz w:val="20"/>
          <w:szCs w:val="20"/>
          <w:color w:val="auto"/>
        </w:rPr>
      </w:pPr>
      <w:r>
        <w:rPr>
          <w:rFonts w:ascii="Courier New" w:cs="Courier New" w:eastAsia="Courier New" w:hAnsi="Courier New"/>
          <w:sz w:val="18"/>
          <w:szCs w:val="18"/>
          <w:color w:val="auto"/>
        </w:rPr>
        <w:t>STATEMENTS</w:t>
      </w:r>
    </w:p>
    <w:p>
      <w:pPr>
        <w:ind w:left="860"/>
        <w:spacing w:after="0"/>
        <w:rPr>
          <w:sz w:val="20"/>
          <w:szCs w:val="20"/>
          <w:color w:val="auto"/>
        </w:rPr>
      </w:pPr>
      <w:r>
        <w:rPr>
          <w:rFonts w:ascii="Courier New" w:cs="Courier New" w:eastAsia="Courier New" w:hAnsi="Courier New"/>
          <w:sz w:val="18"/>
          <w:szCs w:val="18"/>
          <w:color w:val="auto"/>
        </w:rPr>
        <w:t>FILED PURSUANT TO RULE 13d-1(b) or 13d-2(b)</w:t>
      </w:r>
    </w:p>
    <w:p>
      <w:pPr>
        <w:spacing w:after="0" w:line="206" w:lineRule="exact"/>
        <w:rPr>
          <w:sz w:val="24"/>
          <w:szCs w:val="24"/>
          <w:color w:val="auto"/>
        </w:rPr>
      </w:pPr>
    </w:p>
    <w:p>
      <w:pPr>
        <w:ind w:right="3779"/>
        <w:spacing w:after="0" w:line="237" w:lineRule="auto"/>
        <w:rPr>
          <w:sz w:val="20"/>
          <w:szCs w:val="20"/>
          <w:color w:val="auto"/>
        </w:rPr>
      </w:pPr>
      <w:r>
        <w:rPr>
          <w:rFonts w:ascii="Courier New" w:cs="Courier New" w:eastAsia="Courier New" w:hAnsi="Courier New"/>
          <w:sz w:val="18"/>
          <w:szCs w:val="18"/>
          <w:color w:val="auto"/>
        </w:rPr>
        <w:t>This filing as of December 31, 2003 includes previously unreported shares beneficially held through shares of American Depository Reciepts ("ADRs"). If this beneficial ownership had been previously filed, a report would have been submitted for the period ended August 31, 2003 indicating beneficial ownership of 11.94%.</w:t>
      </w:r>
    </w:p>
    <w:p>
      <w:pPr>
        <w:sectPr>
          <w:pgSz w:w="11900" w:h="16838" w:orient="portrait"/>
          <w:cols w:equalWidth="0" w:num="1">
            <w:col w:w="10219"/>
          </w:cols>
          <w:pgMar w:left="240" w:top="244" w:right="1440" w:bottom="0" w:gutter="0" w:footer="0" w:header="0"/>
        </w:sectPr>
      </w:pPr>
    </w:p>
    <w:p>
      <w:pPr>
        <w:spacing w:after="0" w:line="210"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Item 1(a).</w:t>
      </w:r>
    </w:p>
    <w:p>
      <w:pPr>
        <w:spacing w:after="0" w:line="20" w:lineRule="exact"/>
        <w:rPr>
          <w:sz w:val="24"/>
          <w:szCs w:val="24"/>
          <w:color w:val="auto"/>
        </w:rPr>
      </w:pPr>
      <w:r>
        <w:rPr>
          <w:sz w:val="24"/>
          <w:szCs w:val="24"/>
          <w:color w:val="auto"/>
        </w:rPr>
        <w:br w:type="column"/>
      </w:r>
    </w:p>
    <w:p>
      <w:pPr>
        <w:spacing w:after="0" w:line="190"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Name of Issuer:</w:t>
      </w:r>
    </w:p>
    <w:p>
      <w:pPr>
        <w:spacing w:after="0" w:line="200" w:lineRule="exact"/>
        <w:rPr>
          <w:sz w:val="24"/>
          <w:szCs w:val="24"/>
          <w:color w:val="auto"/>
        </w:rPr>
      </w:pPr>
    </w:p>
    <w:p>
      <w:pPr>
        <w:sectPr>
          <w:pgSz w:w="11900" w:h="16838" w:orient="portrait"/>
          <w:cols w:equalWidth="0" w:num="2">
            <w:col w:w="1060" w:space="640"/>
            <w:col w:w="8519"/>
          </w:cols>
          <w:pgMar w:left="240" w:top="244" w:right="1440" w:bottom="0" w:gutter="0" w:footer="0" w:header="0"/>
          <w:type w:val="continuous"/>
        </w:sectPr>
      </w:pPr>
    </w:p>
    <w:p>
      <w:pPr>
        <w:spacing w:after="0" w:line="24" w:lineRule="exact"/>
        <w:rPr>
          <w:sz w:val="24"/>
          <w:szCs w:val="24"/>
          <w:color w:val="auto"/>
        </w:rPr>
      </w:pPr>
    </w:p>
    <w:p>
      <w:pPr>
        <w:ind w:left="1700"/>
        <w:spacing w:after="0"/>
        <w:rPr>
          <w:sz w:val="20"/>
          <w:szCs w:val="20"/>
          <w:color w:val="auto"/>
        </w:rPr>
      </w:pPr>
      <w:r>
        <w:rPr>
          <w:rFonts w:ascii="Courier New" w:cs="Courier New" w:eastAsia="Courier New" w:hAnsi="Courier New"/>
          <w:sz w:val="16"/>
          <w:szCs w:val="16"/>
          <w:color w:val="auto"/>
        </w:rPr>
        <w:t>ICON PLC</w:t>
      </w:r>
    </w:p>
    <w:p>
      <w:pPr>
        <w:sectPr>
          <w:pgSz w:w="11900" w:h="16838" w:orient="portrait"/>
          <w:cols w:equalWidth="0" w:num="1">
            <w:col w:w="10219"/>
          </w:cols>
          <w:pgMar w:left="240" w:top="244" w:right="1440" w:bottom="0" w:gutter="0" w:footer="0" w:header="0"/>
          <w:type w:val="continuous"/>
        </w:sectPr>
      </w:pPr>
    </w:p>
    <w:p>
      <w:pPr>
        <w:spacing w:after="0" w:line="22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Item 1(b).</w:t>
      </w:r>
    </w:p>
    <w:p>
      <w:pPr>
        <w:spacing w:after="0" w:line="20" w:lineRule="exact"/>
        <w:rPr>
          <w:sz w:val="24"/>
          <w:szCs w:val="24"/>
          <w:color w:val="auto"/>
        </w:rPr>
      </w:pPr>
      <w:r>
        <w:rPr>
          <w:sz w:val="24"/>
          <w:szCs w:val="24"/>
          <w:color w:val="auto"/>
        </w:rPr>
        <w:br w:type="column"/>
      </w: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Name of Issuer's Principal Executive Offices:</w:t>
      </w:r>
    </w:p>
    <w:p>
      <w:pPr>
        <w:spacing w:after="0" w:line="200" w:lineRule="exact"/>
        <w:rPr>
          <w:sz w:val="24"/>
          <w:szCs w:val="24"/>
          <w:color w:val="auto"/>
        </w:rPr>
      </w:pPr>
    </w:p>
    <w:p>
      <w:pPr>
        <w:sectPr>
          <w:pgSz w:w="11900" w:h="16838" w:orient="portrait"/>
          <w:cols w:equalWidth="0" w:num="2">
            <w:col w:w="1060" w:space="640"/>
            <w:col w:w="8519"/>
          </w:cols>
          <w:pgMar w:left="240" w:top="244" w:right="1440" w:bottom="0" w:gutter="0" w:footer="0" w:header="0"/>
          <w:type w:val="continuous"/>
        </w:sectPr>
      </w:pPr>
    </w:p>
    <w:p>
      <w:pPr>
        <w:spacing w:after="0" w:line="24" w:lineRule="exact"/>
        <w:rPr>
          <w:sz w:val="24"/>
          <w:szCs w:val="24"/>
          <w:color w:val="auto"/>
        </w:rPr>
      </w:pPr>
    </w:p>
    <w:p>
      <w:pPr>
        <w:ind w:left="1700"/>
        <w:spacing w:after="0"/>
        <w:rPr>
          <w:sz w:val="20"/>
          <w:szCs w:val="20"/>
          <w:color w:val="auto"/>
        </w:rPr>
      </w:pPr>
      <w:r>
        <w:rPr>
          <w:rFonts w:ascii="Courier New" w:cs="Courier New" w:eastAsia="Courier New" w:hAnsi="Courier New"/>
          <w:sz w:val="16"/>
          <w:szCs w:val="16"/>
          <w:color w:val="auto"/>
        </w:rPr>
        <w:t>South Business Park</w:t>
      </w:r>
    </w:p>
    <w:p>
      <w:pPr>
        <w:spacing w:after="0" w:line="16" w:lineRule="exact"/>
        <w:rPr>
          <w:sz w:val="24"/>
          <w:szCs w:val="24"/>
          <w:color w:val="auto"/>
        </w:rPr>
      </w:pPr>
    </w:p>
    <w:p>
      <w:pPr>
        <w:ind w:left="1700"/>
        <w:spacing w:after="0"/>
        <w:rPr>
          <w:sz w:val="20"/>
          <w:szCs w:val="20"/>
          <w:color w:val="auto"/>
        </w:rPr>
      </w:pPr>
      <w:r>
        <w:rPr>
          <w:rFonts w:ascii="Courier New" w:cs="Courier New" w:eastAsia="Courier New" w:hAnsi="Courier New"/>
          <w:sz w:val="18"/>
          <w:szCs w:val="18"/>
          <w:color w:val="auto"/>
        </w:rPr>
        <w:t>Leopardstown</w:t>
      </w:r>
    </w:p>
    <w:p>
      <w:pPr>
        <w:ind w:left="1700"/>
        <w:spacing w:after="0" w:line="238" w:lineRule="auto"/>
        <w:rPr>
          <w:sz w:val="20"/>
          <w:szCs w:val="20"/>
          <w:color w:val="auto"/>
        </w:rPr>
      </w:pPr>
      <w:r>
        <w:rPr>
          <w:rFonts w:ascii="Courier New" w:cs="Courier New" w:eastAsia="Courier New" w:hAnsi="Courier New"/>
          <w:sz w:val="18"/>
          <w:szCs w:val="18"/>
          <w:color w:val="auto"/>
        </w:rPr>
        <w:t>Dublin 18, Ireland</w:t>
      </w:r>
    </w:p>
    <w:p>
      <w:pPr>
        <w:sectPr>
          <w:pgSz w:w="11900" w:h="16838" w:orient="portrait"/>
          <w:cols w:equalWidth="0" w:num="1">
            <w:col w:w="10219"/>
          </w:cols>
          <w:pgMar w:left="240" w:top="244" w:right="1440" w:bottom="0" w:gutter="0" w:footer="0" w:header="0"/>
          <w:type w:val="continuous"/>
        </w:sectPr>
      </w:pPr>
    </w:p>
    <w:p>
      <w:pPr>
        <w:spacing w:after="0" w:line="200" w:lineRule="exact"/>
        <w:rPr>
          <w:sz w:val="24"/>
          <w:szCs w:val="24"/>
          <w:color w:val="auto"/>
        </w:rPr>
      </w:pPr>
    </w:p>
    <w:p>
      <w:pPr>
        <w:spacing w:after="0" w:line="210"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Item 2(a).</w:t>
      </w:r>
    </w:p>
    <w:p>
      <w:pPr>
        <w:spacing w:after="0" w:line="20" w:lineRule="exact"/>
        <w:rPr>
          <w:sz w:val="24"/>
          <w:szCs w:val="24"/>
          <w:color w:val="auto"/>
        </w:rPr>
      </w:pPr>
      <w:r>
        <w:rPr>
          <w:sz w:val="24"/>
          <w:szCs w:val="24"/>
          <w:color w:val="auto"/>
        </w:rPr>
        <w:br w:type="column"/>
      </w:r>
    </w:p>
    <w:p>
      <w:pPr>
        <w:spacing w:after="0" w:line="390"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Name of Person Filing:</w:t>
      </w:r>
    </w:p>
    <w:p>
      <w:pPr>
        <w:spacing w:after="0" w:line="200" w:lineRule="exact"/>
        <w:rPr>
          <w:sz w:val="24"/>
          <w:szCs w:val="24"/>
          <w:color w:val="auto"/>
        </w:rPr>
      </w:pPr>
    </w:p>
    <w:p>
      <w:pPr>
        <w:sectPr>
          <w:pgSz w:w="11900" w:h="16838" w:orient="portrait"/>
          <w:cols w:equalWidth="0" w:num="2">
            <w:col w:w="1060" w:space="640"/>
            <w:col w:w="8519"/>
          </w:cols>
          <w:pgMar w:left="240" w:top="244" w:right="1440" w:bottom="0" w:gutter="0" w:footer="0" w:header="0"/>
          <w:type w:val="continuous"/>
        </w:sectPr>
      </w:pPr>
    </w:p>
    <w:p>
      <w:pPr>
        <w:spacing w:after="0" w:line="24" w:lineRule="exact"/>
        <w:rPr>
          <w:sz w:val="24"/>
          <w:szCs w:val="24"/>
          <w:color w:val="auto"/>
        </w:rPr>
      </w:pPr>
    </w:p>
    <w:p>
      <w:pPr>
        <w:ind w:left="1700"/>
        <w:spacing w:after="0"/>
        <w:rPr>
          <w:sz w:val="20"/>
          <w:szCs w:val="20"/>
          <w:color w:val="auto"/>
        </w:rPr>
      </w:pPr>
      <w:r>
        <w:rPr>
          <w:rFonts w:ascii="Courier New" w:cs="Courier New" w:eastAsia="Courier New" w:hAnsi="Courier New"/>
          <w:sz w:val="16"/>
          <w:szCs w:val="16"/>
          <w:color w:val="auto"/>
        </w:rPr>
        <w:t>FMR Corp.</w:t>
      </w:r>
    </w:p>
    <w:p>
      <w:pPr>
        <w:sectPr>
          <w:pgSz w:w="11900" w:h="16838" w:orient="portrait"/>
          <w:cols w:equalWidth="0" w:num="1">
            <w:col w:w="10219"/>
          </w:cols>
          <w:pgMar w:left="240" w:top="244" w:right="1440" w:bottom="0" w:gutter="0" w:footer="0" w:header="0"/>
          <w:type w:val="continuous"/>
        </w:sectPr>
      </w:pPr>
    </w:p>
    <w:p>
      <w:pPr>
        <w:spacing w:after="0" w:line="22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Item 2(b).</w:t>
      </w:r>
    </w:p>
    <w:p>
      <w:pPr>
        <w:spacing w:after="0" w:line="21"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Residence:</w:t>
      </w:r>
    </w:p>
    <w:p>
      <w:pPr>
        <w:spacing w:after="0" w:line="20" w:lineRule="exact"/>
        <w:rPr>
          <w:sz w:val="24"/>
          <w:szCs w:val="24"/>
          <w:color w:val="auto"/>
        </w:rPr>
      </w:pPr>
      <w:r>
        <w:rPr>
          <w:sz w:val="24"/>
          <w:szCs w:val="24"/>
          <w:color w:val="auto"/>
        </w:rPr>
        <w:br w:type="column"/>
      </w: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Address or Principal Business Office or, if None,</w:t>
      </w:r>
    </w:p>
    <w:p>
      <w:pPr>
        <w:spacing w:after="0" w:line="402" w:lineRule="exact"/>
        <w:rPr>
          <w:sz w:val="24"/>
          <w:szCs w:val="24"/>
          <w:color w:val="auto"/>
        </w:rPr>
      </w:pPr>
    </w:p>
    <w:p>
      <w:pPr>
        <w:sectPr>
          <w:pgSz w:w="11900" w:h="16838" w:orient="portrait"/>
          <w:cols w:equalWidth="0" w:num="2">
            <w:col w:w="1060" w:space="640"/>
            <w:col w:w="8519"/>
          </w:cols>
          <w:pgMar w:left="240" w:top="244" w:right="1440" w:bottom="0" w:gutter="0" w:footer="0" w:header="0"/>
          <w:type w:val="continuous"/>
        </w:sectPr>
      </w:pPr>
    </w:p>
    <w:p>
      <w:pPr>
        <w:spacing w:after="0" w:line="226"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Massachusetts</w:t>
      </w:r>
    </w:p>
    <w:p>
      <w:pPr>
        <w:spacing w:after="0" w:line="20" w:lineRule="exact"/>
        <w:rPr>
          <w:sz w:val="24"/>
          <w:szCs w:val="24"/>
          <w:color w:val="auto"/>
        </w:rPr>
      </w:pPr>
      <w:r>
        <w:rPr>
          <w:sz w:val="24"/>
          <w:szCs w:val="24"/>
          <w:color w:val="auto"/>
        </w:rPr>
        <w:br w:type="column"/>
      </w:r>
    </w:p>
    <w:p>
      <w:pPr>
        <w:spacing w:after="0" w:line="4" w:lineRule="exact"/>
        <w:rPr>
          <w:sz w:val="24"/>
          <w:szCs w:val="24"/>
          <w:color w:val="auto"/>
        </w:rPr>
      </w:pPr>
    </w:p>
    <w:p>
      <w:pPr>
        <w:ind w:left="120"/>
        <w:spacing w:after="0"/>
        <w:rPr>
          <w:sz w:val="20"/>
          <w:szCs w:val="20"/>
          <w:color w:val="auto"/>
        </w:rPr>
      </w:pPr>
      <w:r>
        <w:rPr>
          <w:rFonts w:ascii="Courier New" w:cs="Courier New" w:eastAsia="Courier New" w:hAnsi="Courier New"/>
          <w:sz w:val="16"/>
          <w:szCs w:val="16"/>
          <w:color w:val="auto"/>
        </w:rPr>
        <w:t>82 Devonshire Street, Boston,</w:t>
      </w:r>
    </w:p>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02109</w:t>
      </w:r>
    </w:p>
    <w:p>
      <w:pPr>
        <w:spacing w:after="0" w:line="200" w:lineRule="exact"/>
        <w:rPr>
          <w:sz w:val="24"/>
          <w:szCs w:val="24"/>
          <w:color w:val="auto"/>
        </w:rPr>
      </w:pPr>
    </w:p>
    <w:p>
      <w:pPr>
        <w:sectPr>
          <w:pgSz w:w="11900" w:h="16838" w:orient="portrait"/>
          <w:cols w:equalWidth="0" w:num="2">
            <w:col w:w="1380" w:space="200"/>
            <w:col w:w="8639"/>
          </w:cols>
          <w:pgMar w:left="240" w:top="244" w:right="1440" w:bottom="0" w:gutter="0" w:footer="0" w:header="0"/>
          <w:type w:val="continuous"/>
        </w:sectPr>
      </w:pPr>
    </w:p>
    <w:p>
      <w:pPr>
        <w:spacing w:after="0" w:line="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Item 2(c).</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Courier New" w:cs="Courier New" w:eastAsia="Courier New" w:hAnsi="Courier New"/>
          <w:sz w:val="16"/>
          <w:szCs w:val="16"/>
          <w:color w:val="auto"/>
        </w:rPr>
        <w:t>Citizenship:</w:t>
      </w:r>
    </w:p>
    <w:p>
      <w:pPr>
        <w:spacing w:after="0" w:line="200" w:lineRule="exact"/>
        <w:rPr>
          <w:sz w:val="24"/>
          <w:szCs w:val="24"/>
          <w:color w:val="auto"/>
        </w:rPr>
      </w:pPr>
    </w:p>
    <w:p>
      <w:pPr>
        <w:sectPr>
          <w:pgSz w:w="11900" w:h="16838" w:orient="portrait"/>
          <w:cols w:equalWidth="0" w:num="2">
            <w:col w:w="1060" w:space="640"/>
            <w:col w:w="8519"/>
          </w:cols>
          <w:pgMar w:left="240" w:top="244" w:right="1440" w:bottom="0" w:gutter="0" w:footer="0" w:header="0"/>
          <w:type w:val="continuous"/>
        </w:sectPr>
      </w:pPr>
    </w:p>
    <w:p>
      <w:pPr>
        <w:spacing w:after="0" w:line="24" w:lineRule="exact"/>
        <w:rPr>
          <w:sz w:val="24"/>
          <w:szCs w:val="24"/>
          <w:color w:val="auto"/>
        </w:rPr>
      </w:pPr>
    </w:p>
    <w:p>
      <w:pPr>
        <w:ind w:left="1700"/>
        <w:spacing w:after="0"/>
        <w:rPr>
          <w:sz w:val="20"/>
          <w:szCs w:val="20"/>
          <w:color w:val="auto"/>
        </w:rPr>
      </w:pPr>
      <w:r>
        <w:rPr>
          <w:rFonts w:ascii="Courier New" w:cs="Courier New" w:eastAsia="Courier New" w:hAnsi="Courier New"/>
          <w:sz w:val="16"/>
          <w:szCs w:val="16"/>
          <w:color w:val="auto"/>
        </w:rPr>
        <w:t>Not applicable</w:t>
      </w:r>
    </w:p>
    <w:p>
      <w:pPr>
        <w:sectPr>
          <w:pgSz w:w="11900" w:h="16838" w:orient="portrait"/>
          <w:cols w:equalWidth="0" w:num="1">
            <w:col w:w="10219"/>
          </w:cols>
          <w:pgMar w:left="240" w:top="244" w:right="1440" w:bottom="0" w:gutter="0" w:footer="0" w:header="0"/>
          <w:type w:val="continuous"/>
        </w:sectPr>
      </w:pPr>
    </w:p>
    <w:bookmarkStart w:id="1" w:name="page2"/>
    <w:bookmarkEnd w:id="1"/>
    <w:p>
      <w:pPr>
        <w:spacing w:after="0"/>
        <w:tabs>
          <w:tab w:leader="none" w:pos="1680" w:val="left"/>
        </w:tabs>
        <w:rPr>
          <w:sz w:val="20"/>
          <w:szCs w:val="20"/>
          <w:color w:val="auto"/>
        </w:rPr>
      </w:pPr>
      <w:r>
        <w:rPr>
          <w:rFonts w:ascii="Courier New" w:cs="Courier New" w:eastAsia="Courier New" w:hAnsi="Courier New"/>
          <w:sz w:val="18"/>
          <w:szCs w:val="18"/>
          <w:color w:val="auto"/>
        </w:rPr>
        <w:t>Item 2(d).</w:t>
      </w:r>
      <w:r>
        <w:rPr>
          <w:sz w:val="20"/>
          <w:szCs w:val="20"/>
          <w:color w:val="auto"/>
        </w:rPr>
        <w:tab/>
      </w:r>
      <w:r>
        <w:rPr>
          <w:rFonts w:ascii="Courier New" w:cs="Courier New" w:eastAsia="Courier New" w:hAnsi="Courier New"/>
          <w:sz w:val="16"/>
          <w:szCs w:val="16"/>
          <w:color w:val="auto"/>
        </w:rPr>
        <w:t>Title of Class of Securities:</w:t>
      </w:r>
    </w:p>
    <w:p>
      <w:pPr>
        <w:spacing w:after="0" w:line="201"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2(e).</w:t>
      </w:r>
      <w:r>
        <w:rPr>
          <w:sz w:val="20"/>
          <w:szCs w:val="20"/>
          <w:color w:val="auto"/>
        </w:rPr>
        <w:tab/>
      </w:r>
      <w:r>
        <w:rPr>
          <w:rFonts w:ascii="Courier New" w:cs="Courier New" w:eastAsia="Courier New" w:hAnsi="Courier New"/>
          <w:sz w:val="16"/>
          <w:szCs w:val="16"/>
          <w:color w:val="auto"/>
        </w:rPr>
        <w:t>CUSIP Number:</w:t>
      </w:r>
    </w:p>
    <w:p>
      <w:pPr>
        <w:spacing w:after="0" w:line="201"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G4705A100</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3. This statement is filed pursuant to Rule 13d-1(b) or 13d-2(b)</w:t>
      </w:r>
    </w:p>
    <w:p>
      <w:pPr>
        <w:spacing w:after="0" w:line="21" w:lineRule="exact"/>
        <w:rPr>
          <w:sz w:val="20"/>
          <w:szCs w:val="20"/>
          <w:color w:val="auto"/>
        </w:rPr>
      </w:pPr>
    </w:p>
    <w:p>
      <w:pPr>
        <w:ind w:right="3779"/>
        <w:spacing w:after="0" w:line="236" w:lineRule="auto"/>
        <w:rPr>
          <w:sz w:val="20"/>
          <w:szCs w:val="20"/>
          <w:color w:val="auto"/>
        </w:rPr>
      </w:pPr>
      <w:r>
        <w:rPr>
          <w:rFonts w:ascii="Courier New" w:cs="Courier New" w:eastAsia="Courier New" w:hAnsi="Courier New"/>
          <w:sz w:val="18"/>
          <w:szCs w:val="18"/>
          <w:color w:val="auto"/>
        </w:rPr>
        <w:t>and the person filing, FMR Corp., is a parent holding company in accordance with Section 240.13d-1(b)(ii)(G). (Note: See Item 7).</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tbl>
      <w:tblPr>
        <w:tblLayout w:type="fixed"/>
        <w:tblInd w:w="860" w:type="dxa"/>
        <w:tblCellMar>
          <w:top w:w="0" w:type="dxa"/>
          <w:left w:w="0" w:type="dxa"/>
          <w:bottom w:w="0" w:type="dxa"/>
          <w:right w:w="0" w:type="dxa"/>
        </w:tblCellMar>
      </w:tblPr>
      <w:tr>
        <w:trPr>
          <w:trHeight w:val="204"/>
        </w:trPr>
        <w:tc>
          <w:tcPr>
            <w:tcW w:w="580" w:type="dxa"/>
            <w:vAlign w:val="bottom"/>
          </w:tcPr>
          <w:p>
            <w:pPr>
              <w:spacing w:after="0"/>
              <w:rPr>
                <w:sz w:val="20"/>
                <w:szCs w:val="20"/>
                <w:color w:val="auto"/>
              </w:rPr>
            </w:pPr>
            <w:r>
              <w:rPr>
                <w:rFonts w:ascii="Courier New" w:cs="Courier New" w:eastAsia="Courier New" w:hAnsi="Courier New"/>
                <w:sz w:val="18"/>
                <w:szCs w:val="18"/>
                <w:color w:val="auto"/>
              </w:rPr>
              <w:t>(a)</w:t>
            </w:r>
          </w:p>
        </w:tc>
        <w:tc>
          <w:tcPr>
            <w:tcW w:w="3580" w:type="dxa"/>
            <w:vAlign w:val="bottom"/>
            <w:gridSpan w:val="2"/>
          </w:tcPr>
          <w:p>
            <w:pPr>
              <w:ind w:left="260"/>
              <w:spacing w:after="0"/>
              <w:rPr>
                <w:sz w:val="20"/>
                <w:szCs w:val="20"/>
                <w:color w:val="auto"/>
              </w:rPr>
            </w:pPr>
            <w:r>
              <w:rPr>
                <w:rFonts w:ascii="Courier New" w:cs="Courier New" w:eastAsia="Courier New" w:hAnsi="Courier New"/>
                <w:sz w:val="18"/>
                <w:szCs w:val="18"/>
                <w:color w:val="auto"/>
              </w:rPr>
              <w:t>Amount Beneficially Owned:</w:t>
            </w:r>
          </w:p>
        </w:tc>
        <w:tc>
          <w:tcPr>
            <w:tcW w:w="1000" w:type="dxa"/>
            <w:vAlign w:val="bottom"/>
          </w:tcPr>
          <w:p>
            <w:pPr>
              <w:jc w:val="right"/>
              <w:spacing w:after="0"/>
              <w:rPr>
                <w:sz w:val="20"/>
                <w:szCs w:val="20"/>
                <w:color w:val="auto"/>
              </w:rPr>
            </w:pPr>
            <w:r>
              <w:rPr>
                <w:rFonts w:ascii="Courier New" w:cs="Courier New" w:eastAsia="Courier New" w:hAnsi="Courier New"/>
                <w:sz w:val="18"/>
                <w:szCs w:val="18"/>
                <w:color w:val="auto"/>
              </w:rPr>
              <w:t>1,760,577</w:t>
            </w:r>
          </w:p>
        </w:tc>
      </w:tr>
      <w:tr>
        <w:trPr>
          <w:trHeight w:val="405"/>
        </w:trPr>
        <w:tc>
          <w:tcPr>
            <w:tcW w:w="580" w:type="dxa"/>
            <w:vAlign w:val="bottom"/>
          </w:tcPr>
          <w:p>
            <w:pPr>
              <w:spacing w:after="0"/>
              <w:rPr>
                <w:sz w:val="20"/>
                <w:szCs w:val="20"/>
                <w:color w:val="auto"/>
              </w:rPr>
            </w:pPr>
            <w:r>
              <w:rPr>
                <w:rFonts w:ascii="Courier New" w:cs="Courier New" w:eastAsia="Courier New" w:hAnsi="Courier New"/>
                <w:sz w:val="18"/>
                <w:szCs w:val="18"/>
                <w:color w:val="auto"/>
              </w:rPr>
              <w:t>(b)</w:t>
            </w:r>
          </w:p>
        </w:tc>
        <w:tc>
          <w:tcPr>
            <w:tcW w:w="2420" w:type="dxa"/>
            <w:vAlign w:val="bottom"/>
          </w:tcPr>
          <w:p>
            <w:pPr>
              <w:ind w:left="260"/>
              <w:spacing w:after="0"/>
              <w:rPr>
                <w:sz w:val="20"/>
                <w:szCs w:val="20"/>
                <w:color w:val="auto"/>
              </w:rPr>
            </w:pPr>
            <w:r>
              <w:rPr>
                <w:rFonts w:ascii="Courier New" w:cs="Courier New" w:eastAsia="Courier New" w:hAnsi="Courier New"/>
                <w:sz w:val="18"/>
                <w:szCs w:val="18"/>
                <w:color w:val="auto"/>
              </w:rPr>
              <w:t>Percent of Class:</w:t>
            </w:r>
          </w:p>
        </w:tc>
        <w:tc>
          <w:tcPr>
            <w:tcW w:w="1160" w:type="dxa"/>
            <w:vAlign w:val="bottom"/>
          </w:tcPr>
          <w:p>
            <w:pPr>
              <w:jc w:val="right"/>
              <w:spacing w:after="0"/>
              <w:rPr>
                <w:sz w:val="20"/>
                <w:szCs w:val="20"/>
                <w:color w:val="auto"/>
              </w:rPr>
            </w:pPr>
            <w:r>
              <w:rPr>
                <w:rFonts w:ascii="Courier New" w:cs="Courier New" w:eastAsia="Courier New" w:hAnsi="Courier New"/>
                <w:sz w:val="18"/>
                <w:szCs w:val="18"/>
                <w:color w:val="auto"/>
              </w:rPr>
              <w:t>13.000%</w:t>
            </w:r>
          </w:p>
        </w:tc>
        <w:tc>
          <w:tcPr>
            <w:tcW w:w="1000" w:type="dxa"/>
            <w:vAlign w:val="bottom"/>
          </w:tcPr>
          <w:p>
            <w:pPr>
              <w:spacing w:after="0"/>
              <w:rPr>
                <w:sz w:val="24"/>
                <w:szCs w:val="24"/>
                <w:color w:val="auto"/>
              </w:rPr>
            </w:pPr>
          </w:p>
        </w:tc>
      </w:tr>
    </w:tbl>
    <w:p>
      <w:pPr>
        <w:spacing w:after="0" w:line="201" w:lineRule="exact"/>
        <w:rPr>
          <w:sz w:val="20"/>
          <w:szCs w:val="20"/>
          <w:color w:val="auto"/>
        </w:rPr>
      </w:pPr>
    </w:p>
    <w:p>
      <w:pPr>
        <w:ind w:left="1700" w:hanging="849"/>
        <w:spacing w:after="0"/>
        <w:tabs>
          <w:tab w:leader="none" w:pos="170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person has:</w:t>
      </w:r>
    </w:p>
    <w:p>
      <w:pPr>
        <w:sectPr>
          <w:pgSz w:w="11900" w:h="16838" w:orient="portrait"/>
          <w:cols w:equalWidth="0" w:num="1">
            <w:col w:w="10219"/>
          </w:cols>
          <w:pgMar w:left="240" w:top="136" w:right="1440" w:bottom="0" w:gutter="0" w:footer="0" w:header="0"/>
        </w:sectPr>
      </w:pPr>
    </w:p>
    <w:p>
      <w:pPr>
        <w:spacing w:after="0" w:line="207" w:lineRule="exact"/>
        <w:rPr>
          <w:sz w:val="20"/>
          <w:szCs w:val="20"/>
          <w:color w:val="auto"/>
        </w:rPr>
      </w:pPr>
    </w:p>
    <w:p>
      <w:pPr>
        <w:ind w:left="860"/>
        <w:spacing w:after="0"/>
        <w:rPr>
          <w:sz w:val="20"/>
          <w:szCs w:val="20"/>
          <w:color w:val="auto"/>
        </w:rPr>
      </w:pPr>
      <w:r>
        <w:rPr>
          <w:rFonts w:ascii="Courier New" w:cs="Courier New" w:eastAsia="Courier New" w:hAnsi="Courier New"/>
          <w:sz w:val="16"/>
          <w:szCs w:val="16"/>
          <w:color w:val="auto"/>
        </w:rPr>
        <w:t>(i)</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the vote:</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sole power to vote or to direct</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341,571</w:t>
      </w:r>
    </w:p>
    <w:p>
      <w:pPr>
        <w:spacing w:after="0" w:line="200" w:lineRule="exact"/>
        <w:rPr>
          <w:sz w:val="20"/>
          <w:szCs w:val="20"/>
          <w:color w:val="auto"/>
        </w:rPr>
      </w:pPr>
    </w:p>
    <w:p>
      <w:pPr>
        <w:sectPr>
          <w:pgSz w:w="11900" w:h="16838" w:orient="portrait"/>
          <w:cols w:equalWidth="0" w:num="2">
            <w:col w:w="1160" w:space="540"/>
            <w:col w:w="8519"/>
          </w:cols>
          <w:pgMar w:left="240" w:top="136" w:right="1440" w:bottom="0" w:gutter="0" w:footer="0" w:header="0"/>
          <w:type w:val="continuous"/>
        </w:sectPr>
      </w:pPr>
    </w:p>
    <w:p>
      <w:pPr>
        <w:spacing w:after="0" w:line="1" w:lineRule="exact"/>
        <w:rPr>
          <w:sz w:val="20"/>
          <w:szCs w:val="20"/>
          <w:color w:val="auto"/>
        </w:rPr>
      </w:pPr>
    </w:p>
    <w:p>
      <w:pPr>
        <w:ind w:left="1700" w:hanging="849"/>
        <w:spacing w:after="0"/>
        <w:tabs>
          <w:tab w:leader="none" w:pos="170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w:t>
      </w:r>
    </w:p>
    <w:tbl>
      <w:tblPr>
        <w:tblLayout w:type="fixed"/>
        <w:tblInd w:w="0" w:type="dxa"/>
        <w:tblCellMar>
          <w:top w:w="0" w:type="dxa"/>
          <w:left w:w="0" w:type="dxa"/>
          <w:bottom w:w="0" w:type="dxa"/>
          <w:right w:w="0" w:type="dxa"/>
        </w:tblCellMar>
      </w:tblPr>
      <w:tr>
        <w:trPr>
          <w:trHeight w:val="203"/>
        </w:trPr>
        <w:tc>
          <w:tcPr>
            <w:tcW w:w="2120" w:type="dxa"/>
            <w:vAlign w:val="bottom"/>
          </w:tcPr>
          <w:p>
            <w:pPr>
              <w:spacing w:after="0" w:line="203" w:lineRule="exact"/>
              <w:rPr>
                <w:sz w:val="20"/>
                <w:szCs w:val="20"/>
                <w:color w:val="auto"/>
              </w:rPr>
            </w:pPr>
            <w:r>
              <w:rPr>
                <w:rFonts w:ascii="Courier New" w:cs="Courier New" w:eastAsia="Courier New" w:hAnsi="Courier New"/>
                <w:sz w:val="18"/>
                <w:szCs w:val="18"/>
                <w:color w:val="auto"/>
              </w:rPr>
              <w:t>direct the vote:</w:t>
            </w:r>
          </w:p>
        </w:tc>
        <w:tc>
          <w:tcPr>
            <w:tcW w:w="5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0</w:t>
            </w:r>
          </w:p>
        </w:tc>
      </w:tr>
    </w:tbl>
    <w:p>
      <w:pPr>
        <w:spacing w:after="0" w:line="201" w:lineRule="exact"/>
        <w:rPr>
          <w:sz w:val="20"/>
          <w:szCs w:val="20"/>
          <w:color w:val="auto"/>
        </w:rPr>
      </w:pPr>
    </w:p>
    <w:p>
      <w:pPr>
        <w:ind w:left="1700" w:hanging="849"/>
        <w:spacing w:after="0"/>
        <w:tabs>
          <w:tab w:leader="none" w:pos="17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w:t>
      </w:r>
    </w:p>
    <w:tbl>
      <w:tblPr>
        <w:tblLayout w:type="fixed"/>
        <w:tblInd w:w="0" w:type="dxa"/>
        <w:tblCellMar>
          <w:top w:w="0" w:type="dxa"/>
          <w:left w:w="0" w:type="dxa"/>
          <w:bottom w:w="0" w:type="dxa"/>
          <w:right w:w="0" w:type="dxa"/>
        </w:tblCellMar>
      </w:tblPr>
      <w:tr>
        <w:trPr>
          <w:trHeight w:val="203"/>
        </w:trPr>
        <w:tc>
          <w:tcPr>
            <w:tcW w:w="3060" w:type="dxa"/>
            <w:vAlign w:val="bottom"/>
          </w:tcPr>
          <w:p>
            <w:pPr>
              <w:spacing w:after="0" w:line="203" w:lineRule="exact"/>
              <w:rPr>
                <w:sz w:val="20"/>
                <w:szCs w:val="20"/>
                <w:color w:val="auto"/>
              </w:rPr>
            </w:pPr>
            <w:r>
              <w:rPr>
                <w:rFonts w:ascii="Courier New" w:cs="Courier New" w:eastAsia="Courier New" w:hAnsi="Courier New"/>
                <w:sz w:val="18"/>
                <w:szCs w:val="18"/>
                <w:color w:val="auto"/>
              </w:rPr>
              <w:t>direct the disposition of:</w:t>
            </w:r>
          </w:p>
        </w:tc>
        <w:tc>
          <w:tcPr>
            <w:tcW w:w="12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1,760,577</w:t>
            </w:r>
          </w:p>
        </w:tc>
      </w:tr>
    </w:tbl>
    <w:p>
      <w:pPr>
        <w:spacing w:after="0" w:line="201" w:lineRule="exact"/>
        <w:rPr>
          <w:sz w:val="20"/>
          <w:szCs w:val="20"/>
          <w:color w:val="auto"/>
        </w:rPr>
      </w:pPr>
    </w:p>
    <w:p>
      <w:pPr>
        <w:ind w:left="1700" w:hanging="849"/>
        <w:spacing w:after="0"/>
        <w:tabs>
          <w:tab w:leader="none" w:pos="170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w:t>
      </w:r>
    </w:p>
    <w:tbl>
      <w:tblPr>
        <w:tblLayout w:type="fixed"/>
        <w:tblInd w:w="0" w:type="dxa"/>
        <w:tblCellMar>
          <w:top w:w="0" w:type="dxa"/>
          <w:left w:w="0" w:type="dxa"/>
          <w:bottom w:w="0" w:type="dxa"/>
          <w:right w:w="0" w:type="dxa"/>
        </w:tblCellMar>
      </w:tblPr>
      <w:tr>
        <w:trPr>
          <w:trHeight w:val="203"/>
        </w:trPr>
        <w:tc>
          <w:tcPr>
            <w:tcW w:w="3060" w:type="dxa"/>
            <w:vAlign w:val="bottom"/>
          </w:tcPr>
          <w:p>
            <w:pPr>
              <w:spacing w:after="0" w:line="203" w:lineRule="exact"/>
              <w:rPr>
                <w:sz w:val="20"/>
                <w:szCs w:val="20"/>
                <w:color w:val="auto"/>
              </w:rPr>
            </w:pPr>
            <w:r>
              <w:rPr>
                <w:rFonts w:ascii="Courier New" w:cs="Courier New" w:eastAsia="Courier New" w:hAnsi="Courier New"/>
                <w:sz w:val="18"/>
                <w:szCs w:val="18"/>
                <w:color w:val="auto"/>
              </w:rPr>
              <w:t>direct the disposition of:</w:t>
            </w:r>
          </w:p>
        </w:tc>
        <w:tc>
          <w:tcPr>
            <w:tcW w:w="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0</w:t>
            </w:r>
          </w:p>
        </w:tc>
      </w:tr>
    </w:tbl>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Not applicable.</w:t>
      </w:r>
    </w:p>
    <w:p>
      <w:pPr>
        <w:spacing w:after="0" w:line="207" w:lineRule="exact"/>
        <w:rPr>
          <w:sz w:val="20"/>
          <w:szCs w:val="20"/>
          <w:color w:val="auto"/>
        </w:rPr>
      </w:pPr>
    </w:p>
    <w:p>
      <w:pPr>
        <w:ind w:right="3479"/>
        <w:spacing w:after="0" w:line="235" w:lineRule="auto"/>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8" w:lineRule="exact"/>
        <w:rPr>
          <w:sz w:val="20"/>
          <w:szCs w:val="20"/>
          <w:color w:val="auto"/>
        </w:rPr>
      </w:pPr>
    </w:p>
    <w:p>
      <w:pPr>
        <w:ind w:right="3359" w:firstLine="843"/>
        <w:spacing w:after="0" w:line="237"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 ICON PLC. No one person's interest in the Common Stock of ICON PLC is more than five percent of the total outstanding Common Stock.</w:t>
      </w:r>
    </w:p>
    <w:p>
      <w:pPr>
        <w:spacing w:after="0" w:line="209"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203"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See attached Exhibit(s) A, B, and C.</w:t>
      </w:r>
    </w:p>
    <w:p>
      <w:pPr>
        <w:spacing w:after="0" w:line="207" w:lineRule="exact"/>
        <w:rPr>
          <w:sz w:val="20"/>
          <w:szCs w:val="20"/>
          <w:color w:val="auto"/>
        </w:rPr>
      </w:pPr>
    </w:p>
    <w:p>
      <w:pPr>
        <w:ind w:right="4419"/>
        <w:spacing w:after="0" w:line="235" w:lineRule="auto"/>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3"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Not Applicable. See attached Exhibit A.</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10.</w:t>
      </w:r>
      <w:r>
        <w:rPr>
          <w:sz w:val="20"/>
          <w:szCs w:val="20"/>
          <w:color w:val="auto"/>
        </w:rPr>
        <w:tab/>
      </w:r>
      <w:r>
        <w:rPr>
          <w:rFonts w:ascii="Courier New" w:cs="Courier New" w:eastAsia="Courier New" w:hAnsi="Courier New"/>
          <w:sz w:val="16"/>
          <w:szCs w:val="16"/>
          <w:color w:val="auto"/>
        </w:rPr>
        <w:t>Certification.</w:t>
      </w:r>
    </w:p>
    <w:p>
      <w:pPr>
        <w:spacing w:after="0" w:line="207" w:lineRule="exact"/>
        <w:rPr>
          <w:sz w:val="20"/>
          <w:szCs w:val="20"/>
          <w:color w:val="auto"/>
        </w:rPr>
      </w:pPr>
    </w:p>
    <w:p>
      <w:pPr>
        <w:ind w:right="3039" w:firstLine="843"/>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in the ordinary course of business and were not acquired for the</w:t>
      </w:r>
    </w:p>
    <w:p>
      <w:pPr>
        <w:spacing w:after="0" w:line="1" w:lineRule="exact"/>
        <w:rPr>
          <w:sz w:val="20"/>
          <w:szCs w:val="20"/>
          <w:color w:val="auto"/>
        </w:rPr>
      </w:pPr>
    </w:p>
    <w:p>
      <w:pPr>
        <w:ind w:right="3579"/>
        <w:spacing w:after="0" w:line="237" w:lineRule="auto"/>
        <w:rPr>
          <w:sz w:val="20"/>
          <w:szCs w:val="20"/>
          <w:color w:val="auto"/>
        </w:rPr>
      </w:pPr>
      <w:r>
        <w:rPr>
          <w:rFonts w:ascii="Courier New" w:cs="Courier New" w:eastAsia="Courier New" w:hAnsi="Courier New"/>
          <w:sz w:val="18"/>
          <w:szCs w:val="18"/>
          <w:color w:val="auto"/>
        </w:rPr>
        <w:t>purpose of and do not have the effect of changing or influencing the control of the issuer of such securities and were not acquired in connection with or as a participant in any transaction having such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039" w:firstLine="843"/>
        <w:spacing w:after="0" w:line="268" w:lineRule="auto"/>
        <w:rPr>
          <w:sz w:val="20"/>
          <w:szCs w:val="20"/>
          <w:color w:val="auto"/>
        </w:rPr>
      </w:pPr>
      <w:r>
        <w:rPr>
          <w:rFonts w:ascii="Courier New" w:cs="Courier New" w:eastAsia="Courier New" w:hAnsi="Courier New"/>
          <w:sz w:val="16"/>
          <w:szCs w:val="16"/>
          <w:color w:val="auto"/>
        </w:rPr>
        <w:t>After reasonable inquiry and to the best of my knowledge and belief, I certify that the information set forth in this Schedule 13G in connection with FMR Corp.'s beneficial ownership of</w:t>
      </w:r>
    </w:p>
    <w:p>
      <w:pPr>
        <w:spacing w:after="0" w:line="1" w:lineRule="exact"/>
        <w:rPr>
          <w:sz w:val="20"/>
          <w:szCs w:val="20"/>
          <w:color w:val="auto"/>
        </w:rPr>
      </w:pPr>
    </w:p>
    <w:p>
      <w:pPr>
        <w:ind w:right="4739"/>
        <w:spacing w:after="0" w:line="235" w:lineRule="auto"/>
        <w:rPr>
          <w:sz w:val="20"/>
          <w:szCs w:val="20"/>
          <w:color w:val="auto"/>
        </w:rPr>
      </w:pPr>
      <w:r>
        <w:rPr>
          <w:rFonts w:ascii="Courier New" w:cs="Courier New" w:eastAsia="Courier New" w:hAnsi="Courier New"/>
          <w:sz w:val="18"/>
          <w:szCs w:val="18"/>
          <w:color w:val="auto"/>
        </w:rPr>
        <w:t>the Common Stock of ICON PLC at December 31, 2003 is true, complete and correct.</w:t>
      </w:r>
    </w:p>
    <w:p>
      <w:pPr>
        <w:sectPr>
          <w:pgSz w:w="11900" w:h="16838" w:orient="portrait"/>
          <w:cols w:equalWidth="0" w:num="1">
            <w:col w:w="10219"/>
          </w:cols>
          <w:pgMar w:left="240" w:top="136" w:right="1440" w:bottom="0" w:gutter="0" w:footer="0" w:header="0"/>
          <w:type w:val="continuous"/>
        </w:sectPr>
      </w:pPr>
    </w:p>
    <w:bookmarkStart w:id="2" w:name="page3"/>
    <w:bookmarkEnd w:id="2"/>
    <w:p>
      <w:pPr>
        <w:spacing w:after="0"/>
        <w:rPr>
          <w:sz w:val="20"/>
          <w:szCs w:val="20"/>
          <w:color w:val="auto"/>
        </w:rPr>
      </w:pPr>
      <w:r>
        <w:rPr>
          <w:rFonts w:ascii="Courier New" w:cs="Courier New" w:eastAsia="Courier New" w:hAnsi="Courier New"/>
          <w:sz w:val="18"/>
          <w:szCs w:val="18"/>
          <w:color w:val="auto"/>
        </w:rPr>
        <w:t>January 12, 2004</w:t>
      </w:r>
    </w:p>
    <w:p>
      <w:pPr>
        <w:spacing w:after="0" w:line="238" w:lineRule="auto"/>
        <w:rPr>
          <w:sz w:val="20"/>
          <w:szCs w:val="20"/>
          <w:color w:val="auto"/>
        </w:rPr>
      </w:pPr>
      <w:r>
        <w:rPr>
          <w:rFonts w:ascii="Courier New" w:cs="Courier New" w:eastAsia="Courier New" w:hAnsi="Courier New"/>
          <w:sz w:val="18"/>
          <w:szCs w:val="18"/>
          <w:color w:val="auto"/>
        </w:rPr>
        <w:t>Date</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/s/Eric D. Roiter</w:t>
      </w:r>
    </w:p>
    <w:p>
      <w:pPr>
        <w:spacing w:after="0" w:line="238" w:lineRule="auto"/>
        <w:rPr>
          <w:sz w:val="20"/>
          <w:szCs w:val="20"/>
          <w:color w:val="auto"/>
        </w:rPr>
      </w:pPr>
      <w:r>
        <w:rPr>
          <w:rFonts w:ascii="Courier New" w:cs="Courier New" w:eastAsia="Courier New" w:hAnsi="Courier New"/>
          <w:sz w:val="18"/>
          <w:szCs w:val="18"/>
          <w:color w:val="auto"/>
        </w:rPr>
        <w:t>Signature</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Eric D. Roiter</w:t>
      </w:r>
    </w:p>
    <w:p>
      <w:pPr>
        <w:spacing w:after="0" w:line="238" w:lineRule="auto"/>
        <w:rPr>
          <w:sz w:val="20"/>
          <w:szCs w:val="20"/>
          <w:color w:val="auto"/>
        </w:rPr>
      </w:pPr>
      <w:r>
        <w:rPr>
          <w:rFonts w:ascii="Courier New" w:cs="Courier New" w:eastAsia="Courier New" w:hAnsi="Courier New"/>
          <w:sz w:val="18"/>
          <w:szCs w:val="18"/>
          <w:color w:val="auto"/>
        </w:rPr>
        <w:t>Duly authorized under Power of Attorney</w:t>
      </w:r>
    </w:p>
    <w:p>
      <w:pPr>
        <w:spacing w:after="0"/>
        <w:rPr>
          <w:sz w:val="20"/>
          <w:szCs w:val="20"/>
          <w:color w:val="auto"/>
        </w:rPr>
      </w:pPr>
      <w:r>
        <w:rPr>
          <w:rFonts w:ascii="Courier New" w:cs="Courier New" w:eastAsia="Courier New" w:hAnsi="Courier New"/>
          <w:sz w:val="18"/>
          <w:szCs w:val="18"/>
          <w:color w:val="auto"/>
        </w:rPr>
        <w:t>dated December 30, 1997 by and on behalf</w:t>
      </w:r>
    </w:p>
    <w:p>
      <w:pPr>
        <w:spacing w:after="0" w:line="237" w:lineRule="auto"/>
        <w:rPr>
          <w:sz w:val="20"/>
          <w:szCs w:val="20"/>
          <w:color w:val="auto"/>
        </w:rPr>
      </w:pPr>
      <w:r>
        <w:rPr>
          <w:rFonts w:ascii="Courier New" w:cs="Courier New" w:eastAsia="Courier New" w:hAnsi="Courier New"/>
          <w:sz w:val="18"/>
          <w:szCs w:val="18"/>
          <w:color w:val="auto"/>
        </w:rPr>
        <w:t>of FMR Corp. and its direct and indirect</w:t>
      </w:r>
    </w:p>
    <w:p>
      <w:pPr>
        <w:spacing w:after="0" w:line="238" w:lineRule="auto"/>
        <w:rPr>
          <w:sz w:val="20"/>
          <w:szCs w:val="20"/>
          <w:color w:val="auto"/>
        </w:rPr>
      </w:pPr>
      <w:r>
        <w:rPr>
          <w:rFonts w:ascii="Courier New" w:cs="Courier New" w:eastAsia="Courier New" w:hAnsi="Courier New"/>
          <w:sz w:val="18"/>
          <w:szCs w:val="18"/>
          <w:color w:val="auto"/>
        </w:rPr>
        <w:t>subsidiaries</w:t>
      </w:r>
    </w:p>
    <w:p>
      <w:pPr>
        <w:spacing w:after="0" w:line="200" w:lineRule="exact"/>
        <w:rPr>
          <w:sz w:val="20"/>
          <w:szCs w:val="20"/>
          <w:color w:val="auto"/>
        </w:rPr>
      </w:pPr>
    </w:p>
    <w:p>
      <w:pPr>
        <w:spacing w:after="0" w:line="204"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SCHEDULE 13G - TO BE INCLUDED IN</w:t>
      </w:r>
    </w:p>
    <w:p>
      <w:pPr>
        <w:spacing w:after="0" w:line="238" w:lineRule="auto"/>
        <w:rPr>
          <w:sz w:val="20"/>
          <w:szCs w:val="20"/>
          <w:color w:val="auto"/>
        </w:rPr>
      </w:pPr>
      <w:r>
        <w:rPr>
          <w:rFonts w:ascii="Courier New" w:cs="Courier New" w:eastAsia="Courier New" w:hAnsi="Courier New"/>
          <w:sz w:val="18"/>
          <w:szCs w:val="18"/>
          <w:color w:val="auto"/>
        </w:rPr>
        <w:t>STATEMENTS</w:t>
      </w:r>
    </w:p>
    <w:p>
      <w:pPr>
        <w:ind w:left="860"/>
        <w:spacing w:after="0"/>
        <w:rPr>
          <w:sz w:val="20"/>
          <w:szCs w:val="20"/>
          <w:color w:val="auto"/>
        </w:rPr>
      </w:pPr>
      <w:r>
        <w:rPr>
          <w:rFonts w:ascii="Courier New" w:cs="Courier New" w:eastAsia="Courier New" w:hAnsi="Courier New"/>
          <w:sz w:val="18"/>
          <w:szCs w:val="18"/>
          <w:color w:val="auto"/>
        </w:rPr>
        <w:t>FILED PURSUANT TO RULE 13d-1(b) or 13d-2(b)</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Pursuant to the instructions in Item 7 of Schedule</w:t>
      </w:r>
    </w:p>
    <w:p>
      <w:pPr>
        <w:spacing w:after="0" w:line="238" w:lineRule="auto"/>
        <w:rPr>
          <w:sz w:val="20"/>
          <w:szCs w:val="20"/>
          <w:color w:val="auto"/>
        </w:rPr>
      </w:pPr>
      <w:r>
        <w:rPr>
          <w:rFonts w:ascii="Courier New" w:cs="Courier New" w:eastAsia="Courier New" w:hAnsi="Courier New"/>
          <w:sz w:val="18"/>
          <w:szCs w:val="18"/>
          <w:color w:val="auto"/>
        </w:rPr>
        <w:t>13G, Fidelity Management &amp; Research Company</w:t>
      </w:r>
    </w:p>
    <w:p>
      <w:pPr>
        <w:spacing w:after="0"/>
        <w:rPr>
          <w:sz w:val="20"/>
          <w:szCs w:val="20"/>
          <w:color w:val="auto"/>
        </w:rPr>
      </w:pPr>
      <w:r>
        <w:rPr>
          <w:rFonts w:ascii="Courier New" w:cs="Courier New" w:eastAsia="Courier New" w:hAnsi="Courier New"/>
          <w:sz w:val="18"/>
          <w:szCs w:val="18"/>
          <w:color w:val="auto"/>
        </w:rPr>
        <w:t>("Fidelity"), 82 Devonshire Street, Boston, Massachusetts</w:t>
      </w:r>
    </w:p>
    <w:p>
      <w:pPr>
        <w:spacing w:after="0" w:line="237" w:lineRule="auto"/>
        <w:rPr>
          <w:sz w:val="20"/>
          <w:szCs w:val="20"/>
          <w:color w:val="auto"/>
        </w:rPr>
      </w:pPr>
      <w:r>
        <w:rPr>
          <w:rFonts w:ascii="Courier New" w:cs="Courier New" w:eastAsia="Courier New" w:hAnsi="Courier New"/>
          <w:sz w:val="18"/>
          <w:szCs w:val="18"/>
          <w:color w:val="auto"/>
        </w:rPr>
        <w:t>02109, a wholly-owned subsidiary of FMR Corp. and an</w:t>
      </w:r>
    </w:p>
    <w:p>
      <w:pPr>
        <w:spacing w:after="0" w:line="238" w:lineRule="auto"/>
        <w:rPr>
          <w:sz w:val="20"/>
          <w:szCs w:val="20"/>
          <w:color w:val="auto"/>
        </w:rPr>
      </w:pPr>
      <w:r>
        <w:rPr>
          <w:rFonts w:ascii="Courier New" w:cs="Courier New" w:eastAsia="Courier New" w:hAnsi="Courier New"/>
          <w:sz w:val="18"/>
          <w:szCs w:val="18"/>
          <w:color w:val="auto"/>
        </w:rPr>
        <w:t>investment adviser registered under Section 203 of the</w:t>
      </w:r>
    </w:p>
    <w:p>
      <w:pPr>
        <w:spacing w:after="0"/>
        <w:rPr>
          <w:sz w:val="20"/>
          <w:szCs w:val="20"/>
          <w:color w:val="auto"/>
        </w:rPr>
      </w:pPr>
      <w:r>
        <w:rPr>
          <w:rFonts w:ascii="Courier New" w:cs="Courier New" w:eastAsia="Courier New" w:hAnsi="Courier New"/>
          <w:sz w:val="18"/>
          <w:szCs w:val="18"/>
          <w:color w:val="auto"/>
        </w:rPr>
        <w:t>Investment Advisers Act of 1940, is the beneficial owner of</w:t>
      </w:r>
    </w:p>
    <w:p>
      <w:pPr>
        <w:spacing w:after="0" w:line="237" w:lineRule="auto"/>
        <w:rPr>
          <w:sz w:val="20"/>
          <w:szCs w:val="20"/>
          <w:color w:val="auto"/>
        </w:rPr>
      </w:pPr>
      <w:r>
        <w:rPr>
          <w:rFonts w:ascii="Courier New" w:cs="Courier New" w:eastAsia="Courier New" w:hAnsi="Courier New"/>
          <w:sz w:val="18"/>
          <w:szCs w:val="18"/>
          <w:color w:val="auto"/>
        </w:rPr>
        <w:t>1,419,006 shares or 10.477% of the Common Stock</w:t>
      </w:r>
    </w:p>
    <w:p>
      <w:pPr>
        <w:spacing w:after="0"/>
        <w:tabs>
          <w:tab w:leader="none" w:pos="2620" w:val="left"/>
        </w:tabs>
        <w:rPr>
          <w:sz w:val="20"/>
          <w:szCs w:val="20"/>
          <w:color w:val="auto"/>
        </w:rPr>
      </w:pPr>
      <w:r>
        <w:rPr>
          <w:rFonts w:ascii="Courier New" w:cs="Courier New" w:eastAsia="Courier New" w:hAnsi="Courier New"/>
          <w:sz w:val="18"/>
          <w:szCs w:val="18"/>
          <w:color w:val="auto"/>
        </w:rPr>
        <w:t>outstanding of ICON PLC</w:t>
      </w:r>
      <w:r>
        <w:rPr>
          <w:sz w:val="20"/>
          <w:szCs w:val="20"/>
          <w:color w:val="auto"/>
        </w:rPr>
        <w:tab/>
      </w:r>
      <w:r>
        <w:rPr>
          <w:rFonts w:ascii="Courier New" w:cs="Courier New" w:eastAsia="Courier New" w:hAnsi="Courier New"/>
          <w:sz w:val="16"/>
          <w:szCs w:val="16"/>
          <w:color w:val="auto"/>
        </w:rPr>
        <w:t>("the Company") as a result of</w:t>
      </w:r>
    </w:p>
    <w:p>
      <w:pPr>
        <w:spacing w:after="0" w:line="237" w:lineRule="auto"/>
        <w:rPr>
          <w:sz w:val="20"/>
          <w:szCs w:val="20"/>
          <w:color w:val="auto"/>
        </w:rPr>
      </w:pPr>
      <w:r>
        <w:rPr>
          <w:rFonts w:ascii="Courier New" w:cs="Courier New" w:eastAsia="Courier New" w:hAnsi="Courier New"/>
          <w:sz w:val="18"/>
          <w:szCs w:val="18"/>
          <w:color w:val="auto"/>
        </w:rPr>
        <w:t>acting as investment adviser to various investment companies</w:t>
      </w:r>
    </w:p>
    <w:p>
      <w:pPr>
        <w:spacing w:after="0"/>
        <w:rPr>
          <w:sz w:val="20"/>
          <w:szCs w:val="20"/>
          <w:color w:val="auto"/>
        </w:rPr>
      </w:pPr>
      <w:r>
        <w:rPr>
          <w:rFonts w:ascii="Courier New" w:cs="Courier New" w:eastAsia="Courier New" w:hAnsi="Courier New"/>
          <w:sz w:val="18"/>
          <w:szCs w:val="18"/>
          <w:color w:val="auto"/>
        </w:rPr>
        <w:t>registered under Section 8 of the Investment Company Act of</w:t>
      </w:r>
    </w:p>
    <w:p>
      <w:pPr>
        <w:spacing w:after="0" w:line="237" w:lineRule="auto"/>
        <w:rPr>
          <w:sz w:val="20"/>
          <w:szCs w:val="20"/>
          <w:color w:val="auto"/>
        </w:rPr>
      </w:pPr>
      <w:r>
        <w:rPr>
          <w:rFonts w:ascii="Courier New" w:cs="Courier New" w:eastAsia="Courier New" w:hAnsi="Courier New"/>
          <w:sz w:val="18"/>
          <w:szCs w:val="18"/>
          <w:color w:val="auto"/>
        </w:rPr>
        <w:t>1940.</w:t>
      </w:r>
    </w:p>
    <w:p>
      <w:pPr>
        <w:spacing w:after="0" w:line="207" w:lineRule="exact"/>
        <w:rPr>
          <w:sz w:val="20"/>
          <w:szCs w:val="20"/>
          <w:color w:val="auto"/>
        </w:rPr>
      </w:pPr>
    </w:p>
    <w:p>
      <w:pPr>
        <w:ind w:right="4199" w:firstLine="843"/>
        <w:spacing w:after="0" w:line="236" w:lineRule="auto"/>
        <w:rPr>
          <w:sz w:val="20"/>
          <w:szCs w:val="20"/>
          <w:color w:val="auto"/>
        </w:rPr>
      </w:pPr>
      <w:r>
        <w:rPr>
          <w:rFonts w:ascii="Courier New" w:cs="Courier New" w:eastAsia="Courier New" w:hAnsi="Courier New"/>
          <w:sz w:val="18"/>
          <w:szCs w:val="18"/>
          <w:color w:val="auto"/>
        </w:rPr>
        <w:t>Edward C. Johnson 3d, FMR Corp., through its control of Fidelity, and the funds each has sole power to dispose of the 1,419,006 shares owned by the Funds.</w:t>
      </w:r>
    </w:p>
    <w:p>
      <w:pPr>
        <w:spacing w:after="0" w:line="209" w:lineRule="exact"/>
        <w:rPr>
          <w:sz w:val="20"/>
          <w:szCs w:val="20"/>
          <w:color w:val="auto"/>
        </w:rPr>
      </w:pPr>
    </w:p>
    <w:p>
      <w:pPr>
        <w:ind w:right="3679" w:firstLine="843"/>
        <w:spacing w:after="0" w:line="237" w:lineRule="auto"/>
        <w:rPr>
          <w:sz w:val="20"/>
          <w:szCs w:val="20"/>
          <w:color w:val="auto"/>
        </w:rPr>
      </w:pPr>
      <w:r>
        <w:rPr>
          <w:rFonts w:ascii="Courier New" w:cs="Courier New" w:eastAsia="Courier New" w:hAnsi="Courier New"/>
          <w:sz w:val="18"/>
          <w:szCs w:val="18"/>
          <w:color w:val="auto"/>
        </w:rPr>
        <w:t>Neither FMR Corp. nor Edward C. Johnson 3d, Chairman of FMR Corp., has the sole power to vote or direct the voting of the shares owned directly by the Fidelity Funds, which power resides with the Funds' Boards of Trustees. Fidelity carries out the voting of the shares under written guidelines established by the Funds' Boards of Trustees.</w:t>
      </w:r>
    </w:p>
    <w:p>
      <w:pPr>
        <w:spacing w:after="0" w:line="210" w:lineRule="exact"/>
        <w:rPr>
          <w:sz w:val="20"/>
          <w:szCs w:val="20"/>
          <w:color w:val="auto"/>
        </w:rPr>
      </w:pPr>
    </w:p>
    <w:p>
      <w:pPr>
        <w:ind w:right="4099" w:firstLine="843"/>
        <w:spacing w:after="0" w:line="238" w:lineRule="auto"/>
        <w:rPr>
          <w:sz w:val="20"/>
          <w:szCs w:val="20"/>
          <w:color w:val="auto"/>
        </w:rPr>
      </w:pPr>
      <w:r>
        <w:rPr>
          <w:rFonts w:ascii="Courier New" w:cs="Courier New" w:eastAsia="Courier New" w:hAnsi="Courier New"/>
          <w:sz w:val="18"/>
          <w:szCs w:val="18"/>
          <w:color w:val="auto"/>
        </w:rPr>
        <w:t>Members of the Edward C. Johnson 3d family are the predominant owners of Class B shares of common stock of FMR Corp., representing approximately 49% of the voting power of FMR Corp. Mr. Johnson 3d owns 12.0% and Abigail Johnson owns 24.5% of the aggregate outstanding voting stock of FMR Corp. Mr. Johnson 3d is Chairman of FMR Corp. and Abigail P. Johnson is a Director of FMR Corp. The Johnson family group and all other Class B shareholders have entered into a shareholders' voting agreement under which all Class B shares will be voted in accordance with the majority vote of Class B shares. Accordingly, through their ownership of voting common stock and the execution of the shareholders' voting agreement, members of the Johnson family may be deemed, under the Investment Company Act of 1940, to form a controlling group with respect to FMR Corp.</w:t>
      </w:r>
    </w:p>
    <w:p>
      <w:pPr>
        <w:spacing w:after="0" w:line="208" w:lineRule="exact"/>
        <w:rPr>
          <w:sz w:val="20"/>
          <w:szCs w:val="20"/>
          <w:color w:val="auto"/>
        </w:rPr>
      </w:pPr>
    </w:p>
    <w:p>
      <w:pPr>
        <w:ind w:right="3999" w:firstLine="843"/>
        <w:spacing w:after="0" w:line="237" w:lineRule="auto"/>
        <w:rPr>
          <w:sz w:val="20"/>
          <w:szCs w:val="20"/>
          <w:color w:val="auto"/>
        </w:rPr>
      </w:pPr>
      <w:r>
        <w:rPr>
          <w:rFonts w:ascii="Courier New" w:cs="Courier New" w:eastAsia="Courier New" w:hAnsi="Courier New"/>
          <w:sz w:val="18"/>
          <w:szCs w:val="18"/>
          <w:color w:val="auto"/>
        </w:rPr>
        <w:t>Fidelity International Limited, Pembroke Hall, 42 Crowlane, Hamilton, Bermuda, and various foreign-based subsidiaries provide investment advisory and management services to a number of non-U.S. investment companies (the "International Funds") and certain institutional investors. Fidelity International Limited is the beneficial owner of 341,571 shares or 2.522% of the Common Stock outstanding of the Company. Additional information with respect to the beneficial ownership of Fidelity International Limited is shown on Exhibit B.</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SCHEDULE 13G - TO BE INCLUDED IN</w:t>
      </w:r>
    </w:p>
    <w:p>
      <w:pPr>
        <w:spacing w:after="0" w:line="238" w:lineRule="auto"/>
        <w:rPr>
          <w:sz w:val="20"/>
          <w:szCs w:val="20"/>
          <w:color w:val="auto"/>
        </w:rPr>
      </w:pPr>
      <w:r>
        <w:rPr>
          <w:rFonts w:ascii="Courier New" w:cs="Courier New" w:eastAsia="Courier New" w:hAnsi="Courier New"/>
          <w:sz w:val="18"/>
          <w:szCs w:val="18"/>
          <w:color w:val="auto"/>
        </w:rPr>
        <w:t>STATEMENTS</w:t>
      </w:r>
    </w:p>
    <w:p>
      <w:pPr>
        <w:ind w:left="860"/>
        <w:spacing w:after="0"/>
        <w:rPr>
          <w:sz w:val="20"/>
          <w:szCs w:val="20"/>
          <w:color w:val="auto"/>
        </w:rPr>
      </w:pPr>
      <w:r>
        <w:rPr>
          <w:rFonts w:ascii="Courier New" w:cs="Courier New" w:eastAsia="Courier New" w:hAnsi="Courier New"/>
          <w:sz w:val="18"/>
          <w:szCs w:val="18"/>
          <w:color w:val="auto"/>
        </w:rPr>
        <w:t>FILED PURSUANT TO RULE 13d-1(b) or 13d-2(b)</w:t>
      </w:r>
    </w:p>
    <w:p>
      <w:pPr>
        <w:spacing w:after="0" w:line="206" w:lineRule="exact"/>
        <w:rPr>
          <w:sz w:val="20"/>
          <w:szCs w:val="20"/>
          <w:color w:val="auto"/>
        </w:rPr>
      </w:pPr>
    </w:p>
    <w:p>
      <w:pPr>
        <w:ind w:right="3459" w:firstLine="843"/>
        <w:spacing w:after="0" w:line="279" w:lineRule="auto"/>
        <w:rPr>
          <w:sz w:val="20"/>
          <w:szCs w:val="20"/>
          <w:color w:val="auto"/>
        </w:rPr>
      </w:pPr>
      <w:r>
        <w:rPr>
          <w:rFonts w:ascii="Courier New" w:cs="Courier New" w:eastAsia="Courier New" w:hAnsi="Courier New"/>
          <w:sz w:val="16"/>
          <w:szCs w:val="16"/>
          <w:color w:val="auto"/>
        </w:rPr>
        <w:t>Pursuant to instructions in Item 7 of Schedule 13G, this Exhibit has been prepared to identify Fidelity International Limited, Pembroke Hall, 42 Crow Lane, Hamilton, Bermuda,</w:t>
      </w:r>
    </w:p>
    <w:p>
      <w:pPr>
        <w:sectPr>
          <w:pgSz w:w="11900" w:h="16838" w:orient="portrait"/>
          <w:cols w:equalWidth="0" w:num="1">
            <w:col w:w="10219"/>
          </w:cols>
          <w:pgMar w:left="240" w:top="339" w:right="1440" w:bottom="0" w:gutter="0" w:footer="0" w:header="0"/>
        </w:sectPr>
      </w:pPr>
    </w:p>
    <w:bookmarkStart w:id="3" w:name="page4"/>
    <w:bookmarkEnd w:id="3"/>
    <w:p>
      <w:pPr>
        <w:ind w:right="3579"/>
        <w:spacing w:after="0" w:line="237" w:lineRule="auto"/>
        <w:rPr>
          <w:sz w:val="20"/>
          <w:szCs w:val="20"/>
          <w:color w:val="auto"/>
        </w:rPr>
      </w:pPr>
      <w:r>
        <w:rPr>
          <w:rFonts w:ascii="Courier New" w:cs="Courier New" w:eastAsia="Courier New" w:hAnsi="Courier New"/>
          <w:sz w:val="18"/>
          <w:szCs w:val="18"/>
          <w:color w:val="auto"/>
        </w:rPr>
        <w:t>a Bermudan joint stock company incorporated for an unlimited duration by private act of the Bermuda Legislature (FIL) and an investment adviser to various investment companies (the "International Funds") and certain institutional investors, as a beneficial owner of the 341,571 shares or 2.522% of the Common Stock outstanding of ICON PLC.</w:t>
      </w:r>
    </w:p>
    <w:p>
      <w:pPr>
        <w:spacing w:after="0" w:line="210" w:lineRule="exact"/>
        <w:rPr>
          <w:sz w:val="20"/>
          <w:szCs w:val="20"/>
          <w:color w:val="auto"/>
        </w:rPr>
      </w:pPr>
    </w:p>
    <w:p>
      <w:pPr>
        <w:ind w:right="3479" w:firstLine="843"/>
        <w:spacing w:after="0" w:line="237" w:lineRule="auto"/>
        <w:rPr>
          <w:sz w:val="20"/>
          <w:szCs w:val="20"/>
          <w:color w:val="auto"/>
        </w:rPr>
      </w:pPr>
      <w:r>
        <w:rPr>
          <w:rFonts w:ascii="Courier New" w:cs="Courier New" w:eastAsia="Courier New" w:hAnsi="Courier New"/>
          <w:sz w:val="18"/>
          <w:szCs w:val="18"/>
          <w:color w:val="auto"/>
        </w:rPr>
        <w:t>Prior to June 30, 1980, FIL was a majority-owned subsidiary of Fidelity Management &amp; Research Company (Fidelity), a wholly-owned subsidiary of FMR Corp. On that date, the shares of FIL held by Fidelity were distributed, as a dividend, to the shareholders of FMR Corp. FIL currently operates as an entity independent of FMR Corp. and Fidelity. The International Funds and FIL's other clients, with the exception of Fidelity and an affiliated company of Fidelity, are non-U.S. entities.</w:t>
      </w:r>
    </w:p>
    <w:p>
      <w:pPr>
        <w:spacing w:after="0" w:line="214" w:lineRule="exact"/>
        <w:rPr>
          <w:sz w:val="20"/>
          <w:szCs w:val="20"/>
          <w:color w:val="auto"/>
        </w:rPr>
      </w:pPr>
    </w:p>
    <w:p>
      <w:pPr>
        <w:ind w:right="3899" w:firstLine="843"/>
        <w:spacing w:after="0" w:line="268" w:lineRule="auto"/>
        <w:rPr>
          <w:sz w:val="20"/>
          <w:szCs w:val="20"/>
          <w:color w:val="auto"/>
        </w:rPr>
      </w:pPr>
      <w:r>
        <w:rPr>
          <w:rFonts w:ascii="Courier New" w:cs="Courier New" w:eastAsia="Courier New" w:hAnsi="Courier New"/>
          <w:sz w:val="16"/>
          <w:szCs w:val="16"/>
          <w:color w:val="auto"/>
        </w:rPr>
        <w:t>A partnership controlled by Edward C. Johnson 3d and members of his family owns shares of FIL voting stock with</w:t>
      </w:r>
    </w:p>
    <w:p>
      <w:pPr>
        <w:ind w:right="3579"/>
        <w:spacing w:after="0" w:line="268" w:lineRule="auto"/>
        <w:rPr>
          <w:sz w:val="20"/>
          <w:szCs w:val="20"/>
          <w:color w:val="auto"/>
        </w:rPr>
      </w:pPr>
      <w:r>
        <w:rPr>
          <w:rFonts w:ascii="Courier New" w:cs="Courier New" w:eastAsia="Courier New" w:hAnsi="Courier New"/>
          <w:sz w:val="16"/>
          <w:szCs w:val="16"/>
          <w:color w:val="auto"/>
        </w:rPr>
        <w:t>the right to cast approximately 39.89% of the total votes which may be cast by all holders of FIL voting stock. Mr. Johnson 3d is Chairman of FMR Corp. and FIL. FMR Corp. and FIL</w:t>
      </w:r>
    </w:p>
    <w:p>
      <w:pPr>
        <w:spacing w:after="0" w:line="1" w:lineRule="exact"/>
        <w:rPr>
          <w:sz w:val="20"/>
          <w:szCs w:val="20"/>
          <w:color w:val="auto"/>
        </w:rPr>
      </w:pPr>
    </w:p>
    <w:p>
      <w:pPr>
        <w:ind w:right="3779"/>
        <w:spacing w:after="0" w:line="273" w:lineRule="auto"/>
        <w:rPr>
          <w:sz w:val="20"/>
          <w:szCs w:val="20"/>
          <w:color w:val="auto"/>
        </w:rPr>
      </w:pPr>
      <w:r>
        <w:rPr>
          <w:rFonts w:ascii="Courier New" w:cs="Courier New" w:eastAsia="Courier New" w:hAnsi="Courier New"/>
          <w:sz w:val="16"/>
          <w:szCs w:val="16"/>
          <w:color w:val="auto"/>
        </w:rPr>
        <w:t>are separate and independent corporate entities, and their Boards of Directors are generally composed of different individuals. Other than when one serves as a sub adviser to the other, their investment decisions are made independently, and their clients are generally different organizations.</w:t>
      </w:r>
    </w:p>
    <w:p>
      <w:pPr>
        <w:spacing w:after="0" w:line="179"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FMR Corp. and FIL are of the view that they are not</w:t>
      </w:r>
    </w:p>
    <w:p>
      <w:pPr>
        <w:spacing w:after="0" w:line="238" w:lineRule="auto"/>
        <w:rPr>
          <w:sz w:val="20"/>
          <w:szCs w:val="20"/>
          <w:color w:val="auto"/>
        </w:rPr>
      </w:pPr>
      <w:r>
        <w:rPr>
          <w:rFonts w:ascii="Courier New" w:cs="Courier New" w:eastAsia="Courier New" w:hAnsi="Courier New"/>
          <w:sz w:val="18"/>
          <w:szCs w:val="18"/>
          <w:color w:val="auto"/>
        </w:rPr>
        <w:t>acting as a "group" for purposes of Section 13(d) under the</w:t>
      </w:r>
    </w:p>
    <w:p>
      <w:pPr>
        <w:spacing w:after="0"/>
        <w:rPr>
          <w:sz w:val="20"/>
          <w:szCs w:val="20"/>
          <w:color w:val="auto"/>
        </w:rPr>
      </w:pPr>
      <w:r>
        <w:rPr>
          <w:rFonts w:ascii="Courier New" w:cs="Courier New" w:eastAsia="Courier New" w:hAnsi="Courier New"/>
          <w:sz w:val="18"/>
          <w:szCs w:val="18"/>
          <w:color w:val="auto"/>
        </w:rPr>
        <w:t>Securities Exchange Act of 1934 (the "1934" Act) and that</w:t>
      </w:r>
    </w:p>
    <w:p>
      <w:pPr>
        <w:spacing w:after="0" w:line="237" w:lineRule="auto"/>
        <w:rPr>
          <w:sz w:val="20"/>
          <w:szCs w:val="20"/>
          <w:color w:val="auto"/>
        </w:rPr>
      </w:pPr>
      <w:r>
        <w:rPr>
          <w:rFonts w:ascii="Courier New" w:cs="Courier New" w:eastAsia="Courier New" w:hAnsi="Courier New"/>
          <w:sz w:val="18"/>
          <w:szCs w:val="18"/>
          <w:color w:val="auto"/>
        </w:rPr>
        <w:t>they are not otherwise required to attribute to each other the</w:t>
      </w:r>
    </w:p>
    <w:p>
      <w:pPr>
        <w:spacing w:after="0" w:line="238" w:lineRule="auto"/>
        <w:rPr>
          <w:sz w:val="20"/>
          <w:szCs w:val="20"/>
          <w:color w:val="auto"/>
        </w:rPr>
      </w:pPr>
      <w:r>
        <w:rPr>
          <w:rFonts w:ascii="Courier New" w:cs="Courier New" w:eastAsia="Courier New" w:hAnsi="Courier New"/>
          <w:sz w:val="18"/>
          <w:szCs w:val="18"/>
          <w:color w:val="auto"/>
        </w:rPr>
        <w:t>"beneficial ownership" of securities "beneficially owned" by</w:t>
      </w:r>
    </w:p>
    <w:p>
      <w:pPr>
        <w:spacing w:after="0"/>
        <w:rPr>
          <w:sz w:val="20"/>
          <w:szCs w:val="20"/>
          <w:color w:val="auto"/>
        </w:rPr>
      </w:pPr>
      <w:r>
        <w:rPr>
          <w:rFonts w:ascii="Courier New" w:cs="Courier New" w:eastAsia="Courier New" w:hAnsi="Courier New"/>
          <w:sz w:val="18"/>
          <w:szCs w:val="18"/>
          <w:color w:val="auto"/>
        </w:rPr>
        <w:t>the other corporation within the meaning of Rule 13d-3</w:t>
      </w:r>
    </w:p>
    <w:p>
      <w:pPr>
        <w:spacing w:after="0"/>
        <w:tabs>
          <w:tab w:leader="none" w:pos="3460" w:val="left"/>
        </w:tabs>
        <w:rPr>
          <w:sz w:val="20"/>
          <w:szCs w:val="20"/>
          <w:color w:val="auto"/>
        </w:rPr>
      </w:pPr>
      <w:r>
        <w:rPr>
          <w:rFonts w:ascii="Courier New" w:cs="Courier New" w:eastAsia="Courier New" w:hAnsi="Courier New"/>
          <w:sz w:val="18"/>
          <w:szCs w:val="18"/>
          <w:color w:val="auto"/>
        </w:rPr>
        <w:t>promulgated under the 1934 Act.</w:t>
      </w:r>
      <w:r>
        <w:rPr>
          <w:sz w:val="20"/>
          <w:szCs w:val="20"/>
          <w:color w:val="auto"/>
        </w:rPr>
        <w:tab/>
      </w:r>
      <w:r>
        <w:rPr>
          <w:rFonts w:ascii="Courier New" w:cs="Courier New" w:eastAsia="Courier New" w:hAnsi="Courier New"/>
          <w:sz w:val="16"/>
          <w:szCs w:val="16"/>
          <w:color w:val="auto"/>
        </w:rPr>
        <w:t>Therefore, they are of the</w:t>
      </w:r>
    </w:p>
    <w:p>
      <w:pPr>
        <w:spacing w:after="0"/>
        <w:rPr>
          <w:sz w:val="20"/>
          <w:szCs w:val="20"/>
          <w:color w:val="auto"/>
        </w:rPr>
      </w:pPr>
      <w:r>
        <w:rPr>
          <w:rFonts w:ascii="Courier New" w:cs="Courier New" w:eastAsia="Courier New" w:hAnsi="Courier New"/>
          <w:sz w:val="18"/>
          <w:szCs w:val="18"/>
          <w:color w:val="auto"/>
        </w:rPr>
        <w:t>view that the shares held by the other corporation need not be</w:t>
      </w:r>
    </w:p>
    <w:p>
      <w:pPr>
        <w:spacing w:after="0" w:line="237" w:lineRule="auto"/>
        <w:rPr>
          <w:sz w:val="20"/>
          <w:szCs w:val="20"/>
          <w:color w:val="auto"/>
        </w:rPr>
      </w:pPr>
      <w:r>
        <w:rPr>
          <w:rFonts w:ascii="Courier New" w:cs="Courier New" w:eastAsia="Courier New" w:hAnsi="Courier New"/>
          <w:sz w:val="18"/>
          <w:szCs w:val="18"/>
          <w:color w:val="auto"/>
        </w:rPr>
        <w:t>aggregated for purposes of Section 13(d). However, FMR</w:t>
      </w:r>
    </w:p>
    <w:p>
      <w:pPr>
        <w:spacing w:after="0" w:line="5"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Corp. is making this filing on a voluntary basis as if all of the shares are beneficially owned by FMR Corp. and FIL on a joint basis.</w:t>
      </w:r>
    </w:p>
    <w:p>
      <w:pPr>
        <w:spacing w:after="0" w:line="209" w:lineRule="exact"/>
        <w:rPr>
          <w:sz w:val="20"/>
          <w:szCs w:val="20"/>
          <w:color w:val="auto"/>
        </w:rPr>
      </w:pPr>
    </w:p>
    <w:p>
      <w:pPr>
        <w:ind w:right="3579" w:firstLine="843"/>
        <w:spacing w:after="0" w:line="237" w:lineRule="auto"/>
        <w:rPr>
          <w:sz w:val="20"/>
          <w:szCs w:val="20"/>
          <w:color w:val="auto"/>
        </w:rPr>
      </w:pPr>
      <w:r>
        <w:rPr>
          <w:rFonts w:ascii="Courier New" w:cs="Courier New" w:eastAsia="Courier New" w:hAnsi="Courier New"/>
          <w:sz w:val="18"/>
          <w:szCs w:val="18"/>
          <w:color w:val="auto"/>
        </w:rPr>
        <w:t>FIL may continue to have the International Funds or other accounts purchase shares subject to a number of factors, including, among others, the availability of shares for sale at what FIL considers to be reasonable prices and other investment opportunities that may be available to the International Funds.</w:t>
      </w:r>
    </w:p>
    <w:p>
      <w:pPr>
        <w:spacing w:after="0" w:line="210" w:lineRule="exact"/>
        <w:rPr>
          <w:sz w:val="20"/>
          <w:szCs w:val="20"/>
          <w:color w:val="auto"/>
        </w:rPr>
      </w:pPr>
    </w:p>
    <w:p>
      <w:pPr>
        <w:ind w:right="3679" w:firstLine="843"/>
        <w:spacing w:after="0" w:line="268" w:lineRule="auto"/>
        <w:rPr>
          <w:sz w:val="20"/>
          <w:szCs w:val="20"/>
          <w:color w:val="auto"/>
        </w:rPr>
      </w:pPr>
      <w:r>
        <w:rPr>
          <w:rFonts w:ascii="Courier New" w:cs="Courier New" w:eastAsia="Courier New" w:hAnsi="Courier New"/>
          <w:sz w:val="16"/>
          <w:szCs w:val="16"/>
          <w:color w:val="auto"/>
        </w:rPr>
        <w:t>FIL intends to review continuously the equity position of the International Funds and other accounts in the Company. Depending upon its future evaluations of the business and prospects of the Company and upon other developments, including, but not limited to, general economic and business conditions and money market and stock market conditions,</w:t>
      </w:r>
    </w:p>
    <w:p>
      <w:pPr>
        <w:spacing w:after="0" w:line="1" w:lineRule="exact"/>
        <w:rPr>
          <w:sz w:val="20"/>
          <w:szCs w:val="20"/>
          <w:color w:val="auto"/>
        </w:rPr>
      </w:pPr>
    </w:p>
    <w:p>
      <w:pPr>
        <w:ind w:right="3679"/>
        <w:spacing w:after="0" w:line="237" w:lineRule="auto"/>
        <w:rPr>
          <w:sz w:val="20"/>
          <w:szCs w:val="20"/>
          <w:color w:val="auto"/>
        </w:rPr>
      </w:pPr>
      <w:r>
        <w:rPr>
          <w:rFonts w:ascii="Courier New" w:cs="Courier New" w:eastAsia="Courier New" w:hAnsi="Courier New"/>
          <w:sz w:val="18"/>
          <w:szCs w:val="18"/>
          <w:color w:val="auto"/>
        </w:rPr>
        <w:t>FIL may determine to cease making additional purchases of shares or to increase or decrease the equity interest in the Company by acquiring additional shares, or by disposing of all or a portion of the shares.</w:t>
      </w:r>
    </w:p>
    <w:p>
      <w:pPr>
        <w:spacing w:after="0" w:line="207" w:lineRule="exact"/>
        <w:rPr>
          <w:sz w:val="20"/>
          <w:szCs w:val="20"/>
          <w:color w:val="auto"/>
        </w:rPr>
      </w:pPr>
    </w:p>
    <w:p>
      <w:pPr>
        <w:ind w:right="3679" w:firstLine="843"/>
        <w:spacing w:after="0" w:line="268" w:lineRule="auto"/>
        <w:rPr>
          <w:sz w:val="20"/>
          <w:szCs w:val="20"/>
          <w:color w:val="auto"/>
        </w:rPr>
      </w:pPr>
      <w:r>
        <w:rPr>
          <w:rFonts w:ascii="Courier New" w:cs="Courier New" w:eastAsia="Courier New" w:hAnsi="Courier New"/>
          <w:sz w:val="16"/>
          <w:szCs w:val="16"/>
          <w:color w:val="auto"/>
        </w:rPr>
        <w:t>FIL does not have a present plan or proposal which relates to or would result in (i) an extraordinary corporate transaction, such as a merger, reorganization, liquidation, or sale or transfer of a material amount of assets involving the Company or any of its subsidiaries, (ii) any change in the Company's present Board of Directors or management, (iii)</w:t>
      </w:r>
    </w:p>
    <w:p>
      <w:pPr>
        <w:spacing w:after="0" w:line="1" w:lineRule="exact"/>
        <w:rPr>
          <w:sz w:val="20"/>
          <w:szCs w:val="20"/>
          <w:color w:val="auto"/>
        </w:rPr>
      </w:pPr>
    </w:p>
    <w:p>
      <w:pPr>
        <w:ind w:right="3779"/>
        <w:spacing w:after="0" w:line="272" w:lineRule="auto"/>
        <w:rPr>
          <w:sz w:val="20"/>
          <w:szCs w:val="20"/>
          <w:color w:val="auto"/>
        </w:rPr>
      </w:pPr>
      <w:r>
        <w:rPr>
          <w:rFonts w:ascii="Courier New" w:cs="Courier New" w:eastAsia="Courier New" w:hAnsi="Courier New"/>
          <w:sz w:val="16"/>
          <w:szCs w:val="16"/>
          <w:color w:val="auto"/>
        </w:rPr>
        <w:t>any material changes in the Company's present capitalization or dividend policy or any other material change in the Company's business or corporate structure, (iv) any change in the Company's charter or by-laws, or (v) the Company's common stock becoming eligible for termination of its registration pursuant to Section 12(g)(4) of the 1934 Act.</w:t>
      </w:r>
    </w:p>
    <w:p>
      <w:pPr>
        <w:spacing w:after="0" w:line="186" w:lineRule="exact"/>
        <w:rPr>
          <w:sz w:val="20"/>
          <w:szCs w:val="20"/>
          <w:color w:val="auto"/>
        </w:rPr>
      </w:pPr>
    </w:p>
    <w:p>
      <w:pPr>
        <w:ind w:right="4199" w:firstLine="843"/>
        <w:spacing w:after="0" w:line="235" w:lineRule="auto"/>
        <w:rPr>
          <w:sz w:val="20"/>
          <w:szCs w:val="20"/>
          <w:color w:val="auto"/>
        </w:rPr>
      </w:pPr>
      <w:r>
        <w:rPr>
          <w:rFonts w:ascii="Courier New" w:cs="Courier New" w:eastAsia="Courier New" w:hAnsi="Courier New"/>
          <w:sz w:val="18"/>
          <w:szCs w:val="18"/>
          <w:color w:val="auto"/>
        </w:rPr>
        <w:t>FIL has sole power to vote and the sole power to dispose of 341,571 shares.</w:t>
      </w:r>
    </w:p>
    <w:p>
      <w:pPr>
        <w:spacing w:after="0" w:line="200" w:lineRule="exact"/>
        <w:rPr>
          <w:sz w:val="20"/>
          <w:szCs w:val="20"/>
          <w:color w:val="auto"/>
        </w:rPr>
      </w:pPr>
    </w:p>
    <w:p>
      <w:pPr>
        <w:spacing w:after="0" w:line="205"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SCHEDULE 13G - TO BE INCLUDED IN</w:t>
      </w:r>
    </w:p>
    <w:p>
      <w:pPr>
        <w:spacing w:after="0" w:line="238" w:lineRule="auto"/>
        <w:rPr>
          <w:sz w:val="20"/>
          <w:szCs w:val="20"/>
          <w:color w:val="auto"/>
        </w:rPr>
      </w:pPr>
      <w:r>
        <w:rPr>
          <w:rFonts w:ascii="Courier New" w:cs="Courier New" w:eastAsia="Courier New" w:hAnsi="Courier New"/>
          <w:sz w:val="18"/>
          <w:szCs w:val="18"/>
          <w:color w:val="auto"/>
        </w:rPr>
        <w:t>STATEMENTS</w:t>
      </w:r>
    </w:p>
    <w:p>
      <w:pPr>
        <w:ind w:left="860"/>
        <w:spacing w:after="0"/>
        <w:rPr>
          <w:sz w:val="20"/>
          <w:szCs w:val="20"/>
          <w:color w:val="auto"/>
        </w:rPr>
      </w:pPr>
      <w:r>
        <w:rPr>
          <w:rFonts w:ascii="Courier New" w:cs="Courier New" w:eastAsia="Courier New" w:hAnsi="Courier New"/>
          <w:sz w:val="18"/>
          <w:szCs w:val="18"/>
          <w:color w:val="auto"/>
        </w:rPr>
        <w:t>FILED PURSUANT TO RULE 13d-1(b) or 13d-2(b)</w:t>
      </w:r>
    </w:p>
    <w:p>
      <w:pPr>
        <w:ind w:left="860"/>
        <w:spacing w:after="0"/>
        <w:tabs>
          <w:tab w:leader="none" w:pos="2720" w:val="left"/>
        </w:tabs>
        <w:rPr>
          <w:sz w:val="20"/>
          <w:szCs w:val="20"/>
          <w:color w:val="auto"/>
        </w:rPr>
      </w:pPr>
      <w:r>
        <w:rPr>
          <w:rFonts w:ascii="Courier New" w:cs="Courier New" w:eastAsia="Courier New" w:hAnsi="Courier New"/>
          <w:sz w:val="18"/>
          <w:szCs w:val="18"/>
          <w:color w:val="auto"/>
        </w:rPr>
        <w:t>RULE 13d-1(f)(1)</w:t>
      </w:r>
      <w:r>
        <w:rPr>
          <w:sz w:val="20"/>
          <w:szCs w:val="20"/>
          <w:color w:val="auto"/>
        </w:rPr>
        <w:tab/>
      </w:r>
      <w:r>
        <w:rPr>
          <w:rFonts w:ascii="Courier New" w:cs="Courier New" w:eastAsia="Courier New" w:hAnsi="Courier New"/>
          <w:sz w:val="16"/>
          <w:szCs w:val="16"/>
          <w:color w:val="auto"/>
        </w:rPr>
        <w:t>AGREEMENT</w:t>
      </w:r>
    </w:p>
    <w:p>
      <w:pPr>
        <w:sectPr>
          <w:pgSz w:w="11900" w:h="16838" w:orient="portrait"/>
          <w:cols w:equalWidth="0" w:num="1">
            <w:col w:w="10219"/>
          </w:cols>
          <w:pgMar w:left="240" w:top="142" w:right="1440" w:bottom="0" w:gutter="0" w:footer="0" w:header="0"/>
        </w:sectPr>
      </w:pPr>
    </w:p>
    <w:bookmarkStart w:id="4" w:name="page5"/>
    <w:bookmarkEnd w:id="4"/>
    <w:p>
      <w:pPr>
        <w:ind w:left="860"/>
        <w:spacing w:after="0"/>
        <w:rPr>
          <w:sz w:val="20"/>
          <w:szCs w:val="20"/>
          <w:color w:val="auto"/>
        </w:rPr>
      </w:pPr>
      <w:r>
        <w:rPr>
          <w:rFonts w:ascii="Courier New" w:cs="Courier New" w:eastAsia="Courier New" w:hAnsi="Courier New"/>
          <w:sz w:val="18"/>
          <w:szCs w:val="18"/>
          <w:color w:val="auto"/>
        </w:rPr>
        <w:t>The undersigned persons, on January 12, 2004, agree</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and consent to the joint filing on their behalf of this Schedule</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13G in connection with their beneficial ownership of the</w:t>
      </w:r>
    </w:p>
    <w:p>
      <w:pPr>
        <w:spacing w:after="0" w:line="238" w:lineRule="auto"/>
        <w:rPr>
          <w:sz w:val="20"/>
          <w:szCs w:val="20"/>
          <w:color w:val="auto"/>
        </w:rPr>
      </w:pPr>
      <w:r>
        <w:rPr>
          <w:rFonts w:ascii="Courier New" w:cs="Courier New" w:eastAsia="Courier New" w:hAnsi="Courier New"/>
          <w:sz w:val="18"/>
          <w:szCs w:val="18"/>
          <w:color w:val="auto"/>
        </w:rPr>
        <w:t>Common Stock of ICON PLC at December 31, 2003.</w:t>
      </w:r>
    </w:p>
    <w:p>
      <w:pPr>
        <w:spacing w:after="0" w:line="202"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FMR Corp.</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By /s/ Eric D. Roiter</w:t>
      </w:r>
    </w:p>
    <w:p>
      <w:pPr>
        <w:ind w:left="860"/>
        <w:spacing w:after="0" w:line="238" w:lineRule="auto"/>
        <w:rPr>
          <w:sz w:val="20"/>
          <w:szCs w:val="20"/>
          <w:color w:val="auto"/>
        </w:rPr>
      </w:pPr>
      <w:r>
        <w:rPr>
          <w:rFonts w:ascii="Courier New" w:cs="Courier New" w:eastAsia="Courier New" w:hAnsi="Courier New"/>
          <w:sz w:val="18"/>
          <w:szCs w:val="18"/>
          <w:color w:val="auto"/>
        </w:rPr>
        <w:t>Eric D. Roiter</w:t>
      </w:r>
    </w:p>
    <w:p>
      <w:pPr>
        <w:ind w:left="860"/>
        <w:spacing w:after="0"/>
        <w:rPr>
          <w:sz w:val="20"/>
          <w:szCs w:val="20"/>
          <w:color w:val="auto"/>
        </w:rPr>
      </w:pPr>
      <w:r>
        <w:rPr>
          <w:rFonts w:ascii="Courier New" w:cs="Courier New" w:eastAsia="Courier New" w:hAnsi="Courier New"/>
          <w:sz w:val="18"/>
          <w:szCs w:val="18"/>
          <w:color w:val="auto"/>
        </w:rPr>
        <w:t>Duly authorized under Power of Attorney</w:t>
      </w:r>
    </w:p>
    <w:p>
      <w:pPr>
        <w:ind w:left="860"/>
        <w:spacing w:after="0" w:line="237" w:lineRule="auto"/>
        <w:rPr>
          <w:sz w:val="20"/>
          <w:szCs w:val="20"/>
          <w:color w:val="auto"/>
        </w:rPr>
      </w:pPr>
      <w:r>
        <w:rPr>
          <w:rFonts w:ascii="Courier New" w:cs="Courier New" w:eastAsia="Courier New" w:hAnsi="Courier New"/>
          <w:sz w:val="18"/>
          <w:szCs w:val="18"/>
          <w:color w:val="auto"/>
        </w:rPr>
        <w:t>dated December 30, 1997, by and on behalf</w:t>
      </w:r>
    </w:p>
    <w:p>
      <w:pPr>
        <w:ind w:left="860"/>
        <w:spacing w:after="0" w:line="238" w:lineRule="auto"/>
        <w:rPr>
          <w:sz w:val="20"/>
          <w:szCs w:val="20"/>
          <w:color w:val="auto"/>
        </w:rPr>
      </w:pPr>
      <w:r>
        <w:rPr>
          <w:rFonts w:ascii="Courier New" w:cs="Courier New" w:eastAsia="Courier New" w:hAnsi="Courier New"/>
          <w:sz w:val="18"/>
          <w:szCs w:val="18"/>
          <w:color w:val="auto"/>
        </w:rPr>
        <w:t>of FMR Corp. and its direct and indirect</w:t>
      </w:r>
    </w:p>
    <w:p>
      <w:pPr>
        <w:ind w:left="860"/>
        <w:spacing w:after="0"/>
        <w:rPr>
          <w:sz w:val="20"/>
          <w:szCs w:val="20"/>
          <w:color w:val="auto"/>
        </w:rPr>
      </w:pPr>
      <w:r>
        <w:rPr>
          <w:rFonts w:ascii="Courier New" w:cs="Courier New" w:eastAsia="Courier New" w:hAnsi="Courier New"/>
          <w:sz w:val="18"/>
          <w:szCs w:val="18"/>
          <w:color w:val="auto"/>
        </w:rPr>
        <w:t>subsidiaries</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Edward C. Johnson 3d</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By /s/ Eric D. Roiter</w:t>
      </w:r>
    </w:p>
    <w:p>
      <w:pPr>
        <w:ind w:left="860"/>
        <w:spacing w:after="0" w:line="238" w:lineRule="auto"/>
        <w:rPr>
          <w:sz w:val="20"/>
          <w:szCs w:val="20"/>
          <w:color w:val="auto"/>
        </w:rPr>
      </w:pPr>
      <w:r>
        <w:rPr>
          <w:rFonts w:ascii="Courier New" w:cs="Courier New" w:eastAsia="Courier New" w:hAnsi="Courier New"/>
          <w:sz w:val="18"/>
          <w:szCs w:val="18"/>
          <w:color w:val="auto"/>
        </w:rPr>
        <w:t>Eric D. Roiter</w:t>
      </w:r>
    </w:p>
    <w:p>
      <w:pPr>
        <w:ind w:left="860"/>
        <w:spacing w:after="0"/>
        <w:rPr>
          <w:sz w:val="20"/>
          <w:szCs w:val="20"/>
          <w:color w:val="auto"/>
        </w:rPr>
      </w:pPr>
      <w:r>
        <w:rPr>
          <w:rFonts w:ascii="Courier New" w:cs="Courier New" w:eastAsia="Courier New" w:hAnsi="Courier New"/>
          <w:sz w:val="18"/>
          <w:szCs w:val="18"/>
          <w:color w:val="auto"/>
        </w:rPr>
        <w:t>Duly authorized under Power of Attorney</w:t>
      </w:r>
    </w:p>
    <w:p>
      <w:pPr>
        <w:ind w:left="860"/>
        <w:spacing w:after="0" w:line="237" w:lineRule="auto"/>
        <w:rPr>
          <w:sz w:val="20"/>
          <w:szCs w:val="20"/>
          <w:color w:val="auto"/>
        </w:rPr>
      </w:pPr>
      <w:r>
        <w:rPr>
          <w:rFonts w:ascii="Courier New" w:cs="Courier New" w:eastAsia="Courier New" w:hAnsi="Courier New"/>
          <w:sz w:val="18"/>
          <w:szCs w:val="18"/>
          <w:color w:val="auto"/>
        </w:rPr>
        <w:t>dated December 30, 1997, by and on behalf</w:t>
      </w:r>
    </w:p>
    <w:p>
      <w:pPr>
        <w:ind w:left="860"/>
        <w:spacing w:after="0" w:line="238" w:lineRule="auto"/>
        <w:rPr>
          <w:sz w:val="20"/>
          <w:szCs w:val="20"/>
          <w:color w:val="auto"/>
        </w:rPr>
      </w:pPr>
      <w:r>
        <w:rPr>
          <w:rFonts w:ascii="Courier New" w:cs="Courier New" w:eastAsia="Courier New" w:hAnsi="Courier New"/>
          <w:sz w:val="18"/>
          <w:szCs w:val="18"/>
          <w:color w:val="auto"/>
        </w:rPr>
        <w:t>of Edward C. Johnson 3d</w:t>
      </w:r>
    </w:p>
    <w:p>
      <w:pPr>
        <w:spacing w:after="0" w:line="202"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Abigail P. Johnson</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By /s/ Eric D. Roiter</w:t>
      </w:r>
    </w:p>
    <w:p>
      <w:pPr>
        <w:ind w:left="860"/>
        <w:spacing w:after="0" w:line="238" w:lineRule="auto"/>
        <w:rPr>
          <w:sz w:val="20"/>
          <w:szCs w:val="20"/>
          <w:color w:val="auto"/>
        </w:rPr>
      </w:pPr>
      <w:r>
        <w:rPr>
          <w:rFonts w:ascii="Courier New" w:cs="Courier New" w:eastAsia="Courier New" w:hAnsi="Courier New"/>
          <w:sz w:val="18"/>
          <w:szCs w:val="18"/>
          <w:color w:val="auto"/>
        </w:rPr>
        <w:t>Eric D. Roiter</w:t>
      </w:r>
    </w:p>
    <w:p>
      <w:pPr>
        <w:ind w:left="860"/>
        <w:spacing w:after="0"/>
        <w:rPr>
          <w:sz w:val="20"/>
          <w:szCs w:val="20"/>
          <w:color w:val="auto"/>
        </w:rPr>
      </w:pPr>
      <w:r>
        <w:rPr>
          <w:rFonts w:ascii="Courier New" w:cs="Courier New" w:eastAsia="Courier New" w:hAnsi="Courier New"/>
          <w:sz w:val="18"/>
          <w:szCs w:val="18"/>
          <w:color w:val="auto"/>
        </w:rPr>
        <w:t>Duly authorized under Power of Attorney</w:t>
      </w:r>
    </w:p>
    <w:p>
      <w:pPr>
        <w:ind w:left="860"/>
        <w:spacing w:after="0" w:line="237" w:lineRule="auto"/>
        <w:rPr>
          <w:sz w:val="20"/>
          <w:szCs w:val="20"/>
          <w:color w:val="auto"/>
        </w:rPr>
      </w:pPr>
      <w:r>
        <w:rPr>
          <w:rFonts w:ascii="Courier New" w:cs="Courier New" w:eastAsia="Courier New" w:hAnsi="Courier New"/>
          <w:sz w:val="18"/>
          <w:szCs w:val="18"/>
          <w:color w:val="auto"/>
        </w:rPr>
        <w:t>dated December 30, 1997, by and on behalf</w:t>
      </w:r>
    </w:p>
    <w:p>
      <w:pPr>
        <w:ind w:left="860"/>
        <w:spacing w:after="0" w:line="238" w:lineRule="auto"/>
        <w:rPr>
          <w:sz w:val="20"/>
          <w:szCs w:val="20"/>
          <w:color w:val="auto"/>
        </w:rPr>
      </w:pPr>
      <w:r>
        <w:rPr>
          <w:rFonts w:ascii="Courier New" w:cs="Courier New" w:eastAsia="Courier New" w:hAnsi="Courier New"/>
          <w:sz w:val="18"/>
          <w:szCs w:val="18"/>
          <w:color w:val="auto"/>
        </w:rPr>
        <w:t>of Abigail P. Johnson</w:t>
      </w:r>
    </w:p>
    <w:p>
      <w:pPr>
        <w:spacing w:after="0" w:line="202"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Fidelity Management &amp; Research Company</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By /s/ Eric D. Roiter</w:t>
      </w:r>
    </w:p>
    <w:p>
      <w:pPr>
        <w:ind w:left="860"/>
        <w:spacing w:after="0" w:line="238" w:lineRule="auto"/>
        <w:rPr>
          <w:sz w:val="20"/>
          <w:szCs w:val="20"/>
          <w:color w:val="auto"/>
        </w:rPr>
      </w:pPr>
      <w:r>
        <w:rPr>
          <w:rFonts w:ascii="Courier New" w:cs="Courier New" w:eastAsia="Courier New" w:hAnsi="Courier New"/>
          <w:sz w:val="18"/>
          <w:szCs w:val="18"/>
          <w:color w:val="auto"/>
        </w:rPr>
        <w:t>Eric D. Roiter</w:t>
      </w:r>
    </w:p>
    <w:p>
      <w:pPr>
        <w:ind w:left="860"/>
        <w:spacing w:after="0"/>
        <w:rPr>
          <w:sz w:val="20"/>
          <w:szCs w:val="20"/>
          <w:color w:val="auto"/>
        </w:rPr>
      </w:pPr>
      <w:r>
        <w:rPr>
          <w:rFonts w:ascii="Courier New" w:cs="Courier New" w:eastAsia="Courier New" w:hAnsi="Courier New"/>
          <w:sz w:val="18"/>
          <w:szCs w:val="18"/>
          <w:color w:val="auto"/>
        </w:rPr>
        <w:t>Senior V.P. and General Counsel</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lowerLetter"/>
      <w:start w:val="3"/>
    </w:lvl>
  </w:abstractNum>
  <w:abstractNum w:abstractNumId="1">
    <w:nsid w:val="19495CFF"/>
    <w:multiLevelType w:val="hybridMultilevel"/>
    <w:lvl w:ilvl="0">
      <w:lvlJc w:val="left"/>
      <w:lvlText w:val="(%1)"/>
      <w:numFmt w:val="lowerRoman"/>
      <w:start w:val="2"/>
    </w:lvl>
  </w:abstractNum>
  <w:abstractNum w:abstractNumId="2">
    <w:nsid w:val="2AE8944A"/>
    <w:multiLevelType w:val="hybridMultilevel"/>
    <w:lvl w:ilvl="0">
      <w:lvlJc w:val="left"/>
      <w:lvlText w:val="(%1)"/>
      <w:numFmt w:val="lowerRoman"/>
      <w:start w:val="3"/>
    </w:lvl>
  </w:abstractNum>
  <w:abstractNum w:abstractNumId="3">
    <w:nsid w:val="625558EC"/>
    <w:multiLevelType w:val="hybridMultilevel"/>
    <w:lvl w:ilvl="0">
      <w:lvlJc w:val="left"/>
      <w:lvlText w:val="(%1)"/>
      <w:numFmt w:val="lowerRoman"/>
      <w:start w:val="4"/>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2019-12-12T01:14:41Z</dcterms:created>
  <dcterms:modified xsi:type="dcterms:W3CDTF">2019-12-12T01:14:41Z</dcterms:modified>
</cp:coreProperties>
</file>