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April, 2012</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0011-353-1-291-2000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684"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684" w:right="359" w:bottom="1440" w:gutter="0" w:footer="0" w:header="0"/>
          <w:type w:val="continuous"/>
        </w:sectPr>
      </w:pPr>
    </w:p>
    <w:bookmarkStart w:id="1" w:name="page2"/>
    <w:bookmarkEnd w:id="1"/>
    <w:p>
      <w:pPr>
        <w:jc w:val="right"/>
        <w:ind w:right="3899"/>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Icon plc Press Release dated April 24,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560" w:val="left"/>
          <w:tab w:leader="none" w:pos="6840" w:val="left"/>
        </w:tabs>
        <w:rPr>
          <w:sz w:val="20"/>
          <w:szCs w:val="20"/>
          <w:color w:val="auto"/>
        </w:rPr>
      </w:pPr>
      <w:r>
        <w:rPr>
          <w:rFonts w:ascii="Arial" w:cs="Arial" w:eastAsia="Arial" w:hAnsi="Arial"/>
          <w:sz w:val="18"/>
          <w:szCs w:val="18"/>
          <w:color w:val="auto"/>
        </w:rPr>
        <w:t>Date:</w:t>
        <w:tab/>
        <w:t>April 24, 2012</w:t>
      </w:r>
      <w:r>
        <w:rPr>
          <w:sz w:val="20"/>
          <w:szCs w:val="20"/>
          <w:color w:val="auto"/>
        </w:rPr>
        <w:tab/>
      </w:r>
      <w:r>
        <w:rPr>
          <w:rFonts w:ascii="Arial" w:cs="Arial" w:eastAsia="Arial" w:hAnsi="Arial"/>
          <w:sz w:val="16"/>
          <w:szCs w:val="16"/>
          <w:u w:val="single" w:color="auto"/>
          <w:color w:val="auto"/>
        </w:rPr>
        <w:t>/s/ 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240" w:top="580"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1st Quarter Results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DUBLIN--(BUSINESS WIRE)--April 24, 2012--</w:t>
      </w:r>
    </w:p>
    <w:p>
      <w:pPr>
        <w:spacing w:after="0" w:line="200" w:lineRule="exact"/>
        <w:rPr>
          <w:sz w:val="20"/>
          <w:szCs w:val="20"/>
          <w:color w:val="auto"/>
        </w:rPr>
      </w:pPr>
    </w:p>
    <w:p>
      <w:pPr>
        <w:ind w:right="700"/>
        <w:spacing w:after="0" w:line="256" w:lineRule="auto"/>
        <w:rPr>
          <w:sz w:val="20"/>
          <w:szCs w:val="20"/>
          <w:color w:val="auto"/>
        </w:rPr>
      </w:pPr>
      <w:r>
        <w:rPr>
          <w:rFonts w:ascii="Arial" w:cs="Arial" w:eastAsia="Arial" w:hAnsi="Arial"/>
          <w:sz w:val="22"/>
          <w:szCs w:val="22"/>
          <w:b w:val="1"/>
          <w:bCs w:val="1"/>
          <w:color w:val="auto"/>
        </w:rPr>
        <w:t>ICON reports a 10% increase in first quarter 2012 revenue to $252m, up 10% year on year, EPS of 15 cents, net new business awards of $385 million and a B:B of 1.5. (NASDAQ:ICLR) (ISIN:IE0005711209)</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 – First Quarter Fiscal 2012.</w:t>
      </w:r>
    </w:p>
    <w:p>
      <w:pPr>
        <w:spacing w:after="0" w:line="212" w:lineRule="exact"/>
        <w:rPr>
          <w:sz w:val="20"/>
          <w:szCs w:val="20"/>
          <w:color w:val="auto"/>
        </w:rPr>
      </w:pP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Q1 net revenues increased 10% year on year to $252 million.</w:t>
      </w:r>
    </w:p>
    <w:p>
      <w:pPr>
        <w:spacing w:after="0" w:line="206" w:lineRule="exact"/>
        <w:rPr>
          <w:rFonts w:ascii="Arial" w:cs="Arial" w:eastAsia="Arial" w:hAnsi="Arial"/>
          <w:sz w:val="22"/>
          <w:szCs w:val="22"/>
          <w:color w:val="auto"/>
        </w:rPr>
      </w:pP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Q1 operating income was 5% or $11.7 million.</w:t>
      </w:r>
    </w:p>
    <w:p>
      <w:pPr>
        <w:spacing w:after="0" w:line="206" w:lineRule="exact"/>
        <w:rPr>
          <w:rFonts w:ascii="Arial" w:cs="Arial" w:eastAsia="Arial" w:hAnsi="Arial"/>
          <w:sz w:val="22"/>
          <w:szCs w:val="22"/>
          <w:color w:val="auto"/>
        </w:rPr>
      </w:pP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EPS for Q1 was 15 cents.</w:t>
      </w:r>
    </w:p>
    <w:p>
      <w:pPr>
        <w:spacing w:after="0" w:line="206" w:lineRule="exact"/>
        <w:rPr>
          <w:rFonts w:ascii="Arial" w:cs="Arial" w:eastAsia="Arial" w:hAnsi="Arial"/>
          <w:sz w:val="22"/>
          <w:szCs w:val="22"/>
          <w:color w:val="auto"/>
        </w:rPr>
      </w:pP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Q1 gross business wins $485 million, net business awards of $385 million, and a book-to-bill of 1.5.</w:t>
      </w:r>
    </w:p>
    <w:p>
      <w:pPr>
        <w:spacing w:after="0" w:line="200" w:lineRule="exact"/>
        <w:rPr>
          <w:sz w:val="20"/>
          <w:szCs w:val="20"/>
          <w:color w:val="auto"/>
        </w:rPr>
      </w:pPr>
    </w:p>
    <w:p>
      <w:pPr>
        <w:jc w:val="both"/>
        <w:ind w:right="20"/>
        <w:spacing w:after="0" w:line="243" w:lineRule="auto"/>
        <w:rPr>
          <w:sz w:val="20"/>
          <w:szCs w:val="20"/>
          <w:color w:val="auto"/>
        </w:rPr>
      </w:pPr>
      <w:r>
        <w:rPr>
          <w:rFonts w:ascii="Arial" w:cs="Arial" w:eastAsia="Arial" w:hAnsi="Arial"/>
          <w:sz w:val="22"/>
          <w:szCs w:val="22"/>
          <w:b w:val="1"/>
          <w:bCs w:val="1"/>
          <w:color w:val="auto"/>
        </w:rPr>
        <w:t>Dublin, Ireland, April 24, 2012 – ICON (NASDAQ: ICLR) (ISIN:IE0005711209)</w:t>
      </w:r>
      <w:r>
        <w:rPr>
          <w:rFonts w:ascii="Arial" w:cs="Arial" w:eastAsia="Arial" w:hAnsi="Arial"/>
          <w:sz w:val="22"/>
          <w:szCs w:val="22"/>
          <w:color w:val="auto"/>
        </w:rPr>
        <w:t>, a global provider of outsourced development</w:t>
      </w:r>
      <w:r>
        <w:rPr>
          <w:rFonts w:ascii="Arial" w:cs="Arial" w:eastAsia="Arial" w:hAnsi="Arial"/>
          <w:sz w:val="22"/>
          <w:szCs w:val="22"/>
          <w:b w:val="1"/>
          <w:bCs w:val="1"/>
          <w:color w:val="auto"/>
        </w:rPr>
        <w:t xml:space="preserve"> </w:t>
      </w:r>
      <w:r>
        <w:rPr>
          <w:rFonts w:ascii="Arial" w:cs="Arial" w:eastAsia="Arial" w:hAnsi="Arial"/>
          <w:sz w:val="22"/>
          <w:szCs w:val="22"/>
          <w:color w:val="auto"/>
        </w:rPr>
        <w:t>services to the pharmaceutical, biotechnology and medical device industries, today reported its financial results for the first quarter ended March 31, 2012.</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auto"/>
        </w:rPr>
        <w:t>For the first quarter net revenues grew 10% year on year to $252.3 million from $229.3 in Q1 2011.</w:t>
      </w:r>
    </w:p>
    <w:p>
      <w:pPr>
        <w:spacing w:after="0" w:line="206"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Operating income was $11.7 million representing 4.6% of revenue, this compared to $16.0 million (excluding non-recurring items of $5.0 million) or 7% of revenue for the same quarter last year (4.8% including non-recurring items).</w:t>
      </w:r>
    </w:p>
    <w:p>
      <w:pPr>
        <w:spacing w:after="0" w:line="17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Net income was $9.0 million compared with $12.8 million last year (excluding non-recurring items) or 15 cents per share compared to 21 cents in the same quarter last year (14 cents including non-recurring items).</w:t>
      </w:r>
    </w:p>
    <w:p>
      <w:pPr>
        <w:spacing w:after="0" w:line="173" w:lineRule="exact"/>
        <w:rPr>
          <w:sz w:val="20"/>
          <w:szCs w:val="20"/>
          <w:color w:val="auto"/>
        </w:rPr>
      </w:pPr>
    </w:p>
    <w:p>
      <w:pPr>
        <w:ind w:right="220"/>
        <w:spacing w:after="0" w:line="251" w:lineRule="auto"/>
        <w:rPr>
          <w:sz w:val="20"/>
          <w:szCs w:val="20"/>
          <w:color w:val="auto"/>
        </w:rPr>
      </w:pPr>
      <w:r>
        <w:rPr>
          <w:rFonts w:ascii="Arial" w:cs="Arial" w:eastAsia="Arial" w:hAnsi="Arial"/>
          <w:sz w:val="22"/>
          <w:szCs w:val="22"/>
          <w:color w:val="auto"/>
        </w:rPr>
        <w:t>Days sales outstanding, comprising accounts receivable and unbilled revenue less payments on account was 37 days at March 31, 2012 compared with 47 days at December 31, 2011 and 49 days at March 31, 2011.</w:t>
      </w:r>
    </w:p>
    <w:p>
      <w:pPr>
        <w:spacing w:after="0" w:line="173" w:lineRule="exact"/>
        <w:rPr>
          <w:sz w:val="20"/>
          <w:szCs w:val="20"/>
          <w:color w:val="auto"/>
        </w:rPr>
      </w:pPr>
    </w:p>
    <w:p>
      <w:pPr>
        <w:ind w:right="400"/>
        <w:spacing w:after="0" w:line="287" w:lineRule="auto"/>
        <w:rPr>
          <w:sz w:val="20"/>
          <w:szCs w:val="20"/>
          <w:color w:val="auto"/>
        </w:rPr>
      </w:pPr>
      <w:r>
        <w:rPr>
          <w:rFonts w:ascii="Arial" w:cs="Arial" w:eastAsia="Arial" w:hAnsi="Arial"/>
          <w:sz w:val="19"/>
          <w:szCs w:val="19"/>
          <w:color w:val="auto"/>
        </w:rPr>
        <w:t>For the quarter ended March 31, 2012 cash provided by operating activities was $60.6 million and capital expenditure was $6.5 million. In addition, the Company invested $48.6 million on the acquisitions of Beijing Wits Medical Consulting Ltd and PriceSpective LLC. The Company also expended $1.4 million on a stock repurchase programme. As a result the company’s net cash amounted to $186.0 million at March 31, 2012 compared to $174.2 million of net cash at December 31, 2011.</w:t>
      </w:r>
    </w:p>
    <w:p>
      <w:pPr>
        <w:spacing w:after="0" w:line="143" w:lineRule="exact"/>
        <w:rPr>
          <w:sz w:val="20"/>
          <w:szCs w:val="20"/>
          <w:color w:val="auto"/>
        </w:rPr>
      </w:pPr>
    </w:p>
    <w:p>
      <w:pPr>
        <w:ind w:right="20"/>
        <w:spacing w:after="0"/>
        <w:rPr>
          <w:sz w:val="20"/>
          <w:szCs w:val="20"/>
          <w:color w:val="auto"/>
        </w:rPr>
      </w:pPr>
      <w:r>
        <w:rPr>
          <w:rFonts w:ascii="Arial" w:cs="Arial" w:eastAsia="Arial" w:hAnsi="Arial"/>
          <w:sz w:val="22"/>
          <w:szCs w:val="22"/>
          <w:color w:val="auto"/>
        </w:rPr>
        <w:t>Commenting on the results, Chief Executive Officer, Ciaran Murray, said “We continue to see the benefits of our strategic investment decisions, with record gross business wins of $485 million, resulting in a backlog increase of 23% year on year, revenue of $252 million up 10% on last year and earnings of 15 cents.”</w:t>
      </w:r>
    </w:p>
    <w:p>
      <w:pPr>
        <w:spacing w:after="0" w:line="186" w:lineRule="exact"/>
        <w:rPr>
          <w:sz w:val="20"/>
          <w:szCs w:val="20"/>
          <w:color w:val="auto"/>
        </w:rPr>
      </w:pPr>
    </w:p>
    <w:p>
      <w:pPr>
        <w:jc w:val="both"/>
        <w:ind w:right="360"/>
        <w:spacing w:after="0" w:line="287" w:lineRule="auto"/>
        <w:rPr>
          <w:sz w:val="20"/>
          <w:szCs w:val="20"/>
          <w:color w:val="auto"/>
        </w:rPr>
      </w:pPr>
      <w:r>
        <w:rPr>
          <w:rFonts w:ascii="Arial" w:cs="Arial" w:eastAsia="Arial" w:hAnsi="Arial"/>
          <w:sz w:val="19"/>
          <w:szCs w:val="19"/>
          <w:color w:val="auto"/>
        </w:rPr>
        <w:t>In addition to the financial measures prepared in accordance with generally accepted accounting principles (GAAP), this press release contains certain non-GAAP financial measures, including non-GAAP operating and net income and non-GAAP diluted earnings per share. While non-GAAP financial measures are not superior to or a substitute for the comparable GAAP measures, ICON believes certain non-GAAP information is useful to investors for historical comparison purposes.</w:t>
      </w:r>
    </w:p>
    <w:p>
      <w:pPr>
        <w:spacing w:after="0" w:line="143" w:lineRule="exact"/>
        <w:rPr>
          <w:sz w:val="20"/>
          <w:szCs w:val="20"/>
          <w:color w:val="auto"/>
        </w:rPr>
      </w:pPr>
    </w:p>
    <w:p>
      <w:pPr>
        <w:ind w:right="240"/>
        <w:spacing w:after="0" w:line="252" w:lineRule="auto"/>
        <w:rPr>
          <w:sz w:val="20"/>
          <w:szCs w:val="20"/>
          <w:color w:val="auto"/>
        </w:rPr>
      </w:pPr>
      <w:r>
        <w:rPr>
          <w:rFonts w:ascii="Arial" w:cs="Arial" w:eastAsia="Arial" w:hAnsi="Arial"/>
          <w:sz w:val="21"/>
          <w:szCs w:val="21"/>
          <w:color w:val="auto"/>
        </w:rPr>
        <w:t>The company will hold its fourth quarter conference call today, April 24, 2012 at 9:00 EST [14:00 Ireland &amp; UK]. This call and associated slide presentation can be accessed live from our website at http://www.iconplc.com.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111760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line="235" w:lineRule="auto"/>
        <w:rPr>
          <w:sz w:val="20"/>
          <w:szCs w:val="20"/>
          <w:color w:val="auto"/>
        </w:rPr>
      </w:pPr>
      <w:r>
        <w:rPr>
          <w:rFonts w:ascii="Arial" w:cs="Arial" w:eastAsia="Arial" w:hAnsi="Arial"/>
          <w:sz w:val="22"/>
          <w:szCs w:val="22"/>
          <w:color w:val="auto"/>
        </w:rPr>
        <w:t>The statements made in this press release may contain forward-looking statements that involve a number of risks and uncertainties. In addition to the matters described in this Press Release, the ability to maintain large client contracts or enter into new contracts, maintain client relationships and the ability to manage the opening of new offices, the integration of new business mergers and acquisitions, as well as other risks and uncertainties detailed from time to time in SEC reports filed by ICON, including its Form 20-F, F-1, S-8 and F-3, may affect the actual results achieved by ICON. ICON disclaims any intent or obligation to update these forward-looking statements.</w:t>
      </w:r>
    </w:p>
    <w:p>
      <w:pPr>
        <w:spacing w:after="0" w:line="189" w:lineRule="exact"/>
        <w:rPr>
          <w:sz w:val="20"/>
          <w:szCs w:val="20"/>
          <w:color w:val="auto"/>
        </w:rPr>
      </w:pPr>
    </w:p>
    <w:p>
      <w:pPr>
        <w:ind w:right="480"/>
        <w:spacing w:after="0" w:line="236" w:lineRule="auto"/>
        <w:rPr>
          <w:sz w:val="20"/>
          <w:szCs w:val="20"/>
          <w:color w:val="auto"/>
        </w:rPr>
      </w:pPr>
      <w:r>
        <w:rPr>
          <w:rFonts w:ascii="Arial" w:cs="Arial" w:eastAsia="Arial" w:hAnsi="Arial"/>
          <w:sz w:val="22"/>
          <w:szCs w:val="22"/>
          <w:color w:val="auto"/>
        </w:rPr>
        <w:t xml:space="preserve">ICON plc is a global provider of outsourced development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84 locations in 40 countries and has approximately 8,670 employees. 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Source: ICON plc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Contact : Investor Relations 1-888-381-7923 or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Brendan Brennan Chief Financial Officer + 353 –1-291-2000</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Sam Farthing VP Investor Relations + 353 –1-291-2000</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All at 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sectPr>
      </w:pPr>
    </w:p>
    <w:bookmarkStart w:id="5" w:name="page6"/>
    <w:bookmarkEnd w:id="5"/>
    <w:p>
      <w:pPr>
        <w:jc w:val="center"/>
        <w:ind w:right="-139"/>
        <w:spacing w:after="0"/>
        <w:rPr>
          <w:sz w:val="20"/>
          <w:szCs w:val="20"/>
          <w:color w:val="auto"/>
        </w:rPr>
      </w:pPr>
      <w:r>
        <w:rPr>
          <w:rFonts w:ascii="Arial" w:cs="Arial" w:eastAsia="Arial" w:hAnsi="Arial"/>
          <w:sz w:val="14"/>
          <w:szCs w:val="14"/>
          <w:b w:val="1"/>
          <w:bCs w:val="1"/>
          <w:color w:val="auto"/>
        </w:rPr>
        <w:t>ICON plc</w:t>
      </w:r>
    </w:p>
    <w:p>
      <w:pPr>
        <w:spacing w:after="0" w:line="190"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Consolidated Income Statements (Unaudited) (Before non-recurring Charges)</w:t>
      </w:r>
    </w:p>
    <w:p>
      <w:pPr>
        <w:spacing w:after="0" w:line="190"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Three Months ended March 31, 2012 and March 31, 2011</w:t>
      </w:r>
    </w:p>
    <w:p>
      <w:pPr>
        <w:spacing w:after="0" w:line="25"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(Dollars, in thousands, except share and per share data)</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540" w:type="dxa"/>
            <w:vAlign w:val="bottom"/>
          </w:tcPr>
          <w:p>
            <w:pPr>
              <w:spacing w:after="0"/>
              <w:rPr>
                <w:sz w:val="15"/>
                <w:szCs w:val="15"/>
                <w:color w:val="auto"/>
              </w:rPr>
            </w:pPr>
          </w:p>
        </w:tc>
        <w:tc>
          <w:tcPr>
            <w:tcW w:w="2920" w:type="dxa"/>
            <w:vAlign w:val="bottom"/>
            <w:gridSpan w:val="3"/>
          </w:tcPr>
          <w:p>
            <w:pPr>
              <w:ind w:left="1280"/>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40" w:type="dxa"/>
            <w:vAlign w:val="bottom"/>
          </w:tcPr>
          <w:p>
            <w:pPr>
              <w:spacing w:after="0"/>
              <w:rPr>
                <w:sz w:val="15"/>
                <w:szCs w:val="15"/>
                <w:color w:val="auto"/>
              </w:rPr>
            </w:pPr>
          </w:p>
        </w:tc>
        <w:tc>
          <w:tcPr>
            <w:tcW w:w="2920" w:type="dxa"/>
            <w:vAlign w:val="bottom"/>
            <w:gridSpan w:val="3"/>
          </w:tcPr>
          <w:p>
            <w:pPr>
              <w:ind w:left="1180"/>
              <w:spacing w:after="0"/>
              <w:rPr>
                <w:sz w:val="20"/>
                <w:szCs w:val="20"/>
                <w:color w:val="auto"/>
              </w:rPr>
            </w:pPr>
            <w:r>
              <w:rPr>
                <w:rFonts w:ascii="Arial" w:cs="Arial" w:eastAsia="Arial" w:hAnsi="Arial"/>
                <w:sz w:val="14"/>
                <w:szCs w:val="14"/>
                <w:b w:val="1"/>
                <w:bCs w:val="1"/>
                <w:color w:val="auto"/>
              </w:rPr>
              <w:t>March 31,</w:t>
            </w:r>
          </w:p>
        </w:tc>
        <w:tc>
          <w:tcPr>
            <w:tcW w:w="9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86"/>
        </w:trPr>
        <w:tc>
          <w:tcPr>
            <w:tcW w:w="754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351"/>
        </w:trPr>
        <w:tc>
          <w:tcPr>
            <w:tcW w:w="7540" w:type="dxa"/>
            <w:vAlign w:val="bottom"/>
          </w:tcPr>
          <w:p>
            <w:pPr>
              <w:ind w:left="160"/>
              <w:spacing w:after="0"/>
              <w:rPr>
                <w:sz w:val="20"/>
                <w:szCs w:val="20"/>
                <w:color w:val="auto"/>
              </w:rPr>
            </w:pPr>
            <w:r>
              <w:rPr>
                <w:rFonts w:ascii="Arial" w:cs="Arial" w:eastAsia="Arial" w:hAnsi="Arial"/>
                <w:sz w:val="14"/>
                <w:szCs w:val="14"/>
                <w:color w:val="auto"/>
              </w:rPr>
              <w:t>Gross Revenue</w:t>
            </w:r>
          </w:p>
        </w:tc>
        <w:tc>
          <w:tcPr>
            <w:tcW w:w="1820" w:type="dxa"/>
            <w:vAlign w:val="bottom"/>
          </w:tcPr>
          <w:p>
            <w:pPr>
              <w:jc w:val="right"/>
              <w:spacing w:after="0"/>
              <w:rPr>
                <w:sz w:val="20"/>
                <w:szCs w:val="20"/>
                <w:color w:val="auto"/>
              </w:rPr>
            </w:pPr>
            <w:r>
              <w:rPr>
                <w:rFonts w:ascii="Arial" w:cs="Arial" w:eastAsia="Arial" w:hAnsi="Arial"/>
                <w:sz w:val="14"/>
                <w:szCs w:val="14"/>
                <w:color w:val="auto"/>
              </w:rPr>
              <w:t>343,055</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305,547</w:t>
            </w:r>
          </w:p>
        </w:tc>
        <w:tc>
          <w:tcPr>
            <w:tcW w:w="0" w:type="dxa"/>
            <w:vAlign w:val="bottom"/>
          </w:tcPr>
          <w:p>
            <w:pPr>
              <w:spacing w:after="0"/>
              <w:rPr>
                <w:sz w:val="1"/>
                <w:szCs w:val="1"/>
                <w:color w:val="auto"/>
              </w:rPr>
            </w:pPr>
          </w:p>
        </w:tc>
      </w:tr>
      <w:tr>
        <w:trPr>
          <w:trHeight w:val="351"/>
        </w:trPr>
        <w:tc>
          <w:tcPr>
            <w:tcW w:w="7540" w:type="dxa"/>
            <w:vAlign w:val="bottom"/>
          </w:tcPr>
          <w:p>
            <w:pPr>
              <w:ind w:left="160"/>
              <w:spacing w:after="0"/>
              <w:rPr>
                <w:sz w:val="20"/>
                <w:szCs w:val="20"/>
                <w:color w:val="auto"/>
              </w:rPr>
            </w:pPr>
            <w:r>
              <w:rPr>
                <w:rFonts w:ascii="Arial" w:cs="Arial" w:eastAsia="Arial" w:hAnsi="Arial"/>
                <w:sz w:val="14"/>
                <w:szCs w:val="14"/>
                <w:color w:val="auto"/>
              </w:rPr>
              <w:t>Reimbursable expenses</w:t>
            </w:r>
          </w:p>
        </w:tc>
        <w:tc>
          <w:tcPr>
            <w:tcW w:w="1820" w:type="dxa"/>
            <w:vAlign w:val="bottom"/>
          </w:tcPr>
          <w:p>
            <w:pPr>
              <w:jc w:val="right"/>
              <w:spacing w:after="0"/>
              <w:rPr>
                <w:sz w:val="20"/>
                <w:szCs w:val="20"/>
                <w:color w:val="auto"/>
              </w:rPr>
            </w:pPr>
            <w:r>
              <w:rPr>
                <w:rFonts w:ascii="Arial" w:cs="Arial" w:eastAsia="Arial" w:hAnsi="Arial"/>
                <w:sz w:val="14"/>
                <w:szCs w:val="14"/>
                <w:color w:val="auto"/>
              </w:rPr>
              <w:t>90,722</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76,250</w:t>
            </w:r>
          </w:p>
        </w:tc>
        <w:tc>
          <w:tcPr>
            <w:tcW w:w="0" w:type="dxa"/>
            <w:vAlign w:val="bottom"/>
          </w:tcPr>
          <w:p>
            <w:pPr>
              <w:spacing w:after="0"/>
              <w:rPr>
                <w:sz w:val="1"/>
                <w:szCs w:val="1"/>
                <w:color w:val="auto"/>
              </w:rPr>
            </w:pPr>
          </w:p>
        </w:tc>
      </w:tr>
      <w:tr>
        <w:trPr>
          <w:trHeight w:val="174"/>
        </w:trPr>
        <w:tc>
          <w:tcPr>
            <w:tcW w:w="75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Net Revenue</w:t>
            </w:r>
          </w:p>
        </w:tc>
        <w:tc>
          <w:tcPr>
            <w:tcW w:w="18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40" w:type="dxa"/>
            <w:vAlign w:val="bottom"/>
            <w:vMerge w:val="continue"/>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252,333</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229,297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7540" w:type="dxa"/>
            <w:vAlign w:val="bottom"/>
          </w:tcPr>
          <w:p>
            <w:pPr>
              <w:ind w:left="160"/>
              <w:spacing w:after="0"/>
              <w:rPr>
                <w:sz w:val="20"/>
                <w:szCs w:val="20"/>
                <w:color w:val="auto"/>
              </w:rPr>
            </w:pPr>
            <w:r>
              <w:rPr>
                <w:rFonts w:ascii="Arial" w:cs="Arial" w:eastAsia="Arial" w:hAnsi="Arial"/>
                <w:sz w:val="14"/>
                <w:szCs w:val="14"/>
                <w:b w:val="1"/>
                <w:bCs w:val="1"/>
                <w:color w:val="auto"/>
              </w:rPr>
              <w:t>Costs and expenses</w:t>
            </w:r>
          </w:p>
        </w:tc>
        <w:tc>
          <w:tcPr>
            <w:tcW w:w="1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540" w:type="dxa"/>
            <w:vAlign w:val="bottom"/>
          </w:tcPr>
          <w:p>
            <w:pPr>
              <w:ind w:left="160"/>
              <w:spacing w:after="0"/>
              <w:rPr>
                <w:sz w:val="20"/>
                <w:szCs w:val="20"/>
                <w:color w:val="auto"/>
              </w:rPr>
            </w:pPr>
            <w:r>
              <w:rPr>
                <w:rFonts w:ascii="Arial" w:cs="Arial" w:eastAsia="Arial" w:hAnsi="Arial"/>
                <w:sz w:val="14"/>
                <w:szCs w:val="14"/>
                <w:color w:val="auto"/>
              </w:rPr>
              <w:t>Direct costs</w:t>
            </w:r>
          </w:p>
        </w:tc>
        <w:tc>
          <w:tcPr>
            <w:tcW w:w="1820" w:type="dxa"/>
            <w:vAlign w:val="bottom"/>
          </w:tcPr>
          <w:p>
            <w:pPr>
              <w:jc w:val="right"/>
              <w:spacing w:after="0"/>
              <w:rPr>
                <w:sz w:val="20"/>
                <w:szCs w:val="20"/>
                <w:color w:val="auto"/>
              </w:rPr>
            </w:pPr>
            <w:r>
              <w:rPr>
                <w:rFonts w:ascii="Arial" w:cs="Arial" w:eastAsia="Arial" w:hAnsi="Arial"/>
                <w:sz w:val="14"/>
                <w:szCs w:val="14"/>
                <w:color w:val="auto"/>
              </w:rPr>
              <w:t>162,284</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144,470</w:t>
            </w:r>
          </w:p>
        </w:tc>
        <w:tc>
          <w:tcPr>
            <w:tcW w:w="0" w:type="dxa"/>
            <w:vAlign w:val="bottom"/>
          </w:tcPr>
          <w:p>
            <w:pPr>
              <w:spacing w:after="0"/>
              <w:rPr>
                <w:sz w:val="1"/>
                <w:szCs w:val="1"/>
                <w:color w:val="auto"/>
              </w:rPr>
            </w:pPr>
          </w:p>
        </w:tc>
      </w:tr>
      <w:tr>
        <w:trPr>
          <w:trHeight w:val="176"/>
        </w:trPr>
        <w:tc>
          <w:tcPr>
            <w:tcW w:w="7540" w:type="dxa"/>
            <w:vAlign w:val="bottom"/>
          </w:tcPr>
          <w:p>
            <w:pPr>
              <w:ind w:left="160"/>
              <w:spacing w:after="0"/>
              <w:rPr>
                <w:sz w:val="20"/>
                <w:szCs w:val="20"/>
                <w:color w:val="auto"/>
              </w:rPr>
            </w:pPr>
            <w:r>
              <w:rPr>
                <w:rFonts w:ascii="Arial" w:cs="Arial" w:eastAsia="Arial" w:hAnsi="Arial"/>
                <w:sz w:val="14"/>
                <w:szCs w:val="14"/>
                <w:color w:val="auto"/>
              </w:rPr>
              <w:t>Selling, general and administrative</w:t>
            </w:r>
          </w:p>
        </w:tc>
        <w:tc>
          <w:tcPr>
            <w:tcW w:w="1820" w:type="dxa"/>
            <w:vAlign w:val="bottom"/>
          </w:tcPr>
          <w:p>
            <w:pPr>
              <w:jc w:val="right"/>
              <w:spacing w:after="0"/>
              <w:rPr>
                <w:sz w:val="20"/>
                <w:szCs w:val="20"/>
                <w:color w:val="auto"/>
              </w:rPr>
            </w:pPr>
            <w:r>
              <w:rPr>
                <w:rFonts w:ascii="Arial" w:cs="Arial" w:eastAsia="Arial" w:hAnsi="Arial"/>
                <w:sz w:val="14"/>
                <w:szCs w:val="14"/>
                <w:color w:val="auto"/>
              </w:rPr>
              <w:t>67,515</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59,883</w:t>
            </w:r>
          </w:p>
        </w:tc>
        <w:tc>
          <w:tcPr>
            <w:tcW w:w="0" w:type="dxa"/>
            <w:vAlign w:val="bottom"/>
          </w:tcPr>
          <w:p>
            <w:pPr>
              <w:spacing w:after="0"/>
              <w:rPr>
                <w:sz w:val="1"/>
                <w:szCs w:val="1"/>
                <w:color w:val="auto"/>
              </w:rPr>
            </w:pPr>
          </w:p>
        </w:tc>
      </w:tr>
      <w:tr>
        <w:trPr>
          <w:trHeight w:val="182"/>
        </w:trPr>
        <w:tc>
          <w:tcPr>
            <w:tcW w:w="7540" w:type="dxa"/>
            <w:vAlign w:val="bottom"/>
          </w:tcPr>
          <w:p>
            <w:pPr>
              <w:ind w:left="160"/>
              <w:spacing w:after="0"/>
              <w:rPr>
                <w:sz w:val="20"/>
                <w:szCs w:val="20"/>
                <w:color w:val="auto"/>
              </w:rPr>
            </w:pPr>
            <w:r>
              <w:rPr>
                <w:rFonts w:ascii="Arial" w:cs="Arial" w:eastAsia="Arial" w:hAnsi="Arial"/>
                <w:sz w:val="14"/>
                <w:szCs w:val="14"/>
                <w:color w:val="auto"/>
              </w:rPr>
              <w:t>Depreciation and amortization</w:t>
            </w:r>
          </w:p>
        </w:tc>
        <w:tc>
          <w:tcPr>
            <w:tcW w:w="1820" w:type="dxa"/>
            <w:vAlign w:val="bottom"/>
          </w:tcPr>
          <w:p>
            <w:pPr>
              <w:jc w:val="right"/>
              <w:spacing w:after="0"/>
              <w:rPr>
                <w:sz w:val="20"/>
                <w:szCs w:val="20"/>
                <w:color w:val="auto"/>
              </w:rPr>
            </w:pPr>
            <w:r>
              <w:rPr>
                <w:rFonts w:ascii="Arial" w:cs="Arial" w:eastAsia="Arial" w:hAnsi="Arial"/>
                <w:sz w:val="14"/>
                <w:szCs w:val="14"/>
                <w:color w:val="auto"/>
              </w:rPr>
              <w:t>10,802</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8,973</w:t>
            </w:r>
          </w:p>
        </w:tc>
        <w:tc>
          <w:tcPr>
            <w:tcW w:w="0" w:type="dxa"/>
            <w:vAlign w:val="bottom"/>
          </w:tcPr>
          <w:p>
            <w:pPr>
              <w:spacing w:after="0"/>
              <w:rPr>
                <w:sz w:val="1"/>
                <w:szCs w:val="1"/>
                <w:color w:val="auto"/>
              </w:rPr>
            </w:pPr>
          </w:p>
        </w:tc>
      </w:tr>
      <w:tr>
        <w:trPr>
          <w:trHeight w:val="174"/>
        </w:trPr>
        <w:tc>
          <w:tcPr>
            <w:tcW w:w="75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Total costs and expenses</w:t>
            </w:r>
          </w:p>
        </w:tc>
        <w:tc>
          <w:tcPr>
            <w:tcW w:w="1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40" w:type="dxa"/>
            <w:vAlign w:val="bottom"/>
            <w:vMerge w:val="continue"/>
          </w:tcPr>
          <w:p>
            <w:pPr>
              <w:spacing w:after="0"/>
              <w:rPr>
                <w:sz w:val="15"/>
                <w:szCs w:val="15"/>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240,601</w:t>
            </w:r>
          </w:p>
        </w:tc>
        <w:tc>
          <w:tcPr>
            <w:tcW w:w="18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213,326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7540" w:type="dxa"/>
            <w:vAlign w:val="bottom"/>
          </w:tcPr>
          <w:p>
            <w:pPr>
              <w:ind w:left="160"/>
              <w:spacing w:after="0"/>
              <w:rPr>
                <w:sz w:val="20"/>
                <w:szCs w:val="20"/>
                <w:color w:val="auto"/>
              </w:rPr>
            </w:pPr>
            <w:r>
              <w:rPr>
                <w:rFonts w:ascii="Arial" w:cs="Arial" w:eastAsia="Arial" w:hAnsi="Arial"/>
                <w:sz w:val="14"/>
                <w:szCs w:val="14"/>
                <w:b w:val="1"/>
                <w:bCs w:val="1"/>
                <w:color w:val="auto"/>
              </w:rPr>
              <w:t>Income from operations</w:t>
            </w:r>
          </w:p>
        </w:tc>
        <w:tc>
          <w:tcPr>
            <w:tcW w:w="1820" w:type="dxa"/>
            <w:vAlign w:val="bottom"/>
          </w:tcPr>
          <w:p>
            <w:pPr>
              <w:jc w:val="right"/>
              <w:spacing w:after="0"/>
              <w:rPr>
                <w:sz w:val="20"/>
                <w:szCs w:val="20"/>
                <w:color w:val="auto"/>
              </w:rPr>
            </w:pPr>
            <w:r>
              <w:rPr>
                <w:rFonts w:ascii="Arial" w:cs="Arial" w:eastAsia="Arial" w:hAnsi="Arial"/>
                <w:sz w:val="14"/>
                <w:szCs w:val="14"/>
                <w:color w:val="auto"/>
              </w:rPr>
              <w:t>11,732</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15,971</w:t>
            </w:r>
          </w:p>
        </w:tc>
        <w:tc>
          <w:tcPr>
            <w:tcW w:w="0" w:type="dxa"/>
            <w:vAlign w:val="bottom"/>
          </w:tcPr>
          <w:p>
            <w:pPr>
              <w:spacing w:after="0"/>
              <w:rPr>
                <w:sz w:val="1"/>
                <w:szCs w:val="1"/>
                <w:color w:val="auto"/>
              </w:rPr>
            </w:pPr>
          </w:p>
        </w:tc>
      </w:tr>
      <w:tr>
        <w:trPr>
          <w:trHeight w:val="351"/>
        </w:trPr>
        <w:tc>
          <w:tcPr>
            <w:tcW w:w="7540" w:type="dxa"/>
            <w:vAlign w:val="bottom"/>
          </w:tcPr>
          <w:p>
            <w:pPr>
              <w:ind w:left="160"/>
              <w:spacing w:after="0"/>
              <w:rPr>
                <w:sz w:val="20"/>
                <w:szCs w:val="20"/>
                <w:color w:val="auto"/>
              </w:rPr>
            </w:pPr>
            <w:r>
              <w:rPr>
                <w:rFonts w:ascii="Arial" w:cs="Arial" w:eastAsia="Arial" w:hAnsi="Arial"/>
                <w:sz w:val="14"/>
                <w:szCs w:val="14"/>
                <w:color w:val="auto"/>
              </w:rPr>
              <w:t>Net interest (expense)/income</w:t>
            </w:r>
          </w:p>
        </w:tc>
        <w:tc>
          <w:tcPr>
            <w:tcW w:w="1820" w:type="dxa"/>
            <w:vAlign w:val="bottom"/>
          </w:tcPr>
          <w:p>
            <w:pPr>
              <w:jc w:val="right"/>
              <w:spacing w:after="0"/>
              <w:rPr>
                <w:sz w:val="20"/>
                <w:szCs w:val="20"/>
                <w:color w:val="auto"/>
              </w:rPr>
            </w:pPr>
            <w:r>
              <w:rPr>
                <w:rFonts w:ascii="Arial" w:cs="Arial" w:eastAsia="Arial" w:hAnsi="Arial"/>
                <w:sz w:val="14"/>
                <w:szCs w:val="14"/>
                <w:color w:val="auto"/>
              </w:rPr>
              <w:t>(35)</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74"/>
        </w:trPr>
        <w:tc>
          <w:tcPr>
            <w:tcW w:w="75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Income before provision for income taxes</w:t>
            </w:r>
          </w:p>
        </w:tc>
        <w:tc>
          <w:tcPr>
            <w:tcW w:w="1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40" w:type="dxa"/>
            <w:vAlign w:val="bottom"/>
            <w:vMerge w:val="continue"/>
          </w:tcPr>
          <w:p>
            <w:pPr>
              <w:spacing w:after="0"/>
              <w:rPr>
                <w:sz w:val="15"/>
                <w:szCs w:val="15"/>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11,697</w:t>
            </w:r>
          </w:p>
        </w:tc>
        <w:tc>
          <w:tcPr>
            <w:tcW w:w="18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16,037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7540" w:type="dxa"/>
            <w:vAlign w:val="bottom"/>
          </w:tcPr>
          <w:p>
            <w:pPr>
              <w:ind w:left="160"/>
              <w:spacing w:after="0"/>
              <w:rPr>
                <w:sz w:val="20"/>
                <w:szCs w:val="20"/>
                <w:color w:val="auto"/>
              </w:rPr>
            </w:pPr>
            <w:r>
              <w:rPr>
                <w:rFonts w:ascii="Arial" w:cs="Arial" w:eastAsia="Arial" w:hAnsi="Arial"/>
                <w:sz w:val="14"/>
                <w:szCs w:val="14"/>
                <w:color w:val="auto"/>
              </w:rPr>
              <w:t>Provision for income taxes</w:t>
            </w:r>
          </w:p>
        </w:tc>
        <w:tc>
          <w:tcPr>
            <w:tcW w:w="1820" w:type="dxa"/>
            <w:vAlign w:val="bottom"/>
          </w:tcPr>
          <w:p>
            <w:pPr>
              <w:jc w:val="right"/>
              <w:spacing w:after="0"/>
              <w:rPr>
                <w:sz w:val="20"/>
                <w:szCs w:val="20"/>
                <w:color w:val="auto"/>
              </w:rPr>
            </w:pPr>
            <w:r>
              <w:rPr>
                <w:rFonts w:ascii="Arial" w:cs="Arial" w:eastAsia="Arial" w:hAnsi="Arial"/>
                <w:sz w:val="14"/>
                <w:szCs w:val="14"/>
                <w:color w:val="auto"/>
              </w:rPr>
              <w:t>2,726</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3,231</w:t>
            </w:r>
          </w:p>
        </w:tc>
        <w:tc>
          <w:tcPr>
            <w:tcW w:w="0" w:type="dxa"/>
            <w:vAlign w:val="bottom"/>
          </w:tcPr>
          <w:p>
            <w:pPr>
              <w:spacing w:after="0"/>
              <w:rPr>
                <w:sz w:val="1"/>
                <w:szCs w:val="1"/>
                <w:color w:val="auto"/>
              </w:rPr>
            </w:pPr>
          </w:p>
        </w:tc>
      </w:tr>
      <w:tr>
        <w:trPr>
          <w:trHeight w:val="169"/>
        </w:trPr>
        <w:tc>
          <w:tcPr>
            <w:tcW w:w="7540" w:type="dxa"/>
            <w:vAlign w:val="bottom"/>
          </w:tcPr>
          <w:p>
            <w:pPr>
              <w:ind w:left="160"/>
              <w:spacing w:after="0"/>
              <w:rPr>
                <w:sz w:val="20"/>
                <w:szCs w:val="20"/>
                <w:color w:val="auto"/>
              </w:rPr>
            </w:pPr>
            <w:r>
              <w:rPr>
                <w:rFonts w:ascii="Arial" w:cs="Arial" w:eastAsia="Arial" w:hAnsi="Arial"/>
                <w:sz w:val="14"/>
                <w:szCs w:val="14"/>
                <w:b w:val="1"/>
                <w:bCs w:val="1"/>
                <w:color w:val="auto"/>
              </w:rPr>
              <w:t>Net income</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8,971</w:t>
            </w:r>
          </w:p>
        </w:tc>
        <w:tc>
          <w:tcPr>
            <w:tcW w:w="180" w:type="dxa"/>
            <w:vAlign w:val="bottom"/>
          </w:tcPr>
          <w:p>
            <w:pPr>
              <w:spacing w:after="0"/>
              <w:rPr>
                <w:sz w:val="14"/>
                <w:szCs w:val="14"/>
                <w:color w:val="auto"/>
              </w:rPr>
            </w:pPr>
          </w:p>
        </w:tc>
        <w:tc>
          <w:tcPr>
            <w:tcW w:w="92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12,806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540" w:type="dxa"/>
            <w:vAlign w:val="bottom"/>
            <w:vMerge w:val="restart"/>
          </w:tcPr>
          <w:p>
            <w:pPr>
              <w:ind w:left="160"/>
              <w:spacing w:after="0"/>
              <w:rPr>
                <w:sz w:val="20"/>
                <w:szCs w:val="20"/>
                <w:color w:val="auto"/>
              </w:rPr>
            </w:pPr>
            <w:r>
              <w:rPr>
                <w:rFonts w:ascii="Arial" w:cs="Arial" w:eastAsia="Arial" w:hAnsi="Arial"/>
                <w:sz w:val="14"/>
                <w:szCs w:val="14"/>
                <w:color w:val="auto"/>
              </w:rPr>
              <w:t>Net income per ordinary share</w:t>
            </w:r>
          </w:p>
        </w:tc>
        <w:tc>
          <w:tcPr>
            <w:tcW w:w="1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540" w:type="dxa"/>
            <w:vAlign w:val="bottom"/>
            <w:vMerge w:val="continue"/>
          </w:tcPr>
          <w:p>
            <w:pPr>
              <w:spacing w:after="0"/>
              <w:rPr>
                <w:sz w:val="24"/>
                <w:szCs w:val="24"/>
                <w:color w:val="auto"/>
              </w:rPr>
            </w:pPr>
          </w:p>
        </w:tc>
        <w:tc>
          <w:tcPr>
            <w:tcW w:w="1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540" w:type="dxa"/>
            <w:vAlign w:val="bottom"/>
          </w:tcPr>
          <w:p>
            <w:pPr>
              <w:ind w:left="160"/>
              <w:spacing w:after="0"/>
              <w:rPr>
                <w:sz w:val="20"/>
                <w:szCs w:val="20"/>
                <w:color w:val="auto"/>
              </w:rPr>
            </w:pPr>
            <w:r>
              <w:rPr>
                <w:rFonts w:ascii="Arial" w:cs="Arial" w:eastAsia="Arial" w:hAnsi="Arial"/>
                <w:sz w:val="14"/>
                <w:szCs w:val="14"/>
                <w:color w:val="auto"/>
              </w:rPr>
              <w:t>Basic</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$0.15</w:t>
            </w:r>
          </w:p>
        </w:tc>
        <w:tc>
          <w:tcPr>
            <w:tcW w:w="1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7540" w:type="dxa"/>
            <w:vAlign w:val="bottom"/>
          </w:tcPr>
          <w:p>
            <w:pPr>
              <w:ind w:left="160"/>
              <w:spacing w:after="0"/>
              <w:rPr>
                <w:sz w:val="20"/>
                <w:szCs w:val="20"/>
                <w:color w:val="auto"/>
              </w:rPr>
            </w:pPr>
            <w:r>
              <w:rPr>
                <w:rFonts w:ascii="Arial" w:cs="Arial" w:eastAsia="Arial" w:hAnsi="Arial"/>
                <w:sz w:val="14"/>
                <w:szCs w:val="14"/>
                <w:color w:val="auto"/>
              </w:rPr>
              <w:t>Diluted</w:t>
            </w:r>
          </w:p>
        </w:tc>
        <w:tc>
          <w:tcPr>
            <w:tcW w:w="1820" w:type="dxa"/>
            <w:vAlign w:val="bottom"/>
          </w:tcPr>
          <w:p>
            <w:pPr>
              <w:jc w:val="right"/>
              <w:spacing w:after="0"/>
              <w:rPr>
                <w:sz w:val="20"/>
                <w:szCs w:val="20"/>
                <w:color w:val="auto"/>
              </w:rPr>
            </w:pPr>
            <w:r>
              <w:rPr>
                <w:rFonts w:ascii="Arial" w:cs="Arial" w:eastAsia="Arial" w:hAnsi="Arial"/>
                <w:sz w:val="14"/>
                <w:szCs w:val="14"/>
                <w:color w:val="auto"/>
              </w:rPr>
              <w:t>$0.15</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$0.21</w:t>
            </w:r>
          </w:p>
        </w:tc>
        <w:tc>
          <w:tcPr>
            <w:tcW w:w="0" w:type="dxa"/>
            <w:vAlign w:val="bottom"/>
          </w:tcPr>
          <w:p>
            <w:pPr>
              <w:spacing w:after="0"/>
              <w:rPr>
                <w:sz w:val="1"/>
                <w:szCs w:val="1"/>
                <w:color w:val="auto"/>
              </w:rPr>
            </w:pPr>
          </w:p>
        </w:tc>
      </w:tr>
      <w:tr>
        <w:trPr>
          <w:trHeight w:val="339"/>
        </w:trPr>
        <w:tc>
          <w:tcPr>
            <w:tcW w:w="7540" w:type="dxa"/>
            <w:vAlign w:val="bottom"/>
          </w:tcPr>
          <w:p>
            <w:pPr>
              <w:ind w:left="160"/>
              <w:spacing w:after="0"/>
              <w:rPr>
                <w:sz w:val="20"/>
                <w:szCs w:val="20"/>
                <w:color w:val="auto"/>
              </w:rPr>
            </w:pPr>
            <w:r>
              <w:rPr>
                <w:rFonts w:ascii="Arial" w:cs="Arial" w:eastAsia="Arial" w:hAnsi="Arial"/>
                <w:sz w:val="14"/>
                <w:szCs w:val="14"/>
                <w:color w:val="auto"/>
              </w:rPr>
              <w:t>Weighted average number of ordinary shares</w:t>
            </w:r>
          </w:p>
        </w:tc>
        <w:tc>
          <w:tcPr>
            <w:tcW w:w="18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7540" w:type="dxa"/>
            <w:vAlign w:val="bottom"/>
          </w:tcPr>
          <w:p>
            <w:pPr>
              <w:ind w:left="160"/>
              <w:spacing w:after="0"/>
              <w:rPr>
                <w:sz w:val="20"/>
                <w:szCs w:val="20"/>
                <w:color w:val="auto"/>
              </w:rPr>
            </w:pPr>
            <w:r>
              <w:rPr>
                <w:rFonts w:ascii="Arial" w:cs="Arial" w:eastAsia="Arial" w:hAnsi="Arial"/>
                <w:sz w:val="14"/>
                <w:szCs w:val="14"/>
                <w:color w:val="auto"/>
              </w:rPr>
              <w:t>Basic</w:t>
            </w:r>
          </w:p>
        </w:tc>
        <w:tc>
          <w:tcPr>
            <w:tcW w:w="1820" w:type="dxa"/>
            <w:vAlign w:val="bottom"/>
          </w:tcPr>
          <w:p>
            <w:pPr>
              <w:jc w:val="right"/>
              <w:spacing w:after="0"/>
              <w:rPr>
                <w:sz w:val="20"/>
                <w:szCs w:val="20"/>
                <w:color w:val="auto"/>
              </w:rPr>
            </w:pPr>
            <w:r>
              <w:rPr>
                <w:rFonts w:ascii="Arial" w:cs="Arial" w:eastAsia="Arial" w:hAnsi="Arial"/>
                <w:sz w:val="14"/>
                <w:szCs w:val="14"/>
                <w:color w:val="auto"/>
              </w:rPr>
              <w:t>60,086,104</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60,283,078</w:t>
            </w:r>
          </w:p>
        </w:tc>
        <w:tc>
          <w:tcPr>
            <w:tcW w:w="0" w:type="dxa"/>
            <w:vAlign w:val="bottom"/>
          </w:tcPr>
          <w:p>
            <w:pPr>
              <w:spacing w:after="0"/>
              <w:rPr>
                <w:sz w:val="1"/>
                <w:szCs w:val="1"/>
                <w:color w:val="auto"/>
              </w:rPr>
            </w:pPr>
          </w:p>
        </w:tc>
      </w:tr>
      <w:tr>
        <w:trPr>
          <w:trHeight w:val="351"/>
        </w:trPr>
        <w:tc>
          <w:tcPr>
            <w:tcW w:w="7540" w:type="dxa"/>
            <w:vAlign w:val="bottom"/>
          </w:tcPr>
          <w:p>
            <w:pPr>
              <w:ind w:left="160"/>
              <w:spacing w:after="0"/>
              <w:rPr>
                <w:sz w:val="20"/>
                <w:szCs w:val="20"/>
                <w:color w:val="auto"/>
              </w:rPr>
            </w:pPr>
            <w:r>
              <w:rPr>
                <w:rFonts w:ascii="Arial" w:cs="Arial" w:eastAsia="Arial" w:hAnsi="Arial"/>
                <w:sz w:val="14"/>
                <w:szCs w:val="14"/>
                <w:color w:val="auto"/>
              </w:rPr>
              <w:t>Diluted</w:t>
            </w:r>
          </w:p>
        </w:tc>
        <w:tc>
          <w:tcPr>
            <w:tcW w:w="1820" w:type="dxa"/>
            <w:vAlign w:val="bottom"/>
          </w:tcPr>
          <w:p>
            <w:pPr>
              <w:jc w:val="right"/>
              <w:spacing w:after="0"/>
              <w:rPr>
                <w:sz w:val="20"/>
                <w:szCs w:val="20"/>
                <w:color w:val="auto"/>
              </w:rPr>
            </w:pPr>
            <w:r>
              <w:rPr>
                <w:rFonts w:ascii="Arial" w:cs="Arial" w:eastAsia="Arial" w:hAnsi="Arial"/>
                <w:sz w:val="14"/>
                <w:szCs w:val="14"/>
                <w:color w:val="auto"/>
              </w:rPr>
              <w:t>60,708,469</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60,982,948</w:t>
            </w:r>
          </w:p>
        </w:tc>
        <w:tc>
          <w:tcPr>
            <w:tcW w:w="0" w:type="dxa"/>
            <w:vAlign w:val="bottom"/>
          </w:tcPr>
          <w:p>
            <w:pPr>
              <w:spacing w:after="0"/>
              <w:rPr>
                <w:sz w:val="1"/>
                <w:szCs w:val="1"/>
                <w:color w:val="auto"/>
              </w:rPr>
            </w:pPr>
          </w:p>
        </w:tc>
      </w:tr>
      <w:tr>
        <w:trPr>
          <w:trHeight w:val="215"/>
        </w:trPr>
        <w:tc>
          <w:tcPr>
            <w:tcW w:w="7540" w:type="dxa"/>
            <w:vAlign w:val="bottom"/>
            <w:tcBorders>
              <w:bottom w:val="single" w:sz="8" w:color="9A9A9A"/>
            </w:tcBorders>
          </w:tcPr>
          <w:p>
            <w:pPr>
              <w:spacing w:after="0"/>
              <w:rPr>
                <w:sz w:val="18"/>
                <w:szCs w:val="18"/>
                <w:color w:val="auto"/>
              </w:rPr>
            </w:pPr>
          </w:p>
        </w:tc>
        <w:tc>
          <w:tcPr>
            <w:tcW w:w="182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540" w:type="dxa"/>
            <w:vAlign w:val="bottom"/>
            <w:tcBorders>
              <w:bottom w:val="single" w:sz="8" w:color="EEEEEE"/>
            </w:tcBorders>
          </w:tcPr>
          <w:p>
            <w:pPr>
              <w:spacing w:after="0" w:line="20" w:lineRule="exact"/>
              <w:rPr>
                <w:sz w:val="1"/>
                <w:szCs w:val="1"/>
                <w:color w:val="auto"/>
              </w:rPr>
            </w:pPr>
          </w:p>
        </w:tc>
        <w:tc>
          <w:tcPr>
            <w:tcW w:w="18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6" w:name="page7"/>
    <w:bookmarkEnd w:id="6"/>
    <w:p>
      <w:pPr>
        <w:jc w:val="center"/>
        <w:ind w:right="-179"/>
        <w:spacing w:after="0"/>
        <w:rPr>
          <w:sz w:val="20"/>
          <w:szCs w:val="20"/>
          <w:color w:val="auto"/>
        </w:rPr>
      </w:pPr>
      <w:r>
        <w:rPr>
          <w:rFonts w:ascii="Arial" w:cs="Arial" w:eastAsia="Arial" w:hAnsi="Arial"/>
          <w:sz w:val="14"/>
          <w:szCs w:val="14"/>
          <w:b w:val="1"/>
          <w:bCs w:val="1"/>
          <w:color w:val="auto"/>
        </w:rPr>
        <w:t>ICON plc</w:t>
      </w:r>
    </w:p>
    <w:p>
      <w:pPr>
        <w:spacing w:after="0" w:line="190"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Consolidated Income Statements (Unaudited) (US GAAP)</w:t>
      </w:r>
    </w:p>
    <w:p>
      <w:pPr>
        <w:spacing w:after="0" w:line="190"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Three Months ended March 31, 2012 and March 31, 2011</w:t>
      </w:r>
    </w:p>
    <w:p>
      <w:pPr>
        <w:spacing w:after="0" w:line="25"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(Dollars, in thousands, except share and per share data)</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20" w:type="dxa"/>
            <w:vAlign w:val="bottom"/>
          </w:tcPr>
          <w:p>
            <w:pPr>
              <w:spacing w:after="0"/>
              <w:rPr>
                <w:sz w:val="15"/>
                <w:szCs w:val="15"/>
                <w:color w:val="auto"/>
              </w:rPr>
            </w:pPr>
          </w:p>
        </w:tc>
        <w:tc>
          <w:tcPr>
            <w:tcW w:w="2840" w:type="dxa"/>
            <w:vAlign w:val="bottom"/>
            <w:gridSpan w:val="4"/>
          </w:tcPr>
          <w:p>
            <w:pPr>
              <w:ind w:left="1240"/>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20" w:type="dxa"/>
            <w:vAlign w:val="bottom"/>
          </w:tcPr>
          <w:p>
            <w:pPr>
              <w:spacing w:after="0"/>
              <w:rPr>
                <w:sz w:val="15"/>
                <w:szCs w:val="15"/>
                <w:color w:val="auto"/>
              </w:rPr>
            </w:pPr>
          </w:p>
        </w:tc>
        <w:tc>
          <w:tcPr>
            <w:tcW w:w="2840" w:type="dxa"/>
            <w:vAlign w:val="bottom"/>
            <w:gridSpan w:val="4"/>
          </w:tcPr>
          <w:p>
            <w:pPr>
              <w:ind w:left="1160"/>
              <w:spacing w:after="0"/>
              <w:rPr>
                <w:sz w:val="20"/>
                <w:szCs w:val="20"/>
                <w:color w:val="auto"/>
              </w:rPr>
            </w:pPr>
            <w:r>
              <w:rPr>
                <w:rFonts w:ascii="Arial" w:cs="Arial" w:eastAsia="Arial" w:hAnsi="Arial"/>
                <w:sz w:val="14"/>
                <w:szCs w:val="14"/>
                <w:b w:val="1"/>
                <w:bCs w:val="1"/>
                <w:color w:val="auto"/>
              </w:rPr>
              <w:t>March 31,</w:t>
            </w:r>
          </w:p>
        </w:tc>
        <w:tc>
          <w:tcPr>
            <w:tcW w:w="9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86"/>
        </w:trPr>
        <w:tc>
          <w:tcPr>
            <w:tcW w:w="762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351"/>
        </w:trPr>
        <w:tc>
          <w:tcPr>
            <w:tcW w:w="7620" w:type="dxa"/>
            <w:vAlign w:val="bottom"/>
          </w:tcPr>
          <w:p>
            <w:pPr>
              <w:ind w:left="180"/>
              <w:spacing w:after="0"/>
              <w:rPr>
                <w:sz w:val="20"/>
                <w:szCs w:val="20"/>
                <w:color w:val="auto"/>
              </w:rPr>
            </w:pPr>
            <w:r>
              <w:rPr>
                <w:rFonts w:ascii="Arial" w:cs="Arial" w:eastAsia="Arial" w:hAnsi="Arial"/>
                <w:sz w:val="14"/>
                <w:szCs w:val="14"/>
                <w:color w:val="auto"/>
              </w:rPr>
              <w:t>Gross Revenue</w:t>
            </w:r>
          </w:p>
        </w:tc>
        <w:tc>
          <w:tcPr>
            <w:tcW w:w="1820" w:type="dxa"/>
            <w:vAlign w:val="bottom"/>
            <w:gridSpan w:val="2"/>
          </w:tcPr>
          <w:p>
            <w:pPr>
              <w:jc w:val="right"/>
              <w:ind w:right="20"/>
              <w:spacing w:after="0"/>
              <w:rPr>
                <w:sz w:val="20"/>
                <w:szCs w:val="20"/>
                <w:color w:val="auto"/>
              </w:rPr>
            </w:pPr>
            <w:r>
              <w:rPr>
                <w:rFonts w:ascii="Arial" w:cs="Arial" w:eastAsia="Arial" w:hAnsi="Arial"/>
                <w:sz w:val="14"/>
                <w:szCs w:val="14"/>
                <w:color w:val="auto"/>
              </w:rPr>
              <w:t>343,055</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305,547</w:t>
            </w:r>
          </w:p>
        </w:tc>
        <w:tc>
          <w:tcPr>
            <w:tcW w:w="0" w:type="dxa"/>
            <w:vAlign w:val="bottom"/>
          </w:tcPr>
          <w:p>
            <w:pPr>
              <w:spacing w:after="0"/>
              <w:rPr>
                <w:sz w:val="1"/>
                <w:szCs w:val="1"/>
                <w:color w:val="auto"/>
              </w:rPr>
            </w:pPr>
          </w:p>
        </w:tc>
      </w:tr>
      <w:tr>
        <w:trPr>
          <w:trHeight w:val="351"/>
        </w:trPr>
        <w:tc>
          <w:tcPr>
            <w:tcW w:w="7620" w:type="dxa"/>
            <w:vAlign w:val="bottom"/>
          </w:tcPr>
          <w:p>
            <w:pPr>
              <w:ind w:left="180"/>
              <w:spacing w:after="0"/>
              <w:rPr>
                <w:sz w:val="20"/>
                <w:szCs w:val="20"/>
                <w:color w:val="auto"/>
              </w:rPr>
            </w:pPr>
            <w:r>
              <w:rPr>
                <w:rFonts w:ascii="Arial" w:cs="Arial" w:eastAsia="Arial" w:hAnsi="Arial"/>
                <w:sz w:val="14"/>
                <w:szCs w:val="14"/>
                <w:color w:val="auto"/>
              </w:rPr>
              <w:t>Reimbursable expenses</w:t>
            </w:r>
          </w:p>
        </w:tc>
        <w:tc>
          <w:tcPr>
            <w:tcW w:w="1820" w:type="dxa"/>
            <w:vAlign w:val="bottom"/>
            <w:gridSpan w:val="2"/>
          </w:tcPr>
          <w:p>
            <w:pPr>
              <w:jc w:val="right"/>
              <w:ind w:right="20"/>
              <w:spacing w:after="0"/>
              <w:rPr>
                <w:sz w:val="20"/>
                <w:szCs w:val="20"/>
                <w:color w:val="auto"/>
              </w:rPr>
            </w:pPr>
            <w:r>
              <w:rPr>
                <w:rFonts w:ascii="Arial" w:cs="Arial" w:eastAsia="Arial" w:hAnsi="Arial"/>
                <w:sz w:val="14"/>
                <w:szCs w:val="14"/>
                <w:color w:val="auto"/>
              </w:rPr>
              <w:t>90,722</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76,250</w:t>
            </w:r>
          </w:p>
        </w:tc>
        <w:tc>
          <w:tcPr>
            <w:tcW w:w="0" w:type="dxa"/>
            <w:vAlign w:val="bottom"/>
          </w:tcPr>
          <w:p>
            <w:pPr>
              <w:spacing w:after="0"/>
              <w:rPr>
                <w:sz w:val="1"/>
                <w:szCs w:val="1"/>
                <w:color w:val="auto"/>
              </w:rPr>
            </w:pPr>
          </w:p>
        </w:tc>
      </w:tr>
      <w:tr>
        <w:trPr>
          <w:trHeight w:val="174"/>
        </w:trPr>
        <w:tc>
          <w:tcPr>
            <w:tcW w:w="76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Net Revenue</w:t>
            </w:r>
          </w:p>
        </w:tc>
        <w:tc>
          <w:tcPr>
            <w:tcW w:w="18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20" w:type="dxa"/>
            <w:vAlign w:val="bottom"/>
            <w:vMerge w:val="continue"/>
          </w:tcPr>
          <w:p>
            <w:pPr>
              <w:spacing w:after="0"/>
              <w:rPr>
                <w:sz w:val="15"/>
                <w:szCs w:val="15"/>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4"/>
                <w:szCs w:val="14"/>
                <w:color w:val="auto"/>
              </w:rPr>
              <w:t>252,333</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229,297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7620" w:type="dxa"/>
            <w:vAlign w:val="bottom"/>
          </w:tcPr>
          <w:p>
            <w:pPr>
              <w:ind w:left="180"/>
              <w:spacing w:after="0"/>
              <w:rPr>
                <w:sz w:val="20"/>
                <w:szCs w:val="20"/>
                <w:color w:val="auto"/>
              </w:rPr>
            </w:pPr>
            <w:r>
              <w:rPr>
                <w:rFonts w:ascii="Arial" w:cs="Arial" w:eastAsia="Arial" w:hAnsi="Arial"/>
                <w:sz w:val="14"/>
                <w:szCs w:val="14"/>
                <w:b w:val="1"/>
                <w:bCs w:val="1"/>
                <w:color w:val="auto"/>
              </w:rPr>
              <w:t>Costs and expenses</w:t>
            </w: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620" w:type="dxa"/>
            <w:vAlign w:val="bottom"/>
          </w:tcPr>
          <w:p>
            <w:pPr>
              <w:ind w:left="180"/>
              <w:spacing w:after="0"/>
              <w:rPr>
                <w:sz w:val="20"/>
                <w:szCs w:val="20"/>
                <w:color w:val="auto"/>
              </w:rPr>
            </w:pPr>
            <w:r>
              <w:rPr>
                <w:rFonts w:ascii="Arial" w:cs="Arial" w:eastAsia="Arial" w:hAnsi="Arial"/>
                <w:sz w:val="14"/>
                <w:szCs w:val="14"/>
                <w:color w:val="auto"/>
              </w:rPr>
              <w:t>Direct costs</w:t>
            </w:r>
          </w:p>
        </w:tc>
        <w:tc>
          <w:tcPr>
            <w:tcW w:w="1820" w:type="dxa"/>
            <w:vAlign w:val="bottom"/>
            <w:gridSpan w:val="2"/>
          </w:tcPr>
          <w:p>
            <w:pPr>
              <w:jc w:val="right"/>
              <w:ind w:right="20"/>
              <w:spacing w:after="0"/>
              <w:rPr>
                <w:sz w:val="20"/>
                <w:szCs w:val="20"/>
                <w:color w:val="auto"/>
              </w:rPr>
            </w:pPr>
            <w:r>
              <w:rPr>
                <w:rFonts w:ascii="Arial" w:cs="Arial" w:eastAsia="Arial" w:hAnsi="Arial"/>
                <w:sz w:val="14"/>
                <w:szCs w:val="14"/>
                <w:color w:val="auto"/>
              </w:rPr>
              <w:t>162,284</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144,470</w:t>
            </w:r>
          </w:p>
        </w:tc>
        <w:tc>
          <w:tcPr>
            <w:tcW w:w="0" w:type="dxa"/>
            <w:vAlign w:val="bottom"/>
          </w:tcPr>
          <w:p>
            <w:pPr>
              <w:spacing w:after="0"/>
              <w:rPr>
                <w:sz w:val="1"/>
                <w:szCs w:val="1"/>
                <w:color w:val="auto"/>
              </w:rPr>
            </w:pPr>
          </w:p>
        </w:tc>
      </w:tr>
      <w:tr>
        <w:trPr>
          <w:trHeight w:val="176"/>
        </w:trPr>
        <w:tc>
          <w:tcPr>
            <w:tcW w:w="7620" w:type="dxa"/>
            <w:vAlign w:val="bottom"/>
          </w:tcPr>
          <w:p>
            <w:pPr>
              <w:ind w:left="180"/>
              <w:spacing w:after="0"/>
              <w:rPr>
                <w:sz w:val="20"/>
                <w:szCs w:val="20"/>
                <w:color w:val="auto"/>
              </w:rPr>
            </w:pPr>
            <w:r>
              <w:rPr>
                <w:rFonts w:ascii="Arial" w:cs="Arial" w:eastAsia="Arial" w:hAnsi="Arial"/>
                <w:sz w:val="14"/>
                <w:szCs w:val="14"/>
                <w:color w:val="auto"/>
              </w:rPr>
              <w:t>Selling, general and administrative</w:t>
            </w:r>
          </w:p>
        </w:tc>
        <w:tc>
          <w:tcPr>
            <w:tcW w:w="1820" w:type="dxa"/>
            <w:vAlign w:val="bottom"/>
            <w:gridSpan w:val="2"/>
          </w:tcPr>
          <w:p>
            <w:pPr>
              <w:jc w:val="right"/>
              <w:ind w:right="20"/>
              <w:spacing w:after="0"/>
              <w:rPr>
                <w:sz w:val="20"/>
                <w:szCs w:val="20"/>
                <w:color w:val="auto"/>
              </w:rPr>
            </w:pPr>
            <w:r>
              <w:rPr>
                <w:rFonts w:ascii="Arial" w:cs="Arial" w:eastAsia="Arial" w:hAnsi="Arial"/>
                <w:sz w:val="14"/>
                <w:szCs w:val="14"/>
                <w:color w:val="auto"/>
              </w:rPr>
              <w:t>67,515</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59,883</w:t>
            </w:r>
          </w:p>
        </w:tc>
        <w:tc>
          <w:tcPr>
            <w:tcW w:w="0" w:type="dxa"/>
            <w:vAlign w:val="bottom"/>
          </w:tcPr>
          <w:p>
            <w:pPr>
              <w:spacing w:after="0"/>
              <w:rPr>
                <w:sz w:val="1"/>
                <w:szCs w:val="1"/>
                <w:color w:val="auto"/>
              </w:rPr>
            </w:pPr>
          </w:p>
        </w:tc>
      </w:tr>
      <w:tr>
        <w:trPr>
          <w:trHeight w:val="176"/>
        </w:trPr>
        <w:tc>
          <w:tcPr>
            <w:tcW w:w="762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1820" w:type="dxa"/>
            <w:vAlign w:val="bottom"/>
            <w:gridSpan w:val="2"/>
          </w:tcPr>
          <w:p>
            <w:pPr>
              <w:jc w:val="right"/>
              <w:ind w:right="20"/>
              <w:spacing w:after="0"/>
              <w:rPr>
                <w:sz w:val="20"/>
                <w:szCs w:val="20"/>
                <w:color w:val="auto"/>
              </w:rPr>
            </w:pPr>
            <w:r>
              <w:rPr>
                <w:rFonts w:ascii="Arial" w:cs="Arial" w:eastAsia="Arial" w:hAnsi="Arial"/>
                <w:sz w:val="14"/>
                <w:szCs w:val="14"/>
                <w:color w:val="auto"/>
              </w:rPr>
              <w:t>10,802</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8,973</w:t>
            </w:r>
          </w:p>
        </w:tc>
        <w:tc>
          <w:tcPr>
            <w:tcW w:w="0" w:type="dxa"/>
            <w:vAlign w:val="bottom"/>
          </w:tcPr>
          <w:p>
            <w:pPr>
              <w:spacing w:after="0"/>
              <w:rPr>
                <w:sz w:val="1"/>
                <w:szCs w:val="1"/>
                <w:color w:val="auto"/>
              </w:rPr>
            </w:pPr>
          </w:p>
        </w:tc>
      </w:tr>
      <w:tr>
        <w:trPr>
          <w:trHeight w:val="181"/>
        </w:trPr>
        <w:tc>
          <w:tcPr>
            <w:tcW w:w="7620" w:type="dxa"/>
            <w:vAlign w:val="bottom"/>
          </w:tcPr>
          <w:p>
            <w:pPr>
              <w:ind w:left="180"/>
              <w:spacing w:after="0"/>
              <w:rPr>
                <w:sz w:val="20"/>
                <w:szCs w:val="20"/>
                <w:color w:val="auto"/>
              </w:rPr>
            </w:pPr>
            <w:r>
              <w:rPr>
                <w:rFonts w:ascii="Arial" w:cs="Arial" w:eastAsia="Arial" w:hAnsi="Arial"/>
                <w:sz w:val="14"/>
                <w:szCs w:val="14"/>
                <w:color w:val="auto"/>
              </w:rPr>
              <w:t>Non-recurring charges</w:t>
            </w:r>
          </w:p>
        </w:tc>
        <w:tc>
          <w:tcPr>
            <w:tcW w:w="18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5,002</w:t>
            </w:r>
          </w:p>
        </w:tc>
        <w:tc>
          <w:tcPr>
            <w:tcW w:w="0" w:type="dxa"/>
            <w:vAlign w:val="bottom"/>
          </w:tcPr>
          <w:p>
            <w:pPr>
              <w:spacing w:after="0"/>
              <w:rPr>
                <w:sz w:val="1"/>
                <w:szCs w:val="1"/>
                <w:color w:val="auto"/>
              </w:rPr>
            </w:pPr>
          </w:p>
        </w:tc>
      </w:tr>
      <w:tr>
        <w:trPr>
          <w:trHeight w:val="176"/>
        </w:trPr>
        <w:tc>
          <w:tcPr>
            <w:tcW w:w="7620" w:type="dxa"/>
            <w:vAlign w:val="bottom"/>
          </w:tcPr>
          <w:p>
            <w:pPr>
              <w:ind w:left="180"/>
              <w:spacing w:after="0"/>
              <w:rPr>
                <w:sz w:val="20"/>
                <w:szCs w:val="20"/>
                <w:color w:val="auto"/>
              </w:rPr>
            </w:pPr>
            <w:r>
              <w:rPr>
                <w:rFonts w:ascii="Arial" w:cs="Arial" w:eastAsia="Arial" w:hAnsi="Arial"/>
                <w:sz w:val="14"/>
                <w:szCs w:val="14"/>
                <w:b w:val="1"/>
                <w:bCs w:val="1"/>
                <w:color w:val="auto"/>
              </w:rPr>
              <w:t>Total costs and expenses</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240,601</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218,328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7620" w:type="dxa"/>
            <w:vAlign w:val="bottom"/>
          </w:tcPr>
          <w:p>
            <w:pPr>
              <w:ind w:left="180"/>
              <w:spacing w:after="0"/>
              <w:rPr>
                <w:sz w:val="20"/>
                <w:szCs w:val="20"/>
                <w:color w:val="auto"/>
              </w:rPr>
            </w:pPr>
            <w:r>
              <w:rPr>
                <w:rFonts w:ascii="Arial" w:cs="Arial" w:eastAsia="Arial" w:hAnsi="Arial"/>
                <w:sz w:val="14"/>
                <w:szCs w:val="14"/>
                <w:b w:val="1"/>
                <w:bCs w:val="1"/>
                <w:color w:val="auto"/>
              </w:rPr>
              <w:t>Income from operations</w:t>
            </w:r>
          </w:p>
        </w:tc>
        <w:tc>
          <w:tcPr>
            <w:tcW w:w="1800" w:type="dxa"/>
            <w:vAlign w:val="bottom"/>
          </w:tcPr>
          <w:p>
            <w:pPr>
              <w:jc w:val="right"/>
              <w:spacing w:after="0"/>
              <w:rPr>
                <w:sz w:val="20"/>
                <w:szCs w:val="20"/>
                <w:color w:val="auto"/>
              </w:rPr>
            </w:pPr>
            <w:r>
              <w:rPr>
                <w:rFonts w:ascii="Arial" w:cs="Arial" w:eastAsia="Arial" w:hAnsi="Arial"/>
                <w:sz w:val="14"/>
                <w:szCs w:val="14"/>
                <w:color w:val="auto"/>
              </w:rPr>
              <w:t>11,732</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10,969</w:t>
            </w:r>
          </w:p>
        </w:tc>
        <w:tc>
          <w:tcPr>
            <w:tcW w:w="0" w:type="dxa"/>
            <w:vAlign w:val="bottom"/>
          </w:tcPr>
          <w:p>
            <w:pPr>
              <w:spacing w:after="0"/>
              <w:rPr>
                <w:sz w:val="1"/>
                <w:szCs w:val="1"/>
                <w:color w:val="auto"/>
              </w:rPr>
            </w:pPr>
          </w:p>
        </w:tc>
      </w:tr>
      <w:tr>
        <w:trPr>
          <w:trHeight w:val="351"/>
        </w:trPr>
        <w:tc>
          <w:tcPr>
            <w:tcW w:w="7620" w:type="dxa"/>
            <w:vAlign w:val="bottom"/>
          </w:tcPr>
          <w:p>
            <w:pPr>
              <w:ind w:left="180"/>
              <w:spacing w:after="0"/>
              <w:rPr>
                <w:sz w:val="20"/>
                <w:szCs w:val="20"/>
                <w:color w:val="auto"/>
              </w:rPr>
            </w:pPr>
            <w:r>
              <w:rPr>
                <w:rFonts w:ascii="Arial" w:cs="Arial" w:eastAsia="Arial" w:hAnsi="Arial"/>
                <w:sz w:val="14"/>
                <w:szCs w:val="14"/>
                <w:color w:val="auto"/>
              </w:rPr>
              <w:t>Net interest (expense)/income</w:t>
            </w:r>
          </w:p>
        </w:tc>
        <w:tc>
          <w:tcPr>
            <w:tcW w:w="1800" w:type="dxa"/>
            <w:vAlign w:val="bottom"/>
          </w:tcPr>
          <w:p>
            <w:pPr>
              <w:jc w:val="right"/>
              <w:spacing w:after="0"/>
              <w:rPr>
                <w:sz w:val="20"/>
                <w:szCs w:val="20"/>
                <w:color w:val="auto"/>
              </w:rPr>
            </w:pPr>
            <w:r>
              <w:rPr>
                <w:rFonts w:ascii="Arial" w:cs="Arial" w:eastAsia="Arial" w:hAnsi="Arial"/>
                <w:sz w:val="14"/>
                <w:szCs w:val="14"/>
                <w:color w:val="auto"/>
              </w:rPr>
              <w:t>(35)</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74"/>
        </w:trPr>
        <w:tc>
          <w:tcPr>
            <w:tcW w:w="76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Income before provision for income taxes</w:t>
            </w:r>
          </w:p>
        </w:tc>
        <w:tc>
          <w:tcPr>
            <w:tcW w:w="1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20" w:type="dxa"/>
            <w:vAlign w:val="bottom"/>
            <w:vMerge w:val="continue"/>
          </w:tcPr>
          <w:p>
            <w:pPr>
              <w:spacing w:after="0"/>
              <w:rPr>
                <w:sz w:val="15"/>
                <w:szCs w:val="15"/>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11,297</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11,035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7620" w:type="dxa"/>
            <w:vAlign w:val="bottom"/>
          </w:tcPr>
          <w:p>
            <w:pPr>
              <w:ind w:left="180"/>
              <w:spacing w:after="0"/>
              <w:rPr>
                <w:sz w:val="20"/>
                <w:szCs w:val="20"/>
                <w:color w:val="auto"/>
              </w:rPr>
            </w:pPr>
            <w:r>
              <w:rPr>
                <w:rFonts w:ascii="Arial" w:cs="Arial" w:eastAsia="Arial" w:hAnsi="Arial"/>
                <w:sz w:val="14"/>
                <w:szCs w:val="14"/>
                <w:color w:val="auto"/>
              </w:rPr>
              <w:t>Provision for income taxes</w:t>
            </w:r>
          </w:p>
        </w:tc>
        <w:tc>
          <w:tcPr>
            <w:tcW w:w="1820" w:type="dxa"/>
            <w:vAlign w:val="bottom"/>
            <w:gridSpan w:val="2"/>
          </w:tcPr>
          <w:p>
            <w:pPr>
              <w:jc w:val="right"/>
              <w:ind w:right="20"/>
              <w:spacing w:after="0"/>
              <w:rPr>
                <w:sz w:val="20"/>
                <w:szCs w:val="20"/>
                <w:color w:val="auto"/>
              </w:rPr>
            </w:pPr>
            <w:r>
              <w:rPr>
                <w:rFonts w:ascii="Arial" w:cs="Arial" w:eastAsia="Arial" w:hAnsi="Arial"/>
                <w:sz w:val="14"/>
                <w:szCs w:val="14"/>
                <w:color w:val="auto"/>
              </w:rPr>
              <w:t>2,726</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2,687</w:t>
            </w:r>
          </w:p>
        </w:tc>
        <w:tc>
          <w:tcPr>
            <w:tcW w:w="0" w:type="dxa"/>
            <w:vAlign w:val="bottom"/>
          </w:tcPr>
          <w:p>
            <w:pPr>
              <w:spacing w:after="0"/>
              <w:rPr>
                <w:sz w:val="1"/>
                <w:szCs w:val="1"/>
                <w:color w:val="auto"/>
              </w:rPr>
            </w:pPr>
          </w:p>
        </w:tc>
      </w:tr>
      <w:tr>
        <w:trPr>
          <w:trHeight w:val="169"/>
        </w:trPr>
        <w:tc>
          <w:tcPr>
            <w:tcW w:w="7620" w:type="dxa"/>
            <w:vAlign w:val="bottom"/>
          </w:tcPr>
          <w:p>
            <w:pPr>
              <w:ind w:left="180"/>
              <w:spacing w:after="0"/>
              <w:rPr>
                <w:sz w:val="20"/>
                <w:szCs w:val="20"/>
                <w:color w:val="auto"/>
              </w:rPr>
            </w:pPr>
            <w:r>
              <w:rPr>
                <w:rFonts w:ascii="Arial" w:cs="Arial" w:eastAsia="Arial" w:hAnsi="Arial"/>
                <w:sz w:val="14"/>
                <w:szCs w:val="14"/>
                <w:b w:val="1"/>
                <w:bCs w:val="1"/>
                <w:color w:val="auto"/>
              </w:rPr>
              <w:t>Net income</w:t>
            </w:r>
          </w:p>
        </w:tc>
        <w:tc>
          <w:tcPr>
            <w:tcW w:w="18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8,971</w:t>
            </w:r>
          </w:p>
        </w:tc>
        <w:tc>
          <w:tcPr>
            <w:tcW w:w="16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8,348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20" w:type="dxa"/>
            <w:vAlign w:val="bottom"/>
            <w:vMerge w:val="restart"/>
          </w:tcPr>
          <w:p>
            <w:pPr>
              <w:ind w:left="180"/>
              <w:spacing w:after="0"/>
              <w:rPr>
                <w:sz w:val="20"/>
                <w:szCs w:val="20"/>
                <w:color w:val="auto"/>
              </w:rPr>
            </w:pPr>
            <w:r>
              <w:rPr>
                <w:rFonts w:ascii="Arial" w:cs="Arial" w:eastAsia="Arial" w:hAnsi="Arial"/>
                <w:sz w:val="14"/>
                <w:szCs w:val="14"/>
                <w:color w:val="auto"/>
              </w:rPr>
              <w:t>Net income per ordinary share</w:t>
            </w: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620" w:type="dxa"/>
            <w:vAlign w:val="bottom"/>
            <w:vMerge w:val="continue"/>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620" w:type="dxa"/>
            <w:vAlign w:val="bottom"/>
          </w:tcPr>
          <w:p>
            <w:pPr>
              <w:ind w:left="180"/>
              <w:spacing w:after="0"/>
              <w:rPr>
                <w:sz w:val="20"/>
                <w:szCs w:val="20"/>
                <w:color w:val="auto"/>
              </w:rPr>
            </w:pPr>
            <w:r>
              <w:rPr>
                <w:rFonts w:ascii="Arial" w:cs="Arial" w:eastAsia="Arial" w:hAnsi="Arial"/>
                <w:sz w:val="14"/>
                <w:szCs w:val="14"/>
                <w:color w:val="auto"/>
              </w:rPr>
              <w:t>Basic</w:t>
            </w:r>
          </w:p>
        </w:tc>
        <w:tc>
          <w:tcPr>
            <w:tcW w:w="1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$0.15</w:t>
            </w:r>
          </w:p>
        </w:tc>
        <w:tc>
          <w:tcPr>
            <w:tcW w:w="1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7620" w:type="dxa"/>
            <w:vAlign w:val="bottom"/>
          </w:tcPr>
          <w:p>
            <w:pPr>
              <w:ind w:left="180"/>
              <w:spacing w:after="0"/>
              <w:rPr>
                <w:sz w:val="20"/>
                <w:szCs w:val="20"/>
                <w:color w:val="auto"/>
              </w:rPr>
            </w:pPr>
            <w:r>
              <w:rPr>
                <w:rFonts w:ascii="Arial" w:cs="Arial" w:eastAsia="Arial" w:hAnsi="Arial"/>
                <w:sz w:val="14"/>
                <w:szCs w:val="14"/>
                <w:color w:val="auto"/>
              </w:rPr>
              <w:t>Diluted</w:t>
            </w:r>
          </w:p>
        </w:tc>
        <w:tc>
          <w:tcPr>
            <w:tcW w:w="1820" w:type="dxa"/>
            <w:vAlign w:val="bottom"/>
            <w:gridSpan w:val="2"/>
          </w:tcPr>
          <w:p>
            <w:pPr>
              <w:jc w:val="right"/>
              <w:ind w:right="20"/>
              <w:spacing w:after="0"/>
              <w:rPr>
                <w:sz w:val="20"/>
                <w:szCs w:val="20"/>
                <w:color w:val="auto"/>
              </w:rPr>
            </w:pPr>
            <w:r>
              <w:rPr>
                <w:rFonts w:ascii="Arial" w:cs="Arial" w:eastAsia="Arial" w:hAnsi="Arial"/>
                <w:sz w:val="14"/>
                <w:szCs w:val="14"/>
                <w:color w:val="auto"/>
              </w:rPr>
              <w:t>$0.15</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$0.14</w:t>
            </w:r>
          </w:p>
        </w:tc>
        <w:tc>
          <w:tcPr>
            <w:tcW w:w="0" w:type="dxa"/>
            <w:vAlign w:val="bottom"/>
          </w:tcPr>
          <w:p>
            <w:pPr>
              <w:spacing w:after="0"/>
              <w:rPr>
                <w:sz w:val="1"/>
                <w:szCs w:val="1"/>
                <w:color w:val="auto"/>
              </w:rPr>
            </w:pPr>
          </w:p>
        </w:tc>
      </w:tr>
      <w:tr>
        <w:trPr>
          <w:trHeight w:val="339"/>
        </w:trPr>
        <w:tc>
          <w:tcPr>
            <w:tcW w:w="7620" w:type="dxa"/>
            <w:vAlign w:val="bottom"/>
          </w:tcPr>
          <w:p>
            <w:pPr>
              <w:ind w:left="180"/>
              <w:spacing w:after="0"/>
              <w:rPr>
                <w:sz w:val="20"/>
                <w:szCs w:val="20"/>
                <w:color w:val="auto"/>
              </w:rPr>
            </w:pPr>
            <w:r>
              <w:rPr>
                <w:rFonts w:ascii="Arial" w:cs="Arial" w:eastAsia="Arial" w:hAnsi="Arial"/>
                <w:sz w:val="14"/>
                <w:szCs w:val="14"/>
                <w:color w:val="auto"/>
              </w:rPr>
              <w:t>Weighted average number of ordinary shares</w:t>
            </w:r>
          </w:p>
        </w:tc>
        <w:tc>
          <w:tcPr>
            <w:tcW w:w="18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7620" w:type="dxa"/>
            <w:vAlign w:val="bottom"/>
          </w:tcPr>
          <w:p>
            <w:pPr>
              <w:ind w:left="180"/>
              <w:spacing w:after="0"/>
              <w:rPr>
                <w:sz w:val="20"/>
                <w:szCs w:val="20"/>
                <w:color w:val="auto"/>
              </w:rPr>
            </w:pPr>
            <w:r>
              <w:rPr>
                <w:rFonts w:ascii="Arial" w:cs="Arial" w:eastAsia="Arial" w:hAnsi="Arial"/>
                <w:sz w:val="14"/>
                <w:szCs w:val="14"/>
                <w:color w:val="auto"/>
              </w:rPr>
              <w:t>Basic</w:t>
            </w:r>
          </w:p>
        </w:tc>
        <w:tc>
          <w:tcPr>
            <w:tcW w:w="1800" w:type="dxa"/>
            <w:vAlign w:val="bottom"/>
          </w:tcPr>
          <w:p>
            <w:pPr>
              <w:jc w:val="right"/>
              <w:spacing w:after="0"/>
              <w:rPr>
                <w:sz w:val="20"/>
                <w:szCs w:val="20"/>
                <w:color w:val="auto"/>
              </w:rPr>
            </w:pPr>
            <w:r>
              <w:rPr>
                <w:rFonts w:ascii="Arial" w:cs="Arial" w:eastAsia="Arial" w:hAnsi="Arial"/>
                <w:sz w:val="14"/>
                <w:szCs w:val="14"/>
                <w:color w:val="auto"/>
              </w:rPr>
              <w:t>60,086,104</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60,283,078</w:t>
            </w:r>
          </w:p>
        </w:tc>
        <w:tc>
          <w:tcPr>
            <w:tcW w:w="0" w:type="dxa"/>
            <w:vAlign w:val="bottom"/>
          </w:tcPr>
          <w:p>
            <w:pPr>
              <w:spacing w:after="0"/>
              <w:rPr>
                <w:sz w:val="1"/>
                <w:szCs w:val="1"/>
                <w:color w:val="auto"/>
              </w:rPr>
            </w:pPr>
          </w:p>
        </w:tc>
      </w:tr>
      <w:tr>
        <w:trPr>
          <w:trHeight w:val="351"/>
        </w:trPr>
        <w:tc>
          <w:tcPr>
            <w:tcW w:w="7620" w:type="dxa"/>
            <w:vAlign w:val="bottom"/>
          </w:tcPr>
          <w:p>
            <w:pPr>
              <w:ind w:left="180"/>
              <w:spacing w:after="0"/>
              <w:rPr>
                <w:sz w:val="20"/>
                <w:szCs w:val="20"/>
                <w:color w:val="auto"/>
              </w:rPr>
            </w:pPr>
            <w:r>
              <w:rPr>
                <w:rFonts w:ascii="Arial" w:cs="Arial" w:eastAsia="Arial" w:hAnsi="Arial"/>
                <w:sz w:val="14"/>
                <w:szCs w:val="14"/>
                <w:color w:val="auto"/>
              </w:rPr>
              <w:t>Diluted</w:t>
            </w:r>
          </w:p>
        </w:tc>
        <w:tc>
          <w:tcPr>
            <w:tcW w:w="1800" w:type="dxa"/>
            <w:vAlign w:val="bottom"/>
          </w:tcPr>
          <w:p>
            <w:pPr>
              <w:jc w:val="right"/>
              <w:spacing w:after="0"/>
              <w:rPr>
                <w:sz w:val="20"/>
                <w:szCs w:val="20"/>
                <w:color w:val="auto"/>
              </w:rPr>
            </w:pPr>
            <w:r>
              <w:rPr>
                <w:rFonts w:ascii="Arial" w:cs="Arial" w:eastAsia="Arial" w:hAnsi="Arial"/>
                <w:sz w:val="14"/>
                <w:szCs w:val="14"/>
                <w:color w:val="auto"/>
              </w:rPr>
              <w:t>60,708,469</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60,982,948</w:t>
            </w:r>
          </w:p>
        </w:tc>
        <w:tc>
          <w:tcPr>
            <w:tcW w:w="0" w:type="dxa"/>
            <w:vAlign w:val="bottom"/>
          </w:tcPr>
          <w:p>
            <w:pPr>
              <w:spacing w:after="0"/>
              <w:rPr>
                <w:sz w:val="1"/>
                <w:szCs w:val="1"/>
                <w:color w:val="auto"/>
              </w:rPr>
            </w:pPr>
          </w:p>
        </w:tc>
      </w:tr>
      <w:tr>
        <w:trPr>
          <w:trHeight w:val="215"/>
        </w:trPr>
        <w:tc>
          <w:tcPr>
            <w:tcW w:w="7620" w:type="dxa"/>
            <w:vAlign w:val="bottom"/>
            <w:tcBorders>
              <w:bottom w:val="single" w:sz="8" w:color="9A9A9A"/>
            </w:tcBorders>
          </w:tcPr>
          <w:p>
            <w:pPr>
              <w:spacing w:after="0"/>
              <w:rPr>
                <w:sz w:val="18"/>
                <w:szCs w:val="18"/>
                <w:color w:val="auto"/>
              </w:rPr>
            </w:pPr>
          </w:p>
        </w:tc>
        <w:tc>
          <w:tcPr>
            <w:tcW w:w="18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620" w:type="dxa"/>
            <w:vAlign w:val="bottom"/>
            <w:tcBorders>
              <w:bottom w:val="single" w:sz="8" w:color="EEEEEE"/>
            </w:tcBorders>
          </w:tcPr>
          <w:p>
            <w:pPr>
              <w:spacing w:after="0" w:line="20" w:lineRule="exact"/>
              <w:rPr>
                <w:sz w:val="1"/>
                <w:szCs w:val="1"/>
                <w:color w:val="auto"/>
              </w:rPr>
            </w:pPr>
          </w:p>
        </w:tc>
        <w:tc>
          <w:tcPr>
            <w:tcW w:w="18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ICON plc</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Summary Balance Sheet Data</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March 31, 2012 and December 31, 2011</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720" w:type="dxa"/>
            <w:vAlign w:val="bottom"/>
          </w:tcPr>
          <w:p>
            <w:pPr>
              <w:spacing w:after="0"/>
              <w:rPr>
                <w:sz w:val="15"/>
                <w:szCs w:val="15"/>
                <w:color w:val="auto"/>
              </w:rPr>
            </w:pPr>
          </w:p>
        </w:tc>
        <w:tc>
          <w:tcPr>
            <w:tcW w:w="4380" w:type="dxa"/>
            <w:vAlign w:val="bottom"/>
          </w:tcPr>
          <w:p>
            <w:pPr>
              <w:jc w:val="right"/>
              <w:ind w:right="408"/>
              <w:spacing w:after="0"/>
              <w:rPr>
                <w:sz w:val="20"/>
                <w:szCs w:val="20"/>
                <w:color w:val="auto"/>
              </w:rPr>
            </w:pPr>
            <w:r>
              <w:rPr>
                <w:rFonts w:ascii="Arial" w:cs="Arial" w:eastAsia="Arial" w:hAnsi="Arial"/>
                <w:sz w:val="14"/>
                <w:szCs w:val="14"/>
                <w:b w:val="1"/>
                <w:bCs w:val="1"/>
                <w:color w:val="auto"/>
              </w:rPr>
              <w:t>March 31,</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r>
      <w:tr>
        <w:trPr>
          <w:trHeight w:val="176"/>
        </w:trPr>
        <w:tc>
          <w:tcPr>
            <w:tcW w:w="5720" w:type="dxa"/>
            <w:vAlign w:val="bottom"/>
          </w:tcPr>
          <w:p>
            <w:pPr>
              <w:spacing w:after="0"/>
              <w:rPr>
                <w:sz w:val="15"/>
                <w:szCs w:val="15"/>
                <w:color w:val="auto"/>
              </w:rPr>
            </w:pPr>
          </w:p>
        </w:tc>
        <w:tc>
          <w:tcPr>
            <w:tcW w:w="4380" w:type="dxa"/>
            <w:vAlign w:val="bottom"/>
          </w:tcPr>
          <w:p>
            <w:pPr>
              <w:jc w:val="right"/>
              <w:ind w:right="388"/>
              <w:spacing w:after="0"/>
              <w:rPr>
                <w:sz w:val="20"/>
                <w:szCs w:val="20"/>
                <w:color w:val="auto"/>
              </w:rPr>
            </w:pPr>
            <w:r>
              <w:rPr>
                <w:rFonts w:ascii="Arial" w:cs="Arial" w:eastAsia="Arial" w:hAnsi="Arial"/>
                <w:sz w:val="14"/>
                <w:szCs w:val="14"/>
                <w:b w:val="1"/>
                <w:bCs w:val="1"/>
                <w:color w:val="auto"/>
              </w:rPr>
              <w:t>2012</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2011</w:t>
            </w:r>
          </w:p>
        </w:tc>
      </w:tr>
      <w:tr>
        <w:trPr>
          <w:trHeight w:val="180"/>
        </w:trPr>
        <w:tc>
          <w:tcPr>
            <w:tcW w:w="5720" w:type="dxa"/>
            <w:vAlign w:val="bottom"/>
          </w:tcPr>
          <w:p>
            <w:pPr>
              <w:spacing w:after="0"/>
              <w:rPr>
                <w:sz w:val="15"/>
                <w:szCs w:val="15"/>
                <w:color w:val="auto"/>
              </w:rPr>
            </w:pPr>
          </w:p>
        </w:tc>
        <w:tc>
          <w:tcPr>
            <w:tcW w:w="4380" w:type="dxa"/>
            <w:vAlign w:val="bottom"/>
          </w:tcPr>
          <w:p>
            <w:pPr>
              <w:jc w:val="right"/>
              <w:ind w:right="408"/>
              <w:spacing w:after="0"/>
              <w:rPr>
                <w:sz w:val="20"/>
                <w:szCs w:val="20"/>
                <w:color w:val="auto"/>
              </w:rPr>
            </w:pPr>
            <w:r>
              <w:rPr>
                <w:rFonts w:ascii="Arial" w:cs="Arial" w:eastAsia="Arial" w:hAnsi="Arial"/>
                <w:sz w:val="14"/>
                <w:szCs w:val="14"/>
                <w:b w:val="1"/>
                <w:bCs w:val="1"/>
                <w:color w:val="auto"/>
              </w:rPr>
              <w:t>(Unaudited)</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(Audited)</w:t>
            </w:r>
          </w:p>
        </w:tc>
      </w:tr>
      <w:tr>
        <w:trPr>
          <w:trHeight w:val="182"/>
        </w:trPr>
        <w:tc>
          <w:tcPr>
            <w:tcW w:w="5720" w:type="dxa"/>
            <w:vAlign w:val="bottom"/>
          </w:tcPr>
          <w:p>
            <w:pPr>
              <w:spacing w:after="0"/>
              <w:rPr>
                <w:sz w:val="20"/>
                <w:szCs w:val="20"/>
                <w:color w:val="auto"/>
              </w:rPr>
            </w:pPr>
            <w:r>
              <w:rPr>
                <w:rFonts w:ascii="Arial" w:cs="Arial" w:eastAsia="Arial" w:hAnsi="Arial"/>
                <w:sz w:val="14"/>
                <w:szCs w:val="14"/>
                <w:color w:val="auto"/>
              </w:rPr>
              <w:t>Cash and short-term investments net of debt</w:t>
            </w:r>
          </w:p>
        </w:tc>
        <w:tc>
          <w:tcPr>
            <w:tcW w:w="4380" w:type="dxa"/>
            <w:vAlign w:val="bottom"/>
          </w:tcPr>
          <w:p>
            <w:pPr>
              <w:jc w:val="right"/>
              <w:ind w:right="388"/>
              <w:spacing w:after="0"/>
              <w:rPr>
                <w:sz w:val="20"/>
                <w:szCs w:val="20"/>
                <w:color w:val="auto"/>
              </w:rPr>
            </w:pPr>
            <w:r>
              <w:rPr>
                <w:rFonts w:ascii="Arial" w:cs="Arial" w:eastAsia="Arial" w:hAnsi="Arial"/>
                <w:sz w:val="14"/>
                <w:szCs w:val="14"/>
                <w:color w:val="auto"/>
              </w:rPr>
              <w:t>185,994</w:t>
            </w:r>
          </w:p>
        </w:tc>
        <w:tc>
          <w:tcPr>
            <w:tcW w:w="1320" w:type="dxa"/>
            <w:vAlign w:val="bottom"/>
          </w:tcPr>
          <w:p>
            <w:pPr>
              <w:jc w:val="right"/>
              <w:spacing w:after="0"/>
              <w:rPr>
                <w:sz w:val="20"/>
                <w:szCs w:val="20"/>
                <w:color w:val="auto"/>
              </w:rPr>
            </w:pPr>
            <w:r>
              <w:rPr>
                <w:rFonts w:ascii="Arial" w:cs="Arial" w:eastAsia="Arial" w:hAnsi="Arial"/>
                <w:sz w:val="14"/>
                <w:szCs w:val="14"/>
                <w:color w:val="auto"/>
              </w:rPr>
              <w:t>174,177</w:t>
            </w:r>
          </w:p>
        </w:tc>
      </w:tr>
      <w:tr>
        <w:trPr>
          <w:trHeight w:val="344"/>
        </w:trPr>
        <w:tc>
          <w:tcPr>
            <w:tcW w:w="5720" w:type="dxa"/>
            <w:vAlign w:val="bottom"/>
          </w:tcPr>
          <w:p>
            <w:pPr>
              <w:spacing w:after="0"/>
              <w:rPr>
                <w:sz w:val="20"/>
                <w:szCs w:val="20"/>
                <w:color w:val="auto"/>
              </w:rPr>
            </w:pPr>
            <w:r>
              <w:rPr>
                <w:rFonts w:ascii="Arial" w:cs="Arial" w:eastAsia="Arial" w:hAnsi="Arial"/>
                <w:sz w:val="14"/>
                <w:szCs w:val="14"/>
                <w:color w:val="auto"/>
              </w:rPr>
              <w:t>Accounts receivable</w:t>
            </w:r>
          </w:p>
        </w:tc>
        <w:tc>
          <w:tcPr>
            <w:tcW w:w="4380" w:type="dxa"/>
            <w:vAlign w:val="bottom"/>
          </w:tcPr>
          <w:p>
            <w:pPr>
              <w:jc w:val="right"/>
              <w:ind w:right="388"/>
              <w:spacing w:after="0"/>
              <w:rPr>
                <w:sz w:val="20"/>
                <w:szCs w:val="20"/>
                <w:color w:val="auto"/>
              </w:rPr>
            </w:pPr>
            <w:r>
              <w:rPr>
                <w:rFonts w:ascii="Arial" w:cs="Arial" w:eastAsia="Arial" w:hAnsi="Arial"/>
                <w:sz w:val="14"/>
                <w:szCs w:val="14"/>
                <w:color w:val="auto"/>
              </w:rPr>
              <w:t>195,094</w:t>
            </w:r>
          </w:p>
        </w:tc>
        <w:tc>
          <w:tcPr>
            <w:tcW w:w="1320" w:type="dxa"/>
            <w:vAlign w:val="bottom"/>
          </w:tcPr>
          <w:p>
            <w:pPr>
              <w:jc w:val="right"/>
              <w:spacing w:after="0"/>
              <w:rPr>
                <w:sz w:val="20"/>
                <w:szCs w:val="20"/>
                <w:color w:val="auto"/>
              </w:rPr>
            </w:pPr>
            <w:r>
              <w:rPr>
                <w:rFonts w:ascii="Arial" w:cs="Arial" w:eastAsia="Arial" w:hAnsi="Arial"/>
                <w:sz w:val="14"/>
                <w:szCs w:val="14"/>
                <w:color w:val="auto"/>
              </w:rPr>
              <w:t>201,338</w:t>
            </w:r>
          </w:p>
        </w:tc>
      </w:tr>
      <w:tr>
        <w:trPr>
          <w:trHeight w:val="176"/>
        </w:trPr>
        <w:tc>
          <w:tcPr>
            <w:tcW w:w="5720" w:type="dxa"/>
            <w:vAlign w:val="bottom"/>
          </w:tcPr>
          <w:p>
            <w:pPr>
              <w:spacing w:after="0"/>
              <w:rPr>
                <w:sz w:val="20"/>
                <w:szCs w:val="20"/>
                <w:color w:val="auto"/>
              </w:rPr>
            </w:pPr>
            <w:r>
              <w:rPr>
                <w:rFonts w:ascii="Arial" w:cs="Arial" w:eastAsia="Arial" w:hAnsi="Arial"/>
                <w:sz w:val="14"/>
                <w:szCs w:val="14"/>
                <w:color w:val="auto"/>
              </w:rPr>
              <w:t>Unbilled revenue</w:t>
            </w:r>
          </w:p>
        </w:tc>
        <w:tc>
          <w:tcPr>
            <w:tcW w:w="4380" w:type="dxa"/>
            <w:vAlign w:val="bottom"/>
          </w:tcPr>
          <w:p>
            <w:pPr>
              <w:jc w:val="right"/>
              <w:ind w:right="388"/>
              <w:spacing w:after="0"/>
              <w:rPr>
                <w:sz w:val="20"/>
                <w:szCs w:val="20"/>
                <w:color w:val="auto"/>
              </w:rPr>
            </w:pPr>
            <w:r>
              <w:rPr>
                <w:rFonts w:ascii="Arial" w:cs="Arial" w:eastAsia="Arial" w:hAnsi="Arial"/>
                <w:sz w:val="14"/>
                <w:szCs w:val="14"/>
                <w:color w:val="auto"/>
              </w:rPr>
              <w:t>113,141</w:t>
            </w:r>
          </w:p>
        </w:tc>
        <w:tc>
          <w:tcPr>
            <w:tcW w:w="1320" w:type="dxa"/>
            <w:vAlign w:val="bottom"/>
          </w:tcPr>
          <w:p>
            <w:pPr>
              <w:jc w:val="right"/>
              <w:spacing w:after="0"/>
              <w:rPr>
                <w:sz w:val="20"/>
                <w:szCs w:val="20"/>
                <w:color w:val="auto"/>
              </w:rPr>
            </w:pPr>
            <w:r>
              <w:rPr>
                <w:rFonts w:ascii="Arial" w:cs="Arial" w:eastAsia="Arial" w:hAnsi="Arial"/>
                <w:sz w:val="14"/>
                <w:szCs w:val="14"/>
                <w:color w:val="auto"/>
              </w:rPr>
              <w:t>126,850</w:t>
            </w:r>
          </w:p>
        </w:tc>
      </w:tr>
      <w:tr>
        <w:trPr>
          <w:trHeight w:val="176"/>
        </w:trPr>
        <w:tc>
          <w:tcPr>
            <w:tcW w:w="5720" w:type="dxa"/>
            <w:vAlign w:val="bottom"/>
          </w:tcPr>
          <w:p>
            <w:pPr>
              <w:spacing w:after="0"/>
              <w:rPr>
                <w:sz w:val="20"/>
                <w:szCs w:val="20"/>
                <w:color w:val="auto"/>
              </w:rPr>
            </w:pPr>
            <w:r>
              <w:rPr>
                <w:rFonts w:ascii="Arial" w:cs="Arial" w:eastAsia="Arial" w:hAnsi="Arial"/>
                <w:sz w:val="14"/>
                <w:szCs w:val="14"/>
                <w:color w:val="auto"/>
              </w:rPr>
              <w:t>Payments on account</w:t>
            </w:r>
          </w:p>
        </w:tc>
        <w:tc>
          <w:tcPr>
            <w:tcW w:w="4380" w:type="dxa"/>
            <w:vAlign w:val="bottom"/>
          </w:tcPr>
          <w:p>
            <w:pPr>
              <w:jc w:val="right"/>
              <w:ind w:right="388"/>
              <w:spacing w:after="0"/>
              <w:rPr>
                <w:sz w:val="20"/>
                <w:szCs w:val="20"/>
                <w:color w:val="auto"/>
              </w:rPr>
            </w:pPr>
            <w:r>
              <w:rPr>
                <w:rFonts w:ascii="Arial" w:cs="Arial" w:eastAsia="Arial" w:hAnsi="Arial"/>
                <w:sz w:val="14"/>
                <w:szCs w:val="14"/>
                <w:color w:val="auto"/>
              </w:rPr>
              <w:t>(168,764)</w:t>
            </w:r>
          </w:p>
        </w:tc>
        <w:tc>
          <w:tcPr>
            <w:tcW w:w="1320" w:type="dxa"/>
            <w:vAlign w:val="bottom"/>
          </w:tcPr>
          <w:p>
            <w:pPr>
              <w:jc w:val="right"/>
              <w:spacing w:after="0"/>
              <w:rPr>
                <w:sz w:val="20"/>
                <w:szCs w:val="20"/>
                <w:color w:val="auto"/>
              </w:rPr>
            </w:pPr>
            <w:r>
              <w:rPr>
                <w:rFonts w:ascii="Arial" w:cs="Arial" w:eastAsia="Arial" w:hAnsi="Arial"/>
                <w:sz w:val="14"/>
                <w:szCs w:val="14"/>
                <w:color w:val="auto"/>
              </w:rPr>
              <w:t>(150,792)</w:t>
            </w:r>
          </w:p>
        </w:tc>
      </w:tr>
      <w:tr>
        <w:trPr>
          <w:trHeight w:val="182"/>
        </w:trPr>
        <w:tc>
          <w:tcPr>
            <w:tcW w:w="5720" w:type="dxa"/>
            <w:vAlign w:val="bottom"/>
          </w:tcPr>
          <w:p>
            <w:pPr>
              <w:spacing w:after="0"/>
              <w:rPr>
                <w:sz w:val="20"/>
                <w:szCs w:val="20"/>
                <w:color w:val="auto"/>
              </w:rPr>
            </w:pPr>
            <w:r>
              <w:rPr>
                <w:rFonts w:ascii="Arial" w:cs="Arial" w:eastAsia="Arial" w:hAnsi="Arial"/>
                <w:sz w:val="14"/>
                <w:szCs w:val="14"/>
                <w:color w:val="auto"/>
              </w:rPr>
              <w:t>Total</w:t>
            </w:r>
          </w:p>
        </w:tc>
        <w:tc>
          <w:tcPr>
            <w:tcW w:w="4380" w:type="dxa"/>
            <w:vAlign w:val="bottom"/>
          </w:tcPr>
          <w:p>
            <w:pPr>
              <w:jc w:val="right"/>
              <w:ind w:right="388"/>
              <w:spacing w:after="0"/>
              <w:rPr>
                <w:sz w:val="20"/>
                <w:szCs w:val="20"/>
                <w:color w:val="auto"/>
              </w:rPr>
            </w:pPr>
            <w:r>
              <w:rPr>
                <w:rFonts w:ascii="Arial" w:cs="Arial" w:eastAsia="Arial" w:hAnsi="Arial"/>
                <w:sz w:val="14"/>
                <w:szCs w:val="14"/>
                <w:color w:val="auto"/>
              </w:rPr>
              <w:t>139,471</w:t>
            </w:r>
          </w:p>
        </w:tc>
        <w:tc>
          <w:tcPr>
            <w:tcW w:w="1320" w:type="dxa"/>
            <w:vAlign w:val="bottom"/>
          </w:tcPr>
          <w:p>
            <w:pPr>
              <w:jc w:val="right"/>
              <w:spacing w:after="0"/>
              <w:rPr>
                <w:sz w:val="20"/>
                <w:szCs w:val="20"/>
                <w:color w:val="auto"/>
              </w:rPr>
            </w:pPr>
            <w:r>
              <w:rPr>
                <w:rFonts w:ascii="Arial" w:cs="Arial" w:eastAsia="Arial" w:hAnsi="Arial"/>
                <w:sz w:val="14"/>
                <w:szCs w:val="14"/>
                <w:color w:val="auto"/>
              </w:rPr>
              <w:t>177,396</w:t>
            </w:r>
          </w:p>
        </w:tc>
      </w:tr>
      <w:tr>
        <w:trPr>
          <w:trHeight w:val="351"/>
        </w:trPr>
        <w:tc>
          <w:tcPr>
            <w:tcW w:w="5720" w:type="dxa"/>
            <w:vAlign w:val="bottom"/>
          </w:tcPr>
          <w:p>
            <w:pPr>
              <w:spacing w:after="0"/>
              <w:rPr>
                <w:sz w:val="20"/>
                <w:szCs w:val="20"/>
                <w:color w:val="auto"/>
              </w:rPr>
            </w:pPr>
            <w:r>
              <w:rPr>
                <w:rFonts w:ascii="Arial" w:cs="Arial" w:eastAsia="Arial" w:hAnsi="Arial"/>
                <w:sz w:val="14"/>
                <w:szCs w:val="14"/>
                <w:color w:val="auto"/>
              </w:rPr>
              <w:t>Working Capital</w:t>
            </w:r>
          </w:p>
        </w:tc>
        <w:tc>
          <w:tcPr>
            <w:tcW w:w="4380" w:type="dxa"/>
            <w:vAlign w:val="bottom"/>
          </w:tcPr>
          <w:p>
            <w:pPr>
              <w:jc w:val="right"/>
              <w:ind w:right="388"/>
              <w:spacing w:after="0"/>
              <w:rPr>
                <w:sz w:val="20"/>
                <w:szCs w:val="20"/>
                <w:color w:val="auto"/>
              </w:rPr>
            </w:pPr>
            <w:r>
              <w:rPr>
                <w:rFonts w:ascii="Arial" w:cs="Arial" w:eastAsia="Arial" w:hAnsi="Arial"/>
                <w:sz w:val="14"/>
                <w:szCs w:val="14"/>
                <w:color w:val="auto"/>
              </w:rPr>
              <w:t>201,821</w:t>
            </w:r>
          </w:p>
        </w:tc>
        <w:tc>
          <w:tcPr>
            <w:tcW w:w="1320" w:type="dxa"/>
            <w:vAlign w:val="bottom"/>
          </w:tcPr>
          <w:p>
            <w:pPr>
              <w:jc w:val="right"/>
              <w:spacing w:after="0"/>
              <w:rPr>
                <w:sz w:val="20"/>
                <w:szCs w:val="20"/>
                <w:color w:val="auto"/>
              </w:rPr>
            </w:pPr>
            <w:r>
              <w:rPr>
                <w:rFonts w:ascii="Arial" w:cs="Arial" w:eastAsia="Arial" w:hAnsi="Arial"/>
                <w:sz w:val="14"/>
                <w:szCs w:val="14"/>
                <w:color w:val="auto"/>
              </w:rPr>
              <w:t>253,514</w:t>
            </w:r>
          </w:p>
        </w:tc>
      </w:tr>
      <w:tr>
        <w:trPr>
          <w:trHeight w:val="351"/>
        </w:trPr>
        <w:tc>
          <w:tcPr>
            <w:tcW w:w="5720" w:type="dxa"/>
            <w:vAlign w:val="bottom"/>
          </w:tcPr>
          <w:p>
            <w:pPr>
              <w:spacing w:after="0"/>
              <w:rPr>
                <w:sz w:val="20"/>
                <w:szCs w:val="20"/>
                <w:color w:val="auto"/>
              </w:rPr>
            </w:pPr>
            <w:r>
              <w:rPr>
                <w:rFonts w:ascii="Arial" w:cs="Arial" w:eastAsia="Arial" w:hAnsi="Arial"/>
                <w:sz w:val="14"/>
                <w:szCs w:val="14"/>
                <w:color w:val="auto"/>
              </w:rPr>
              <w:t>Total Assets</w:t>
            </w:r>
          </w:p>
        </w:tc>
        <w:tc>
          <w:tcPr>
            <w:tcW w:w="4380" w:type="dxa"/>
            <w:vAlign w:val="bottom"/>
          </w:tcPr>
          <w:p>
            <w:pPr>
              <w:jc w:val="right"/>
              <w:ind w:right="388"/>
              <w:spacing w:after="0"/>
              <w:rPr>
                <w:sz w:val="20"/>
                <w:szCs w:val="20"/>
                <w:color w:val="auto"/>
              </w:rPr>
            </w:pPr>
            <w:r>
              <w:rPr>
                <w:rFonts w:ascii="Arial" w:cs="Arial" w:eastAsia="Arial" w:hAnsi="Arial"/>
                <w:sz w:val="14"/>
                <w:szCs w:val="14"/>
                <w:color w:val="auto"/>
              </w:rPr>
              <w:t>1,125,506</w:t>
            </w:r>
          </w:p>
        </w:tc>
        <w:tc>
          <w:tcPr>
            <w:tcW w:w="1320" w:type="dxa"/>
            <w:vAlign w:val="bottom"/>
          </w:tcPr>
          <w:p>
            <w:pPr>
              <w:jc w:val="right"/>
              <w:spacing w:after="0"/>
              <w:rPr>
                <w:sz w:val="20"/>
                <w:szCs w:val="20"/>
                <w:color w:val="auto"/>
              </w:rPr>
            </w:pPr>
            <w:r>
              <w:rPr>
                <w:rFonts w:ascii="Arial" w:cs="Arial" w:eastAsia="Arial" w:hAnsi="Arial"/>
                <w:sz w:val="14"/>
                <w:szCs w:val="14"/>
                <w:color w:val="auto"/>
              </w:rPr>
              <w:t>1,035,467</w:t>
            </w:r>
          </w:p>
        </w:tc>
      </w:tr>
      <w:tr>
        <w:trPr>
          <w:trHeight w:val="351"/>
        </w:trPr>
        <w:tc>
          <w:tcPr>
            <w:tcW w:w="5720" w:type="dxa"/>
            <w:vAlign w:val="bottom"/>
          </w:tcPr>
          <w:p>
            <w:pPr>
              <w:spacing w:after="0"/>
              <w:rPr>
                <w:sz w:val="20"/>
                <w:szCs w:val="20"/>
                <w:color w:val="auto"/>
              </w:rPr>
            </w:pPr>
            <w:r>
              <w:rPr>
                <w:rFonts w:ascii="Arial" w:cs="Arial" w:eastAsia="Arial" w:hAnsi="Arial"/>
                <w:sz w:val="14"/>
                <w:szCs w:val="14"/>
                <w:color w:val="auto"/>
              </w:rPr>
              <w:t>Shareholder's Equity</w:t>
            </w:r>
          </w:p>
        </w:tc>
        <w:tc>
          <w:tcPr>
            <w:tcW w:w="4380" w:type="dxa"/>
            <w:vAlign w:val="bottom"/>
          </w:tcPr>
          <w:p>
            <w:pPr>
              <w:jc w:val="right"/>
              <w:ind w:right="388"/>
              <w:spacing w:after="0"/>
              <w:rPr>
                <w:sz w:val="20"/>
                <w:szCs w:val="20"/>
                <w:color w:val="auto"/>
              </w:rPr>
            </w:pPr>
            <w:r>
              <w:rPr>
                <w:rFonts w:ascii="Arial" w:cs="Arial" w:eastAsia="Arial" w:hAnsi="Arial"/>
                <w:sz w:val="14"/>
                <w:szCs w:val="14"/>
                <w:color w:val="auto"/>
              </w:rPr>
              <w:t>701,774</w:t>
            </w:r>
          </w:p>
        </w:tc>
        <w:tc>
          <w:tcPr>
            <w:tcW w:w="1320" w:type="dxa"/>
            <w:vAlign w:val="bottom"/>
          </w:tcPr>
          <w:p>
            <w:pPr>
              <w:jc w:val="right"/>
              <w:spacing w:after="0"/>
              <w:rPr>
                <w:sz w:val="20"/>
                <w:szCs w:val="20"/>
                <w:color w:val="auto"/>
              </w:rPr>
            </w:pPr>
            <w:r>
              <w:rPr>
                <w:rFonts w:ascii="Arial" w:cs="Arial" w:eastAsia="Arial" w:hAnsi="Arial"/>
                <w:sz w:val="14"/>
                <w:szCs w:val="14"/>
                <w:color w:val="auto"/>
              </w:rPr>
              <w:t>681,544</w:t>
            </w:r>
          </w:p>
        </w:tc>
      </w:tr>
    </w:tbl>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00" w:type="dxa"/>
            <w:vAlign w:val="bottom"/>
          </w:tcPr>
          <w:p>
            <w:pPr>
              <w:spacing w:after="0"/>
              <w:rPr>
                <w:sz w:val="20"/>
                <w:szCs w:val="20"/>
                <w:color w:val="auto"/>
              </w:rPr>
            </w:pPr>
            <w:r>
              <w:rPr>
                <w:rFonts w:ascii="Arial" w:cs="Arial" w:eastAsia="Arial" w:hAnsi="Arial"/>
                <w:sz w:val="14"/>
                <w:szCs w:val="14"/>
                <w:b w:val="1"/>
                <w:bCs w:val="1"/>
                <w:color w:val="auto"/>
              </w:rPr>
              <w:t>Source:</w:t>
            </w:r>
          </w:p>
        </w:tc>
        <w:tc>
          <w:tcPr>
            <w:tcW w:w="2380" w:type="dxa"/>
            <w:vAlign w:val="bottom"/>
            <w:gridSpan w:val="2"/>
          </w:tcPr>
          <w:p>
            <w:pPr>
              <w:spacing w:after="0"/>
              <w:rPr>
                <w:sz w:val="20"/>
                <w:szCs w:val="20"/>
                <w:color w:val="auto"/>
              </w:rPr>
            </w:pPr>
            <w:r>
              <w:rPr>
                <w:rFonts w:ascii="Arial" w:cs="Arial" w:eastAsia="Arial" w:hAnsi="Arial"/>
                <w:sz w:val="14"/>
                <w:szCs w:val="14"/>
                <w:color w:val="auto"/>
              </w:rPr>
              <w:t>ICON plc</w:t>
            </w:r>
          </w:p>
        </w:tc>
      </w:tr>
      <w:tr>
        <w:trPr>
          <w:trHeight w:val="344"/>
        </w:trPr>
        <w:tc>
          <w:tcPr>
            <w:tcW w:w="5000" w:type="dxa"/>
            <w:vAlign w:val="bottom"/>
          </w:tcPr>
          <w:p>
            <w:pPr>
              <w:spacing w:after="0"/>
              <w:rPr>
                <w:sz w:val="20"/>
                <w:szCs w:val="20"/>
                <w:color w:val="auto"/>
              </w:rPr>
            </w:pPr>
            <w:r>
              <w:rPr>
                <w:rFonts w:ascii="Arial" w:cs="Arial" w:eastAsia="Arial" w:hAnsi="Arial"/>
                <w:sz w:val="14"/>
                <w:szCs w:val="14"/>
                <w:b w:val="1"/>
                <w:bCs w:val="1"/>
                <w:color w:val="auto"/>
              </w:rPr>
              <w:t>Contact:</w:t>
            </w:r>
          </w:p>
        </w:tc>
        <w:tc>
          <w:tcPr>
            <w:tcW w:w="2380" w:type="dxa"/>
            <w:vAlign w:val="bottom"/>
            <w:gridSpan w:val="2"/>
          </w:tcPr>
          <w:p>
            <w:pPr>
              <w:spacing w:after="0"/>
              <w:rPr>
                <w:sz w:val="20"/>
                <w:szCs w:val="20"/>
                <w:color w:val="auto"/>
              </w:rPr>
            </w:pPr>
            <w:r>
              <w:rPr>
                <w:rFonts w:ascii="Arial" w:cs="Arial" w:eastAsia="Arial" w:hAnsi="Arial"/>
                <w:sz w:val="14"/>
                <w:szCs w:val="14"/>
                <w:color w:val="auto"/>
              </w:rPr>
              <w:t>Investor Relations 1-888-381-7923 or</w:t>
            </w:r>
          </w:p>
        </w:tc>
      </w:tr>
      <w:tr>
        <w:trPr>
          <w:trHeight w:val="176"/>
        </w:trPr>
        <w:tc>
          <w:tcPr>
            <w:tcW w:w="5000" w:type="dxa"/>
            <w:vAlign w:val="bottom"/>
          </w:tcPr>
          <w:p>
            <w:pPr>
              <w:spacing w:after="0"/>
              <w:rPr>
                <w:sz w:val="15"/>
                <w:szCs w:val="15"/>
                <w:color w:val="auto"/>
              </w:rPr>
            </w:pPr>
          </w:p>
        </w:tc>
        <w:tc>
          <w:tcPr>
            <w:tcW w:w="2380" w:type="dxa"/>
            <w:vAlign w:val="bottom"/>
            <w:gridSpan w:val="2"/>
          </w:tcPr>
          <w:p>
            <w:pPr>
              <w:spacing w:after="0"/>
              <w:rPr>
                <w:sz w:val="20"/>
                <w:szCs w:val="20"/>
                <w:color w:val="auto"/>
              </w:rPr>
            </w:pPr>
            <w:r>
              <w:rPr>
                <w:rFonts w:ascii="Arial" w:cs="Arial" w:eastAsia="Arial" w:hAnsi="Arial"/>
                <w:sz w:val="14"/>
                <w:szCs w:val="14"/>
                <w:color w:val="auto"/>
                <w:w w:val="92"/>
              </w:rPr>
              <w:t>Brendan Brennan CFO + 353 1 291 2000</w:t>
            </w:r>
          </w:p>
        </w:tc>
      </w:tr>
      <w:tr>
        <w:trPr>
          <w:trHeight w:val="149"/>
        </w:trPr>
        <w:tc>
          <w:tcPr>
            <w:tcW w:w="5000" w:type="dxa"/>
            <w:vAlign w:val="bottom"/>
          </w:tcPr>
          <w:p>
            <w:pPr>
              <w:spacing w:after="0"/>
              <w:rPr>
                <w:sz w:val="12"/>
                <w:szCs w:val="12"/>
                <w:color w:val="auto"/>
              </w:rPr>
            </w:pPr>
          </w:p>
        </w:tc>
        <w:tc>
          <w:tcPr>
            <w:tcW w:w="2380" w:type="dxa"/>
            <w:vAlign w:val="bottom"/>
            <w:gridSpan w:val="2"/>
          </w:tcPr>
          <w:p>
            <w:pPr>
              <w:spacing w:after="0" w:line="149" w:lineRule="exact"/>
              <w:rPr>
                <w:sz w:val="20"/>
                <w:szCs w:val="20"/>
                <w:color w:val="auto"/>
              </w:rPr>
            </w:pPr>
            <w:r>
              <w:rPr>
                <w:rFonts w:ascii="Arial" w:cs="Arial" w:eastAsia="Arial" w:hAnsi="Arial"/>
                <w:sz w:val="14"/>
                <w:szCs w:val="14"/>
                <w:color w:val="auto"/>
              </w:rPr>
              <w:t>Sam Farthing VP IR +353 1 291 2000</w:t>
            </w:r>
          </w:p>
        </w:tc>
      </w:tr>
      <w:tr>
        <w:trPr>
          <w:trHeight w:val="182"/>
        </w:trPr>
        <w:tc>
          <w:tcPr>
            <w:tcW w:w="5000" w:type="dxa"/>
            <w:vAlign w:val="bottom"/>
          </w:tcPr>
          <w:p>
            <w:pPr>
              <w:spacing w:after="0"/>
              <w:rPr>
                <w:sz w:val="15"/>
                <w:szCs w:val="15"/>
                <w:color w:val="auto"/>
              </w:rPr>
            </w:pPr>
          </w:p>
        </w:tc>
        <w:tc>
          <w:tcPr>
            <w:tcW w:w="2380" w:type="dxa"/>
            <w:vAlign w:val="bottom"/>
            <w:gridSpan w:val="2"/>
          </w:tcPr>
          <w:p>
            <w:pPr>
              <w:spacing w:after="0"/>
              <w:rPr>
                <w:sz w:val="20"/>
                <w:szCs w:val="20"/>
                <w:color w:val="auto"/>
              </w:rPr>
            </w:pPr>
            <w:r>
              <w:rPr>
                <w:rFonts w:ascii="Arial" w:cs="Arial" w:eastAsia="Arial" w:hAnsi="Arial"/>
                <w:sz w:val="14"/>
                <w:szCs w:val="14"/>
                <w:color w:val="auto"/>
              </w:rPr>
              <w:t>All at ICON.</w:t>
            </w:r>
          </w:p>
        </w:tc>
      </w:tr>
      <w:tr>
        <w:trPr>
          <w:trHeight w:val="323"/>
        </w:trPr>
        <w:tc>
          <w:tcPr>
            <w:tcW w:w="5000" w:type="dxa"/>
            <w:vAlign w:val="bottom"/>
          </w:tcPr>
          <w:p>
            <w:pPr>
              <w:spacing w:after="0"/>
              <w:rPr>
                <w:sz w:val="24"/>
                <w:szCs w:val="24"/>
                <w:color w:val="auto"/>
              </w:rPr>
            </w:pPr>
          </w:p>
        </w:tc>
        <w:tc>
          <w:tcPr>
            <w:tcW w:w="2380" w:type="dxa"/>
            <w:vAlign w:val="bottom"/>
            <w:gridSpan w:val="2"/>
          </w:tcPr>
          <w:p>
            <w:pPr>
              <w:spacing w:after="0"/>
              <w:rPr>
                <w:sz w:val="20"/>
                <w:szCs w:val="20"/>
                <w:color w:val="auto"/>
              </w:rPr>
            </w:pPr>
            <w:r>
              <w:rPr>
                <w:rFonts w:ascii="Arial" w:cs="Arial" w:eastAsia="Arial" w:hAnsi="Arial"/>
                <w:sz w:val="14"/>
                <w:szCs w:val="14"/>
                <w:color w:val="auto"/>
              </w:rPr>
              <w:t>http://www.iconplc.com</w:t>
            </w:r>
          </w:p>
        </w:tc>
      </w:tr>
      <w:tr>
        <w:trPr>
          <w:trHeight w:val="445"/>
        </w:trPr>
        <w:tc>
          <w:tcPr>
            <w:tcW w:w="5000" w:type="dxa"/>
            <w:vAlign w:val="bottom"/>
          </w:tcPr>
          <w:p>
            <w:pPr>
              <w:spacing w:after="0"/>
              <w:rPr>
                <w:sz w:val="20"/>
                <w:szCs w:val="20"/>
                <w:color w:val="auto"/>
              </w:rPr>
            </w:pPr>
            <w:r>
              <w:rPr>
                <w:rFonts w:ascii="Arial" w:cs="Arial" w:eastAsia="Arial" w:hAnsi="Arial"/>
                <w:sz w:val="22"/>
                <w:szCs w:val="22"/>
                <w:color w:val="auto"/>
              </w:rPr>
              <w:t>CONTACT:</w:t>
            </w:r>
          </w:p>
        </w:tc>
        <w:tc>
          <w:tcPr>
            <w:tcW w:w="1400" w:type="dxa"/>
            <w:vAlign w:val="bottom"/>
            <w:tcBorders>
              <w:top w:val="single" w:sz="8" w:color="auto"/>
            </w:tcBorders>
          </w:tcPr>
          <w:p>
            <w:pPr>
              <w:spacing w:after="0"/>
              <w:rPr>
                <w:sz w:val="24"/>
                <w:szCs w:val="24"/>
                <w:color w:val="auto"/>
              </w:rPr>
            </w:pPr>
          </w:p>
        </w:tc>
        <w:tc>
          <w:tcPr>
            <w:tcW w:w="980" w:type="dxa"/>
            <w:vAlign w:val="bottom"/>
          </w:tcPr>
          <w:p>
            <w:pPr>
              <w:spacing w:after="0"/>
              <w:rPr>
                <w:sz w:val="24"/>
                <w:szCs w:val="24"/>
                <w:color w:val="auto"/>
              </w:rPr>
            </w:pPr>
          </w:p>
        </w:tc>
      </w:tr>
      <w:tr>
        <w:trPr>
          <w:trHeight w:val="275"/>
        </w:trPr>
        <w:tc>
          <w:tcPr>
            <w:tcW w:w="5000" w:type="dxa"/>
            <w:vAlign w:val="bottom"/>
          </w:tcPr>
          <w:p>
            <w:pPr>
              <w:spacing w:after="0"/>
              <w:rPr>
                <w:sz w:val="20"/>
                <w:szCs w:val="20"/>
                <w:color w:val="auto"/>
              </w:rPr>
            </w:pPr>
            <w:r>
              <w:rPr>
                <w:rFonts w:ascii="Arial" w:cs="Arial" w:eastAsia="Arial" w:hAnsi="Arial"/>
                <w:sz w:val="22"/>
                <w:szCs w:val="22"/>
                <w:color w:val="auto"/>
              </w:rPr>
              <w:t>Icon PLC</w:t>
            </w:r>
          </w:p>
        </w:tc>
        <w:tc>
          <w:tcPr>
            <w:tcW w:w="1400" w:type="dxa"/>
            <w:vAlign w:val="bottom"/>
          </w:tcPr>
          <w:p>
            <w:pPr>
              <w:spacing w:after="0"/>
              <w:rPr>
                <w:sz w:val="23"/>
                <w:szCs w:val="23"/>
                <w:color w:val="auto"/>
              </w:rPr>
            </w:pPr>
          </w:p>
        </w:tc>
        <w:tc>
          <w:tcPr>
            <w:tcW w:w="980" w:type="dxa"/>
            <w:vAlign w:val="bottom"/>
          </w:tcPr>
          <w:p>
            <w:pPr>
              <w:spacing w:after="0"/>
              <w:rPr>
                <w:sz w:val="23"/>
                <w:szCs w:val="23"/>
                <w:color w:val="auto"/>
              </w:rPr>
            </w:pPr>
          </w:p>
        </w:tc>
      </w:tr>
    </w:tbl>
    <w:p>
      <w:pPr>
        <w:spacing w:after="0" w:line="1" w:lineRule="exact"/>
        <w:rPr>
          <w:sz w:val="20"/>
          <w:szCs w:val="20"/>
          <w:color w:val="auto"/>
        </w:rPr>
      </w:pPr>
    </w:p>
    <w:sectPr>
      <w:pgSz w:w="11900" w:h="16838" w:orient="portrait"/>
      <w:cols w:equalWidth="0" w:num="1">
        <w:col w:w="11420"/>
      </w:cols>
      <w:pgMar w:left="240" w:top="75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2019-12-09T13:18:04Z</dcterms:created>
  <dcterms:modified xsi:type="dcterms:W3CDTF">2019-12-09T13:18:04Z</dcterms:modified>
</cp:coreProperties>
</file>