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06"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For</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the month ended November, 2019</w:t>
      </w:r>
    </w:p>
    <w:p>
      <w:pPr>
        <w:spacing w:after="0" w:line="193" w:lineRule="exact"/>
        <w:rPr>
          <w:sz w:val="24"/>
          <w:szCs w:val="24"/>
          <w:color w:val="auto"/>
        </w:rPr>
      </w:pPr>
    </w:p>
    <w:p>
      <w:pPr>
        <w:ind w:left="508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25"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333-08704</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+353-1-291-2000</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Form 20-F___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40-F______</w:t>
      </w: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4"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ectPr>
          <w:pgSz w:w="11900" w:h="16838" w:orient="portrait"/>
          <w:cols w:equalWidth="0" w:num="1">
            <w:col w:w="10620"/>
          </w:cols>
          <w:pgMar w:left="280" w:top="675"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3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2019 we had approximately 14,600 employees, in 99 locations in 40 countries. During the nine months ended September 30, 2019, we derived approximately 32.0%, 58.2% and 9.8% of our revenue in the United States, Europe and Rest of World respectively.</w:t>
      </w:r>
    </w:p>
    <w:p>
      <w:pPr>
        <w:spacing w:after="0" w:line="2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+353-1-291-2000.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Board composition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Mr. Ronan Murphy (Non-Executive Director) was appointed as Lead Independent Director of ICON plc effective January 1, 2019. On July 23, 2019,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Declan McKeon and Mr. Dermot Kelleher retired from the Board. On the same date, Ms. Julie O'Neill was appointed to the Board.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25, 2019 a subsidiary of the Company, ICON Laboratory Services Inc., acquired 100% of the share capital of MolecularMD Corp ("MMD"). The consideration was $42.2 million. MMD is a molecular diagnostic specialty laboratory that enables the development and commercialization of precision medicines in oncology. It is a recognized leader in the analytical development and clinical validation of molecular diagnostic assays. It offers a comprehensive test menu in immuno-oncology development and services also include companion diagnostic development services. The acquisition enhances ICON’s laboratory offering in molecular diagnostic testing and brings to ICON expanded testing platforms, including next generation sequencing, and immunohistochemistry (IHC).</w:t>
      </w:r>
    </w:p>
    <w:p>
      <w:pPr>
        <w:spacing w:after="0" w:line="30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May 23, 2019 a subsidiary of the Company, ICON Clinical Research (UK) Limited, acquired a majority shareholding in MeDiNova Research ("MeDiNova"), a site network with research sites in key markets in Europe and Africa, and has the right to acquire the remaining shares in the company during 2020. The vendors also have a right to sell the remaining shares exclusively to ICON during 2020. The initial consideration to acquire the majority shareholding is cash of $39.3 million and contingent consideration of $14.8 million. The contingent consideration was paid in October 2019. The acquisition further enhances ICON's patient recruitment capabilities in EMEA and complements ICON's existing site network in the USA, PMG Research.</w:t>
      </w:r>
    </w:p>
    <w:p>
      <w:pPr>
        <w:spacing w:after="0" w:line="2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24, 2019 a subsidiary of the Company, ICON Clinical Research LLC, acquired a 100% interest in CRN Holdings LLC (trading as Symphony Clinical Research ("Symphony")). Founded in 2003 and operating from its headquarters in Illinois, USA and Gdansk, Poland, Symphony is a leading provider of at-home trial services and site support services from study start-up to closeout for Phase I-IV global studies. Symphony will grow ICON's patient recruitment capabilities globally and complements ICON's site network in the USA, PMG Research and the recently acquired site network in EMEA, MeDiNova Research. The initial consideration to acquire the 100% interest is cash of $35.0 million and contingent consideration of $2.5 million payable in 2020.</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42" w:right="239"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3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resolution was passed at the Company’s Annual General Meeting (“AGM”) on July 22, 2016, which authorized the Directors to purchase (buyback) up to 10% of the outstanding shares in the Company. This authorization was renewed at the Company's AGM on each of July 25, 2017, July 24, 2018 and July 23, 2019. On October 3, 2016, the Company commenced the share buyback program of up to $400 million. At December 31, 2018, a total of 4,026,576 ordinary shares were redeemed by the Company under this buyback program for a total consideration of $372.1 million. On January 8, 2019, the Company commenced a further share buyback program of up to 1.0 million shares. At September 30, 2019 a total of 1.0 million ordinary shares were redeemed by the Company under this buyback program for a total consideration of $141.6 million. 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new leasing standard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was issued in February 2016.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supersedes the requirements in ASC 840 '</w:t>
      </w:r>
      <w:r>
        <w:rPr>
          <w:rFonts w:ascii="Arial" w:cs="Arial" w:eastAsia="Arial" w:hAnsi="Arial"/>
          <w:sz w:val="17"/>
          <w:szCs w:val="17"/>
          <w:i w:val="1"/>
          <w:iCs w:val="1"/>
          <w:color w:val="auto"/>
        </w:rPr>
        <w:t>Leases</w:t>
      </w:r>
      <w:r>
        <w:rPr>
          <w:rFonts w:ascii="Arial" w:cs="Arial" w:eastAsia="Arial" w:hAnsi="Arial"/>
          <w:sz w:val="17"/>
          <w:szCs w:val="17"/>
          <w:color w:val="auto"/>
        </w:rPr>
        <w:t>' and requires that lessees recognize rights and obligations from virtually all leases (other than leases that meet the definition of a short-term lease) on their balance sheets as right-of-use assets with corresponding lease liabilities. The ASU also provides additional guidance on how to classify leases and how to determine the lease term for accounting purposes. In July 2018, the Financial Accounting Standards Board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provides the option to adopt the standard retrospectively for each prior period presented, as initially set out in ASU No. 2016-02, or as of the adoption date with a cumulative-effect adjustment to the opening balance of retained earnings. ASC 842 became effective for ICON plc with effect from January 1, 2019. ICON adopted the new standard as of January 1, 2019 under the cumulative-effect adjustment approach. Under this transition method, the new standard is applied from January 1, 2019 without restatement of comparative period amounts. Results as at December 31, 2018 and for the three and nine months ended September 30, 2018 are therefore presented under the previous leasing accounting principles, ASC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 lease liability and right-of-use asset have been recorded on the Condensed Consolidated Balance Sheet as at January 1, 2019 of $106.5 million (see </w:t>
      </w:r>
      <w:r>
        <w:rPr>
          <w:rFonts w:ascii="Arial" w:cs="Arial" w:eastAsia="Arial" w:hAnsi="Arial"/>
          <w:sz w:val="17"/>
          <w:szCs w:val="17"/>
          <w:i w:val="1"/>
          <w:iCs w:val="1"/>
          <w:color w:val="auto"/>
        </w:rPr>
        <w:t>note 14 - Impact of change in accounting policies</w:t>
      </w:r>
      <w:r>
        <w:rPr>
          <w:rFonts w:ascii="Arial" w:cs="Arial" w:eastAsia="Arial" w:hAnsi="Arial"/>
          <w:sz w:val="17"/>
          <w:szCs w:val="17"/>
          <w:color w:val="auto"/>
        </w:rPr>
        <w:t xml:space="preserve"> for further details). The net operating cost of leases recorded in the three and nine months ended September 30, 2019 was $8.3 million and $24.9 million respectively (see </w:t>
      </w:r>
      <w:r>
        <w:rPr>
          <w:rFonts w:ascii="Arial" w:cs="Arial" w:eastAsia="Arial" w:hAnsi="Arial"/>
          <w:sz w:val="17"/>
          <w:szCs w:val="17"/>
          <w:i w:val="1"/>
          <w:iCs w:val="1"/>
          <w:color w:val="auto"/>
        </w:rPr>
        <w:t>note 8 -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Operating leases </w:t>
      </w:r>
      <w:r>
        <w:rPr>
          <w:rFonts w:ascii="Arial" w:cs="Arial" w:eastAsia="Arial" w:hAnsi="Arial"/>
          <w:sz w:val="17"/>
          <w:szCs w:val="17"/>
          <w:color w:val="auto"/>
        </w:rPr>
        <w:t>for further details).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which provides guidance on when to capitalize implementation costs incurred in hosting arrangements which are accounted for as service contracts. This ASU will be effective for fiscal years beginning after December 15, 2019, and interim periods within those fiscal years, with early adoption permitted. The adoption of ASU 2018-15 is not expected to have a significant impact on the financial statements.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2016, the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changes the way entities recognize impairment of certain financial assets by requiring immediate recognition of estimated credit losses expected to occur over their remaining life. The ASU is effective for public business entities that are SEC filers for interim and annual periods in fiscal years beginning after December 15, 2019. The adoption of ASU 2016-13 is not expected to have a significant impact on the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4" w:name="page5"/>
    <w:bookmarkEnd w:id="4"/>
    <w:p>
      <w:pPr>
        <w:ind w:left="546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AS AT SEPTEMBER 30, 2019 AND DECEMBER 31, 2018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(Unaudited)</w:t>
            </w: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(Audited)</w:t>
            </w:r>
          </w:p>
        </w:tc>
      </w:tr>
      <w:tr>
        <w:trPr>
          <w:trHeight w:val="203"/>
        </w:trPr>
        <w:tc>
          <w:tcPr>
            <w:tcW w:w="7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196"/>
        </w:trPr>
        <w:tc>
          <w:tcPr>
            <w:tcW w:w="7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7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7"/>
            <w:shd w:val="clear" w:color="auto" w:fill="CCEEFF"/>
          </w:tcPr>
          <w:p>
            <w:pPr>
              <w:jc w:val="right"/>
              <w:ind w:right="900"/>
              <w:spacing w:after="0"/>
              <w:rPr>
                <w:sz w:val="20"/>
                <w:szCs w:val="20"/>
                <w:color w:val="auto"/>
              </w:rPr>
            </w:pPr>
            <w:r>
              <w:rPr>
                <w:rFonts w:ascii="Arial" w:cs="Arial" w:eastAsia="Arial" w:hAnsi="Arial"/>
                <w:sz w:val="18"/>
                <w:szCs w:val="18"/>
                <w:color w:val="auto"/>
                <w:w w:val="89"/>
              </w:rPr>
              <w:t>(in thousands)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417,604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395,851</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Available for sale investments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53,636</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59,910</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407,814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414,791</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Unbilled revenue</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493,114</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362,926</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39,795</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40,459</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Prepayments and other current assets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43,466</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36,801</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1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24,564</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19,445</w:t>
            </w:r>
          </w:p>
        </w:tc>
      </w:tr>
      <w:tr>
        <w:trPr>
          <w:trHeight w:val="243"/>
        </w:trPr>
        <w:tc>
          <w:tcPr>
            <w:tcW w:w="7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assets</w:t>
            </w:r>
          </w:p>
        </w:tc>
        <w:tc>
          <w:tcPr>
            <w:tcW w:w="1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1,479,993</w:t>
            </w: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1,330,183</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156,305</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158,669</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Goodwill</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877,017</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756,260</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right-of-use assets</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107,681</w:t>
            </w: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16,514</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14,525</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income taxes receivable</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15,551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20,023</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deferred tax asset</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14,900</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13,577</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equity-long term</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10,939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6,963</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66,286</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54,055</w:t>
            </w:r>
          </w:p>
        </w:tc>
      </w:tr>
      <w:tr>
        <w:trPr>
          <w:trHeight w:val="34"/>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2,745,186</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2,354,255</w:t>
            </w: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20,764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13,288</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account</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322,226</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274,468</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370,725</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317,143</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15,264</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5,724</w:t>
            </w:r>
          </w:p>
        </w:tc>
      </w:tr>
      <w:tr>
        <w:trPr>
          <w:trHeight w:val="243"/>
        </w:trPr>
        <w:tc>
          <w:tcPr>
            <w:tcW w:w="7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liabilities</w:t>
            </w:r>
          </w:p>
        </w:tc>
        <w:tc>
          <w:tcPr>
            <w:tcW w:w="1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728,979</w:t>
            </w: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610,623</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bank credit lines and loan facilities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349,542</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349,264</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operating lease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79,410</w:t>
            </w: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other liabilities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14,420</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13,446</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government grants</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income taxes payable</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17,272</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17,551</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deferred tax liability</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17,620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8,213</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Commitments and contingencies</w:t>
            </w: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34"/>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1,208,046</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999,974</w:t>
            </w:r>
          </w:p>
        </w:tc>
      </w:tr>
      <w:tr>
        <w:trPr>
          <w:trHeight w:val="270"/>
        </w:trPr>
        <w:tc>
          <w:tcPr>
            <w:tcW w:w="742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53,640,584 shares issued and outstanding at September 30, 2019 and</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53,971,706 shares issued and outstanding at December 31, 2018</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4,636</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4,658</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571,721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529,642</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undenominated capital</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983</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(95,504)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(69,328)</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3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1,020,386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888,326</w:t>
            </w:r>
          </w:p>
        </w:tc>
      </w:tr>
      <w:tr>
        <w:trPr>
          <w:trHeight w:val="34"/>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1,502,289</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1,354,281</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Redeemable noncontrolling interest</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34,851</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34"/>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and Redeemable Noncontrolling Interest</w:t>
            </w:r>
          </w:p>
        </w:tc>
        <w:tc>
          <w:tcPr>
            <w:tcW w:w="1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1,537,140</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1,354,281</w:t>
            </w:r>
          </w:p>
        </w:tc>
      </w:tr>
      <w:tr>
        <w:trPr>
          <w:trHeight w:val="243"/>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 Shareholders' Equity and Redeemable Noncontrolling Interest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2,745,186</w:t>
            </w: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2,354,255</w:t>
            </w:r>
          </w:p>
        </w:tc>
      </w:tr>
      <w:tr>
        <w:trPr>
          <w:trHeight w:val="27"/>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2019 AND SEPTEMBER 30, 2018</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720" w:type="dxa"/>
            <w:vAlign w:val="bottom"/>
            <w:gridSpan w:val="9"/>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180" w:type="dxa"/>
            <w:vAlign w:val="bottom"/>
            <w:gridSpan w:val="9"/>
            <w:shd w:val="clear" w:color="auto" w:fill="CCEEFF"/>
          </w:tcPr>
          <w:p>
            <w:pPr>
              <w:jc w:val="right"/>
              <w:ind w:right="640"/>
              <w:spacing w:after="0"/>
              <w:rPr>
                <w:sz w:val="20"/>
                <w:szCs w:val="20"/>
                <w:color w:val="auto"/>
              </w:rPr>
            </w:pPr>
            <w:r>
              <w:rPr>
                <w:rFonts w:ascii="Arial" w:cs="Arial" w:eastAsia="Arial" w:hAnsi="Arial"/>
                <w:sz w:val="18"/>
                <w:szCs w:val="18"/>
                <w:b w:val="1"/>
                <w:bCs w:val="1"/>
                <w:color w:val="auto"/>
                <w:w w:val="90"/>
              </w:rPr>
              <w:t>Nine Months Ended</w:t>
            </w:r>
          </w:p>
        </w:tc>
      </w:tr>
      <w:tr>
        <w:trPr>
          <w:trHeight w:val="48"/>
        </w:trPr>
        <w:tc>
          <w:tcPr>
            <w:tcW w:w="54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5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5"/>
          </w:tcPr>
          <w:p>
            <w:pPr>
              <w:jc w:val="right"/>
              <w:ind w:right="140"/>
              <w:spacing w:after="0" w:line="202" w:lineRule="exact"/>
              <w:rPr>
                <w:sz w:val="20"/>
                <w:szCs w:val="20"/>
                <w:color w:val="auto"/>
              </w:rPr>
            </w:pPr>
            <w:r>
              <w:rPr>
                <w:rFonts w:ascii="Arial" w:cs="Arial" w:eastAsia="Arial" w:hAnsi="Arial"/>
                <w:sz w:val="18"/>
                <w:szCs w:val="18"/>
                <w:b w:val="1"/>
                <w:bCs w:val="1"/>
                <w:color w:val="auto"/>
                <w:w w:val="90"/>
              </w:rPr>
              <w:t>September 30,</w:t>
            </w:r>
          </w:p>
        </w:tc>
        <w:tc>
          <w:tcPr>
            <w:tcW w:w="240" w:type="dxa"/>
            <w:vAlign w:val="bottom"/>
          </w:tcPr>
          <w:p>
            <w:pPr>
              <w:spacing w:after="0"/>
              <w:rPr>
                <w:sz w:val="17"/>
                <w:szCs w:val="17"/>
                <w:color w:val="auto"/>
              </w:rPr>
            </w:pPr>
          </w:p>
        </w:tc>
        <w:tc>
          <w:tcPr>
            <w:tcW w:w="124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w w:val="86"/>
              </w:rPr>
              <w:t>September 30,</w:t>
            </w:r>
          </w:p>
        </w:tc>
        <w:tc>
          <w:tcPr>
            <w:tcW w:w="220" w:type="dxa"/>
            <w:vAlign w:val="bottom"/>
          </w:tcPr>
          <w:p>
            <w:pPr>
              <w:spacing w:after="0"/>
              <w:rPr>
                <w:sz w:val="17"/>
                <w:szCs w:val="17"/>
                <w:color w:val="auto"/>
              </w:rPr>
            </w:pPr>
          </w:p>
        </w:tc>
        <w:tc>
          <w:tcPr>
            <w:tcW w:w="126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7"/>
                <w:szCs w:val="17"/>
                <w:color w:val="auto"/>
              </w:rPr>
            </w:pPr>
          </w:p>
        </w:tc>
        <w:tc>
          <w:tcPr>
            <w:tcW w:w="1220" w:type="dxa"/>
            <w:vAlign w:val="bottom"/>
            <w:gridSpan w:val="5"/>
          </w:tcPr>
          <w:p>
            <w:pPr>
              <w:jc w:val="right"/>
              <w:ind w:right="100"/>
              <w:spacing w:after="0" w:line="202" w:lineRule="exact"/>
              <w:rPr>
                <w:sz w:val="20"/>
                <w:szCs w:val="20"/>
                <w:color w:val="auto"/>
              </w:rPr>
            </w:pPr>
            <w:r>
              <w:rPr>
                <w:rFonts w:ascii="Arial" w:cs="Arial" w:eastAsia="Arial" w:hAnsi="Arial"/>
                <w:sz w:val="18"/>
                <w:szCs w:val="18"/>
                <w:b w:val="1"/>
                <w:bCs w:val="1"/>
                <w:color w:val="auto"/>
                <w:w w:val="89"/>
              </w:rPr>
              <w:t>September 30,</w:t>
            </w:r>
          </w:p>
        </w:tc>
      </w:tr>
      <w:tr>
        <w:trPr>
          <w:trHeight w:val="20"/>
        </w:trPr>
        <w:tc>
          <w:tcPr>
            <w:tcW w:w="5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4"/>
          </w:tcPr>
          <w:p>
            <w:pPr>
              <w:jc w:val="right"/>
              <w:ind w:right="160"/>
              <w:spacing w:after="0" w:line="196"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5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5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18"/>
            <w:shd w:val="clear" w:color="auto" w:fill="CCEEFF"/>
          </w:tcPr>
          <w:p>
            <w:pPr>
              <w:jc w:val="right"/>
              <w:ind w:right="1180"/>
              <w:spacing w:after="0"/>
              <w:rPr>
                <w:sz w:val="20"/>
                <w:szCs w:val="20"/>
                <w:color w:val="auto"/>
              </w:rPr>
            </w:pPr>
            <w:r>
              <w:rPr>
                <w:rFonts w:ascii="Arial" w:cs="Arial" w:eastAsia="Arial" w:hAnsi="Arial"/>
                <w:sz w:val="18"/>
                <w:szCs w:val="18"/>
                <w:b w:val="1"/>
                <w:bCs w:val="1"/>
                <w:color w:val="auto"/>
                <w:w w:val="91"/>
              </w:rPr>
              <w:t>(in thousands except share and per share data)</w:t>
            </w:r>
          </w:p>
        </w:tc>
      </w:tr>
      <w:tr>
        <w:trPr>
          <w:trHeight w:val="324"/>
        </w:trPr>
        <w:tc>
          <w:tcPr>
            <w:tcW w:w="5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710,441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655,017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2,080,430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1,916,752</w:t>
            </w:r>
          </w:p>
        </w:tc>
      </w:tr>
      <w:tr>
        <w:trPr>
          <w:trHeight w:val="324"/>
        </w:trPr>
        <w:tc>
          <w:tcPr>
            <w:tcW w:w="5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Direct costs</w:t>
            </w:r>
          </w:p>
        </w:tc>
        <w:tc>
          <w:tcPr>
            <w:tcW w:w="34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499,791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459,196</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1,465,944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1,339,014</w:t>
            </w:r>
          </w:p>
        </w:tc>
      </w:tr>
      <w:tr>
        <w:trPr>
          <w:trHeight w:val="27"/>
        </w:trPr>
        <w:tc>
          <w:tcPr>
            <w:tcW w:w="5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85,449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80,819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250,564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242,670</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15,157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17,062</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45,842</w:t>
            </w:r>
          </w:p>
        </w:tc>
        <w:tc>
          <w:tcPr>
            <w:tcW w:w="20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51,006</w:t>
            </w:r>
          </w:p>
        </w:tc>
      </w:tr>
      <w:tr>
        <w:trPr>
          <w:trHeight w:val="27"/>
        </w:trPr>
        <w:tc>
          <w:tcPr>
            <w:tcW w:w="5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w:t>
            </w:r>
          </w:p>
        </w:tc>
        <w:tc>
          <w:tcPr>
            <w:tcW w:w="3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12,490</w:t>
            </w:r>
          </w:p>
        </w:tc>
      </w:tr>
      <w:tr>
        <w:trPr>
          <w:trHeight w:val="297"/>
        </w:trPr>
        <w:tc>
          <w:tcPr>
            <w:tcW w:w="54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82"/>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600,397</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557,077</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1,762,350</w:t>
            </w: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1,645,180</w:t>
            </w:r>
          </w:p>
        </w:tc>
      </w:tr>
      <w:tr>
        <w:trPr>
          <w:trHeight w:val="297"/>
        </w:trPr>
        <w:tc>
          <w:tcPr>
            <w:tcW w:w="54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110,044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97,940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318,080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271,572</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1,852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1,314</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5,377</w:t>
            </w:r>
          </w:p>
        </w:tc>
        <w:tc>
          <w:tcPr>
            <w:tcW w:w="20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3,154</w:t>
            </w:r>
          </w:p>
        </w:tc>
      </w:tr>
      <w:tr>
        <w:trPr>
          <w:trHeight w:val="27"/>
        </w:trPr>
        <w:tc>
          <w:tcPr>
            <w:tcW w:w="5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(3,393)</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(3,201)</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(9,946)</w:t>
            </w: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(10,298)</w:t>
            </w:r>
          </w:p>
        </w:tc>
      </w:tr>
      <w:tr>
        <w:trPr>
          <w:trHeight w:val="297"/>
        </w:trPr>
        <w:tc>
          <w:tcPr>
            <w:tcW w:w="54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108,503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96,053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313,511</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264,428</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280" w:type="dxa"/>
            <w:vAlign w:val="bottom"/>
            <w:gridSpan w:val="5"/>
          </w:tcPr>
          <w:p>
            <w:pPr>
              <w:jc w:val="right"/>
              <w:ind w:right="80"/>
              <w:spacing w:after="0"/>
              <w:rPr>
                <w:sz w:val="20"/>
                <w:szCs w:val="20"/>
                <w:color w:val="auto"/>
              </w:rPr>
            </w:pPr>
            <w:r>
              <w:rPr>
                <w:rFonts w:ascii="Arial" w:cs="Arial" w:eastAsia="Arial" w:hAnsi="Arial"/>
                <w:sz w:val="18"/>
                <w:szCs w:val="18"/>
                <w:color w:val="auto"/>
              </w:rPr>
              <w:t>(13,020)</w:t>
            </w:r>
          </w:p>
        </w:tc>
        <w:tc>
          <w:tcPr>
            <w:tcW w:w="240" w:type="dxa"/>
            <w:vAlign w:val="bottom"/>
          </w:tcPr>
          <w:p>
            <w:pPr>
              <w:spacing w:after="0"/>
              <w:rPr>
                <w:sz w:val="21"/>
                <w:szCs w:val="21"/>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(11,526)</w:t>
            </w:r>
          </w:p>
        </w:tc>
        <w:tc>
          <w:tcPr>
            <w:tcW w:w="220" w:type="dxa"/>
            <w:vAlign w:val="bottom"/>
          </w:tcPr>
          <w:p>
            <w:pPr>
              <w:spacing w:after="0"/>
              <w:rPr>
                <w:sz w:val="21"/>
                <w:szCs w:val="21"/>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(37,516)</w:t>
            </w:r>
          </w:p>
        </w:tc>
        <w:tc>
          <w:tcPr>
            <w:tcW w:w="200" w:type="dxa"/>
            <w:vAlign w:val="bottom"/>
          </w:tcPr>
          <w:p>
            <w:pPr>
              <w:spacing w:after="0"/>
              <w:rPr>
                <w:sz w:val="21"/>
                <w:szCs w:val="21"/>
                <w:color w:val="auto"/>
              </w:rPr>
            </w:pPr>
          </w:p>
        </w:tc>
        <w:tc>
          <w:tcPr>
            <w:tcW w:w="1220" w:type="dxa"/>
            <w:vAlign w:val="bottom"/>
            <w:gridSpan w:val="5"/>
          </w:tcPr>
          <w:p>
            <w:pPr>
              <w:jc w:val="right"/>
              <w:ind w:right="40"/>
              <w:spacing w:after="0"/>
              <w:rPr>
                <w:sz w:val="20"/>
                <w:szCs w:val="20"/>
                <w:color w:val="auto"/>
              </w:rPr>
            </w:pPr>
            <w:r>
              <w:rPr>
                <w:rFonts w:ascii="Arial" w:cs="Arial" w:eastAsia="Arial" w:hAnsi="Arial"/>
                <w:sz w:val="18"/>
                <w:szCs w:val="18"/>
                <w:color w:val="auto"/>
              </w:rPr>
              <w:t>(29,935)</w:t>
            </w:r>
          </w:p>
        </w:tc>
      </w:tr>
      <w:tr>
        <w:trPr>
          <w:trHeight w:val="34"/>
        </w:trPr>
        <w:tc>
          <w:tcPr>
            <w:tcW w:w="5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5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95,483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84,527</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275,995</w:t>
            </w:r>
          </w:p>
        </w:tc>
        <w:tc>
          <w:tcPr>
            <w:tcW w:w="20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234,493</w:t>
            </w:r>
          </w:p>
        </w:tc>
      </w:tr>
      <w:tr>
        <w:trPr>
          <w:trHeight w:val="27"/>
        </w:trPr>
        <w:tc>
          <w:tcPr>
            <w:tcW w:w="5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(658)</w:t>
            </w:r>
          </w:p>
        </w:tc>
        <w:tc>
          <w:tcPr>
            <w:tcW w:w="2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the Group</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94,825</w:t>
            </w:r>
          </w:p>
        </w:tc>
        <w:tc>
          <w:tcPr>
            <w:tcW w:w="1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84,527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274,979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234,493</w:t>
            </w:r>
          </w:p>
        </w:tc>
      </w:tr>
      <w:tr>
        <w:trPr>
          <w:trHeight w:val="67"/>
        </w:trPr>
        <w:tc>
          <w:tcPr>
            <w:tcW w:w="54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r>
        <w:trPr>
          <w:trHeight w:val="278"/>
        </w:trPr>
        <w:tc>
          <w:tcPr>
            <w:tcW w:w="5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income per Ordinary Share attributable to the Group (note 10):</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5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1.55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5.08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4.33</w:t>
            </w:r>
          </w:p>
        </w:tc>
      </w:tr>
      <w:tr>
        <w:trPr>
          <w:trHeight w:val="27"/>
        </w:trPr>
        <w:tc>
          <w:tcPr>
            <w:tcW w:w="5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Adjusted net income per Ordinary Share attributable to the Group (note</w:t>
            </w: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324"/>
        </w:trPr>
        <w:tc>
          <w:tcPr>
            <w:tcW w:w="5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basic (non-GAAP)</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Adjusted diluted (non-GAAP)</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1.54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5.06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4.27</w:t>
            </w:r>
          </w:p>
        </w:tc>
      </w:tr>
      <w:tr>
        <w:trPr>
          <w:trHeight w:val="67"/>
        </w:trPr>
        <w:tc>
          <w:tcPr>
            <w:tcW w:w="54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r>
        <w:trPr>
          <w:trHeight w:val="278"/>
        </w:trPr>
        <w:tc>
          <w:tcPr>
            <w:tcW w:w="5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Weighted average number of Ordinary Shares outstanding:</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5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54,004,963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54,368,656</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53,935,939</w:t>
            </w:r>
          </w:p>
        </w:tc>
        <w:tc>
          <w:tcPr>
            <w:tcW w:w="20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54,134,639</w:t>
            </w:r>
          </w:p>
        </w:tc>
      </w:tr>
      <w:tr>
        <w:trPr>
          <w:trHeight w:val="67"/>
        </w:trPr>
        <w:tc>
          <w:tcPr>
            <w:tcW w:w="54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r>
        <w:trPr>
          <w:trHeight w:val="251"/>
        </w:trPr>
        <w:tc>
          <w:tcPr>
            <w:tcW w:w="5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54,550,672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54,901,404</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54,386,066</w:t>
            </w:r>
          </w:p>
        </w:tc>
        <w:tc>
          <w:tcPr>
            <w:tcW w:w="20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54,888,151</w:t>
            </w:r>
          </w:p>
        </w:tc>
      </w:tr>
      <w:tr>
        <w:trPr>
          <w:trHeight w:val="27"/>
        </w:trPr>
        <w:tc>
          <w:tcPr>
            <w:tcW w:w="5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2019 AND SEPTEMBER 30, 2018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3" w:lineRule="exact"/>
        <w:rPr>
          <w:sz w:val="20"/>
          <w:szCs w:val="20"/>
          <w:color w:val="auto"/>
        </w:rPr>
      </w:pPr>
    </w:p>
    <w:p>
      <w:pPr>
        <w:ind w:left="9320"/>
        <w:spacing w:after="0"/>
        <w:rPr>
          <w:sz w:val="20"/>
          <w:szCs w:val="20"/>
          <w:color w:val="auto"/>
        </w:rPr>
      </w:pPr>
      <w:r>
        <w:rPr>
          <w:rFonts w:ascii="Arial" w:cs="Arial" w:eastAsia="Arial" w:hAnsi="Arial"/>
          <w:sz w:val="16"/>
          <w:szCs w:val="16"/>
          <w:b w:val="1"/>
          <w:bCs w:val="1"/>
          <w:u w:val="single" w:color="auto"/>
          <w:color w:val="auto"/>
        </w:rPr>
        <w:t>Nine Months Ended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r>
      <w:tr>
        <w:trPr>
          <w:trHeight w:val="183"/>
        </w:trPr>
        <w:tc>
          <w:tcPr>
            <w:tcW w:w="8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4"/>
          </w:tcPr>
          <w:p>
            <w:pPr>
              <w:jc w:val="right"/>
              <w:ind w:right="100"/>
              <w:spacing w:after="0" w:line="183" w:lineRule="exact"/>
              <w:rPr>
                <w:sz w:val="20"/>
                <w:szCs w:val="20"/>
                <w:color w:val="auto"/>
              </w:rPr>
            </w:pPr>
            <w:r>
              <w:rPr>
                <w:rFonts w:ascii="Arial" w:cs="Arial" w:eastAsia="Arial" w:hAnsi="Arial"/>
                <w:sz w:val="16"/>
                <w:szCs w:val="16"/>
                <w:b w:val="1"/>
                <w:bCs w:val="1"/>
                <w:color w:val="auto"/>
              </w:rPr>
              <w:t>2018</w:t>
            </w:r>
          </w:p>
        </w:tc>
      </w:tr>
      <w:tr>
        <w:trPr>
          <w:trHeight w:val="48"/>
        </w:trPr>
        <w:tc>
          <w:tcPr>
            <w:tcW w:w="8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8"/>
            <w:shd w:val="clear" w:color="auto" w:fill="CCEEFF"/>
          </w:tcPr>
          <w:p>
            <w:pPr>
              <w:jc w:val="right"/>
              <w:ind w:right="920"/>
              <w:spacing w:after="0"/>
              <w:rPr>
                <w:sz w:val="20"/>
                <w:szCs w:val="20"/>
                <w:color w:val="auto"/>
              </w:rPr>
            </w:pPr>
            <w:r>
              <w:rPr>
                <w:rFonts w:ascii="Arial" w:cs="Arial" w:eastAsia="Arial" w:hAnsi="Arial"/>
                <w:sz w:val="16"/>
                <w:szCs w:val="16"/>
                <w:b w:val="1"/>
                <w:bCs w:val="1"/>
                <w:color w:val="auto"/>
              </w:rPr>
              <w:t>(in thousands)</w:t>
            </w:r>
          </w:p>
        </w:tc>
      </w:tr>
      <w:tr>
        <w:trPr>
          <w:trHeight w:val="224"/>
        </w:trPr>
        <w:tc>
          <w:tcPr>
            <w:tcW w:w="8580" w:type="dxa"/>
            <w:vAlign w:val="bottom"/>
          </w:tcPr>
          <w:p>
            <w:pPr>
              <w:ind w:left="18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275,995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234,493</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Loss on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r>
      <w:tr>
        <w:trPr>
          <w:trHeight w:val="237"/>
        </w:trPr>
        <w:tc>
          <w:tcPr>
            <w:tcW w:w="8580" w:type="dxa"/>
            <w:vAlign w:val="bottom"/>
          </w:tcPr>
          <w:p>
            <w:pPr>
              <w:ind w:left="320"/>
              <w:spacing w:after="0"/>
              <w:rPr>
                <w:sz w:val="20"/>
                <w:szCs w:val="20"/>
                <w:color w:val="auto"/>
              </w:rPr>
            </w:pPr>
            <w:r>
              <w:rPr>
                <w:rFonts w:ascii="Arial" w:cs="Arial" w:eastAsia="Arial" w:hAnsi="Arial"/>
                <w:sz w:val="16"/>
                <w:szCs w:val="16"/>
                <w:color w:val="auto"/>
              </w:rPr>
              <w:t>Depreciation expense</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34,271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6"/>
                <w:szCs w:val="16"/>
                <w:color w:val="auto"/>
              </w:rPr>
              <w:t>35,432</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Amortization of operating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22,867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300"/>
              <w:spacing w:after="0"/>
              <w:rPr>
                <w:sz w:val="20"/>
                <w:szCs w:val="20"/>
                <w:color w:val="auto"/>
              </w:rPr>
            </w:pPr>
            <w:r>
              <w:rPr>
                <w:rFonts w:ascii="Arial" w:cs="Arial" w:eastAsia="Arial" w:hAnsi="Arial"/>
                <w:sz w:val="16"/>
                <w:szCs w:val="16"/>
                <w:color w:val="auto"/>
              </w:rPr>
              <w:t>Amortization of intangibles</w:t>
            </w:r>
          </w:p>
        </w:tc>
        <w:tc>
          <w:tcPr>
            <w:tcW w:w="26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11,571</w:t>
            </w:r>
          </w:p>
        </w:tc>
        <w:tc>
          <w:tcPr>
            <w:tcW w:w="280" w:type="dxa"/>
            <w:vAlign w:val="bottom"/>
          </w:tcPr>
          <w:p>
            <w:pPr>
              <w:spacing w:after="0"/>
              <w:rPr>
                <w:sz w:val="20"/>
                <w:szCs w:val="20"/>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6"/>
                <w:szCs w:val="16"/>
                <w:color w:val="auto"/>
              </w:rPr>
              <w:t>15,574</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Amortization of government grants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(35)</w:t>
            </w:r>
          </w:p>
        </w:tc>
      </w:tr>
      <w:tr>
        <w:trPr>
          <w:trHeight w:val="237"/>
        </w:trPr>
        <w:tc>
          <w:tcPr>
            <w:tcW w:w="8580" w:type="dxa"/>
            <w:vAlign w:val="bottom"/>
          </w:tcPr>
          <w:p>
            <w:pPr>
              <w:ind w:left="320"/>
              <w:spacing w:after="0"/>
              <w:rPr>
                <w:sz w:val="20"/>
                <w:szCs w:val="20"/>
                <w:color w:val="auto"/>
              </w:rPr>
            </w:pPr>
            <w:r>
              <w:rPr>
                <w:rFonts w:ascii="Arial" w:cs="Arial" w:eastAsia="Arial" w:hAnsi="Arial"/>
                <w:sz w:val="16"/>
                <w:szCs w:val="16"/>
                <w:color w:val="auto"/>
              </w:rPr>
              <w:t>Interest on short term investments</w:t>
            </w:r>
          </w:p>
        </w:tc>
        <w:tc>
          <w:tcPr>
            <w:tcW w:w="26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(823)</w:t>
            </w:r>
          </w:p>
        </w:tc>
        <w:tc>
          <w:tcPr>
            <w:tcW w:w="28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6"/>
                <w:szCs w:val="16"/>
                <w:color w:val="auto"/>
              </w:rPr>
              <w:t>(1,094)</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Interest on non-current operating lease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320"/>
              <w:spacing w:after="0"/>
              <w:rPr>
                <w:sz w:val="20"/>
                <w:szCs w:val="20"/>
                <w:color w:val="auto"/>
              </w:rPr>
            </w:pPr>
            <w:r>
              <w:rPr>
                <w:rFonts w:ascii="Arial" w:cs="Arial" w:eastAsia="Arial" w:hAnsi="Arial"/>
                <w:sz w:val="16"/>
                <w:szCs w:val="16"/>
                <w:color w:val="auto"/>
              </w:rPr>
              <w:t>Gain on re-measurement of financial assets</w:t>
            </w:r>
          </w:p>
        </w:tc>
        <w:tc>
          <w:tcPr>
            <w:tcW w:w="26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Stock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21,065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24,974</w:t>
            </w:r>
          </w:p>
        </w:tc>
      </w:tr>
      <w:tr>
        <w:trPr>
          <w:trHeight w:val="237"/>
        </w:trPr>
        <w:tc>
          <w:tcPr>
            <w:tcW w:w="8580" w:type="dxa"/>
            <w:vAlign w:val="bottom"/>
          </w:tcPr>
          <w:p>
            <w:pPr>
              <w:ind w:left="300"/>
              <w:spacing w:after="0"/>
              <w:rPr>
                <w:sz w:val="20"/>
                <w:szCs w:val="20"/>
                <w:color w:val="auto"/>
              </w:rPr>
            </w:pPr>
            <w:r>
              <w:rPr>
                <w:rFonts w:ascii="Arial" w:cs="Arial" w:eastAsia="Arial" w:hAnsi="Arial"/>
                <w:sz w:val="16"/>
                <w:szCs w:val="16"/>
                <w:color w:val="auto"/>
              </w:rPr>
              <w:t>Amortization of interest rate hedge</w:t>
            </w:r>
          </w:p>
        </w:tc>
        <w:tc>
          <w:tcPr>
            <w:tcW w:w="26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(692)</w:t>
            </w:r>
          </w:p>
        </w:tc>
        <w:tc>
          <w:tcPr>
            <w:tcW w:w="28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6"/>
                <w:szCs w:val="16"/>
                <w:color w:val="auto"/>
              </w:rPr>
              <w:t>(698)</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Amortization of financing costs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671</w:t>
            </w:r>
          </w:p>
        </w:tc>
      </w:tr>
      <w:tr>
        <w:trPr>
          <w:trHeight w:val="237"/>
        </w:trPr>
        <w:tc>
          <w:tcPr>
            <w:tcW w:w="8580" w:type="dxa"/>
            <w:vAlign w:val="bottom"/>
          </w:tcPr>
          <w:p>
            <w:pPr>
              <w:ind w:left="320"/>
              <w:spacing w:after="0"/>
              <w:rPr>
                <w:sz w:val="20"/>
                <w:szCs w:val="20"/>
                <w:color w:val="auto"/>
              </w:rPr>
            </w:pPr>
            <w:r>
              <w:rPr>
                <w:rFonts w:ascii="Arial" w:cs="Arial" w:eastAsia="Arial" w:hAnsi="Arial"/>
                <w:sz w:val="16"/>
                <w:szCs w:val="16"/>
                <w:color w:val="auto"/>
              </w:rPr>
              <w:t>Deferred taxes</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6"/>
                <w:szCs w:val="16"/>
                <w:color w:val="auto"/>
              </w:rPr>
              <w:t>(1,448)</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20"/>
              <w:spacing w:after="0"/>
              <w:rPr>
                <w:sz w:val="20"/>
                <w:szCs w:val="20"/>
                <w:color w:val="auto"/>
              </w:rPr>
            </w:pPr>
            <w:r>
              <w:rPr>
                <w:rFonts w:ascii="Arial" w:cs="Arial" w:eastAsia="Arial" w:hAnsi="Arial"/>
                <w:sz w:val="16"/>
                <w:szCs w:val="16"/>
                <w:color w:val="auto"/>
              </w:rPr>
              <w:t>Decrease in accounts receivable</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16,264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6"/>
                <w:szCs w:val="16"/>
                <w:color w:val="auto"/>
              </w:rPr>
              <w:t>4,935</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Increase in unbilled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(126,375)</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(73,648)</w:t>
            </w:r>
          </w:p>
        </w:tc>
      </w:tr>
      <w:tr>
        <w:trPr>
          <w:trHeight w:val="237"/>
        </w:trPr>
        <w:tc>
          <w:tcPr>
            <w:tcW w:w="8580" w:type="dxa"/>
            <w:vAlign w:val="bottom"/>
          </w:tcPr>
          <w:p>
            <w:pPr>
              <w:ind w:left="320"/>
              <w:spacing w:after="0"/>
              <w:rPr>
                <w:sz w:val="20"/>
                <w:szCs w:val="20"/>
                <w:color w:val="auto"/>
              </w:rPr>
            </w:pPr>
            <w:r>
              <w:rPr>
                <w:rFonts w:ascii="Arial" w:cs="Arial" w:eastAsia="Arial" w:hAnsi="Arial"/>
                <w:sz w:val="16"/>
                <w:szCs w:val="16"/>
                <w:color w:val="auto"/>
              </w:rPr>
              <w:t>Decrease in other receivables</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6"/>
                <w:szCs w:val="16"/>
                <w:color w:val="auto"/>
              </w:rPr>
              <w:t>4,919</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Increase in prepayments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(5,862)</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(8,591)</w:t>
            </w:r>
          </w:p>
        </w:tc>
      </w:tr>
      <w:tr>
        <w:trPr>
          <w:trHeight w:val="237"/>
        </w:trPr>
        <w:tc>
          <w:tcPr>
            <w:tcW w:w="8580" w:type="dxa"/>
            <w:vAlign w:val="bottom"/>
          </w:tcPr>
          <w:p>
            <w:pPr>
              <w:ind w:left="320"/>
              <w:spacing w:after="0"/>
              <w:rPr>
                <w:sz w:val="20"/>
                <w:szCs w:val="20"/>
                <w:color w:val="auto"/>
              </w:rPr>
            </w:pPr>
            <w:r>
              <w:rPr>
                <w:rFonts w:ascii="Arial" w:cs="Arial" w:eastAsia="Arial" w:hAnsi="Arial"/>
                <w:sz w:val="16"/>
                <w:szCs w:val="16"/>
                <w:color w:val="auto"/>
              </w:rPr>
              <w:t>Increase in other non-current assets</w:t>
            </w:r>
          </w:p>
        </w:tc>
        <w:tc>
          <w:tcPr>
            <w:tcW w:w="26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(1,999)</w:t>
            </w:r>
          </w:p>
        </w:tc>
        <w:tc>
          <w:tcPr>
            <w:tcW w:w="28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6"/>
                <w:szCs w:val="16"/>
                <w:color w:val="auto"/>
              </w:rPr>
              <w:t>(323)</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Increase/(decrease) in payments on account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42,119</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(11,567)</w:t>
            </w:r>
          </w:p>
        </w:tc>
      </w:tr>
      <w:tr>
        <w:trPr>
          <w:trHeight w:val="237"/>
        </w:trPr>
        <w:tc>
          <w:tcPr>
            <w:tcW w:w="8580" w:type="dxa"/>
            <w:vAlign w:val="bottom"/>
          </w:tcPr>
          <w:p>
            <w:pPr>
              <w:ind w:left="320"/>
              <w:spacing w:after="0"/>
              <w:rPr>
                <w:sz w:val="20"/>
                <w:szCs w:val="20"/>
                <w:color w:val="auto"/>
              </w:rPr>
            </w:pPr>
            <w:r>
              <w:rPr>
                <w:rFonts w:ascii="Arial" w:cs="Arial" w:eastAsia="Arial" w:hAnsi="Arial"/>
                <w:sz w:val="16"/>
                <w:szCs w:val="16"/>
                <w:color w:val="auto"/>
              </w:rPr>
              <w:t>Increase/(decrease) in other current liabilities</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6"/>
                <w:szCs w:val="16"/>
                <w:color w:val="auto"/>
              </w:rPr>
              <w:t>(14,422)</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Decrease in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(25,440)</w:t>
            </w: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320"/>
              <w:spacing w:after="0"/>
              <w:rPr>
                <w:sz w:val="20"/>
                <w:szCs w:val="20"/>
                <w:color w:val="auto"/>
              </w:rPr>
            </w:pPr>
            <w:r>
              <w:rPr>
                <w:rFonts w:ascii="Arial" w:cs="Arial" w:eastAsia="Arial" w:hAnsi="Arial"/>
                <w:sz w:val="16"/>
                <w:szCs w:val="16"/>
                <w:color w:val="auto"/>
              </w:rPr>
              <w:t>Increase/(decrease) in other non-current liabilities</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6"/>
                <w:szCs w:val="16"/>
                <w:color w:val="auto"/>
              </w:rPr>
              <w:t>(589)</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Increase in income taxes payable</w:t>
            </w:r>
          </w:p>
        </w:tc>
        <w:tc>
          <w:tcPr>
            <w:tcW w:w="2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6"/>
                <w:szCs w:val="16"/>
                <w:color w:val="auto"/>
              </w:rPr>
              <w:t>6,498</w:t>
            </w:r>
          </w:p>
        </w:tc>
        <w:tc>
          <w:tcPr>
            <w:tcW w:w="1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2,215</w:t>
            </w:r>
          </w:p>
        </w:tc>
      </w:tr>
      <w:tr>
        <w:trPr>
          <w:trHeight w:val="237"/>
        </w:trPr>
        <w:tc>
          <w:tcPr>
            <w:tcW w:w="8580" w:type="dxa"/>
            <w:vAlign w:val="bottom"/>
          </w:tcPr>
          <w:p>
            <w:pPr>
              <w:ind w:left="320"/>
              <w:spacing w:after="0"/>
              <w:rPr>
                <w:sz w:val="20"/>
                <w:szCs w:val="20"/>
                <w:color w:val="auto"/>
              </w:rPr>
            </w:pPr>
            <w:r>
              <w:rPr>
                <w:rFonts w:ascii="Arial" w:cs="Arial" w:eastAsia="Arial" w:hAnsi="Arial"/>
                <w:sz w:val="16"/>
                <w:szCs w:val="16"/>
                <w:color w:val="auto"/>
              </w:rPr>
              <w:t>Decrease in accounts payable</w:t>
            </w:r>
          </w:p>
        </w:tc>
        <w:tc>
          <w:tcPr>
            <w:tcW w:w="26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(78)</w:t>
            </w:r>
          </w:p>
        </w:tc>
        <w:tc>
          <w:tcPr>
            <w:tcW w:w="28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6"/>
                <w:szCs w:val="16"/>
                <w:color w:val="auto"/>
              </w:rPr>
              <w:t>(3,031)</w:t>
            </w:r>
          </w:p>
        </w:tc>
      </w:tr>
      <w:tr>
        <w:trPr>
          <w:trHeight w:val="40"/>
        </w:trPr>
        <w:tc>
          <w:tcPr>
            <w:tcW w:w="8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278,096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207,776</w:t>
            </w:r>
          </w:p>
        </w:tc>
      </w:tr>
      <w:tr>
        <w:trPr>
          <w:trHeight w:val="224"/>
        </w:trPr>
        <w:tc>
          <w:tcPr>
            <w:tcW w:w="8580" w:type="dxa"/>
            <w:vAlign w:val="bottom"/>
          </w:tcPr>
          <w:p>
            <w:pPr>
              <w:ind w:left="18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(31,929)</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(28,387)</w:t>
            </w:r>
          </w:p>
        </w:tc>
      </w:tr>
      <w:tr>
        <w:trPr>
          <w:trHeight w:val="237"/>
        </w:trPr>
        <w:tc>
          <w:tcPr>
            <w:tcW w:w="8580" w:type="dxa"/>
            <w:vAlign w:val="bottom"/>
          </w:tcPr>
          <w:p>
            <w:pPr>
              <w:ind w:left="320"/>
              <w:spacing w:after="0"/>
              <w:rPr>
                <w:sz w:val="20"/>
                <w:szCs w:val="20"/>
                <w:color w:val="auto"/>
              </w:rPr>
            </w:pPr>
            <w:r>
              <w:rPr>
                <w:rFonts w:ascii="Arial" w:cs="Arial" w:eastAsia="Arial" w:hAnsi="Arial"/>
                <w:sz w:val="16"/>
                <w:szCs w:val="16"/>
                <w:color w:val="auto"/>
              </w:rPr>
              <w:t>Purchase of subsidiary undertakings</w:t>
            </w:r>
          </w:p>
        </w:tc>
        <w:tc>
          <w:tcPr>
            <w:tcW w:w="26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(116,431)</w:t>
            </w:r>
          </w:p>
        </w:tc>
        <w:tc>
          <w:tcPr>
            <w:tcW w:w="28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6"/>
                <w:szCs w:val="16"/>
                <w:color w:val="auto"/>
              </w:rPr>
              <w:t>(1,645)</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Cash acquired with subsidiary undertaking</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11,700</w:t>
            </w: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320"/>
              <w:spacing w:after="0"/>
              <w:rPr>
                <w:sz w:val="20"/>
                <w:szCs w:val="20"/>
                <w:color w:val="auto"/>
              </w:rPr>
            </w:pPr>
            <w:r>
              <w:rPr>
                <w:rFonts w:ascii="Arial" w:cs="Arial" w:eastAsia="Arial" w:hAnsi="Arial"/>
                <w:sz w:val="16"/>
                <w:szCs w:val="16"/>
                <w:color w:val="auto"/>
              </w:rPr>
              <w:t>Purchase of available for sale investments</w:t>
            </w:r>
          </w:p>
        </w:tc>
        <w:tc>
          <w:tcPr>
            <w:tcW w:w="26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(16,075)</w:t>
            </w:r>
          </w:p>
        </w:tc>
        <w:tc>
          <w:tcPr>
            <w:tcW w:w="28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6"/>
                <w:szCs w:val="16"/>
                <w:color w:val="auto"/>
              </w:rPr>
              <w:t>(85,866)</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Sale of available for sale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23,814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98,857</w:t>
            </w:r>
          </w:p>
        </w:tc>
      </w:tr>
      <w:tr>
        <w:trPr>
          <w:trHeight w:val="237"/>
        </w:trPr>
        <w:tc>
          <w:tcPr>
            <w:tcW w:w="8580" w:type="dxa"/>
            <w:vAlign w:val="bottom"/>
          </w:tcPr>
          <w:p>
            <w:pPr>
              <w:ind w:left="320"/>
              <w:spacing w:after="0"/>
              <w:rPr>
                <w:sz w:val="20"/>
                <w:szCs w:val="20"/>
                <w:color w:val="auto"/>
              </w:rPr>
            </w:pPr>
            <w:r>
              <w:rPr>
                <w:rFonts w:ascii="Arial" w:cs="Arial" w:eastAsia="Arial" w:hAnsi="Arial"/>
                <w:sz w:val="16"/>
                <w:szCs w:val="16"/>
                <w:color w:val="auto"/>
              </w:rPr>
              <w:t>Purchase of investments in equity - long term</w:t>
            </w:r>
          </w:p>
        </w:tc>
        <w:tc>
          <w:tcPr>
            <w:tcW w:w="26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(3,476)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40"/>
        </w:trPr>
        <w:tc>
          <w:tcPr>
            <w:tcW w:w="8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(132,397)</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(17,041)</w:t>
            </w:r>
          </w:p>
        </w:tc>
      </w:tr>
      <w:tr>
        <w:trPr>
          <w:trHeight w:val="224"/>
        </w:trPr>
        <w:tc>
          <w:tcPr>
            <w:tcW w:w="8580" w:type="dxa"/>
            <w:vAlign w:val="bottom"/>
          </w:tcPr>
          <w:p>
            <w:pPr>
              <w:ind w:left="18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7"/>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Financing costs</w:t>
            </w: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(823)</w:t>
            </w:r>
          </w:p>
        </w:tc>
      </w:tr>
      <w:tr>
        <w:trPr>
          <w:trHeight w:val="237"/>
        </w:trPr>
        <w:tc>
          <w:tcPr>
            <w:tcW w:w="8580" w:type="dxa"/>
            <w:vAlign w:val="bottom"/>
          </w:tcPr>
          <w:p>
            <w:pPr>
              <w:ind w:left="320"/>
              <w:spacing w:after="0"/>
              <w:rPr>
                <w:sz w:val="20"/>
                <w:szCs w:val="20"/>
                <w:color w:val="auto"/>
              </w:rPr>
            </w:pPr>
            <w:r>
              <w:rPr>
                <w:rFonts w:ascii="Arial" w:cs="Arial" w:eastAsia="Arial" w:hAnsi="Arial"/>
                <w:sz w:val="16"/>
                <w:szCs w:val="16"/>
                <w:color w:val="auto"/>
              </w:rPr>
              <w:t>Proceeds from exercise of equity compensation</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21,054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6"/>
                <w:szCs w:val="16"/>
                <w:color w:val="auto"/>
              </w:rPr>
              <w:t>14,930</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Share issue costs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r>
      <w:tr>
        <w:trPr>
          <w:trHeight w:val="237"/>
        </w:trPr>
        <w:tc>
          <w:tcPr>
            <w:tcW w:w="8580" w:type="dxa"/>
            <w:vAlign w:val="bottom"/>
          </w:tcPr>
          <w:p>
            <w:pPr>
              <w:ind w:left="320"/>
              <w:spacing w:after="0"/>
              <w:rPr>
                <w:sz w:val="20"/>
                <w:szCs w:val="20"/>
                <w:color w:val="auto"/>
              </w:rPr>
            </w:pPr>
            <w:r>
              <w:rPr>
                <w:rFonts w:ascii="Arial" w:cs="Arial" w:eastAsia="Arial" w:hAnsi="Arial"/>
                <w:sz w:val="16"/>
                <w:szCs w:val="16"/>
                <w:color w:val="auto"/>
              </w:rPr>
              <w:t>Repurchase of ordinary shares</w:t>
            </w:r>
          </w:p>
        </w:tc>
        <w:tc>
          <w:tcPr>
            <w:tcW w:w="26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(141,573)</w:t>
            </w:r>
          </w:p>
        </w:tc>
        <w:tc>
          <w:tcPr>
            <w:tcW w:w="28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6"/>
                <w:szCs w:val="16"/>
                <w:color w:val="auto"/>
              </w:rPr>
              <w:t>(56,960)</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Share repurchase costs</w:t>
            </w: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(103)</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r>
      <w:tr>
        <w:trPr>
          <w:trHeight w:val="237"/>
        </w:trPr>
        <w:tc>
          <w:tcPr>
            <w:tcW w:w="85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(120,631)</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(42,912)</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movements on cash</w:t>
            </w: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(3,315)</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(4,461)</w:t>
            </w:r>
          </w:p>
        </w:tc>
      </w:tr>
      <w:tr>
        <w:trPr>
          <w:trHeight w:val="237"/>
        </w:trPr>
        <w:tc>
          <w:tcPr>
            <w:tcW w:w="85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21,753</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6"/>
                <w:szCs w:val="16"/>
                <w:color w:val="auto"/>
              </w:rPr>
              <w:t>143,362</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395,851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282,859</w:t>
            </w:r>
          </w:p>
        </w:tc>
      </w:tr>
      <w:tr>
        <w:trPr>
          <w:trHeight w:val="237"/>
        </w:trPr>
        <w:tc>
          <w:tcPr>
            <w:tcW w:w="85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417,604</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6"/>
                <w:szCs w:val="16"/>
                <w:color w:val="auto"/>
              </w:rPr>
              <w:t>426,221</w:t>
            </w:r>
          </w:p>
        </w:tc>
      </w:tr>
      <w:tr>
        <w:trPr>
          <w:trHeight w:val="33"/>
        </w:trPr>
        <w:tc>
          <w:tcPr>
            <w:tcW w:w="8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19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192" w:gutter="0" w:footer="0" w:header="0"/>
          <w:type w:val="continuous"/>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SHAREHOLDERS' EQUITY AND COMPREHENSIVE INCOME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Group</w:t>
            </w: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left w:val="single" w:sz="8" w:color="CCEEFF"/>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r>
        <w:trPr>
          <w:trHeight w:val="183"/>
        </w:trPr>
        <w:tc>
          <w:tcPr>
            <w:tcW w:w="3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4"/>
          </w:tcPr>
          <w:p>
            <w:pPr>
              <w:jc w:val="right"/>
              <w:ind w:right="100"/>
              <w:spacing w:after="0" w:line="183" w:lineRule="exact"/>
              <w:rPr>
                <w:sz w:val="20"/>
                <w:szCs w:val="20"/>
                <w:color w:val="auto"/>
              </w:rPr>
            </w:pPr>
            <w:r>
              <w:rPr>
                <w:rFonts w:ascii="Arial" w:cs="Arial" w:eastAsia="Arial" w:hAnsi="Arial"/>
                <w:sz w:val="16"/>
                <w:szCs w:val="16"/>
                <w:b w:val="1"/>
                <w:bCs w:val="1"/>
                <w:color w:val="auto"/>
                <w:w w:val="89"/>
              </w:rPr>
              <w:t>Accumulated</w:t>
            </w: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jc w:val="right"/>
              <w:spacing w:after="0" w:line="183" w:lineRule="exact"/>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jc w:val="right"/>
              <w:ind w:right="100"/>
              <w:spacing w:after="0" w:line="183"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4"/>
          </w:tcPr>
          <w:p>
            <w:pPr>
              <w:jc w:val="right"/>
              <w:ind w:right="100"/>
              <w:spacing w:after="0" w:line="183" w:lineRule="exact"/>
              <w:rPr>
                <w:sz w:val="20"/>
                <w:szCs w:val="20"/>
                <w:color w:val="auto"/>
              </w:rPr>
            </w:pPr>
            <w:r>
              <w:rPr>
                <w:rFonts w:ascii="Arial" w:cs="Arial" w:eastAsia="Arial" w:hAnsi="Arial"/>
                <w:sz w:val="16"/>
                <w:szCs w:val="16"/>
                <w:b w:val="1"/>
                <w:bCs w:val="1"/>
                <w:color w:val="auto"/>
                <w:w w:val="93"/>
              </w:rPr>
              <w:t>Redeemable</w:t>
            </w:r>
          </w:p>
        </w:tc>
      </w:tr>
      <w:tr>
        <w:trPr>
          <w:trHeight w:val="20"/>
        </w:trPr>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Paid-in</w:t>
            </w:r>
          </w:p>
        </w:tc>
        <w:tc>
          <w:tcPr>
            <w:tcW w:w="140" w:type="dxa"/>
            <w:vAlign w:val="bottom"/>
          </w:tcPr>
          <w:p>
            <w:pPr>
              <w:spacing w:after="0"/>
              <w:rPr>
                <w:sz w:val="15"/>
                <w:szCs w:val="15"/>
                <w:color w:val="auto"/>
              </w:rPr>
            </w:pPr>
          </w:p>
        </w:tc>
        <w:tc>
          <w:tcPr>
            <w:tcW w:w="1100" w:type="dxa"/>
            <w:vAlign w:val="bottom"/>
            <w:gridSpan w:val="4"/>
          </w:tcPr>
          <w:p>
            <w:pPr>
              <w:jc w:val="right"/>
              <w:spacing w:after="0" w:line="183" w:lineRule="exact"/>
              <w:rPr>
                <w:sz w:val="20"/>
                <w:szCs w:val="20"/>
                <w:color w:val="auto"/>
              </w:rPr>
            </w:pPr>
            <w:r>
              <w:rPr>
                <w:rFonts w:ascii="Arial" w:cs="Arial" w:eastAsia="Arial" w:hAnsi="Arial"/>
                <w:sz w:val="16"/>
                <w:szCs w:val="16"/>
                <w:b w:val="1"/>
                <w:bCs w:val="1"/>
                <w:color w:val="auto"/>
                <w:w w:val="89"/>
              </w:rPr>
              <w:t>Undenominated</w:t>
            </w:r>
          </w:p>
        </w:tc>
        <w:tc>
          <w:tcPr>
            <w:tcW w:w="120" w:type="dxa"/>
            <w:vAlign w:val="bottom"/>
          </w:tcPr>
          <w:p>
            <w:pPr>
              <w:spacing w:after="0"/>
              <w:rPr>
                <w:sz w:val="15"/>
                <w:szCs w:val="15"/>
                <w:color w:val="auto"/>
              </w:rPr>
            </w:pPr>
          </w:p>
        </w:tc>
        <w:tc>
          <w:tcPr>
            <w:tcW w:w="1060" w:type="dxa"/>
            <w:vAlign w:val="bottom"/>
            <w:gridSpan w:val="4"/>
          </w:tcPr>
          <w:p>
            <w:pPr>
              <w:jc w:val="right"/>
              <w:spacing w:after="0" w:line="183" w:lineRule="exact"/>
              <w:rPr>
                <w:sz w:val="20"/>
                <w:szCs w:val="20"/>
                <w:color w:val="auto"/>
              </w:rPr>
            </w:pPr>
            <w:r>
              <w:rPr>
                <w:rFonts w:ascii="Arial" w:cs="Arial" w:eastAsia="Arial" w:hAnsi="Arial"/>
                <w:sz w:val="16"/>
                <w:szCs w:val="16"/>
                <w:b w:val="1"/>
                <w:bCs w:val="1"/>
                <w:color w:val="auto"/>
                <w:w w:val="88"/>
              </w:rPr>
              <w:t>Comprehensive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8"/>
              </w:rPr>
              <w:t>Retained</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5"/>
          </w:tcPr>
          <w:p>
            <w:pPr>
              <w:jc w:val="right"/>
              <w:ind w:right="100"/>
              <w:spacing w:after="0" w:line="183" w:lineRule="exact"/>
              <w:rPr>
                <w:sz w:val="20"/>
                <w:szCs w:val="20"/>
                <w:color w:val="auto"/>
              </w:rPr>
            </w:pPr>
            <w:r>
              <w:rPr>
                <w:rFonts w:ascii="Arial" w:cs="Arial" w:eastAsia="Arial" w:hAnsi="Arial"/>
                <w:sz w:val="16"/>
                <w:szCs w:val="16"/>
                <w:b w:val="1"/>
                <w:bCs w:val="1"/>
                <w:color w:val="auto"/>
                <w:w w:val="89"/>
              </w:rPr>
              <w:t>Noncontrolling</w:t>
            </w:r>
          </w:p>
        </w:tc>
      </w:tr>
      <w:tr>
        <w:trPr>
          <w:trHeight w:val="20"/>
        </w:trPr>
        <w:tc>
          <w:tcPr>
            <w:tcW w:w="30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080" w:type="dxa"/>
            <w:vAlign w:val="bottom"/>
          </w:tcPr>
          <w:p>
            <w:pPr>
              <w:spacing w:after="0"/>
              <w:rPr>
                <w:sz w:val="15"/>
                <w:szCs w:val="15"/>
                <w:color w:val="auto"/>
              </w:rPr>
            </w:pPr>
          </w:p>
        </w:tc>
        <w:tc>
          <w:tcPr>
            <w:tcW w:w="960" w:type="dxa"/>
            <w:vAlign w:val="bottom"/>
            <w:gridSpan w:val="3"/>
          </w:tcPr>
          <w:p>
            <w:pPr>
              <w:jc w:val="right"/>
              <w:ind w:right="120"/>
              <w:spacing w:after="0" w:line="183" w:lineRule="exact"/>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5"/>
                <w:szCs w:val="15"/>
                <w:color w:val="auto"/>
              </w:rPr>
            </w:pPr>
          </w:p>
        </w:tc>
        <w:tc>
          <w:tcPr>
            <w:tcW w:w="660" w:type="dxa"/>
            <w:vAlign w:val="bottom"/>
            <w:gridSpan w:val="2"/>
          </w:tcPr>
          <w:p>
            <w:pPr>
              <w:jc w:val="right"/>
              <w:ind w:right="100"/>
              <w:spacing w:after="0" w:line="183" w:lineRule="exact"/>
              <w:rPr>
                <w:sz w:val="20"/>
                <w:szCs w:val="20"/>
                <w:color w:val="auto"/>
              </w:rPr>
            </w:pPr>
            <w:r>
              <w:rPr>
                <w:rFonts w:ascii="Arial" w:cs="Arial" w:eastAsia="Arial" w:hAnsi="Arial"/>
                <w:sz w:val="16"/>
                <w:szCs w:val="16"/>
                <w:b w:val="1"/>
                <w:bCs w:val="1"/>
                <w:color w:val="auto"/>
                <w:w w:val="89"/>
              </w:rPr>
              <w:t>Amount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3"/>
          </w:tcPr>
          <w:p>
            <w:pPr>
              <w:jc w:val="right"/>
              <w:ind w:right="140"/>
              <w:spacing w:after="0" w:line="183" w:lineRule="exact"/>
              <w:rPr>
                <w:sz w:val="20"/>
                <w:szCs w:val="20"/>
                <w:color w:val="auto"/>
              </w:rPr>
            </w:pPr>
            <w:r>
              <w:rPr>
                <w:rFonts w:ascii="Arial" w:cs="Arial" w:eastAsia="Arial" w:hAnsi="Arial"/>
                <w:sz w:val="16"/>
                <w:szCs w:val="16"/>
                <w:b w:val="1"/>
                <w:bCs w:val="1"/>
                <w:color w:val="auto"/>
                <w:w w:val="93"/>
              </w:rPr>
              <w:t>Capital</w:t>
            </w:r>
          </w:p>
        </w:tc>
        <w:tc>
          <w:tcPr>
            <w:tcW w:w="320" w:type="dxa"/>
            <w:vAlign w:val="bottom"/>
          </w:tcPr>
          <w:p>
            <w:pPr>
              <w:spacing w:after="0"/>
              <w:rPr>
                <w:sz w:val="15"/>
                <w:szCs w:val="15"/>
                <w:color w:val="auto"/>
              </w:rPr>
            </w:pPr>
          </w:p>
        </w:tc>
        <w:tc>
          <w:tcPr>
            <w:tcW w:w="900" w:type="dxa"/>
            <w:vAlign w:val="bottom"/>
            <w:gridSpan w:val="4"/>
          </w:tcPr>
          <w:p>
            <w:pPr>
              <w:jc w:val="right"/>
              <w:ind w:right="120"/>
              <w:spacing w:after="0" w:line="183" w:lineRule="exact"/>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5"/>
                <w:szCs w:val="15"/>
                <w:color w:val="auto"/>
              </w:rPr>
            </w:pPr>
          </w:p>
        </w:tc>
        <w:tc>
          <w:tcPr>
            <w:tcW w:w="1020" w:type="dxa"/>
            <w:vAlign w:val="bottom"/>
            <w:gridSpan w:val="4"/>
          </w:tcPr>
          <w:p>
            <w:pPr>
              <w:jc w:val="right"/>
              <w:ind w:right="100"/>
              <w:spacing w:after="0" w:line="183" w:lineRule="exact"/>
              <w:rPr>
                <w:sz w:val="20"/>
                <w:szCs w:val="20"/>
                <w:color w:val="auto"/>
              </w:rPr>
            </w:pPr>
            <w:r>
              <w:rPr>
                <w:rFonts w:ascii="Arial" w:cs="Arial" w:eastAsia="Arial" w:hAnsi="Arial"/>
                <w:sz w:val="16"/>
                <w:szCs w:val="16"/>
                <w:b w:val="1"/>
                <w:bCs w:val="1"/>
                <w:color w:val="auto"/>
              </w:rPr>
              <w:t>Income</w:t>
            </w:r>
          </w:p>
        </w:tc>
        <w:tc>
          <w:tcPr>
            <w:tcW w:w="120" w:type="dxa"/>
            <w:vAlign w:val="bottom"/>
          </w:tcPr>
          <w:p>
            <w:pPr>
              <w:spacing w:after="0"/>
              <w:rPr>
                <w:sz w:val="15"/>
                <w:szCs w:val="15"/>
                <w:color w:val="auto"/>
              </w:rPr>
            </w:pPr>
          </w:p>
        </w:tc>
        <w:tc>
          <w:tcPr>
            <w:tcW w:w="740" w:type="dxa"/>
            <w:vAlign w:val="bottom"/>
            <w:gridSpan w:val="4"/>
          </w:tcPr>
          <w:p>
            <w:pPr>
              <w:jc w:val="right"/>
              <w:ind w:right="80"/>
              <w:spacing w:after="0" w:line="183" w:lineRule="exact"/>
              <w:rPr>
                <w:sz w:val="20"/>
                <w:szCs w:val="20"/>
                <w:color w:val="auto"/>
              </w:rPr>
            </w:pPr>
            <w:r>
              <w:rPr>
                <w:rFonts w:ascii="Arial" w:cs="Arial" w:eastAsia="Arial" w:hAnsi="Arial"/>
                <w:sz w:val="16"/>
                <w:szCs w:val="16"/>
                <w:b w:val="1"/>
                <w:bCs w:val="1"/>
                <w:color w:val="auto"/>
                <w:w w:val="93"/>
              </w:rPr>
              <w:t>Earnings</w:t>
            </w:r>
          </w:p>
        </w:tc>
        <w:tc>
          <w:tcPr>
            <w:tcW w:w="880" w:type="dxa"/>
            <w:vAlign w:val="bottom"/>
            <w:gridSpan w:val="3"/>
          </w:tcPr>
          <w:p>
            <w:pPr>
              <w:jc w:val="right"/>
              <w:ind w:right="100"/>
              <w:spacing w:after="0" w:line="183" w:lineRule="exact"/>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2"/>
          </w:tcPr>
          <w:p>
            <w:pPr>
              <w:jc w:val="right"/>
              <w:ind w:right="100"/>
              <w:spacing w:after="0" w:line="183" w:lineRule="exact"/>
              <w:rPr>
                <w:sz w:val="20"/>
                <w:szCs w:val="20"/>
                <w:color w:val="auto"/>
              </w:rPr>
            </w:pPr>
            <w:r>
              <w:rPr>
                <w:rFonts w:ascii="Arial" w:cs="Arial" w:eastAsia="Arial" w:hAnsi="Arial"/>
                <w:sz w:val="16"/>
                <w:szCs w:val="16"/>
                <w:b w:val="1"/>
                <w:bCs w:val="1"/>
                <w:color w:val="auto"/>
                <w:w w:val="89"/>
              </w:rPr>
              <w:t>Interest</w:t>
            </w:r>
          </w:p>
        </w:tc>
      </w:tr>
      <w:tr>
        <w:trPr>
          <w:trHeight w:val="48"/>
        </w:trPr>
        <w:tc>
          <w:tcPr>
            <w:tcW w:w="3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17"/>
            <w:shd w:val="clear" w:color="auto" w:fill="CCEEFF"/>
          </w:tcPr>
          <w:p>
            <w:pPr>
              <w:jc w:val="right"/>
              <w:ind w:right="640"/>
              <w:spacing w:after="0"/>
              <w:rPr>
                <w:sz w:val="20"/>
                <w:szCs w:val="20"/>
                <w:color w:val="auto"/>
              </w:rPr>
            </w:pPr>
            <w:r>
              <w:rPr>
                <w:rFonts w:ascii="Arial" w:cs="Arial" w:eastAsia="Arial" w:hAnsi="Arial"/>
                <w:sz w:val="16"/>
                <w:szCs w:val="16"/>
                <w:b w:val="1"/>
                <w:bCs w:val="1"/>
                <w:color w:val="auto"/>
              </w:rPr>
              <w:t>(dollars in thousands, except share data)</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53,971,706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4,658</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529,642</w:t>
            </w:r>
          </w:p>
        </w:tc>
        <w:tc>
          <w:tcPr>
            <w:tcW w:w="140" w:type="dxa"/>
            <w:vAlign w:val="bottom"/>
          </w:tcPr>
          <w:p>
            <w:pPr>
              <w:spacing w:after="0"/>
              <w:rPr>
                <w:sz w:val="19"/>
                <w:szCs w:val="19"/>
                <w:color w:val="auto"/>
              </w:rPr>
            </w:pP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983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(69,328)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4"/>
          </w:tcPr>
          <w:p>
            <w:pPr>
              <w:jc w:val="right"/>
              <w:ind w:right="80"/>
              <w:spacing w:after="0"/>
              <w:rPr>
                <w:sz w:val="20"/>
                <w:szCs w:val="20"/>
                <w:color w:val="auto"/>
              </w:rPr>
            </w:pPr>
            <w:r>
              <w:rPr>
                <w:rFonts w:ascii="Arial" w:cs="Arial" w:eastAsia="Arial" w:hAnsi="Arial"/>
                <w:sz w:val="16"/>
                <w:szCs w:val="16"/>
                <w:color w:val="auto"/>
              </w:rPr>
              <w:t>888,326</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w w:val="94"/>
              </w:rPr>
              <w:t>$1,354,281</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40"/>
        </w:trPr>
        <w:tc>
          <w:tcPr>
            <w:tcW w:w="3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324"/>
        </w:trPr>
        <w:tc>
          <w:tcPr>
            <w:tcW w:w="30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the group</w:t>
            </w: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274,979</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274,979</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Currency translation adjustment</w:t>
            </w:r>
          </w:p>
        </w:tc>
        <w:tc>
          <w:tcPr>
            <w:tcW w:w="3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(22,989)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(22,989)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Currency impact of long term funding (net of</w:t>
            </w: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9"/>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tax)</w:t>
            </w:r>
          </w:p>
        </w:tc>
        <w:tc>
          <w:tcPr>
            <w:tcW w:w="3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(3,138)</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(3,138)</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Unrealized capital gain – investments</w:t>
            </w:r>
          </w:p>
        </w:tc>
        <w:tc>
          <w:tcPr>
            <w:tcW w:w="3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643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interest rate hedge</w:t>
            </w: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(692)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(692)</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331"/>
        </w:trPr>
        <w:tc>
          <w:tcPr>
            <w:tcW w:w="30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3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(26,176)</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274,979</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248,803</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324"/>
        </w:trPr>
        <w:tc>
          <w:tcPr>
            <w:tcW w:w="30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share options</w:t>
            </w: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317,713</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21,009</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21,030</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Issue of restricted share units</w:t>
            </w: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351,165</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stock compensation expense</w:t>
            </w: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21,079</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21,079</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Share issuance costs</w:t>
            </w:r>
          </w:p>
        </w:tc>
        <w:tc>
          <w:tcPr>
            <w:tcW w:w="3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repurchase program</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(1,000,000)</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(67)</w:t>
            </w: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w w:val="99"/>
              </w:rPr>
              <w:t>(141,573)</w:t>
            </w: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(141,573)</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Share repurchase costs</w:t>
            </w:r>
          </w:p>
        </w:tc>
        <w:tc>
          <w:tcPr>
            <w:tcW w:w="3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6"/>
                <w:szCs w:val="16"/>
                <w:color w:val="auto"/>
              </w:rPr>
              <w:t>(103)</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(103)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 of redeemable noncontrolling</w:t>
            </w: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w:t>
            </w:r>
          </w:p>
        </w:tc>
        <w:tc>
          <w:tcPr>
            <w:tcW w:w="3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32,592</w:t>
            </w:r>
          </w:p>
        </w:tc>
      </w:tr>
      <w:tr>
        <w:trPr>
          <w:trHeight w:val="220"/>
        </w:trPr>
        <w:tc>
          <w:tcPr>
            <w:tcW w:w="3080" w:type="dxa"/>
            <w:vAlign w:val="bottom"/>
          </w:tcPr>
          <w:p>
            <w:pPr>
              <w:ind w:left="40"/>
              <w:spacing w:after="0"/>
              <w:rPr>
                <w:sz w:val="20"/>
                <w:szCs w:val="20"/>
                <w:color w:val="auto"/>
              </w:rPr>
            </w:pPr>
            <w:r>
              <w:rPr>
                <w:rFonts w:ascii="Arial" w:cs="Arial" w:eastAsia="Arial" w:hAnsi="Arial"/>
                <w:sz w:val="16"/>
                <w:szCs w:val="16"/>
                <w:color w:val="auto"/>
              </w:rPr>
              <w:t>Noncontrolling interest adjustment to</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080" w:type="dxa"/>
            <w:vAlign w:val="bottom"/>
          </w:tcPr>
          <w:p>
            <w:pPr>
              <w:ind w:left="200"/>
              <w:spacing w:after="0"/>
              <w:rPr>
                <w:sz w:val="20"/>
                <w:szCs w:val="20"/>
                <w:color w:val="auto"/>
              </w:rPr>
            </w:pPr>
            <w:r>
              <w:rPr>
                <w:rFonts w:ascii="Arial" w:cs="Arial" w:eastAsia="Arial" w:hAnsi="Arial"/>
                <w:sz w:val="16"/>
                <w:szCs w:val="16"/>
                <w:color w:val="auto"/>
              </w:rPr>
              <w:t>redemption amount</w:t>
            </w:r>
          </w:p>
        </w:tc>
        <w:tc>
          <w:tcPr>
            <w:tcW w:w="3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6"/>
                <w:szCs w:val="16"/>
                <w:color w:val="auto"/>
              </w:rPr>
              <w:t>(1,243)</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(1,243)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6"/>
                <w:szCs w:val="16"/>
                <w:color w:val="auto"/>
              </w:rPr>
              <w:t>1,243</w:t>
            </w:r>
          </w:p>
        </w:tc>
      </w:tr>
      <w:tr>
        <w:trPr>
          <w:trHeight w:val="33"/>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redeemable</w:t>
            </w: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w:t>
            </w:r>
          </w:p>
        </w:tc>
        <w:tc>
          <w:tcPr>
            <w:tcW w:w="3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1,016</w:t>
            </w:r>
          </w:p>
        </w:tc>
      </w:tr>
      <w:tr>
        <w:trPr>
          <w:trHeight w:val="331"/>
        </w:trPr>
        <w:tc>
          <w:tcPr>
            <w:tcW w:w="30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62"/>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30, 2019</w:t>
            </w: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53,640,584</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4,636</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571,721</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(95,504)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89"/>
              </w:rPr>
              <w:t>1,020,386</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4"/>
              </w:rPr>
              <w:t>$1,502,289</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34,851</w:t>
            </w:r>
          </w:p>
        </w:tc>
      </w:tr>
      <w:tr>
        <w:trPr>
          <w:trHeight w:val="20"/>
        </w:trPr>
        <w:tc>
          <w:tcPr>
            <w:tcW w:w="3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580"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3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condensed consolidated financial statements should be read in conjunction with the accounting policies and notes to the consolidated financial statements included in ICON’s Form 20-F for the year ended December 31, 2018 (see </w:t>
      </w:r>
      <w:r>
        <w:rPr>
          <w:rFonts w:ascii="Arial" w:cs="Arial" w:eastAsia="Arial" w:hAnsi="Arial"/>
          <w:sz w:val="18"/>
          <w:szCs w:val="18"/>
          <w:i w:val="1"/>
          <w:iCs w:val="1"/>
          <w:color w:val="auto"/>
        </w:rPr>
        <w:t>note 2 - Significant accounting policies</w:t>
      </w:r>
      <w:r>
        <w:rPr>
          <w:rFonts w:ascii="Arial" w:cs="Arial" w:eastAsia="Arial" w:hAnsi="Arial"/>
          <w:sz w:val="18"/>
          <w:szCs w:val="18"/>
          <w:color w:val="auto"/>
        </w:rPr>
        <w:t xml:space="preserve"> for impact of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Operating results for the nine months ended September 30, 2019 are not necessarily indicative of the results that may be expected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ending December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interests and equity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ICON has obtained a majority ownership interest in MeDiNova and included in the purchase agreement are put and call option arrangements with the noncontrolling interest holders that require (put option) or enable (call option) ICON to purchase the remaining minority ownership at a later date. ICON accounts for this minority put arrangement as temporary equity, which is presented separately as redeemable noncontrolling interest on the Condensed Consolidated Balance Sheet. This classification reflects the assessment that the instruments are contingently redeemable in accordance with ASC 480-10-S99, </w:t>
      </w:r>
      <w:r>
        <w:rPr>
          <w:rFonts w:ascii="Arial" w:cs="Arial" w:eastAsia="Arial" w:hAnsi="Arial"/>
          <w:sz w:val="18"/>
          <w:szCs w:val="18"/>
          <w:i w:val="1"/>
          <w:iCs w:val="1"/>
          <w:color w:val="auto"/>
        </w:rPr>
        <w:t>'Distinguishing Liabilities from Equity.'</w:t>
      </w:r>
    </w:p>
    <w:p>
      <w:pPr>
        <w:spacing w:after="0" w:line="5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Redeemable noncontrolling interests are accreted to their redemption value over the period from the date of issuance to the first date on which the option is exercisable. The change in the option's redemption value is recorded against retained earnings. In a computation of earnings per share, the accretion of redeemable noncontrolling interests to their redemption value is a reduction of net income attributable to the Group. Basic and diluted net income per ordinary share attributable to the Group (GAAP) includes the adjustment to reflect the accretion of the noncontrolling interest to its redemption value. This accretion adjustment has been excluded from net income when calculating adjusted net income per ordinary share attributable to the Group (non-GAAP).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adopted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with a date of initial application of January 1, 2019. The lease accounting policy applied in preparation of the results for the three and nine months ended September 30, 2019 therefore reflect application of ASC 842. ICON adopted the standard using the cumulative-effect adjustment approach. Under this transition method, ICON has applied the new standard as at the date of initial application (i.e. January 1, 2019), without restatement of comparative period amounts. The cumulative effect of applying the new standard is recorded as an adjustment to the opening consolidated balance sheet as at the date of initial application (see </w:t>
      </w:r>
      <w:r>
        <w:rPr>
          <w:rFonts w:ascii="Arial" w:cs="Arial" w:eastAsia="Arial" w:hAnsi="Arial"/>
          <w:sz w:val="17"/>
          <w:szCs w:val="17"/>
          <w:i w:val="1"/>
          <w:iCs w:val="1"/>
          <w:color w:val="auto"/>
        </w:rPr>
        <w:t>note 14 - Impact of change in accounting policies</w:t>
      </w:r>
      <w:r>
        <w:rPr>
          <w:rFonts w:ascii="Arial" w:cs="Arial" w:eastAsia="Arial" w:hAnsi="Arial"/>
          <w:sz w:val="17"/>
          <w:szCs w:val="17"/>
          <w:color w:val="auto"/>
        </w:rPr>
        <w:t xml:space="preserve"> for further details). The comparative information has not been adjusted and therefore continues to be reported under ASC 840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 standard requires lessees to recognize the rights and obligations resulting from virtually all leases on the balance sheet as right-of-use (ROU) assets with corresponding lease liabilities.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most significant impact of application of the new standard for ICON relates to the recognition of right-of-use assets and lease liabilities on the Condensed Consolidated Balance Sheet for operating leases for certain property, vehicles and equipment. Prior to application of ASC 842, costs in respect of operating leases were charged to the Condensed Consolidated Statements of Operations on a straight-line basis over the lease term.</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certain practical expedients available as part of adopting ASC 842, ICON has not reassessed; whether existing or expired contracts are or contain leases, the classification of existing or expired leases, or whether unamortized initial direct costs meet the new definition of initial direct costs under ASC 842. Additionally, ICON has elected to use hindsight in determining the lease term and in assessing impairment of ROU assets, if any.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 determines if an arrangement is a lease at inception. Finance leases, if any, are depreciated on the same basis as property, plant and equipment. At September 30, 2019 and December 31, 2018, the Group did not account for any leases as finance leases.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Operating leases are included in operating right-of-use assets, other liabilities and non-current operating lease liabilities on our Condensed Consolidated Balance Sheet with lease amortization recognized on a straight-line basis over the lease term. ROU assets and lease liabilities are recognized based on the present value of future minimum lease payments over the lease term at commencement date or date of transition. Our lease terms may also include options to extend or terminate. ICON actively reviews options to extend or terminate leases and adjusts the ROU asset and lease liability when it is reasonably certain the option will be exercized. The ROU asset is adjusted for any prepayments made at the date of commencement and any initial direct costs incurred. As most of ICON's leases do not provide an implicit rate, the discount rate used is based on the rate of traded corporate bonds available at the commencement date adjusted for country risk, liquidity and lease term.</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Leasehold improvements are amortized over the shorter of the depreciable lives of the corresponding fixed assets or the lease term including any applicable renewals. Certain property leases include variable lease payments resulting from periodic rent increases based on an index which are recognized as incurred on the Condensed Consolidated Statements of Operations.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ICON accounts for lease and non-lease components separately with lease components flowing through the Condensed Consolidated Balance Sheet and non-lease components expensed directly to the Condensed Consolidated Statements of Operations.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customer profile is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40" w:type="dxa"/>
            <w:vAlign w:val="bottom"/>
            <w:gridSpan w:val="5"/>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gridSpan w:val="3"/>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560" w:type="dxa"/>
            <w:vAlign w:val="bottom"/>
            <w:gridSpan w:val="10"/>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1"/>
              </w:rPr>
              <w:t>Nine Months Ended</w:t>
            </w:r>
          </w:p>
        </w:tc>
      </w:tr>
      <w:tr>
        <w:trPr>
          <w:trHeight w:val="48"/>
        </w:trPr>
        <w:tc>
          <w:tcPr>
            <w:tcW w:w="334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3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5"/>
          </w:tcPr>
          <w:p>
            <w:pPr>
              <w:jc w:val="right"/>
              <w:ind w:right="8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7"/>
                <w:szCs w:val="17"/>
                <w:color w:val="auto"/>
              </w:rPr>
            </w:pPr>
          </w:p>
        </w:tc>
        <w:tc>
          <w:tcPr>
            <w:tcW w:w="122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3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4"/>
          </w:tcPr>
          <w:p>
            <w:pPr>
              <w:jc w:val="right"/>
              <w:ind w:right="80"/>
              <w:spacing w:after="0" w:line="196" w:lineRule="exact"/>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7"/>
                <w:szCs w:val="17"/>
                <w:color w:val="auto"/>
              </w:rPr>
            </w:pPr>
          </w:p>
        </w:tc>
        <w:tc>
          <w:tcPr>
            <w:tcW w:w="12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33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34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8"/>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w w:val="87"/>
              </w:rPr>
              <w:t>(in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9"/>
            <w:shd w:val="clear" w:color="auto" w:fill="CCEEFF"/>
          </w:tcPr>
          <w:p>
            <w:pPr>
              <w:jc w:val="center"/>
              <w:ind w:right="580"/>
              <w:spacing w:after="0"/>
              <w:rPr>
                <w:sz w:val="20"/>
                <w:szCs w:val="20"/>
                <w:color w:val="auto"/>
              </w:rPr>
            </w:pPr>
            <w:r>
              <w:rPr>
                <w:rFonts w:ascii="Arial" w:cs="Arial" w:eastAsia="Arial" w:hAnsi="Arial"/>
                <w:sz w:val="18"/>
                <w:szCs w:val="18"/>
                <w:b w:val="1"/>
                <w:bCs w:val="1"/>
                <w:color w:val="auto"/>
                <w:w w:val="88"/>
              </w:rPr>
              <w:t>(in thousands)</w:t>
            </w:r>
          </w:p>
        </w:tc>
      </w:tr>
      <w:tr>
        <w:trPr>
          <w:trHeight w:val="324"/>
        </w:trPr>
        <w:tc>
          <w:tcPr>
            <w:tcW w:w="3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Top client</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80,857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92,280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270,416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254,655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Clients 2-5</w:t>
            </w:r>
          </w:p>
        </w:tc>
        <w:tc>
          <w:tcPr>
            <w:tcW w:w="268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176,598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173,112</w:t>
            </w:r>
          </w:p>
        </w:tc>
        <w:tc>
          <w:tcPr>
            <w:tcW w:w="240" w:type="dxa"/>
            <w:vAlign w:val="bottom"/>
          </w:tcPr>
          <w:p>
            <w:pPr>
              <w:spacing w:after="0"/>
              <w:rPr>
                <w:sz w:val="21"/>
                <w:szCs w:val="21"/>
                <w:color w:val="auto"/>
              </w:rPr>
            </w:pPr>
          </w:p>
        </w:tc>
        <w:tc>
          <w:tcPr>
            <w:tcW w:w="1180" w:type="dxa"/>
            <w:vAlign w:val="bottom"/>
            <w:gridSpan w:val="5"/>
          </w:tcPr>
          <w:p>
            <w:pPr>
              <w:jc w:val="right"/>
              <w:ind w:right="80"/>
              <w:spacing w:after="0"/>
              <w:rPr>
                <w:sz w:val="20"/>
                <w:szCs w:val="20"/>
                <w:color w:val="auto"/>
              </w:rPr>
            </w:pPr>
            <w:r>
              <w:rPr>
                <w:rFonts w:ascii="Arial" w:cs="Arial" w:eastAsia="Arial" w:hAnsi="Arial"/>
                <w:sz w:val="18"/>
                <w:szCs w:val="18"/>
                <w:color w:val="auto"/>
              </w:rPr>
              <w:t>512,883</w:t>
            </w:r>
          </w:p>
        </w:tc>
        <w:tc>
          <w:tcPr>
            <w:tcW w:w="18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502,514</w:t>
            </w:r>
          </w:p>
        </w:tc>
      </w:tr>
      <w:tr>
        <w:trPr>
          <w:trHeight w:val="27"/>
        </w:trPr>
        <w:tc>
          <w:tcPr>
            <w:tcW w:w="3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Clients 6-10</w:t>
            </w:r>
          </w:p>
        </w:tc>
        <w:tc>
          <w:tcPr>
            <w:tcW w:w="2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91,134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94,631</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247,309</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287,782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Clients 11-25</w:t>
            </w:r>
          </w:p>
        </w:tc>
        <w:tc>
          <w:tcPr>
            <w:tcW w:w="2680" w:type="dxa"/>
            <w:vAlign w:val="bottom"/>
          </w:tcPr>
          <w:p>
            <w:pPr>
              <w:spacing w:after="0"/>
              <w:rPr>
                <w:sz w:val="21"/>
                <w:szCs w:val="21"/>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134,111</w:t>
            </w:r>
          </w:p>
        </w:tc>
        <w:tc>
          <w:tcPr>
            <w:tcW w:w="20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106,184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5"/>
          </w:tcPr>
          <w:p>
            <w:pPr>
              <w:jc w:val="right"/>
              <w:ind w:right="80"/>
              <w:spacing w:after="0"/>
              <w:rPr>
                <w:sz w:val="20"/>
                <w:szCs w:val="20"/>
                <w:color w:val="auto"/>
              </w:rPr>
            </w:pPr>
            <w:r>
              <w:rPr>
                <w:rFonts w:ascii="Arial" w:cs="Arial" w:eastAsia="Arial" w:hAnsi="Arial"/>
                <w:sz w:val="18"/>
                <w:szCs w:val="18"/>
                <w:color w:val="auto"/>
              </w:rPr>
              <w:t>399,877</w:t>
            </w:r>
          </w:p>
        </w:tc>
        <w:tc>
          <w:tcPr>
            <w:tcW w:w="18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329,833</w:t>
            </w:r>
          </w:p>
        </w:tc>
      </w:tr>
      <w:tr>
        <w:trPr>
          <w:trHeight w:val="27"/>
        </w:trPr>
        <w:tc>
          <w:tcPr>
            <w:tcW w:w="3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227,741</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188,810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649,945</w:t>
            </w:r>
          </w:p>
        </w:tc>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541,968</w:t>
            </w:r>
          </w:p>
        </w:tc>
      </w:tr>
      <w:tr>
        <w:trPr>
          <w:trHeight w:val="270"/>
        </w:trPr>
        <w:tc>
          <w:tcPr>
            <w:tcW w:w="3340" w:type="dxa"/>
            <w:vAlign w:val="bottom"/>
            <w:tcBorders>
              <w:top w:val="single" w:sz="8" w:color="auto"/>
            </w:tcBorders>
          </w:tcPr>
          <w:p>
            <w:pPr>
              <w:spacing w:after="0"/>
              <w:rPr>
                <w:sz w:val="23"/>
                <w:szCs w:val="23"/>
                <w:color w:val="auto"/>
              </w:rPr>
            </w:pPr>
          </w:p>
        </w:tc>
        <w:tc>
          <w:tcPr>
            <w:tcW w:w="26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710,441</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655,017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2,080,430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1,916,752</w:t>
            </w:r>
          </w:p>
        </w:tc>
      </w:tr>
      <w:tr>
        <w:trPr>
          <w:trHeight w:val="20"/>
        </w:trPr>
        <w:tc>
          <w:tcPr>
            <w:tcW w:w="334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3340" w:type="dxa"/>
            <w:vAlign w:val="bottom"/>
          </w:tcPr>
          <w:p>
            <w:pPr>
              <w:spacing w:after="0"/>
              <w:rPr>
                <w:sz w:val="24"/>
                <w:szCs w:val="24"/>
                <w:color w:val="auto"/>
              </w:rPr>
            </w:pPr>
          </w:p>
        </w:tc>
        <w:tc>
          <w:tcPr>
            <w:tcW w:w="26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Accounts receivable, unbilled revenue (contract assets) and payments on account or unearned revenue (contract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Accounts receivables and unbilled revenue are as follows:</w:t>
            </w:r>
          </w:p>
        </w:tc>
        <w:tc>
          <w:tcPr>
            <w:tcW w:w="2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5"/>
        </w:trPr>
        <w:tc>
          <w:tcPr>
            <w:tcW w:w="64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640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640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640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64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80" w:type="dxa"/>
            <w:vAlign w:val="bottom"/>
            <w:gridSpan w:val="8"/>
          </w:tcPr>
          <w:p>
            <w:pPr>
              <w:jc w:val="right"/>
              <w:ind w:right="8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Billed services (accounts receivable)</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412,648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423,680</w:t>
            </w: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 services (unbilled revenue)</w:t>
            </w:r>
          </w:p>
        </w:tc>
        <w:tc>
          <w:tcPr>
            <w:tcW w:w="23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493,114</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362,926</w:t>
            </w:r>
          </w:p>
        </w:tc>
      </w:tr>
      <w:tr>
        <w:trPr>
          <w:trHeight w:val="243"/>
        </w:trPr>
        <w:tc>
          <w:tcPr>
            <w:tcW w:w="64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Accounts receivable and unbilled revenue</w:t>
            </w:r>
          </w:p>
        </w:tc>
        <w:tc>
          <w:tcPr>
            <w:tcW w:w="23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905,762</w:t>
            </w: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786,606</w:t>
            </w: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(4,834)</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(8,889)</w:t>
            </w:r>
          </w:p>
        </w:tc>
      </w:tr>
      <w:tr>
        <w:trPr>
          <w:trHeight w:val="324"/>
        </w:trPr>
        <w:tc>
          <w:tcPr>
            <w:tcW w:w="640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and unbilled revenue, net</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900,928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777,717</w:t>
            </w:r>
          </w:p>
        </w:tc>
      </w:tr>
      <w:tr>
        <w:trPr>
          <w:trHeight w:val="20"/>
        </w:trPr>
        <w:tc>
          <w:tcPr>
            <w:tcW w:w="640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Unbilled services and payments on account or unearned revenue (contract assets and liabilities)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6"/>
              </w:rPr>
              <w:t>September 30,</w:t>
            </w:r>
          </w:p>
        </w:tc>
        <w:tc>
          <w:tcPr>
            <w:tcW w:w="22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December 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44"/>
        </w:trPr>
        <w:tc>
          <w:tcPr>
            <w:tcW w:w="432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 thousands, except percentages)</w:t>
            </w:r>
          </w:p>
        </w:tc>
        <w:tc>
          <w:tcPr>
            <w:tcW w:w="142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CCEEFF"/>
            </w:tcBorders>
            <w:gridSpan w:val="3"/>
            <w:shd w:val="clear" w:color="auto" w:fill="CCEEFF"/>
          </w:tcPr>
          <w:p>
            <w:pPr>
              <w:jc w:val="right"/>
              <w:ind w:right="740"/>
              <w:spacing w:after="0" w:line="196" w:lineRule="exact"/>
              <w:rPr>
                <w:sz w:val="20"/>
                <w:szCs w:val="20"/>
                <w:color w:val="auto"/>
              </w:rPr>
            </w:pPr>
            <w:r>
              <w:rPr>
                <w:rFonts w:ascii="Arial" w:cs="Arial" w:eastAsia="Arial" w:hAnsi="Arial"/>
                <w:sz w:val="18"/>
                <w:szCs w:val="18"/>
                <w:b w:val="1"/>
                <w:bCs w:val="1"/>
                <w:color w:val="auto"/>
                <w:w w:val="98"/>
              </w:rPr>
              <w:t>$ Change</w:t>
            </w:r>
          </w:p>
        </w:tc>
        <w:tc>
          <w:tcPr>
            <w:tcW w:w="1120" w:type="dxa"/>
            <w:vAlign w:val="bottom"/>
            <w:tcBorders>
              <w:top w:val="single" w:sz="8" w:color="CCEEFF"/>
            </w:tcBorders>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b w:val="1"/>
                <w:bCs w:val="1"/>
                <w:color w:val="auto"/>
                <w:w w:val="91"/>
              </w:rPr>
              <w:t>% Change</w:t>
            </w:r>
          </w:p>
        </w:tc>
      </w:tr>
      <w:tr>
        <w:trPr>
          <w:trHeight w:val="324"/>
        </w:trPr>
        <w:tc>
          <w:tcPr>
            <w:tcW w:w="43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services (unbilled revenue)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493,114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362,926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130,188</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Unearned revenue (payments on account)</w:t>
            </w:r>
          </w:p>
        </w:tc>
        <w:tc>
          <w:tcPr>
            <w:tcW w:w="142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(322,226)</w:t>
            </w:r>
          </w:p>
        </w:tc>
        <w:tc>
          <w:tcPr>
            <w:tcW w:w="220" w:type="dxa"/>
            <w:vAlign w:val="bottom"/>
          </w:tcPr>
          <w:p>
            <w:pPr>
              <w:spacing w:after="0"/>
              <w:rPr>
                <w:sz w:val="21"/>
                <w:szCs w:val="21"/>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(274,468)</w:t>
            </w:r>
          </w:p>
        </w:tc>
        <w:tc>
          <w:tcPr>
            <w:tcW w:w="280" w:type="dxa"/>
            <w:vAlign w:val="bottom"/>
          </w:tcPr>
          <w:p>
            <w:pPr>
              <w:spacing w:after="0"/>
              <w:rPr>
                <w:sz w:val="21"/>
                <w:szCs w:val="21"/>
                <w:color w:val="auto"/>
              </w:rPr>
            </w:pPr>
          </w:p>
        </w:tc>
        <w:tc>
          <w:tcPr>
            <w:tcW w:w="1560" w:type="dxa"/>
            <w:vAlign w:val="bottom"/>
            <w:gridSpan w:val="3"/>
          </w:tcPr>
          <w:p>
            <w:pPr>
              <w:jc w:val="right"/>
              <w:ind w:right="460"/>
              <w:spacing w:after="0"/>
              <w:rPr>
                <w:sz w:val="20"/>
                <w:szCs w:val="20"/>
                <w:color w:val="auto"/>
              </w:rPr>
            </w:pPr>
            <w:r>
              <w:rPr>
                <w:rFonts w:ascii="Arial" w:cs="Arial" w:eastAsia="Arial" w:hAnsi="Arial"/>
                <w:sz w:val="18"/>
                <w:szCs w:val="18"/>
                <w:color w:val="auto"/>
              </w:rPr>
              <w:t>(47,758)</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r>
      <w:tr>
        <w:trPr>
          <w:trHeight w:val="34"/>
        </w:trPr>
        <w:tc>
          <w:tcPr>
            <w:tcW w:w="4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324"/>
        </w:trPr>
        <w:tc>
          <w:tcPr>
            <w:tcW w:w="43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Net balance</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170,888</w:t>
            </w:r>
          </w:p>
        </w:tc>
        <w:tc>
          <w:tcPr>
            <w:tcW w:w="1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88,458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82,430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93.2%</w:t>
            </w:r>
          </w:p>
        </w:tc>
      </w:tr>
      <w:tr>
        <w:trPr>
          <w:trHeight w:val="27"/>
        </w:trPr>
        <w:tc>
          <w:tcPr>
            <w:tcW w:w="4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services as at September 30, 2019 increased by $130.2 million as compared to December 31, 2018. Payments on account or unearned revenue increased by $47.8 million over the same period resulting in an increase of $82.4 million in the net balance of unbilled services and payments on account or unearned revenue between December 31, 2018 and September 30, 2019. These fluctuations are primarily due to timing of payments and invoicing related to the Group's clinical trial management contracts.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bad debt expense recognized on the Group's receivables and unbilled services was de minimis for the three and nine months ended September 30, 2019 and September 30,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2019 approximately $5.2 billion of revenue is expected to be recognized in the future in respect of unsatisfied performance obligations. The Company expects to recognize revenue on approximately 40% of the unsatisfied performance obligation over the next 12 months, with the remainder recognized thereafter over the duration of the customer contracts.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5. Goodwill</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5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550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w w:val="99"/>
              </w:rPr>
              <w:t>Nine Months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550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Ended</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Year Ended</w:t>
            </w:r>
          </w:p>
        </w:tc>
      </w:tr>
      <w:tr>
        <w:trPr>
          <w:trHeight w:val="48"/>
        </w:trPr>
        <w:tc>
          <w:tcPr>
            <w:tcW w:w="550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55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10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196"/>
        </w:trPr>
        <w:tc>
          <w:tcPr>
            <w:tcW w:w="55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1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55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550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9"/>
            <w:shd w:val="clear" w:color="auto" w:fill="CCEEFF"/>
          </w:tcPr>
          <w:p>
            <w:pPr>
              <w:jc w:val="right"/>
              <w:ind w:right="980"/>
              <w:spacing w:after="0"/>
              <w:rPr>
                <w:sz w:val="20"/>
                <w:szCs w:val="20"/>
                <w:color w:val="auto"/>
              </w:rPr>
            </w:pPr>
            <w:r>
              <w:rPr>
                <w:rFonts w:ascii="Arial" w:cs="Arial" w:eastAsia="Arial" w:hAnsi="Arial"/>
                <w:sz w:val="18"/>
                <w:szCs w:val="18"/>
                <w:b w:val="1"/>
                <w:bCs w:val="1"/>
                <w:color w:val="auto"/>
                <w:w w:val="95"/>
              </w:rPr>
              <w:t>(in thousands)</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Opening balance</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756,260</w:t>
            </w:r>
          </w:p>
        </w:tc>
        <w:tc>
          <w:tcPr>
            <w:tcW w:w="14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5"/>
          </w:tcPr>
          <w:p>
            <w:pPr>
              <w:jc w:val="right"/>
              <w:ind w:right="100"/>
              <w:spacing w:after="0"/>
              <w:rPr>
                <w:sz w:val="20"/>
                <w:szCs w:val="20"/>
                <w:color w:val="auto"/>
              </w:rPr>
            </w:pPr>
            <w:r>
              <w:rPr>
                <w:rFonts w:ascii="Arial" w:cs="Arial" w:eastAsia="Arial" w:hAnsi="Arial"/>
                <w:sz w:val="18"/>
                <w:szCs w:val="18"/>
                <w:color w:val="auto"/>
              </w:rPr>
              <w:t>769,058</w:t>
            </w:r>
          </w:p>
        </w:tc>
      </w:tr>
      <w:tr>
        <w:trPr>
          <w:trHeight w:val="27"/>
        </w:trPr>
        <w:tc>
          <w:tcPr>
            <w:tcW w:w="5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period acquisitions (Note 6)</w:t>
            </w:r>
          </w:p>
        </w:tc>
        <w:tc>
          <w:tcPr>
            <w:tcW w:w="3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136,585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Prior period acquisitions</w:t>
            </w:r>
          </w:p>
        </w:tc>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gridSpan w:val="5"/>
          </w:tcPr>
          <w:p>
            <w:pPr>
              <w:jc w:val="right"/>
              <w:ind w:right="100"/>
              <w:spacing w:after="0"/>
              <w:rPr>
                <w:sz w:val="20"/>
                <w:szCs w:val="20"/>
                <w:color w:val="auto"/>
              </w:rPr>
            </w:pPr>
            <w:r>
              <w:rPr>
                <w:rFonts w:ascii="Arial" w:cs="Arial" w:eastAsia="Arial" w:hAnsi="Arial"/>
                <w:sz w:val="18"/>
                <w:szCs w:val="18"/>
                <w:color w:val="auto"/>
              </w:rPr>
              <w:t>1,048</w:t>
            </w:r>
          </w:p>
        </w:tc>
      </w:tr>
      <w:tr>
        <w:trPr>
          <w:trHeight w:val="27"/>
        </w:trPr>
        <w:tc>
          <w:tcPr>
            <w:tcW w:w="5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movement</w:t>
            </w:r>
          </w:p>
        </w:tc>
        <w:tc>
          <w:tcPr>
            <w:tcW w:w="31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(15,828)</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(13,846)</w:t>
            </w:r>
          </w:p>
        </w:tc>
      </w:tr>
      <w:tr>
        <w:trPr>
          <w:trHeight w:val="297"/>
        </w:trPr>
        <w:tc>
          <w:tcPr>
            <w:tcW w:w="550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balance</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877,017</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756,260</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3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combinations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CRN Holdings LLC (trading as Symphony Clinical Research ("Symphony"))</w:t>
      </w:r>
    </w:p>
    <w:p>
      <w:pPr>
        <w:spacing w:after="0" w:line="3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September 24, 2019 a subsidiary of the Company, ICON Clinical Research LLC, acquired a 100% interest in Symphony. Symphony is a leading provider of at-home trial services and site support services. The acquisition of Symphony further enhances our site &amp; patient services offering.</w:t>
      </w: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of Symphony has been accounted for as a business combination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made a provisional assessment of the fair value of assets acquired and liabilities assumed as at that date.</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7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September 24,</w:t>
            </w:r>
          </w:p>
        </w:tc>
      </w:tr>
      <w:tr>
        <w:trPr>
          <w:trHeight w:val="48"/>
        </w:trPr>
        <w:tc>
          <w:tcPr>
            <w:tcW w:w="2700" w:type="dxa"/>
            <w:vAlign w:val="bottom"/>
            <w:tcBorders>
              <w:top w:val="single" w:sz="8" w:color="CCEEFF"/>
            </w:tcBorders>
            <w:shd w:val="clear" w:color="auto" w:fill="CCEEFF"/>
          </w:tcPr>
          <w:p>
            <w:pPr>
              <w:spacing w:after="0"/>
              <w:rPr>
                <w:sz w:val="4"/>
                <w:szCs w:val="4"/>
                <w:color w:val="auto"/>
              </w:rPr>
            </w:pPr>
          </w:p>
        </w:tc>
        <w:tc>
          <w:tcPr>
            <w:tcW w:w="7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r>
        <w:trPr>
          <w:trHeight w:val="203"/>
        </w:trPr>
        <w:tc>
          <w:tcPr>
            <w:tcW w:w="270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2019</w:t>
            </w:r>
          </w:p>
        </w:tc>
      </w:tr>
      <w:tr>
        <w:trPr>
          <w:trHeight w:val="48"/>
        </w:trPr>
        <w:tc>
          <w:tcPr>
            <w:tcW w:w="2700" w:type="dxa"/>
            <w:vAlign w:val="bottom"/>
          </w:tcPr>
          <w:p>
            <w:pPr>
              <w:spacing w:after="0"/>
              <w:rPr>
                <w:sz w:val="4"/>
                <w:szCs w:val="4"/>
                <w:color w:val="auto"/>
              </w:rPr>
            </w:pPr>
          </w:p>
        </w:tc>
        <w:tc>
          <w:tcPr>
            <w:tcW w:w="7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50"/>
        </w:trPr>
        <w:tc>
          <w:tcPr>
            <w:tcW w:w="270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(in thousands)</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Cash</w:t>
            </w:r>
          </w:p>
        </w:tc>
        <w:tc>
          <w:tcPr>
            <w:tcW w:w="7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20"/>
              <w:spacing w:after="0"/>
              <w:rPr>
                <w:sz w:val="20"/>
                <w:szCs w:val="20"/>
                <w:color w:val="auto"/>
              </w:rPr>
            </w:pPr>
            <w:r>
              <w:rPr>
                <w:rFonts w:ascii="Arial" w:cs="Arial" w:eastAsia="Arial" w:hAnsi="Arial"/>
                <w:sz w:val="18"/>
                <w:szCs w:val="18"/>
                <w:color w:val="auto"/>
              </w:rPr>
              <w:t>3,295</w:t>
            </w:r>
          </w:p>
        </w:tc>
      </w:tr>
      <w:tr>
        <w:trPr>
          <w:trHeight w:val="27"/>
        </w:trPr>
        <w:tc>
          <w:tcPr>
            <w:tcW w:w="27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Property, plant and equipment</w:t>
            </w:r>
          </w:p>
        </w:tc>
        <w:tc>
          <w:tcPr>
            <w:tcW w:w="7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581</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Operating right-of-use assets</w:t>
            </w:r>
          </w:p>
        </w:tc>
        <w:tc>
          <w:tcPr>
            <w:tcW w:w="7320" w:type="dxa"/>
            <w:vAlign w:val="bottom"/>
          </w:tcPr>
          <w:p>
            <w:pPr>
              <w:spacing w:after="0"/>
              <w:rPr>
                <w:sz w:val="21"/>
                <w:szCs w:val="21"/>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8"/>
                <w:szCs w:val="18"/>
                <w:color w:val="auto"/>
              </w:rPr>
              <w:t>820</w:t>
            </w:r>
          </w:p>
        </w:tc>
      </w:tr>
      <w:tr>
        <w:trPr>
          <w:trHeight w:val="27"/>
        </w:trPr>
        <w:tc>
          <w:tcPr>
            <w:tcW w:w="27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Goodwill*</w:t>
            </w:r>
          </w:p>
        </w:tc>
        <w:tc>
          <w:tcPr>
            <w:tcW w:w="7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26,957</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Intangible asset**</w:t>
            </w:r>
          </w:p>
        </w:tc>
        <w:tc>
          <w:tcPr>
            <w:tcW w:w="7320" w:type="dxa"/>
            <w:vAlign w:val="bottom"/>
          </w:tcPr>
          <w:p>
            <w:pPr>
              <w:spacing w:after="0"/>
              <w:rPr>
                <w:sz w:val="21"/>
                <w:szCs w:val="21"/>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8"/>
                <w:szCs w:val="18"/>
                <w:color w:val="auto"/>
              </w:rPr>
              <w:t>5,842</w:t>
            </w:r>
          </w:p>
        </w:tc>
      </w:tr>
      <w:tr>
        <w:trPr>
          <w:trHeight w:val="27"/>
        </w:trPr>
        <w:tc>
          <w:tcPr>
            <w:tcW w:w="27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Accounts receivable</w:t>
            </w:r>
          </w:p>
        </w:tc>
        <w:tc>
          <w:tcPr>
            <w:tcW w:w="7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3,940</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Unbilled revenue</w:t>
            </w:r>
          </w:p>
        </w:tc>
        <w:tc>
          <w:tcPr>
            <w:tcW w:w="7320" w:type="dxa"/>
            <w:vAlign w:val="bottom"/>
          </w:tcPr>
          <w:p>
            <w:pPr>
              <w:spacing w:after="0"/>
              <w:rPr>
                <w:sz w:val="21"/>
                <w:szCs w:val="21"/>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8"/>
                <w:szCs w:val="18"/>
                <w:color w:val="auto"/>
              </w:rPr>
              <w:t>254</w:t>
            </w:r>
          </w:p>
        </w:tc>
      </w:tr>
      <w:tr>
        <w:trPr>
          <w:trHeight w:val="27"/>
        </w:trPr>
        <w:tc>
          <w:tcPr>
            <w:tcW w:w="27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7"/>
                <w:shd w:val="clear" w:color="auto" w:fill="CCEEFF"/>
              </w:rPr>
              <w:t>Prepayments and other current assets</w:t>
            </w:r>
          </w:p>
        </w:tc>
        <w:tc>
          <w:tcPr>
            <w:tcW w:w="7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7320" w:type="dxa"/>
            <w:vAlign w:val="bottom"/>
          </w:tcPr>
          <w:p>
            <w:pPr>
              <w:spacing w:after="0"/>
              <w:rPr>
                <w:sz w:val="21"/>
                <w:szCs w:val="21"/>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8"/>
                <w:szCs w:val="18"/>
                <w:color w:val="auto"/>
              </w:rPr>
              <w:t>36</w:t>
            </w:r>
          </w:p>
        </w:tc>
      </w:tr>
      <w:tr>
        <w:trPr>
          <w:trHeight w:val="27"/>
        </w:trPr>
        <w:tc>
          <w:tcPr>
            <w:tcW w:w="27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Accounts payable</w:t>
            </w:r>
          </w:p>
        </w:tc>
        <w:tc>
          <w:tcPr>
            <w:tcW w:w="7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(1,084)</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Payments on account</w:t>
            </w:r>
          </w:p>
        </w:tc>
        <w:tc>
          <w:tcPr>
            <w:tcW w:w="7320" w:type="dxa"/>
            <w:vAlign w:val="bottom"/>
          </w:tcPr>
          <w:p>
            <w:pPr>
              <w:spacing w:after="0"/>
              <w:rPr>
                <w:sz w:val="21"/>
                <w:szCs w:val="21"/>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color w:val="auto"/>
              </w:rPr>
              <w:t>(1,420)</w:t>
            </w:r>
          </w:p>
        </w:tc>
      </w:tr>
      <w:tr>
        <w:trPr>
          <w:trHeight w:val="27"/>
        </w:trPr>
        <w:tc>
          <w:tcPr>
            <w:tcW w:w="27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liabilities</w:t>
            </w:r>
          </w:p>
        </w:tc>
        <w:tc>
          <w:tcPr>
            <w:tcW w:w="7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(1,347)</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Non-current lease liabilities</w:t>
            </w:r>
          </w:p>
        </w:tc>
        <w:tc>
          <w:tcPr>
            <w:tcW w:w="7320" w:type="dxa"/>
            <w:vAlign w:val="bottom"/>
          </w:tcPr>
          <w:p>
            <w:pPr>
              <w:spacing w:after="0"/>
              <w:rPr>
                <w:sz w:val="21"/>
                <w:szCs w:val="21"/>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color w:val="auto"/>
              </w:rPr>
              <w:t>(531)</w:t>
            </w:r>
          </w:p>
        </w:tc>
      </w:tr>
      <w:tr>
        <w:trPr>
          <w:trHeight w:val="34"/>
        </w:trPr>
        <w:tc>
          <w:tcPr>
            <w:tcW w:w="2700" w:type="dxa"/>
            <w:vAlign w:val="bottom"/>
            <w:tcBorders>
              <w:bottom w:val="single" w:sz="8" w:color="auto"/>
            </w:tcBorders>
          </w:tcPr>
          <w:p>
            <w:pPr>
              <w:spacing w:after="0"/>
              <w:rPr>
                <w:sz w:val="2"/>
                <w:szCs w:val="2"/>
                <w:color w:val="auto"/>
              </w:rPr>
            </w:pPr>
          </w:p>
        </w:tc>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70"/>
        </w:trPr>
        <w:tc>
          <w:tcPr>
            <w:tcW w:w="2700" w:type="dxa"/>
            <w:vAlign w:val="bottom"/>
            <w:shd w:val="clear" w:color="auto" w:fill="CCEEFF"/>
          </w:tcPr>
          <w:p>
            <w:pPr>
              <w:spacing w:after="0"/>
              <w:rPr>
                <w:sz w:val="23"/>
                <w:szCs w:val="23"/>
                <w:color w:val="auto"/>
              </w:rPr>
            </w:pPr>
          </w:p>
        </w:tc>
        <w:tc>
          <w:tcPr>
            <w:tcW w:w="7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7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20"/>
              <w:spacing w:after="0"/>
              <w:rPr>
                <w:sz w:val="20"/>
                <w:szCs w:val="20"/>
                <w:color w:val="auto"/>
              </w:rPr>
            </w:pPr>
            <w:r>
              <w:rPr>
                <w:rFonts w:ascii="Arial" w:cs="Arial" w:eastAsia="Arial" w:hAnsi="Arial"/>
                <w:sz w:val="18"/>
                <w:szCs w:val="18"/>
                <w:color w:val="auto"/>
              </w:rPr>
              <w:t>37,476</w:t>
            </w:r>
          </w:p>
        </w:tc>
      </w:tr>
      <w:tr>
        <w:trPr>
          <w:trHeight w:val="34"/>
        </w:trPr>
        <w:tc>
          <w:tcPr>
            <w:tcW w:w="2700" w:type="dxa"/>
            <w:vAlign w:val="bottom"/>
            <w:tcBorders>
              <w:bottom w:val="single" w:sz="8" w:color="auto"/>
            </w:tcBorders>
          </w:tcPr>
          <w:p>
            <w:pPr>
              <w:spacing w:after="0"/>
              <w:rPr>
                <w:sz w:val="2"/>
                <w:szCs w:val="2"/>
                <w:color w:val="auto"/>
              </w:rPr>
            </w:pPr>
          </w:p>
        </w:tc>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70"/>
        </w:trPr>
        <w:tc>
          <w:tcPr>
            <w:tcW w:w="2700" w:type="dxa"/>
            <w:vAlign w:val="bottom"/>
            <w:shd w:val="clear" w:color="auto" w:fill="CCEEFF"/>
          </w:tcPr>
          <w:p>
            <w:pPr>
              <w:spacing w:after="0"/>
              <w:rPr>
                <w:sz w:val="23"/>
                <w:szCs w:val="23"/>
                <w:color w:val="auto"/>
              </w:rPr>
            </w:pPr>
          </w:p>
        </w:tc>
        <w:tc>
          <w:tcPr>
            <w:tcW w:w="7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Cash outflows</w:t>
            </w:r>
          </w:p>
        </w:tc>
        <w:tc>
          <w:tcPr>
            <w:tcW w:w="7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20"/>
              <w:spacing w:after="0"/>
              <w:rPr>
                <w:sz w:val="20"/>
                <w:szCs w:val="20"/>
                <w:color w:val="auto"/>
              </w:rPr>
            </w:pPr>
            <w:r>
              <w:rPr>
                <w:rFonts w:ascii="Arial" w:cs="Arial" w:eastAsia="Arial" w:hAnsi="Arial"/>
                <w:sz w:val="18"/>
                <w:szCs w:val="18"/>
                <w:color w:val="auto"/>
              </w:rPr>
              <w:t>34,976</w:t>
            </w:r>
          </w:p>
        </w:tc>
      </w:tr>
      <w:tr>
        <w:trPr>
          <w:trHeight w:val="27"/>
        </w:trPr>
        <w:tc>
          <w:tcPr>
            <w:tcW w:w="27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2"/>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7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r>
      <w:tr>
        <w:trPr>
          <w:trHeight w:val="270"/>
        </w:trPr>
        <w:tc>
          <w:tcPr>
            <w:tcW w:w="2700" w:type="dxa"/>
            <w:vAlign w:val="bottom"/>
            <w:tcBorders>
              <w:top w:val="single" w:sz="8" w:color="auto"/>
            </w:tcBorders>
          </w:tcPr>
          <w:p>
            <w:pPr>
              <w:spacing w:after="0"/>
              <w:rPr>
                <w:sz w:val="23"/>
                <w:szCs w:val="23"/>
                <w:color w:val="auto"/>
              </w:rPr>
            </w:pPr>
          </w:p>
        </w:tc>
        <w:tc>
          <w:tcPr>
            <w:tcW w:w="73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7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37,476</w:t>
            </w:r>
          </w:p>
        </w:tc>
      </w:tr>
      <w:tr>
        <w:trPr>
          <w:trHeight w:val="27"/>
        </w:trPr>
        <w:tc>
          <w:tcPr>
            <w:tcW w:w="2700" w:type="dxa"/>
            <w:vAlign w:val="bottom"/>
            <w:shd w:val="clear" w:color="auto" w:fill="000000"/>
          </w:tcPr>
          <w:p>
            <w:pPr>
              <w:spacing w:after="0"/>
              <w:rPr>
                <w:sz w:val="2"/>
                <w:szCs w:val="2"/>
                <w:color w:val="auto"/>
              </w:rPr>
            </w:pPr>
          </w:p>
        </w:tc>
        <w:tc>
          <w:tcPr>
            <w:tcW w:w="7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*Goodwill represents the acquisition of an established workforce and the capability to provide at-home trial services and site support solutions.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made an initial estimate of separate intangible assets acquired of $5.8 million, principally customer relationships and order book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assessment is under review and will be finalized within 12 months of the date of acquisition.</w:t>
      </w:r>
    </w:p>
    <w:p>
      <w:pPr>
        <w:sectPr>
          <w:pgSz w:w="11900" w:h="16838" w:orient="portrait"/>
          <w:cols w:equalWidth="0" w:num="1">
            <w:col w:w="11420"/>
          </w:cols>
          <w:pgMar w:left="240" w:top="742" w:right="239" w:bottom="1068"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42" w:right="239" w:bottom="1068"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Acquisitions – MeDiNova</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23, 2019 a subsidiary of the Company, ICON Clinical Research (UK) Limited acquired a majority shareholding in MeDiNova, a site network with research sites in key markets in Europe and Africa. ICON has the right to acquire the remaining shares in the company during 2020. The vendors also have a right to sell the remaining shares to ICON during 2020. The acquisition further enhances ICON's patient recruitment capabilities in EMEA and complements ICON's existing site network in the US, PMG Research.</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of MeDiNova has been accounted for as a business combination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made a provisional assessment of the fair value of assets acquired and liabilities assumed as at that date.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May 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3"/>
        </w:trPr>
        <w:tc>
          <w:tcPr>
            <w:tcW w:w="7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320" w:type="dxa"/>
            <w:vAlign w:val="bottom"/>
            <w:gridSpan w:val="4"/>
          </w:tcPr>
          <w:p>
            <w:pPr>
              <w:jc w:val="right"/>
              <w:ind w:right="100"/>
              <w:spacing w:after="0" w:line="202" w:lineRule="exact"/>
              <w:rPr>
                <w:sz w:val="20"/>
                <w:szCs w:val="20"/>
                <w:color w:val="auto"/>
              </w:rPr>
            </w:pPr>
            <w:r>
              <w:rPr>
                <w:rFonts w:ascii="Arial" w:cs="Arial" w:eastAsia="Arial" w:hAnsi="Arial"/>
                <w:sz w:val="18"/>
                <w:szCs w:val="18"/>
                <w:b w:val="1"/>
                <w:bCs w:val="1"/>
                <w:color w:val="auto"/>
              </w:rPr>
              <w:t>2019</w:t>
            </w:r>
          </w:p>
        </w:tc>
      </w:tr>
      <w:tr>
        <w:trPr>
          <w:trHeight w:val="48"/>
        </w:trPr>
        <w:tc>
          <w:tcPr>
            <w:tcW w:w="7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3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6"/>
              </w:rPr>
              <w:t>(in thousands)</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w:t>
            </w:r>
          </w:p>
        </w:tc>
        <w:tc>
          <w:tcPr>
            <w:tcW w:w="2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7,719</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Property, plant and equipment</w:t>
            </w:r>
          </w:p>
        </w:tc>
        <w:tc>
          <w:tcPr>
            <w:tcW w:w="2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Operating right-of-use assets</w:t>
            </w:r>
          </w:p>
        </w:tc>
        <w:tc>
          <w:tcPr>
            <w:tcW w:w="2720" w:type="dxa"/>
            <w:vAlign w:val="bottom"/>
          </w:tcPr>
          <w:p>
            <w:pPr>
              <w:spacing w:after="0"/>
              <w:rPr>
                <w:sz w:val="21"/>
                <w:szCs w:val="21"/>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1,558</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Goodwill*</w:t>
            </w:r>
          </w:p>
        </w:tc>
        <w:tc>
          <w:tcPr>
            <w:tcW w:w="2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82,058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Intangible asset**</w:t>
            </w:r>
          </w:p>
        </w:tc>
        <w:tc>
          <w:tcPr>
            <w:tcW w:w="2720" w:type="dxa"/>
            <w:vAlign w:val="bottom"/>
          </w:tcPr>
          <w:p>
            <w:pPr>
              <w:spacing w:after="0"/>
              <w:rPr>
                <w:sz w:val="21"/>
                <w:szCs w:val="21"/>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5,972</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Accounts receivable</w:t>
            </w:r>
          </w:p>
        </w:tc>
        <w:tc>
          <w:tcPr>
            <w:tcW w:w="2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3,488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Unbilled revenue</w:t>
            </w:r>
          </w:p>
        </w:tc>
        <w:tc>
          <w:tcPr>
            <w:tcW w:w="2720" w:type="dxa"/>
            <w:vAlign w:val="bottom"/>
          </w:tcPr>
          <w:p>
            <w:pPr>
              <w:spacing w:after="0"/>
              <w:rPr>
                <w:sz w:val="21"/>
                <w:szCs w:val="21"/>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4,272</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Prepayments and other current assets</w:t>
            </w:r>
          </w:p>
        </w:tc>
        <w:tc>
          <w:tcPr>
            <w:tcW w:w="2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2720" w:type="dxa"/>
            <w:vAlign w:val="bottom"/>
          </w:tcPr>
          <w:p>
            <w:pPr>
              <w:spacing w:after="0"/>
              <w:rPr>
                <w:sz w:val="21"/>
                <w:szCs w:val="21"/>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819</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Accounts payable</w:t>
            </w:r>
          </w:p>
        </w:tc>
        <w:tc>
          <w:tcPr>
            <w:tcW w:w="2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(5,484)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Payments on account</w:t>
            </w:r>
          </w:p>
        </w:tc>
        <w:tc>
          <w:tcPr>
            <w:tcW w:w="2720" w:type="dxa"/>
            <w:vAlign w:val="bottom"/>
          </w:tcPr>
          <w:p>
            <w:pPr>
              <w:spacing w:after="0"/>
              <w:rPr>
                <w:sz w:val="21"/>
                <w:szCs w:val="21"/>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(5,796)</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liabilities</w:t>
            </w:r>
          </w:p>
        </w:tc>
        <w:tc>
          <w:tcPr>
            <w:tcW w:w="2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(7,052)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Non-current lease liabilities</w:t>
            </w:r>
          </w:p>
        </w:tc>
        <w:tc>
          <w:tcPr>
            <w:tcW w:w="2720" w:type="dxa"/>
            <w:vAlign w:val="bottom"/>
          </w:tcPr>
          <w:p>
            <w:pPr>
              <w:spacing w:after="0"/>
              <w:rPr>
                <w:sz w:val="21"/>
                <w:szCs w:val="21"/>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(1,128)</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Non-current deferred tax liability</w:t>
            </w:r>
          </w:p>
        </w:tc>
        <w:tc>
          <w:tcPr>
            <w:tcW w:w="27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(1,226)</w:t>
            </w:r>
          </w:p>
        </w:tc>
      </w:tr>
      <w:tr>
        <w:trPr>
          <w:trHeight w:val="216"/>
        </w:trPr>
        <w:tc>
          <w:tcPr>
            <w:tcW w:w="732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82"/>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86,276</w:t>
            </w:r>
          </w:p>
        </w:tc>
      </w:tr>
      <w:tr>
        <w:trPr>
          <w:trHeight w:val="243"/>
        </w:trPr>
        <w:tc>
          <w:tcPr>
            <w:tcW w:w="732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outflows</w:t>
            </w:r>
          </w:p>
        </w:tc>
        <w:tc>
          <w:tcPr>
            <w:tcW w:w="2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39,282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Consideration payable</w:t>
            </w:r>
          </w:p>
        </w:tc>
        <w:tc>
          <w:tcPr>
            <w:tcW w:w="2720" w:type="dxa"/>
            <w:vAlign w:val="bottom"/>
          </w:tcPr>
          <w:p>
            <w:pPr>
              <w:spacing w:after="0"/>
              <w:rPr>
                <w:sz w:val="21"/>
                <w:szCs w:val="21"/>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14,841</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receivable</w:t>
            </w:r>
          </w:p>
        </w:tc>
        <w:tc>
          <w:tcPr>
            <w:tcW w:w="2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2720" w:type="dxa"/>
            <w:vAlign w:val="bottom"/>
          </w:tcPr>
          <w:p>
            <w:pPr>
              <w:spacing w:after="0"/>
              <w:rPr>
                <w:sz w:val="21"/>
                <w:szCs w:val="21"/>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32,592</w:t>
            </w:r>
          </w:p>
        </w:tc>
      </w:tr>
      <w:tr>
        <w:trPr>
          <w:trHeight w:val="34"/>
        </w:trPr>
        <w:tc>
          <w:tcPr>
            <w:tcW w:w="7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70"/>
        </w:trPr>
        <w:tc>
          <w:tcPr>
            <w:tcW w:w="732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Total consideration (including redeemable noncontrolling interest)</w:t>
            </w:r>
          </w:p>
        </w:tc>
        <w:tc>
          <w:tcPr>
            <w:tcW w:w="2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86,276</w:t>
            </w:r>
          </w:p>
        </w:tc>
      </w:tr>
      <w:tr>
        <w:trPr>
          <w:trHeight w:val="34"/>
        </w:trPr>
        <w:tc>
          <w:tcPr>
            <w:tcW w:w="7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*Goodwill represents the acquisition of an established workforce and access to a broad site network in Europe and Africa.</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has made an initial estimate of separate intangible assets acquired of $6.0 million, principally customer relationships, a patient database and order book assets. This assessment is under review and will be finalized within 12 months of the date of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MolecularMD Corp ("MMD")</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25, 2019 a subsidiary of the Company, ICON Laboratory Services Inc. acquired 100% of the share capital of MMD. MMD is a molecular diagnostic specialty laboratory that enables the development and commercialization of precision medicines in oncology. The consideration on acquisition was $42.2 million.</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of MMD has been accounted for as a business combination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made a provisional assessment of the fair value of assets acquired and liabilities assumed as at that date. The following table summarizes the Company’s fair values of the assets acquired and liabilities assumed:</w:t>
      </w:r>
    </w:p>
    <w:p>
      <w:pPr>
        <w:sectPr>
          <w:pgSz w:w="11900" w:h="16838" w:orient="portrait"/>
          <w:cols w:equalWidth="0" w:num="1">
            <w:col w:w="11420"/>
          </w:cols>
          <w:pgMar w:left="240" w:top="746"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46"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55"/>
        </w:trPr>
        <w:tc>
          <w:tcPr>
            <w:tcW w:w="628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January, 25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3"/>
        </w:trPr>
        <w:tc>
          <w:tcPr>
            <w:tcW w:w="62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340" w:type="dxa"/>
            <w:vAlign w:val="bottom"/>
            <w:gridSpan w:val="4"/>
          </w:tcPr>
          <w:p>
            <w:pPr>
              <w:jc w:val="right"/>
              <w:ind w:right="100"/>
              <w:spacing w:after="0" w:line="202" w:lineRule="exact"/>
              <w:rPr>
                <w:sz w:val="20"/>
                <w:szCs w:val="20"/>
                <w:color w:val="auto"/>
              </w:rPr>
            </w:pPr>
            <w:r>
              <w:rPr>
                <w:rFonts w:ascii="Arial" w:cs="Arial" w:eastAsia="Arial" w:hAnsi="Arial"/>
                <w:sz w:val="18"/>
                <w:szCs w:val="18"/>
                <w:b w:val="1"/>
                <w:bCs w:val="1"/>
                <w:color w:val="auto"/>
              </w:rPr>
              <w:t>2019</w:t>
            </w:r>
          </w:p>
        </w:tc>
      </w:tr>
      <w:tr>
        <w:trPr>
          <w:trHeight w:val="48"/>
        </w:trPr>
        <w:tc>
          <w:tcPr>
            <w:tcW w:w="6280" w:type="dxa"/>
            <w:vAlign w:val="bottom"/>
          </w:tcPr>
          <w:p>
            <w:pPr>
              <w:spacing w:after="0"/>
              <w:rPr>
                <w:sz w:val="4"/>
                <w:szCs w:val="4"/>
                <w:color w:val="auto"/>
              </w:rPr>
            </w:pPr>
          </w:p>
        </w:tc>
        <w:tc>
          <w:tcPr>
            <w:tcW w:w="3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628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(in thousands)</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686</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right-of-use assets</w:t>
            </w:r>
          </w:p>
        </w:tc>
        <w:tc>
          <w:tcPr>
            <w:tcW w:w="3800" w:type="dxa"/>
            <w:vAlign w:val="bottom"/>
          </w:tcPr>
          <w:p>
            <w:pPr>
              <w:spacing w:after="0"/>
              <w:rPr>
                <w:sz w:val="21"/>
                <w:szCs w:val="21"/>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2,866</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27,570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Order backlog**</w:t>
            </w:r>
          </w:p>
        </w:tc>
        <w:tc>
          <w:tcPr>
            <w:tcW w:w="3800" w:type="dxa"/>
            <w:vAlign w:val="bottom"/>
          </w:tcPr>
          <w:p>
            <w:pPr>
              <w:spacing w:after="0"/>
              <w:rPr>
                <w:sz w:val="21"/>
                <w:szCs w:val="21"/>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2,787</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10,623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800" w:type="dxa"/>
            <w:vAlign w:val="bottom"/>
          </w:tcPr>
          <w:p>
            <w:pPr>
              <w:spacing w:after="0"/>
              <w:rPr>
                <w:sz w:val="21"/>
                <w:szCs w:val="21"/>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3,100</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revenue</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2,421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Prepayments and other current assets</w:t>
            </w:r>
          </w:p>
        </w:tc>
        <w:tc>
          <w:tcPr>
            <w:tcW w:w="3800" w:type="dxa"/>
            <w:vAlign w:val="bottom"/>
          </w:tcPr>
          <w:p>
            <w:pPr>
              <w:spacing w:after="0"/>
              <w:rPr>
                <w:sz w:val="21"/>
                <w:szCs w:val="21"/>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908</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receivables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800" w:type="dxa"/>
            <w:vAlign w:val="bottom"/>
          </w:tcPr>
          <w:p>
            <w:pPr>
              <w:spacing w:after="0"/>
              <w:rPr>
                <w:sz w:val="21"/>
                <w:szCs w:val="21"/>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(1,279)</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account</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800" w:type="dxa"/>
            <w:vAlign w:val="bottom"/>
          </w:tcPr>
          <w:p>
            <w:pPr>
              <w:spacing w:after="0"/>
              <w:rPr>
                <w:sz w:val="21"/>
                <w:szCs w:val="21"/>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(1,932)</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lease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(2,167)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other liabilities</w:t>
            </w:r>
          </w:p>
        </w:tc>
        <w:tc>
          <w:tcPr>
            <w:tcW w:w="3800" w:type="dxa"/>
            <w:vAlign w:val="bottom"/>
          </w:tcPr>
          <w:p>
            <w:pPr>
              <w:spacing w:after="0"/>
              <w:rPr>
                <w:sz w:val="21"/>
                <w:szCs w:val="21"/>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(1,123)</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tax liability</w:t>
            </w:r>
          </w:p>
        </w:tc>
        <w:tc>
          <w:tcPr>
            <w:tcW w:w="38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(3,487)</w:t>
            </w:r>
          </w:p>
        </w:tc>
      </w:tr>
      <w:tr>
        <w:trPr>
          <w:trHeight w:val="270"/>
        </w:trPr>
        <w:tc>
          <w:tcPr>
            <w:tcW w:w="6280" w:type="dxa"/>
            <w:vAlign w:val="bottom"/>
            <w:tcBorders>
              <w:top w:val="single" w:sz="8" w:color="auto"/>
            </w:tcBorders>
          </w:tcPr>
          <w:p>
            <w:pPr>
              <w:spacing w:after="0"/>
              <w:rPr>
                <w:sz w:val="23"/>
                <w:szCs w:val="23"/>
                <w:color w:val="auto"/>
              </w:rPr>
            </w:pPr>
          </w:p>
        </w:tc>
        <w:tc>
          <w:tcPr>
            <w:tcW w:w="380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82"/>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3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42,173</w:t>
            </w:r>
          </w:p>
        </w:tc>
      </w:tr>
      <w:tr>
        <w:trPr>
          <w:trHeight w:val="270"/>
        </w:trPr>
        <w:tc>
          <w:tcPr>
            <w:tcW w:w="6280" w:type="dxa"/>
            <w:vAlign w:val="bottom"/>
            <w:tcBorders>
              <w:top w:val="single" w:sz="8" w:color="auto"/>
            </w:tcBorders>
          </w:tcPr>
          <w:p>
            <w:pPr>
              <w:spacing w:after="0"/>
              <w:rPr>
                <w:sz w:val="23"/>
                <w:szCs w:val="23"/>
                <w:color w:val="auto"/>
              </w:rPr>
            </w:pPr>
          </w:p>
        </w:tc>
        <w:tc>
          <w:tcPr>
            <w:tcW w:w="380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outflows</w:t>
            </w:r>
          </w:p>
        </w:tc>
        <w:tc>
          <w:tcPr>
            <w:tcW w:w="3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42,349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Working capital adjustment</w:t>
            </w:r>
          </w:p>
        </w:tc>
        <w:tc>
          <w:tcPr>
            <w:tcW w:w="3800" w:type="dxa"/>
            <w:vAlign w:val="bottom"/>
          </w:tcPr>
          <w:p>
            <w:pPr>
              <w:spacing w:after="0"/>
              <w:rPr>
                <w:sz w:val="21"/>
                <w:szCs w:val="21"/>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(176)</w:t>
            </w:r>
          </w:p>
        </w:tc>
      </w:tr>
      <w:tr>
        <w:trPr>
          <w:trHeight w:val="34"/>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628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42,173</w:t>
            </w:r>
          </w:p>
        </w:tc>
      </w:tr>
      <w:tr>
        <w:trPr>
          <w:trHeight w:val="34"/>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*Goodwill represents the acquisition of an established workforce with experience in molecular diagnostic specialty laboratory services and commercialization of precision medicines in oncology.</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has made an estimate of separate intangible assets acquired, being customer relationships and order book assets. This assessment will be finalized within 12 months of the date of acquisition.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 restructuring charge was recognized during the nine months ended September 30, 2019 (September 30, 2018: $12.5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restructuring charge of $12.5 million was recognized during the year ended December 31, 2018 under a restructuring plan adopted following a review of operations. The restructuring plan reflected resource rationalization across the business to improve resource utilization, resulting in a charge of $9.7 million and office consolidation resulting in the recognition of an onerous lease obligation of $2.8 million.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91" w:right="239" w:bottom="1440" w:gutter="0" w:footer="0" w:header="0"/>
        </w:sectPr>
      </w:pPr>
    </w:p>
    <w:bookmarkStart w:id="14" w:name="page15"/>
    <w:bookmarkEnd w:id="14"/>
    <w:tbl>
      <w:tblPr>
        <w:tblLayout w:type="fixed"/>
        <w:tblInd w:w="40" w:type="dxa"/>
        <w:tblCellMar>
          <w:top w:w="0" w:type="dxa"/>
          <w:left w:w="0" w:type="dxa"/>
          <w:bottom w:w="0" w:type="dxa"/>
          <w:right w:w="0" w:type="dxa"/>
        </w:tblCellMar>
      </w:tblPr>
      <w:tr>
        <w:trPr>
          <w:trHeight w:val="225"/>
        </w:trPr>
        <w:tc>
          <w:tcPr>
            <w:tcW w:w="46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Workforce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468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reductions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0"/>
              </w:rPr>
              <w:t>Onerous Lease</w:t>
            </w: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43"/>
        </w:trPr>
        <w:tc>
          <w:tcPr>
            <w:tcW w:w="46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restructuring charge recorded</w:t>
            </w:r>
          </w:p>
        </w:tc>
        <w:tc>
          <w:tcPr>
            <w:tcW w:w="2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2,806</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12,490</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2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(5,399)</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(6,071)</w:t>
            </w:r>
          </w:p>
        </w:tc>
      </w:tr>
      <w:tr>
        <w:trPr>
          <w:trHeight w:val="34"/>
        </w:trPr>
        <w:tc>
          <w:tcPr>
            <w:tcW w:w="46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2018</w:t>
            </w:r>
          </w:p>
        </w:tc>
        <w:tc>
          <w:tcPr>
            <w:tcW w:w="2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2,134</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6,419</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2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(3,430)</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(992)</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(4,422)</w:t>
            </w:r>
          </w:p>
        </w:tc>
      </w:tr>
      <w:tr>
        <w:trPr>
          <w:trHeight w:val="34"/>
        </w:trPr>
        <w:tc>
          <w:tcPr>
            <w:tcW w:w="46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September 30, 2019</w:t>
            </w:r>
          </w:p>
        </w:tc>
        <w:tc>
          <w:tcPr>
            <w:tcW w:w="2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1,142</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1,997</w:t>
            </w:r>
          </w:p>
        </w:tc>
      </w:tr>
      <w:tr>
        <w:trPr>
          <w:trHeight w:val="20"/>
        </w:trPr>
        <w:tc>
          <w:tcPr>
            <w:tcW w:w="468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restructuring charge of $7.8 million was recognized during the year ended December 31, 2017 under a restructuring plan adopted following a review of operations. The restructuring plan reflected resource rationalization across the business to improve resource utilization.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74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Workforce</w:t>
            </w:r>
          </w:p>
        </w:tc>
      </w:tr>
      <w:tr>
        <w:trPr>
          <w:trHeight w:val="241"/>
        </w:trPr>
        <w:tc>
          <w:tcPr>
            <w:tcW w:w="8740" w:type="dxa"/>
            <w:vAlign w:val="bottom"/>
            <w:tcBorders>
              <w:bottom w:val="single" w:sz="8" w:color="CCEEFF"/>
              <w:right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Reductions</w:t>
            </w:r>
          </w:p>
        </w:tc>
      </w:tr>
      <w:tr>
        <w:trPr>
          <w:trHeight w:val="243"/>
        </w:trPr>
        <w:tc>
          <w:tcPr>
            <w:tcW w:w="8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8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7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recognized</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7,753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Utilized</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(4,656)</w:t>
            </w:r>
          </w:p>
        </w:tc>
        <w:tc>
          <w:tcPr>
            <w:tcW w:w="20" w:type="dxa"/>
            <w:vAlign w:val="bottom"/>
          </w:tcPr>
          <w:p>
            <w:pPr>
              <w:spacing w:after="0"/>
              <w:rPr>
                <w:sz w:val="21"/>
                <w:szCs w:val="21"/>
                <w:color w:val="auto"/>
              </w:rPr>
            </w:pPr>
          </w:p>
        </w:tc>
      </w:tr>
      <w:tr>
        <w:trPr>
          <w:trHeight w:val="34"/>
        </w:trPr>
        <w:tc>
          <w:tcPr>
            <w:tcW w:w="8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87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at December 31, 2017</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3,097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Utilized</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21"/>
                <w:szCs w:val="21"/>
                <w:color w:val="auto"/>
              </w:rPr>
            </w:pPr>
          </w:p>
        </w:tc>
      </w:tr>
      <w:tr>
        <w:trPr>
          <w:trHeight w:val="34"/>
        </w:trPr>
        <w:tc>
          <w:tcPr>
            <w:tcW w:w="8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87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at December 31, 2018</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2,082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Utilized</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(1,445)</w:t>
            </w:r>
          </w:p>
        </w:tc>
        <w:tc>
          <w:tcPr>
            <w:tcW w:w="20" w:type="dxa"/>
            <w:vAlign w:val="bottom"/>
          </w:tcPr>
          <w:p>
            <w:pPr>
              <w:spacing w:after="0"/>
              <w:rPr>
                <w:sz w:val="21"/>
                <w:szCs w:val="21"/>
                <w:color w:val="auto"/>
              </w:rPr>
            </w:pPr>
          </w:p>
        </w:tc>
      </w:tr>
      <w:tr>
        <w:trPr>
          <w:trHeight w:val="34"/>
        </w:trPr>
        <w:tc>
          <w:tcPr>
            <w:tcW w:w="8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5"/>
        </w:trPr>
        <w:tc>
          <w:tcPr>
            <w:tcW w:w="87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at September 30, 2019</w:t>
            </w:r>
          </w:p>
        </w:tc>
        <w:tc>
          <w:tcPr>
            <w:tcW w:w="5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637</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0"/>
        </w:trPr>
        <w:tc>
          <w:tcPr>
            <w:tcW w:w="8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737"/>
        </w:trPr>
        <w:tc>
          <w:tcPr>
            <w:tcW w:w="9920" w:type="dxa"/>
            <w:vAlign w:val="bottom"/>
            <w:gridSpan w:val="5"/>
          </w:tcPr>
          <w:p>
            <w:pPr>
              <w:spacing w:after="0"/>
              <w:rPr>
                <w:sz w:val="20"/>
                <w:szCs w:val="20"/>
                <w:color w:val="auto"/>
              </w:rPr>
            </w:pPr>
            <w:r>
              <w:rPr>
                <w:rFonts w:ascii="Arial" w:cs="Arial" w:eastAsia="Arial" w:hAnsi="Arial"/>
                <w:sz w:val="18"/>
                <w:szCs w:val="18"/>
                <w:color w:val="auto"/>
              </w:rPr>
              <w:t>At September 30, 2019, $2.2 million is included within other liabilities and $0.4 million within non-current other liabilities.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0"/>
        </w:trPr>
        <w:tc>
          <w:tcPr>
            <w:tcW w:w="8740" w:type="dxa"/>
            <w:vAlign w:val="bottom"/>
          </w:tcPr>
          <w:p>
            <w:pPr>
              <w:spacing w:after="0"/>
              <w:rPr>
                <w:sz w:val="20"/>
                <w:szCs w:val="20"/>
                <w:color w:val="auto"/>
              </w:rPr>
            </w:pPr>
            <w:r>
              <w:rPr>
                <w:rFonts w:ascii="Arial" w:cs="Arial" w:eastAsia="Arial" w:hAnsi="Arial"/>
                <w:sz w:val="18"/>
                <w:szCs w:val="18"/>
                <w:b w:val="1"/>
                <w:bCs w:val="1"/>
                <w:color w:val="auto"/>
              </w:rPr>
              <w:t>8. Operating leases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0"/>
        </w:trPr>
        <w:tc>
          <w:tcPr>
            <w:tcW w:w="8740" w:type="dxa"/>
            <w:vAlign w:val="bottom"/>
          </w:tcPr>
          <w:p>
            <w:pPr>
              <w:spacing w:after="0"/>
              <w:rPr>
                <w:sz w:val="20"/>
                <w:szCs w:val="20"/>
                <w:color w:val="auto"/>
              </w:rPr>
            </w:pPr>
            <w:r>
              <w:rPr>
                <w:rFonts w:ascii="Arial" w:cs="Arial" w:eastAsia="Arial" w:hAnsi="Arial"/>
                <w:sz w:val="18"/>
                <w:szCs w:val="18"/>
                <w:color w:val="auto"/>
                <w:w w:val="90"/>
              </w:rPr>
              <w:t>Lease costs recorded under operating leases for the three and nine months ended September 30, 2019 were as follows: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8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r>
      <w:tr>
        <w:trPr>
          <w:trHeight w:val="203"/>
        </w:trPr>
        <w:tc>
          <w:tcPr>
            <w:tcW w:w="8740" w:type="dxa"/>
            <w:vAlign w:val="bottom"/>
            <w:tcBorders>
              <w:right w:val="single" w:sz="8" w:color="CCEEFF"/>
            </w:tcBorders>
            <w:shd w:val="clear" w:color="auto" w:fill="CCEEFF"/>
          </w:tcPr>
          <w:p>
            <w:pPr>
              <w:spacing w:after="0"/>
              <w:rPr>
                <w:sz w:val="17"/>
                <w:szCs w:val="17"/>
                <w:color w:val="auto"/>
              </w:rPr>
            </w:pPr>
          </w:p>
        </w:tc>
        <w:tc>
          <w:tcPr>
            <w:tcW w:w="11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89"/>
              </w:rPr>
              <w:t>Three Months</w:t>
            </w:r>
          </w:p>
        </w:tc>
        <w:tc>
          <w:tcPr>
            <w:tcW w:w="280" w:type="dxa"/>
            <w:vAlign w:val="bottom"/>
            <w:shd w:val="clear" w:color="auto" w:fill="CCEEFF"/>
          </w:tcPr>
          <w:p>
            <w:pPr>
              <w:spacing w:after="0"/>
              <w:rPr>
                <w:sz w:val="17"/>
                <w:szCs w:val="17"/>
                <w:color w:val="auto"/>
              </w:rPr>
            </w:pPr>
          </w:p>
        </w:tc>
        <w:tc>
          <w:tcPr>
            <w:tcW w:w="1200" w:type="dxa"/>
            <w:vAlign w:val="bottom"/>
            <w:gridSpan w:val="5"/>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9"/>
              </w:rPr>
              <w:t>Nine Months</w:t>
            </w:r>
          </w:p>
        </w:tc>
        <w:tc>
          <w:tcPr>
            <w:tcW w:w="20" w:type="dxa"/>
            <w:vAlign w:val="bottom"/>
          </w:tcPr>
          <w:p>
            <w:pPr>
              <w:spacing w:after="0"/>
              <w:rPr>
                <w:sz w:val="17"/>
                <w:szCs w:val="17"/>
                <w:color w:val="auto"/>
              </w:rPr>
            </w:pPr>
          </w:p>
        </w:tc>
      </w:tr>
      <w:tr>
        <w:trPr>
          <w:trHeight w:val="20"/>
        </w:trPr>
        <w:tc>
          <w:tcPr>
            <w:tcW w:w="87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74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w w:val="87"/>
              </w:rPr>
              <w:t>Ended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Ended</w:t>
            </w:r>
          </w:p>
        </w:tc>
        <w:tc>
          <w:tcPr>
            <w:tcW w:w="20" w:type="dxa"/>
            <w:vAlign w:val="bottom"/>
          </w:tcPr>
          <w:p>
            <w:pPr>
              <w:spacing w:after="0"/>
              <w:rPr>
                <w:sz w:val="17"/>
                <w:szCs w:val="17"/>
                <w:color w:val="auto"/>
              </w:rPr>
            </w:pPr>
          </w:p>
        </w:tc>
      </w:tr>
      <w:tr>
        <w:trPr>
          <w:trHeight w:val="48"/>
        </w:trPr>
        <w:tc>
          <w:tcPr>
            <w:tcW w:w="8740" w:type="dxa"/>
            <w:vAlign w:val="bottom"/>
            <w:tcBorders>
              <w:top w:val="single" w:sz="8" w:color="CCEEFF"/>
              <w:right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740" w:type="dxa"/>
            <w:vAlign w:val="bottom"/>
          </w:tcPr>
          <w:p>
            <w:pPr>
              <w:spacing w:after="0"/>
              <w:rPr>
                <w:sz w:val="17"/>
                <w:szCs w:val="17"/>
                <w:color w:val="auto"/>
              </w:rPr>
            </w:pPr>
          </w:p>
        </w:tc>
        <w:tc>
          <w:tcPr>
            <w:tcW w:w="1180" w:type="dxa"/>
            <w:vAlign w:val="bottom"/>
            <w:gridSpan w:val="4"/>
          </w:tcPr>
          <w:p>
            <w:pPr>
              <w:jc w:val="right"/>
              <w:ind w:right="100"/>
              <w:spacing w:after="0" w:line="202" w:lineRule="exact"/>
              <w:rPr>
                <w:sz w:val="20"/>
                <w:szCs w:val="20"/>
                <w:color w:val="auto"/>
              </w:rPr>
            </w:pPr>
            <w:r>
              <w:rPr>
                <w:rFonts w:ascii="Arial" w:cs="Arial" w:eastAsia="Arial" w:hAnsi="Arial"/>
                <w:sz w:val="18"/>
                <w:szCs w:val="18"/>
                <w:b w:val="1"/>
                <w:bCs w:val="1"/>
                <w:color w:val="auto"/>
                <w:w w:val="86"/>
              </w:rPr>
              <w:t>September 30,</w:t>
            </w:r>
          </w:p>
        </w:tc>
        <w:tc>
          <w:tcPr>
            <w:tcW w:w="280" w:type="dxa"/>
            <w:vAlign w:val="bottom"/>
          </w:tcPr>
          <w:p>
            <w:pPr>
              <w:spacing w:after="0"/>
              <w:rPr>
                <w:sz w:val="17"/>
                <w:szCs w:val="17"/>
                <w:color w:val="auto"/>
              </w:rPr>
            </w:pPr>
          </w:p>
        </w:tc>
        <w:tc>
          <w:tcPr>
            <w:tcW w:w="1220" w:type="dxa"/>
            <w:vAlign w:val="bottom"/>
            <w:gridSpan w:val="6"/>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September 30,</w:t>
            </w:r>
          </w:p>
        </w:tc>
      </w:tr>
      <w:tr>
        <w:trPr>
          <w:trHeight w:val="196"/>
        </w:trPr>
        <w:tc>
          <w:tcPr>
            <w:tcW w:w="8740" w:type="dxa"/>
            <w:vAlign w:val="bottom"/>
          </w:tcPr>
          <w:p>
            <w:pPr>
              <w:spacing w:after="0"/>
              <w:rPr>
                <w:sz w:val="17"/>
                <w:szCs w:val="17"/>
                <w:color w:val="auto"/>
              </w:rPr>
            </w:pPr>
          </w:p>
        </w:tc>
        <w:tc>
          <w:tcPr>
            <w:tcW w:w="10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8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8740" w:type="dxa"/>
            <w:vAlign w:val="bottom"/>
            <w:tcBorders>
              <w:bottom w:val="single" w:sz="8" w:color="CCEEFF"/>
              <w:right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9"/>
            <w:shd w:val="clear" w:color="auto" w:fill="CCEEFF"/>
          </w:tcPr>
          <w:p>
            <w:pPr>
              <w:jc w:val="right"/>
              <w:ind w:right="920"/>
              <w:spacing w:after="0"/>
              <w:rPr>
                <w:sz w:val="20"/>
                <w:szCs w:val="20"/>
                <w:color w:val="auto"/>
              </w:rPr>
            </w:pPr>
            <w:r>
              <w:rPr>
                <w:rFonts w:ascii="Arial" w:cs="Arial" w:eastAsia="Arial" w:hAnsi="Arial"/>
                <w:sz w:val="18"/>
                <w:szCs w:val="18"/>
                <w:b w:val="1"/>
                <w:bCs w:val="1"/>
                <w:color w:val="auto"/>
                <w:w w:val="91"/>
              </w:rPr>
              <w:t>(in thousands)</w:t>
            </w:r>
          </w:p>
        </w:tc>
        <w:tc>
          <w:tcPr>
            <w:tcW w:w="20" w:type="dxa"/>
            <w:vAlign w:val="bottom"/>
          </w:tcPr>
          <w:p>
            <w:pPr>
              <w:spacing w:after="0"/>
              <w:rPr>
                <w:sz w:val="21"/>
                <w:szCs w:val="21"/>
                <w:color w:val="auto"/>
              </w:rPr>
            </w:pP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Operating lease costs</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8,713</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5"/>
          </w:tcPr>
          <w:p>
            <w:pPr>
              <w:jc w:val="right"/>
              <w:ind w:right="100"/>
              <w:spacing w:after="0"/>
              <w:rPr>
                <w:sz w:val="20"/>
                <w:szCs w:val="20"/>
                <w:color w:val="auto"/>
              </w:rPr>
            </w:pPr>
            <w:r>
              <w:rPr>
                <w:rFonts w:ascii="Arial" w:cs="Arial" w:eastAsia="Arial" w:hAnsi="Arial"/>
                <w:sz w:val="18"/>
                <w:szCs w:val="18"/>
                <w:color w:val="auto"/>
              </w:rPr>
              <w:t>26,332</w:t>
            </w:r>
          </w:p>
        </w:tc>
        <w:tc>
          <w:tcPr>
            <w:tcW w:w="20" w:type="dxa"/>
            <w:vAlign w:val="bottom"/>
          </w:tcPr>
          <w:p>
            <w:pPr>
              <w:spacing w:after="0"/>
              <w:rPr>
                <w:sz w:val="21"/>
                <w:szCs w:val="21"/>
                <w:color w:val="auto"/>
              </w:rPr>
            </w:pPr>
          </w:p>
        </w:tc>
      </w:tr>
      <w:tr>
        <w:trPr>
          <w:trHeight w:val="27"/>
        </w:trPr>
        <w:tc>
          <w:tcPr>
            <w:tcW w:w="8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87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sub-leases</w:t>
            </w:r>
          </w:p>
        </w:tc>
        <w:tc>
          <w:tcPr>
            <w:tcW w:w="11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(1,445)</w:t>
            </w:r>
          </w:p>
        </w:tc>
        <w:tc>
          <w:tcPr>
            <w:tcW w:w="20" w:type="dxa"/>
            <w:vAlign w:val="bottom"/>
          </w:tcPr>
          <w:p>
            <w:pPr>
              <w:spacing w:after="0"/>
              <w:rPr>
                <w:sz w:val="23"/>
                <w:szCs w:val="23"/>
                <w:color w:val="auto"/>
              </w:rPr>
            </w:pPr>
          </w:p>
        </w:tc>
      </w:tr>
      <w:tr>
        <w:trPr>
          <w:trHeight w:val="237"/>
        </w:trPr>
        <w:tc>
          <w:tcPr>
            <w:tcW w:w="8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operating lease costs</w:t>
            </w: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8,335</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24,887</w:t>
            </w:r>
          </w:p>
        </w:tc>
        <w:tc>
          <w:tcPr>
            <w:tcW w:w="20" w:type="dxa"/>
            <w:vAlign w:val="bottom"/>
          </w:tcPr>
          <w:p>
            <w:pPr>
              <w:spacing w:after="0"/>
              <w:rPr>
                <w:sz w:val="20"/>
                <w:szCs w:val="20"/>
                <w:color w:val="auto"/>
              </w:rPr>
            </w:pPr>
          </w:p>
        </w:tc>
      </w:tr>
      <w:tr>
        <w:trPr>
          <w:trHeight w:val="27"/>
        </w:trPr>
        <w:tc>
          <w:tcPr>
            <w:tcW w:w="8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8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 total cost of $24.9 million incurred in the nine months ended September 30, 2019, $23.0 million is recorded within selling, general and administration costs and $1.9 million is recorded within direct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2019, the Group did not incur any costs related to variable lease payments.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adoption of ASC 842 resulted in the recognition of operating right-of-use assets and lease liabilities of $106.5 million at January 1, 2019. Additional right-of-use assets obtained in exchange for lease obligations during the three and nine months ended September 30, 2019 totaled $7.5 million and $25.4 million, respectively. The weighted average remaining lease term and weighted-average discount rate at September 30, 2019 were 5.47 years and 2.98%, respectively.</w:t>
      </w:r>
    </w:p>
    <w:p>
      <w:pPr>
        <w:sectPr>
          <w:pgSz w:w="11900" w:h="16838" w:orient="portrait"/>
          <w:cols w:equalWidth="0" w:num="1">
            <w:col w:w="11420"/>
          </w:cols>
          <w:pgMar w:left="240" w:top="8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896"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Future minimum lease payments under non-cancelable leases as of September 30, 2019 were as follows: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9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Minimum rental</w:t>
            </w:r>
          </w:p>
        </w:tc>
      </w:tr>
      <w:tr>
        <w:trPr>
          <w:trHeight w:val="48"/>
        </w:trPr>
        <w:tc>
          <w:tcPr>
            <w:tcW w:w="5940" w:type="dxa"/>
            <w:vAlign w:val="bottom"/>
            <w:tcBorders>
              <w:top w:val="single" w:sz="8" w:color="CCEEFF"/>
            </w:tcBorders>
            <w:shd w:val="clear" w:color="auto" w:fill="CCEEFF"/>
          </w:tcPr>
          <w:p>
            <w:pPr>
              <w:spacing w:after="0"/>
              <w:rPr>
                <w:sz w:val="4"/>
                <w:szCs w:val="4"/>
                <w:color w:val="auto"/>
              </w:rPr>
            </w:pPr>
          </w:p>
        </w:tc>
        <w:tc>
          <w:tcPr>
            <w:tcW w:w="3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r>
        <w:trPr>
          <w:trHeight w:val="203"/>
        </w:trPr>
        <w:tc>
          <w:tcPr>
            <w:tcW w:w="59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w w:val="85"/>
              </w:rPr>
              <w:t>payments</w:t>
            </w:r>
          </w:p>
        </w:tc>
      </w:tr>
      <w:tr>
        <w:trPr>
          <w:trHeight w:val="48"/>
        </w:trPr>
        <w:tc>
          <w:tcPr>
            <w:tcW w:w="59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50"/>
        </w:trPr>
        <w:tc>
          <w:tcPr>
            <w:tcW w:w="59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4"/>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Due within 1 year</w:t>
            </w:r>
          </w:p>
        </w:tc>
        <w:tc>
          <w:tcPr>
            <w:tcW w:w="3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gridSpan w:val="4"/>
          </w:tcPr>
          <w:p>
            <w:pPr>
              <w:jc w:val="right"/>
              <w:ind w:right="120"/>
              <w:spacing w:after="0"/>
              <w:rPr>
                <w:sz w:val="20"/>
                <w:szCs w:val="20"/>
                <w:color w:val="auto"/>
              </w:rPr>
            </w:pPr>
            <w:r>
              <w:rPr>
                <w:rFonts w:ascii="Arial" w:cs="Arial" w:eastAsia="Arial" w:hAnsi="Arial"/>
                <w:sz w:val="18"/>
                <w:szCs w:val="18"/>
                <w:color w:val="auto"/>
              </w:rPr>
              <w:t>28,107</w:t>
            </w:r>
          </w:p>
        </w:tc>
      </w:tr>
      <w:tr>
        <w:trPr>
          <w:trHeight w:val="27"/>
        </w:trPr>
        <w:tc>
          <w:tcPr>
            <w:tcW w:w="59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between 1 and 5 years</w:t>
            </w:r>
          </w:p>
        </w:tc>
        <w:tc>
          <w:tcPr>
            <w:tcW w:w="35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69,656</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540" w:type="dxa"/>
            <w:vAlign w:val="bottom"/>
          </w:tcPr>
          <w:p>
            <w:pPr>
              <w:spacing w:after="0"/>
              <w:rPr>
                <w:sz w:val="21"/>
                <w:szCs w:val="21"/>
                <w:color w:val="auto"/>
              </w:rPr>
            </w:pPr>
          </w:p>
        </w:tc>
        <w:tc>
          <w:tcPr>
            <w:tcW w:w="1920" w:type="dxa"/>
            <w:vAlign w:val="bottom"/>
            <w:gridSpan w:val="4"/>
          </w:tcPr>
          <w:p>
            <w:pPr>
              <w:jc w:val="right"/>
              <w:ind w:right="120"/>
              <w:spacing w:after="0"/>
              <w:rPr>
                <w:sz w:val="20"/>
                <w:szCs w:val="20"/>
                <w:color w:val="auto"/>
              </w:rPr>
            </w:pPr>
            <w:r>
              <w:rPr>
                <w:rFonts w:ascii="Arial" w:cs="Arial" w:eastAsia="Arial" w:hAnsi="Arial"/>
                <w:sz w:val="18"/>
                <w:szCs w:val="18"/>
                <w:color w:val="auto"/>
              </w:rPr>
              <w:t>18,594</w:t>
            </w:r>
          </w:p>
        </w:tc>
      </w:tr>
      <w:tr>
        <w:trPr>
          <w:trHeight w:val="34"/>
        </w:trPr>
        <w:tc>
          <w:tcPr>
            <w:tcW w:w="59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35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116,357</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Lease imputed interest</w:t>
            </w:r>
          </w:p>
        </w:tc>
        <w:tc>
          <w:tcPr>
            <w:tcW w:w="3540" w:type="dxa"/>
            <w:vAlign w:val="bottom"/>
          </w:tcPr>
          <w:p>
            <w:pPr>
              <w:spacing w:after="0"/>
              <w:rPr>
                <w:sz w:val="21"/>
                <w:szCs w:val="21"/>
                <w:color w:val="auto"/>
              </w:rPr>
            </w:pPr>
          </w:p>
        </w:tc>
        <w:tc>
          <w:tcPr>
            <w:tcW w:w="1920" w:type="dxa"/>
            <w:vAlign w:val="bottom"/>
            <w:gridSpan w:val="4"/>
          </w:tcPr>
          <w:p>
            <w:pPr>
              <w:jc w:val="right"/>
              <w:ind w:right="60"/>
              <w:spacing w:after="0"/>
              <w:rPr>
                <w:sz w:val="20"/>
                <w:szCs w:val="20"/>
                <w:color w:val="auto"/>
              </w:rPr>
            </w:pPr>
            <w:r>
              <w:rPr>
                <w:rFonts w:ascii="Arial" w:cs="Arial" w:eastAsia="Arial" w:hAnsi="Arial"/>
                <w:sz w:val="18"/>
                <w:szCs w:val="18"/>
                <w:color w:val="auto"/>
              </w:rPr>
              <w:t>(8,840)</w:t>
            </w:r>
          </w:p>
        </w:tc>
      </w:tr>
      <w:tr>
        <w:trPr>
          <w:trHeight w:val="34"/>
        </w:trPr>
        <w:tc>
          <w:tcPr>
            <w:tcW w:w="59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107,517</w:t>
            </w:r>
          </w:p>
        </w:tc>
      </w:tr>
      <w:tr>
        <w:trPr>
          <w:trHeight w:val="20"/>
        </w:trPr>
        <w:tc>
          <w:tcPr>
            <w:tcW w:w="594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lease liabilities are presented as current and non-current. Operating lease liabilities of $28.1 million have been included in other liabilities as at September 30,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Income taxes recognized during the three and nine months ended September 30, 2019 and September 30, 2018, comprise: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140" w:type="dxa"/>
            <w:vAlign w:val="bottom"/>
            <w:gridSpan w:val="7"/>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0"/>
              </w:rPr>
              <w:t>Three Months Ended</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180" w:type="dxa"/>
            <w:vAlign w:val="bottom"/>
            <w:gridSpan w:val="9"/>
            <w:shd w:val="clear" w:color="auto" w:fill="CCEEFF"/>
          </w:tcPr>
          <w:p>
            <w:pPr>
              <w:jc w:val="right"/>
              <w:ind w:right="640"/>
              <w:spacing w:after="0"/>
              <w:rPr>
                <w:sz w:val="20"/>
                <w:szCs w:val="20"/>
                <w:color w:val="auto"/>
              </w:rPr>
            </w:pPr>
            <w:r>
              <w:rPr>
                <w:rFonts w:ascii="Arial" w:cs="Arial" w:eastAsia="Arial" w:hAnsi="Arial"/>
                <w:sz w:val="18"/>
                <w:szCs w:val="18"/>
                <w:b w:val="1"/>
                <w:bCs w:val="1"/>
                <w:color w:val="auto"/>
                <w:w w:val="90"/>
              </w:rPr>
              <w:t>Nine Months Ended</w:t>
            </w:r>
          </w:p>
        </w:tc>
      </w:tr>
      <w:tr>
        <w:trPr>
          <w:trHeight w:val="48"/>
        </w:trPr>
        <w:tc>
          <w:tcPr>
            <w:tcW w:w="44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4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26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260" w:type="dxa"/>
            <w:vAlign w:val="bottom"/>
          </w:tcPr>
          <w:p>
            <w:pPr>
              <w:spacing w:after="0"/>
              <w:rPr>
                <w:sz w:val="17"/>
                <w:szCs w:val="17"/>
                <w:color w:val="auto"/>
              </w:rPr>
            </w:pPr>
          </w:p>
        </w:tc>
        <w:tc>
          <w:tcPr>
            <w:tcW w:w="122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17"/>
                <w:szCs w:val="17"/>
                <w:color w:val="auto"/>
              </w:rPr>
            </w:pPr>
          </w:p>
        </w:tc>
        <w:tc>
          <w:tcPr>
            <w:tcW w:w="1220" w:type="dxa"/>
            <w:vAlign w:val="bottom"/>
            <w:gridSpan w:val="5"/>
          </w:tcPr>
          <w:p>
            <w:pPr>
              <w:jc w:val="right"/>
              <w:ind w:right="100"/>
              <w:spacing w:after="0" w:line="202" w:lineRule="exact"/>
              <w:rPr>
                <w:sz w:val="20"/>
                <w:szCs w:val="20"/>
                <w:color w:val="auto"/>
              </w:rPr>
            </w:pPr>
            <w:r>
              <w:rPr>
                <w:rFonts w:ascii="Arial" w:cs="Arial" w:eastAsia="Arial" w:hAnsi="Arial"/>
                <w:sz w:val="18"/>
                <w:szCs w:val="18"/>
                <w:b w:val="1"/>
                <w:bCs w:val="1"/>
                <w:color w:val="auto"/>
                <w:w w:val="89"/>
              </w:rPr>
              <w:t>September 30,</w:t>
            </w:r>
          </w:p>
        </w:tc>
      </w:tr>
      <w:tr>
        <w:trPr>
          <w:trHeight w:val="196"/>
        </w:trPr>
        <w:tc>
          <w:tcPr>
            <w:tcW w:w="4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7"/>
                <w:szCs w:val="17"/>
                <w:color w:val="auto"/>
              </w:rPr>
            </w:pPr>
          </w:p>
        </w:tc>
        <w:tc>
          <w:tcPr>
            <w:tcW w:w="11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r>
      <w:tr>
        <w:trPr>
          <w:trHeight w:val="48"/>
        </w:trPr>
        <w:tc>
          <w:tcPr>
            <w:tcW w:w="44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4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7"/>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9"/>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5"/>
          </w:tcPr>
          <w:p>
            <w:pPr>
              <w:jc w:val="right"/>
              <w:ind w:right="120"/>
              <w:spacing w:after="0"/>
              <w:rPr>
                <w:sz w:val="20"/>
                <w:szCs w:val="20"/>
                <w:color w:val="auto"/>
              </w:rPr>
            </w:pPr>
            <w:r>
              <w:rPr>
                <w:rFonts w:ascii="Arial" w:cs="Arial" w:eastAsia="Arial" w:hAnsi="Arial"/>
                <w:sz w:val="18"/>
                <w:szCs w:val="18"/>
                <w:color w:val="auto"/>
              </w:rPr>
              <w:t>13,020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11,526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37,516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31,388</w:t>
            </w:r>
          </w:p>
        </w:tc>
      </w:tr>
      <w:tr>
        <w:trPr>
          <w:trHeight w:val="27"/>
        </w:trPr>
        <w:tc>
          <w:tcPr>
            <w:tcW w:w="4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impact of restructuring and other items</w:t>
            </w:r>
          </w:p>
        </w:tc>
        <w:tc>
          <w:tcPr>
            <w:tcW w:w="1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(1,453)</w:t>
            </w:r>
          </w:p>
        </w:tc>
      </w:tr>
      <w:tr>
        <w:trPr>
          <w:trHeight w:val="243"/>
        </w:trPr>
        <w:tc>
          <w:tcPr>
            <w:tcW w:w="4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for income taxes</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13,020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11,526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37,516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29,935</w:t>
            </w:r>
          </w:p>
        </w:tc>
      </w:tr>
      <w:tr>
        <w:trPr>
          <w:trHeight w:val="27"/>
        </w:trPr>
        <w:tc>
          <w:tcPr>
            <w:tcW w:w="4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at September 30, 2019 the Company maintains a $22.5 million liability (December 31, 2018: $22.5 million) for unrecognized tax benefit, which is comprised of $21.5 million (December 31, 2018: $21.4 million) related to items generating unrecognized tax benefits and $1.0 million (December 31, 2018: $1.1 million) for interest and related penalties to such items. The Company recognizes interest accrued on unrecognized tax benefits as an additional income tax expense.</w:t>
      </w:r>
    </w:p>
    <w:p>
      <w:pPr>
        <w:spacing w:after="0" w:line="29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2014 through 2018 tax years. The Company does not believe that the outcome of any examination will have a material impact on its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per ordinary share</w:t>
      </w:r>
    </w:p>
    <w:p>
      <w:pPr>
        <w:spacing w:after="0" w:line="3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Basic net income per ordinary share attributable to the Group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 Basic and diluted net income per ordinary share attributable to the Group (GAAP) includes the adjustment to reflect the accretion of the noncontrolling interest in MeDiNova to its redemption value. This accretion adjustment of $1.2 million has been excluded from net income when calculating adjusted net income per ordinary share attributable to the Group (non-GAAP).</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46"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20" w:type="dxa"/>
            <w:vAlign w:val="bottom"/>
            <w:gridSpan w:val="7"/>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shd w:val="clear" w:color="auto" w:fill="CCEEFF"/>
          </w:tcPr>
          <w:p>
            <w:pPr>
              <w:spacing w:after="0"/>
              <w:rPr>
                <w:sz w:val="17"/>
                <w:szCs w:val="17"/>
                <w:color w:val="auto"/>
              </w:rPr>
            </w:pPr>
          </w:p>
        </w:tc>
        <w:tc>
          <w:tcPr>
            <w:tcW w:w="2660" w:type="dxa"/>
            <w:vAlign w:val="bottom"/>
            <w:gridSpan w:val="9"/>
            <w:shd w:val="clear" w:color="auto" w:fill="CCEEFF"/>
          </w:tcPr>
          <w:p>
            <w:pPr>
              <w:ind w:left="500"/>
              <w:spacing w:after="0"/>
              <w:rPr>
                <w:sz w:val="20"/>
                <w:szCs w:val="20"/>
                <w:color w:val="auto"/>
              </w:rPr>
            </w:pPr>
            <w:r>
              <w:rPr>
                <w:rFonts w:ascii="Arial" w:cs="Arial" w:eastAsia="Arial" w:hAnsi="Arial"/>
                <w:sz w:val="18"/>
                <w:szCs w:val="18"/>
                <w:b w:val="1"/>
                <w:bCs w:val="1"/>
                <w:color w:val="auto"/>
              </w:rPr>
              <w:t>Nine Months Ended</w:t>
            </w:r>
          </w:p>
        </w:tc>
      </w:tr>
      <w:tr>
        <w:trPr>
          <w:trHeight w:val="48"/>
        </w:trPr>
        <w:tc>
          <w:tcPr>
            <w:tcW w:w="55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5500" w:type="dxa"/>
            <w:vAlign w:val="bottom"/>
          </w:tcPr>
          <w:p>
            <w:pPr>
              <w:spacing w:after="0"/>
              <w:rPr>
                <w:sz w:val="17"/>
                <w:szCs w:val="17"/>
                <w:color w:val="auto"/>
              </w:rPr>
            </w:pPr>
          </w:p>
        </w:tc>
        <w:tc>
          <w:tcPr>
            <w:tcW w:w="136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September 30,</w:t>
            </w:r>
          </w:p>
        </w:tc>
        <w:tc>
          <w:tcPr>
            <w:tcW w:w="420" w:type="dxa"/>
            <w:vAlign w:val="bottom"/>
          </w:tcPr>
          <w:p>
            <w:pPr>
              <w:spacing w:after="0"/>
              <w:rPr>
                <w:sz w:val="17"/>
                <w:szCs w:val="17"/>
                <w:color w:val="auto"/>
              </w:rPr>
            </w:pPr>
          </w:p>
        </w:tc>
        <w:tc>
          <w:tcPr>
            <w:tcW w:w="1280" w:type="dxa"/>
            <w:vAlign w:val="bottom"/>
            <w:gridSpan w:val="4"/>
          </w:tcPr>
          <w:p>
            <w:pPr>
              <w:jc w:val="right"/>
              <w:ind w:right="200"/>
              <w:spacing w:after="0" w:line="202" w:lineRule="exact"/>
              <w:rPr>
                <w:sz w:val="20"/>
                <w:szCs w:val="20"/>
                <w:color w:val="auto"/>
              </w:rPr>
            </w:pPr>
            <w:r>
              <w:rPr>
                <w:rFonts w:ascii="Arial" w:cs="Arial" w:eastAsia="Arial" w:hAnsi="Arial"/>
                <w:sz w:val="18"/>
                <w:szCs w:val="18"/>
                <w:b w:val="1"/>
                <w:bCs w:val="1"/>
                <w:color w:val="auto"/>
                <w:w w:val="86"/>
              </w:rPr>
              <w:t>September 30,</w:t>
            </w:r>
          </w:p>
        </w:tc>
        <w:tc>
          <w:tcPr>
            <w:tcW w:w="1480" w:type="dxa"/>
            <w:vAlign w:val="bottom"/>
            <w:gridSpan w:val="5"/>
          </w:tcPr>
          <w:p>
            <w:pPr>
              <w:ind w:left="200"/>
              <w:spacing w:after="0" w:line="202" w:lineRule="exact"/>
              <w:rPr>
                <w:sz w:val="20"/>
                <w:szCs w:val="20"/>
                <w:color w:val="auto"/>
              </w:rPr>
            </w:pPr>
            <w:r>
              <w:rPr>
                <w:rFonts w:ascii="Arial" w:cs="Arial" w:eastAsia="Arial" w:hAnsi="Arial"/>
                <w:sz w:val="18"/>
                <w:szCs w:val="18"/>
                <w:b w:val="1"/>
                <w:bCs w:val="1"/>
                <w:color w:val="auto"/>
              </w:rPr>
              <w:t>September 30,</w:t>
            </w:r>
          </w:p>
        </w:tc>
        <w:tc>
          <w:tcPr>
            <w:tcW w:w="1380" w:type="dxa"/>
            <w:vAlign w:val="bottom"/>
            <w:gridSpan w:val="5"/>
          </w:tcPr>
          <w:p>
            <w:pPr>
              <w:ind w:left="180"/>
              <w:spacing w:after="0" w:line="202"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7"/>
                <w:szCs w:val="17"/>
                <w:color w:val="auto"/>
              </w:rPr>
            </w:pPr>
          </w:p>
        </w:tc>
        <w:tc>
          <w:tcPr>
            <w:tcW w:w="1280" w:type="dxa"/>
            <w:vAlign w:val="bottom"/>
            <w:gridSpan w:val="4"/>
          </w:tcPr>
          <w:p>
            <w:pPr>
              <w:jc w:val="right"/>
              <w:ind w:right="200"/>
              <w:spacing w:after="0" w:line="196" w:lineRule="exact"/>
              <w:rPr>
                <w:sz w:val="20"/>
                <w:szCs w:val="20"/>
                <w:color w:val="auto"/>
              </w:rPr>
            </w:pPr>
            <w:r>
              <w:rPr>
                <w:rFonts w:ascii="Arial" w:cs="Arial" w:eastAsia="Arial" w:hAnsi="Arial"/>
                <w:sz w:val="18"/>
                <w:szCs w:val="18"/>
                <w:b w:val="1"/>
                <w:bCs w:val="1"/>
                <w:color w:val="auto"/>
              </w:rPr>
              <w:t>2018</w:t>
            </w:r>
          </w:p>
        </w:tc>
        <w:tc>
          <w:tcPr>
            <w:tcW w:w="1480" w:type="dxa"/>
            <w:vAlign w:val="bottom"/>
            <w:gridSpan w:val="5"/>
          </w:tcPr>
          <w:p>
            <w:pPr>
              <w:jc w:val="right"/>
              <w:ind w:right="180"/>
              <w:spacing w:after="0" w:line="196" w:lineRule="exact"/>
              <w:rPr>
                <w:sz w:val="20"/>
                <w:szCs w:val="20"/>
                <w:color w:val="auto"/>
              </w:rPr>
            </w:pPr>
            <w:r>
              <w:rPr>
                <w:rFonts w:ascii="Arial" w:cs="Arial" w:eastAsia="Arial" w:hAnsi="Arial"/>
                <w:sz w:val="18"/>
                <w:szCs w:val="18"/>
                <w:b w:val="1"/>
                <w:bCs w:val="1"/>
                <w:color w:val="auto"/>
              </w:rPr>
              <w:t>2019</w:t>
            </w:r>
          </w:p>
        </w:tc>
        <w:tc>
          <w:tcPr>
            <w:tcW w:w="13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5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Weighted average number of ordinary shares outstanding for basic net</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ordinary share</w:t>
            </w:r>
          </w:p>
        </w:tc>
        <w:tc>
          <w:tcPr>
            <w:tcW w:w="13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54,004,963</w:t>
            </w:r>
          </w:p>
        </w:tc>
        <w:tc>
          <w:tcPr>
            <w:tcW w:w="17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54,368,656</w:t>
            </w:r>
          </w:p>
        </w:tc>
        <w:tc>
          <w:tcPr>
            <w:tcW w:w="148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53,935,939</w:t>
            </w:r>
          </w:p>
        </w:tc>
        <w:tc>
          <w:tcPr>
            <w:tcW w:w="13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54,134,639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Effect of dilutive share options outstanding</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545,709</w:t>
            </w:r>
          </w:p>
        </w:tc>
        <w:tc>
          <w:tcPr>
            <w:tcW w:w="1700" w:type="dxa"/>
            <w:vAlign w:val="bottom"/>
            <w:gridSpan w:val="5"/>
          </w:tcPr>
          <w:p>
            <w:pPr>
              <w:jc w:val="right"/>
              <w:ind w:right="200"/>
              <w:spacing w:after="0"/>
              <w:rPr>
                <w:sz w:val="20"/>
                <w:szCs w:val="20"/>
                <w:color w:val="auto"/>
              </w:rPr>
            </w:pPr>
            <w:r>
              <w:rPr>
                <w:rFonts w:ascii="Arial" w:cs="Arial" w:eastAsia="Arial" w:hAnsi="Arial"/>
                <w:sz w:val="18"/>
                <w:szCs w:val="18"/>
                <w:color w:val="auto"/>
              </w:rPr>
              <w:t>532,748</w:t>
            </w:r>
          </w:p>
        </w:tc>
        <w:tc>
          <w:tcPr>
            <w:tcW w:w="1480" w:type="dxa"/>
            <w:vAlign w:val="bottom"/>
            <w:gridSpan w:val="5"/>
          </w:tcPr>
          <w:p>
            <w:pPr>
              <w:jc w:val="right"/>
              <w:ind w:right="180"/>
              <w:spacing w:after="0"/>
              <w:rPr>
                <w:sz w:val="20"/>
                <w:szCs w:val="20"/>
                <w:color w:val="auto"/>
              </w:rPr>
            </w:pPr>
            <w:r>
              <w:rPr>
                <w:rFonts w:ascii="Arial" w:cs="Arial" w:eastAsia="Arial" w:hAnsi="Arial"/>
                <w:sz w:val="18"/>
                <w:szCs w:val="18"/>
                <w:color w:val="auto"/>
              </w:rPr>
              <w:t>450,127</w:t>
            </w:r>
          </w:p>
        </w:tc>
        <w:tc>
          <w:tcPr>
            <w:tcW w:w="1380" w:type="dxa"/>
            <w:vAlign w:val="bottom"/>
            <w:gridSpan w:val="5"/>
          </w:tcPr>
          <w:p>
            <w:pPr>
              <w:jc w:val="right"/>
              <w:ind w:right="100"/>
              <w:spacing w:after="0"/>
              <w:rPr>
                <w:sz w:val="20"/>
                <w:szCs w:val="20"/>
                <w:color w:val="auto"/>
              </w:rPr>
            </w:pPr>
            <w:r>
              <w:rPr>
                <w:rFonts w:ascii="Arial" w:cs="Arial" w:eastAsia="Arial" w:hAnsi="Arial"/>
                <w:sz w:val="18"/>
                <w:szCs w:val="18"/>
                <w:color w:val="auto"/>
              </w:rPr>
              <w:t>753,512</w:t>
            </w:r>
          </w:p>
        </w:tc>
      </w:tr>
      <w:tr>
        <w:trPr>
          <w:trHeight w:val="34"/>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Weighted average number of ordinary shares outstanding for diluted net</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2"/>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ordinary share</w:t>
            </w:r>
          </w:p>
        </w:tc>
        <w:tc>
          <w:tcPr>
            <w:tcW w:w="13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54,550,672</w:t>
            </w:r>
          </w:p>
        </w:tc>
        <w:tc>
          <w:tcPr>
            <w:tcW w:w="17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54,901,404</w:t>
            </w:r>
          </w:p>
        </w:tc>
        <w:tc>
          <w:tcPr>
            <w:tcW w:w="148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54,386,066</w:t>
            </w:r>
          </w:p>
        </w:tc>
        <w:tc>
          <w:tcPr>
            <w:tcW w:w="13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54,888,151</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reconciliation between adjusted net income per Ordinary Share attributable to the Group and net income per Ordinary Share attributable to the Group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60" w:type="dxa"/>
            <w:vAlign w:val="bottom"/>
            <w:gridSpan w:val="15"/>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80" w:type="dxa"/>
            <w:vAlign w:val="bottom"/>
            <w:gridSpan w:val="14"/>
            <w:shd w:val="clear" w:color="auto" w:fill="CCEEFF"/>
          </w:tcPr>
          <w:p>
            <w:pPr>
              <w:jc w:val="center"/>
              <w:ind w:right="640"/>
              <w:spacing w:after="0"/>
              <w:rPr>
                <w:sz w:val="20"/>
                <w:szCs w:val="20"/>
                <w:color w:val="auto"/>
              </w:rPr>
            </w:pPr>
            <w:r>
              <w:rPr>
                <w:rFonts w:ascii="Arial" w:cs="Arial" w:eastAsia="Arial" w:hAnsi="Arial"/>
                <w:sz w:val="18"/>
                <w:szCs w:val="18"/>
                <w:b w:val="1"/>
                <w:bCs w:val="1"/>
                <w:color w:val="auto"/>
                <w:w w:val="91"/>
              </w:rPr>
              <w:t>Nine Months Ended</w:t>
            </w:r>
          </w:p>
        </w:tc>
      </w:tr>
      <w:tr>
        <w:trPr>
          <w:trHeight w:val="48"/>
        </w:trPr>
        <w:tc>
          <w:tcPr>
            <w:tcW w:w="5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5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6"/>
          </w:tcPr>
          <w:p>
            <w:pPr>
              <w:jc w:val="center"/>
              <w:spacing w:after="0" w:line="202"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8"/>
          </w:tcPr>
          <w:p>
            <w:pPr>
              <w:jc w:val="center"/>
              <w:ind w:right="140"/>
              <w:spacing w:after="0" w:line="202"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7"/>
                <w:szCs w:val="17"/>
                <w:color w:val="auto"/>
              </w:rPr>
            </w:pPr>
          </w:p>
        </w:tc>
        <w:tc>
          <w:tcPr>
            <w:tcW w:w="1300" w:type="dxa"/>
            <w:vAlign w:val="bottom"/>
            <w:gridSpan w:val="9"/>
          </w:tcPr>
          <w:p>
            <w:pPr>
              <w:jc w:val="center"/>
              <w:ind w:right="160"/>
              <w:spacing w:after="0" w:line="202"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7"/>
                <w:szCs w:val="17"/>
                <w:color w:val="auto"/>
              </w:rPr>
            </w:pPr>
          </w:p>
        </w:tc>
        <w:tc>
          <w:tcPr>
            <w:tcW w:w="1240" w:type="dxa"/>
            <w:vAlign w:val="bottom"/>
            <w:gridSpan w:val="8"/>
          </w:tcPr>
          <w:p>
            <w:pPr>
              <w:jc w:val="center"/>
              <w:ind w:right="140"/>
              <w:spacing w:after="0" w:line="202" w:lineRule="exact"/>
              <w:rPr>
                <w:sz w:val="20"/>
                <w:szCs w:val="20"/>
                <w:color w:val="auto"/>
              </w:rPr>
            </w:pPr>
            <w:r>
              <w:rPr>
                <w:rFonts w:ascii="Arial" w:cs="Arial" w:eastAsia="Arial" w:hAnsi="Arial"/>
                <w:sz w:val="18"/>
                <w:szCs w:val="18"/>
                <w:b w:val="1"/>
                <w:bCs w:val="1"/>
                <w:color w:val="auto"/>
                <w:w w:val="89"/>
              </w:rPr>
              <w:t>September 30,</w:t>
            </w:r>
          </w:p>
        </w:tc>
      </w:tr>
      <w:tr>
        <w:trPr>
          <w:trHeight w:val="196"/>
        </w:trPr>
        <w:tc>
          <w:tcPr>
            <w:tcW w:w="5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gridSpan w:val="4"/>
          </w:tcPr>
          <w:p>
            <w:pPr>
              <w:jc w:val="center"/>
              <w:ind w:left="290"/>
              <w:spacing w:after="0" w:line="196" w:lineRule="exact"/>
              <w:rPr>
                <w:sz w:val="20"/>
                <w:szCs w:val="20"/>
                <w:color w:val="auto"/>
              </w:rPr>
            </w:pPr>
            <w:r>
              <w:rPr>
                <w:rFonts w:ascii="Arial" w:cs="Arial" w:eastAsia="Arial" w:hAnsi="Arial"/>
                <w:sz w:val="18"/>
                <w:szCs w:val="18"/>
                <w:b w:val="1"/>
                <w:bCs w:val="1"/>
                <w:color w:val="auto"/>
                <w:w w:val="89"/>
              </w:rPr>
              <w:t>2018</w:t>
            </w: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top w:val="single" w:sz="8" w:color="auto"/>
            </w:tcBorders>
            <w:gridSpan w:val="4"/>
          </w:tcPr>
          <w:p>
            <w:pPr>
              <w:jc w:val="center"/>
              <w:ind w:left="270"/>
              <w:spacing w:after="0" w:line="196" w:lineRule="exact"/>
              <w:rPr>
                <w:sz w:val="20"/>
                <w:szCs w:val="20"/>
                <w:color w:val="auto"/>
              </w:rPr>
            </w:pPr>
            <w:r>
              <w:rPr>
                <w:rFonts w:ascii="Arial" w:cs="Arial" w:eastAsia="Arial" w:hAnsi="Arial"/>
                <w:sz w:val="18"/>
                <w:szCs w:val="18"/>
                <w:b w:val="1"/>
                <w:bCs w:val="1"/>
                <w:color w:val="auto"/>
                <w:w w:val="89"/>
              </w:rPr>
              <w:t>2019</w:t>
            </w:r>
          </w:p>
        </w:tc>
        <w:tc>
          <w:tcPr>
            <w:tcW w:w="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gridSpan w:val="5"/>
          </w:tcPr>
          <w:p>
            <w:pPr>
              <w:jc w:val="center"/>
              <w:ind w:left="250"/>
              <w:spacing w:after="0" w:line="196" w:lineRule="exact"/>
              <w:rPr>
                <w:sz w:val="20"/>
                <w:szCs w:val="20"/>
                <w:color w:val="auto"/>
              </w:rPr>
            </w:pPr>
            <w:r>
              <w:rPr>
                <w:rFonts w:ascii="Arial" w:cs="Arial" w:eastAsia="Arial" w:hAnsi="Arial"/>
                <w:sz w:val="18"/>
                <w:szCs w:val="18"/>
                <w:b w:val="1"/>
                <w:bCs w:val="1"/>
                <w:color w:val="auto"/>
                <w:w w:val="89"/>
              </w:rPr>
              <w:t>2018</w:t>
            </w:r>
          </w:p>
        </w:tc>
        <w:tc>
          <w:tcPr>
            <w:tcW w:w="3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
        </w:trPr>
        <w:tc>
          <w:tcPr>
            <w:tcW w:w="5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5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13"/>
            <w:shd w:val="clear" w:color="auto" w:fill="CCEEFF"/>
          </w:tcPr>
          <w:p>
            <w:pPr>
              <w:jc w:val="center"/>
              <w:ind w:right="840"/>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13"/>
            <w:shd w:val="clear" w:color="auto" w:fill="CCEEFF"/>
          </w:tcPr>
          <w:p>
            <w:pPr>
              <w:jc w:val="center"/>
              <w:ind w:right="84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Net income attributable to the Group</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8"/>
          </w:tcPr>
          <w:p>
            <w:pPr>
              <w:jc w:val="right"/>
              <w:spacing w:after="0"/>
              <w:rPr>
                <w:sz w:val="20"/>
                <w:szCs w:val="20"/>
                <w:color w:val="auto"/>
              </w:rPr>
            </w:pPr>
            <w:r>
              <w:rPr>
                <w:rFonts w:ascii="Arial" w:cs="Arial" w:eastAsia="Arial" w:hAnsi="Arial"/>
                <w:sz w:val="18"/>
                <w:szCs w:val="18"/>
                <w:color w:val="auto"/>
              </w:rPr>
              <w:t>94,825</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8"/>
          </w:tcPr>
          <w:p>
            <w:pPr>
              <w:jc w:val="right"/>
              <w:ind w:right="120"/>
              <w:spacing w:after="0"/>
              <w:rPr>
                <w:sz w:val="20"/>
                <w:szCs w:val="20"/>
                <w:color w:val="auto"/>
              </w:rPr>
            </w:pPr>
            <w:r>
              <w:rPr>
                <w:rFonts w:ascii="Arial" w:cs="Arial" w:eastAsia="Arial" w:hAnsi="Arial"/>
                <w:sz w:val="18"/>
                <w:szCs w:val="18"/>
                <w:color w:val="auto"/>
              </w:rPr>
              <w:t>84,527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9"/>
          </w:tcPr>
          <w:p>
            <w:pPr>
              <w:jc w:val="right"/>
              <w:ind w:right="160"/>
              <w:spacing w:after="0"/>
              <w:rPr>
                <w:sz w:val="20"/>
                <w:szCs w:val="20"/>
                <w:color w:val="auto"/>
              </w:rPr>
            </w:pPr>
            <w:r>
              <w:rPr>
                <w:rFonts w:ascii="Arial" w:cs="Arial" w:eastAsia="Arial" w:hAnsi="Arial"/>
                <w:sz w:val="18"/>
                <w:szCs w:val="18"/>
                <w:color w:val="auto"/>
              </w:rPr>
              <w:t>274,979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8"/>
          </w:tcPr>
          <w:p>
            <w:pPr>
              <w:jc w:val="right"/>
              <w:ind w:right="100"/>
              <w:spacing w:after="0"/>
              <w:rPr>
                <w:sz w:val="20"/>
                <w:szCs w:val="20"/>
                <w:color w:val="auto"/>
              </w:rPr>
            </w:pPr>
            <w:r>
              <w:rPr>
                <w:rFonts w:ascii="Arial" w:cs="Arial" w:eastAsia="Arial" w:hAnsi="Arial"/>
                <w:sz w:val="18"/>
                <w:szCs w:val="18"/>
                <w:color w:val="auto"/>
              </w:rPr>
              <w:t>234,493</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adjustment to redemption amount</w:t>
            </w:r>
          </w:p>
        </w:tc>
        <w:tc>
          <w:tcPr>
            <w:tcW w:w="2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9"/>
            <w:shd w:val="clear" w:color="auto" w:fill="CCEEFF"/>
          </w:tcPr>
          <w:p>
            <w:pPr>
              <w:jc w:val="right"/>
              <w:ind w:right="80"/>
              <w:spacing w:after="0"/>
              <w:rPr>
                <w:sz w:val="20"/>
                <w:szCs w:val="20"/>
                <w:color w:val="auto"/>
              </w:rPr>
            </w:pPr>
            <w:r>
              <w:rPr>
                <w:rFonts w:ascii="Arial" w:cs="Arial" w:eastAsia="Arial" w:hAnsi="Arial"/>
                <w:sz w:val="18"/>
                <w:szCs w:val="18"/>
                <w:color w:val="auto"/>
              </w:rPr>
              <w:t>(1,243)</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9"/>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the Group (including NCI redemption</w:t>
            </w: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30"/>
        </w:trPr>
        <w:tc>
          <w:tcPr>
            <w:tcW w:w="5460" w:type="dxa"/>
            <w:vAlign w:val="bottom"/>
          </w:tcPr>
          <w:p>
            <w:pPr>
              <w:ind w:left="40"/>
              <w:spacing w:after="0"/>
              <w:rPr>
                <w:sz w:val="20"/>
                <w:szCs w:val="20"/>
                <w:color w:val="auto"/>
              </w:rPr>
            </w:pPr>
            <w:r>
              <w:rPr>
                <w:rFonts w:ascii="Arial" w:cs="Arial" w:eastAsia="Arial" w:hAnsi="Arial"/>
                <w:sz w:val="18"/>
                <w:szCs w:val="18"/>
                <w:color w:val="auto"/>
              </w:rPr>
              <w:t>adjustment)</w:t>
            </w:r>
          </w:p>
        </w:tc>
        <w:tc>
          <w:tcPr>
            <w:tcW w:w="280" w:type="dxa"/>
            <w:vAlign w:val="bottom"/>
          </w:tcPr>
          <w:p>
            <w:pPr>
              <w:spacing w:after="0"/>
              <w:rPr>
                <w:sz w:val="20"/>
                <w:szCs w:val="20"/>
                <w:color w:val="auto"/>
              </w:rPr>
            </w:pPr>
          </w:p>
        </w:tc>
        <w:tc>
          <w:tcPr>
            <w:tcW w:w="1160" w:type="dxa"/>
            <w:vAlign w:val="bottom"/>
            <w:gridSpan w:val="8"/>
          </w:tcPr>
          <w:p>
            <w:pPr>
              <w:jc w:val="right"/>
              <w:spacing w:after="0"/>
              <w:rPr>
                <w:sz w:val="20"/>
                <w:szCs w:val="20"/>
                <w:color w:val="auto"/>
              </w:rPr>
            </w:pPr>
            <w:r>
              <w:rPr>
                <w:rFonts w:ascii="Arial" w:cs="Arial" w:eastAsia="Arial" w:hAnsi="Arial"/>
                <w:sz w:val="18"/>
                <w:szCs w:val="18"/>
                <w:color w:val="auto"/>
              </w:rPr>
              <w:t>93,582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8"/>
          </w:tcPr>
          <w:p>
            <w:pPr>
              <w:jc w:val="right"/>
              <w:ind w:right="120"/>
              <w:spacing w:after="0"/>
              <w:rPr>
                <w:sz w:val="20"/>
                <w:szCs w:val="20"/>
                <w:color w:val="auto"/>
              </w:rPr>
            </w:pPr>
            <w:r>
              <w:rPr>
                <w:rFonts w:ascii="Arial" w:cs="Arial" w:eastAsia="Arial" w:hAnsi="Arial"/>
                <w:sz w:val="18"/>
                <w:szCs w:val="18"/>
                <w:color w:val="auto"/>
              </w:rPr>
              <w:t>84,527</w:t>
            </w:r>
          </w:p>
        </w:tc>
        <w:tc>
          <w:tcPr>
            <w:tcW w:w="220" w:type="dxa"/>
            <w:vAlign w:val="bottom"/>
          </w:tcPr>
          <w:p>
            <w:pPr>
              <w:spacing w:after="0"/>
              <w:rPr>
                <w:sz w:val="20"/>
                <w:szCs w:val="20"/>
                <w:color w:val="auto"/>
              </w:rPr>
            </w:pPr>
          </w:p>
        </w:tc>
        <w:tc>
          <w:tcPr>
            <w:tcW w:w="1300" w:type="dxa"/>
            <w:vAlign w:val="bottom"/>
            <w:gridSpan w:val="9"/>
          </w:tcPr>
          <w:p>
            <w:pPr>
              <w:jc w:val="right"/>
              <w:ind w:right="160"/>
              <w:spacing w:after="0"/>
              <w:rPr>
                <w:sz w:val="20"/>
                <w:szCs w:val="20"/>
                <w:color w:val="auto"/>
              </w:rPr>
            </w:pPr>
            <w:r>
              <w:rPr>
                <w:rFonts w:ascii="Arial" w:cs="Arial" w:eastAsia="Arial" w:hAnsi="Arial"/>
                <w:sz w:val="18"/>
                <w:szCs w:val="18"/>
                <w:color w:val="auto"/>
              </w:rPr>
              <w:t>273,736</w:t>
            </w:r>
          </w:p>
        </w:tc>
        <w:tc>
          <w:tcPr>
            <w:tcW w:w="180" w:type="dxa"/>
            <w:vAlign w:val="bottom"/>
          </w:tcPr>
          <w:p>
            <w:pPr>
              <w:spacing w:after="0"/>
              <w:rPr>
                <w:sz w:val="20"/>
                <w:szCs w:val="20"/>
                <w:color w:val="auto"/>
              </w:rPr>
            </w:pPr>
          </w:p>
        </w:tc>
        <w:tc>
          <w:tcPr>
            <w:tcW w:w="1240" w:type="dxa"/>
            <w:vAlign w:val="bottom"/>
            <w:gridSpan w:val="8"/>
          </w:tcPr>
          <w:p>
            <w:pPr>
              <w:jc w:val="right"/>
              <w:ind w:right="100"/>
              <w:spacing w:after="0"/>
              <w:rPr>
                <w:sz w:val="20"/>
                <w:szCs w:val="20"/>
                <w:color w:val="auto"/>
              </w:rPr>
            </w:pPr>
            <w:r>
              <w:rPr>
                <w:rFonts w:ascii="Arial" w:cs="Arial" w:eastAsia="Arial" w:hAnsi="Arial"/>
                <w:sz w:val="18"/>
                <w:szCs w:val="18"/>
                <w:color w:val="auto"/>
              </w:rPr>
              <w:t>234,493</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331"/>
        </w:trPr>
        <w:tc>
          <w:tcPr>
            <w:tcW w:w="546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gridSpan w:val="3"/>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gridSpan w:val="3"/>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r>
      <w:tr>
        <w:trPr>
          <w:trHeight w:val="338"/>
        </w:trPr>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5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60" w:type="dxa"/>
            <w:vAlign w:val="bottom"/>
            <w:gridSpan w:val="15"/>
            <w:shd w:val="clear" w:color="auto" w:fill="CCEEFF"/>
          </w:tcPr>
          <w:p>
            <w:pPr>
              <w:jc w:val="center"/>
              <w:ind w:right="480"/>
              <w:spacing w:after="0" w:line="202" w:lineRule="exact"/>
              <w:rPr>
                <w:sz w:val="20"/>
                <w:szCs w:val="20"/>
                <w:color w:val="auto"/>
              </w:rPr>
            </w:pPr>
            <w:r>
              <w:rPr>
                <w:rFonts w:ascii="Arial" w:cs="Arial" w:eastAsia="Arial" w:hAnsi="Arial"/>
                <w:sz w:val="18"/>
                <w:szCs w:val="18"/>
                <w:b w:val="1"/>
                <w:bCs w:val="1"/>
                <w:color w:val="auto"/>
                <w:w w:val="92"/>
              </w:rPr>
              <w:t>Three Months Ended</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80" w:type="dxa"/>
            <w:vAlign w:val="bottom"/>
            <w:gridSpan w:val="14"/>
            <w:shd w:val="clear" w:color="auto" w:fill="CCEEFF"/>
          </w:tcPr>
          <w:p>
            <w:pPr>
              <w:jc w:val="center"/>
              <w:ind w:right="640"/>
              <w:spacing w:after="0" w:line="202" w:lineRule="exact"/>
              <w:rPr>
                <w:sz w:val="20"/>
                <w:szCs w:val="20"/>
                <w:color w:val="auto"/>
              </w:rPr>
            </w:pPr>
            <w:r>
              <w:rPr>
                <w:rFonts w:ascii="Arial" w:cs="Arial" w:eastAsia="Arial" w:hAnsi="Arial"/>
                <w:sz w:val="18"/>
                <w:szCs w:val="18"/>
                <w:b w:val="1"/>
                <w:bCs w:val="1"/>
                <w:color w:val="auto"/>
                <w:w w:val="91"/>
              </w:rPr>
              <w:t>Nine Months Ended</w:t>
            </w:r>
          </w:p>
        </w:tc>
      </w:tr>
      <w:tr>
        <w:trPr>
          <w:trHeight w:val="48"/>
        </w:trPr>
        <w:tc>
          <w:tcPr>
            <w:tcW w:w="5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5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8"/>
          </w:tcPr>
          <w:p>
            <w:pPr>
              <w:jc w:val="right"/>
              <w:ind w:right="140"/>
              <w:spacing w:after="0" w:line="202" w:lineRule="exact"/>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7"/>
          </w:tcPr>
          <w:p>
            <w:pPr>
              <w:jc w:val="center"/>
              <w:ind w:right="120"/>
              <w:spacing w:after="0" w:line="202"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8"/>
          </w:tcPr>
          <w:p>
            <w:pPr>
              <w:jc w:val="center"/>
              <w:ind w:right="140"/>
              <w:spacing w:after="0" w:line="202"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7"/>
                <w:szCs w:val="17"/>
                <w:color w:val="auto"/>
              </w:rPr>
            </w:pPr>
          </w:p>
        </w:tc>
        <w:tc>
          <w:tcPr>
            <w:tcW w:w="1240" w:type="dxa"/>
            <w:vAlign w:val="bottom"/>
            <w:gridSpan w:val="8"/>
          </w:tcPr>
          <w:p>
            <w:pPr>
              <w:jc w:val="center"/>
              <w:ind w:right="60"/>
              <w:spacing w:after="0" w:line="202" w:lineRule="exact"/>
              <w:rPr>
                <w:sz w:val="20"/>
                <w:szCs w:val="20"/>
                <w:color w:val="auto"/>
              </w:rPr>
            </w:pPr>
            <w:r>
              <w:rPr>
                <w:rFonts w:ascii="Arial" w:cs="Arial" w:eastAsia="Arial" w:hAnsi="Arial"/>
                <w:sz w:val="18"/>
                <w:szCs w:val="18"/>
                <w:b w:val="1"/>
                <w:bCs w:val="1"/>
                <w:color w:val="auto"/>
                <w:w w:val="89"/>
              </w:rPr>
              <w:t>September 30,</w:t>
            </w:r>
          </w:p>
        </w:tc>
      </w:tr>
      <w:tr>
        <w:trPr>
          <w:trHeight w:val="20"/>
        </w:trPr>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110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7"/>
          </w:tcPr>
          <w:p>
            <w:pPr>
              <w:jc w:val="right"/>
              <w:ind w:right="120"/>
              <w:spacing w:after="0" w:line="196"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7"/>
                <w:szCs w:val="17"/>
                <w:color w:val="auto"/>
              </w:rPr>
            </w:pPr>
          </w:p>
        </w:tc>
        <w:tc>
          <w:tcPr>
            <w:tcW w:w="1140" w:type="dxa"/>
            <w:vAlign w:val="bottom"/>
            <w:gridSpan w:val="8"/>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8"/>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5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5"/>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4"/>
              </w:rPr>
              <w:t>Net income per Ordinary Share attributable to the Group (including</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1"/>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NCI redemption adjustment):</w:t>
            </w:r>
          </w:p>
        </w:tc>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Basic (GAAP)</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8"/>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8"/>
          </w:tcPr>
          <w:p>
            <w:pPr>
              <w:jc w:val="right"/>
              <w:ind w:right="120"/>
              <w:spacing w:after="0"/>
              <w:rPr>
                <w:sz w:val="20"/>
                <w:szCs w:val="20"/>
                <w:color w:val="auto"/>
              </w:rPr>
            </w:pPr>
            <w:r>
              <w:rPr>
                <w:rFonts w:ascii="Arial" w:cs="Arial" w:eastAsia="Arial" w:hAnsi="Arial"/>
                <w:sz w:val="18"/>
                <w:szCs w:val="18"/>
                <w:color w:val="auto"/>
              </w:rPr>
              <w:t>1.55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9"/>
          </w:tcPr>
          <w:p>
            <w:pPr>
              <w:jc w:val="right"/>
              <w:ind w:right="160"/>
              <w:spacing w:after="0"/>
              <w:rPr>
                <w:sz w:val="20"/>
                <w:szCs w:val="20"/>
                <w:color w:val="auto"/>
              </w:rPr>
            </w:pPr>
            <w:r>
              <w:rPr>
                <w:rFonts w:ascii="Arial" w:cs="Arial" w:eastAsia="Arial" w:hAnsi="Arial"/>
                <w:sz w:val="18"/>
                <w:szCs w:val="18"/>
                <w:color w:val="auto"/>
              </w:rPr>
              <w:t>5.08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8"/>
          </w:tcPr>
          <w:p>
            <w:pPr>
              <w:jc w:val="right"/>
              <w:ind w:right="100"/>
              <w:spacing w:after="0"/>
              <w:rPr>
                <w:sz w:val="20"/>
                <w:szCs w:val="20"/>
                <w:color w:val="auto"/>
              </w:rPr>
            </w:pPr>
            <w:r>
              <w:rPr>
                <w:rFonts w:ascii="Arial" w:cs="Arial" w:eastAsia="Arial" w:hAnsi="Arial"/>
                <w:sz w:val="18"/>
                <w:szCs w:val="18"/>
                <w:color w:val="auto"/>
              </w:rPr>
              <w:t>4.33</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(GAAP)</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8"/>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9"/>
            <w:shd w:val="clear" w:color="auto" w:fill="CCEEFF"/>
          </w:tcPr>
          <w:p>
            <w:pPr>
              <w:jc w:val="right"/>
              <w:ind w:right="160"/>
              <w:spacing w:after="0"/>
              <w:rPr>
                <w:sz w:val="20"/>
                <w:szCs w:val="20"/>
                <w:color w:val="auto"/>
              </w:rPr>
            </w:pPr>
            <w:r>
              <w:rPr>
                <w:rFonts w:ascii="Arial" w:cs="Arial" w:eastAsia="Arial" w:hAnsi="Arial"/>
                <w:sz w:val="18"/>
                <w:szCs w:val="18"/>
                <w:color w:val="auto"/>
              </w:rPr>
              <w:t>5.03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8"/>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r>
      <w:tr>
        <w:trPr>
          <w:trHeight w:val="270"/>
        </w:trPr>
        <w:tc>
          <w:tcPr>
            <w:tcW w:w="5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5"/>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6"/>
              </w:rPr>
              <w:t>Adjusted net income per Ordinary Share attributable to the Group</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1"/>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(excluding NCI redemption adjustment):</w:t>
            </w:r>
          </w:p>
        </w:tc>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Adjusted basic (non-GAAP)</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8"/>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8"/>
          </w:tcPr>
          <w:p>
            <w:pPr>
              <w:jc w:val="right"/>
              <w:ind w:right="120"/>
              <w:spacing w:after="0"/>
              <w:rPr>
                <w:sz w:val="20"/>
                <w:szCs w:val="20"/>
                <w:color w:val="auto"/>
              </w:rPr>
            </w:pPr>
            <w:r>
              <w:rPr>
                <w:rFonts w:ascii="Arial" w:cs="Arial" w:eastAsia="Arial" w:hAnsi="Arial"/>
                <w:sz w:val="18"/>
                <w:szCs w:val="18"/>
                <w:color w:val="auto"/>
              </w:rPr>
              <w:t>1.55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9"/>
          </w:tcPr>
          <w:p>
            <w:pPr>
              <w:jc w:val="right"/>
              <w:ind w:right="160"/>
              <w:spacing w:after="0"/>
              <w:rPr>
                <w:sz w:val="20"/>
                <w:szCs w:val="20"/>
                <w:color w:val="auto"/>
              </w:rPr>
            </w:pPr>
            <w:r>
              <w:rPr>
                <w:rFonts w:ascii="Arial" w:cs="Arial" w:eastAsia="Arial" w:hAnsi="Arial"/>
                <w:sz w:val="18"/>
                <w:szCs w:val="18"/>
                <w:color w:val="auto"/>
              </w:rPr>
              <w:t>5.10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8"/>
          </w:tcPr>
          <w:p>
            <w:pPr>
              <w:jc w:val="right"/>
              <w:ind w:right="100"/>
              <w:spacing w:after="0"/>
              <w:rPr>
                <w:sz w:val="20"/>
                <w:szCs w:val="20"/>
                <w:color w:val="auto"/>
              </w:rPr>
            </w:pPr>
            <w:r>
              <w:rPr>
                <w:rFonts w:ascii="Arial" w:cs="Arial" w:eastAsia="Arial" w:hAnsi="Arial"/>
                <w:sz w:val="18"/>
                <w:szCs w:val="18"/>
                <w:color w:val="auto"/>
              </w:rPr>
              <w:t>4.33</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diluted (non-GAAP)</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8"/>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9"/>
            <w:shd w:val="clear" w:color="auto" w:fill="CCEEFF"/>
          </w:tcPr>
          <w:p>
            <w:pPr>
              <w:jc w:val="right"/>
              <w:ind w:right="160"/>
              <w:spacing w:after="0"/>
              <w:rPr>
                <w:sz w:val="20"/>
                <w:szCs w:val="20"/>
                <w:color w:val="auto"/>
              </w:rPr>
            </w:pPr>
            <w:r>
              <w:rPr>
                <w:rFonts w:ascii="Arial" w:cs="Arial" w:eastAsia="Arial" w:hAnsi="Arial"/>
                <w:sz w:val="18"/>
                <w:szCs w:val="18"/>
                <w:color w:val="auto"/>
              </w:rPr>
              <w:t>5.06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8"/>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r>
      <w:tr>
        <w:trPr>
          <w:trHeight w:val="331"/>
        </w:trPr>
        <w:tc>
          <w:tcPr>
            <w:tcW w:w="5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8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11. Share-based awards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3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14, 2017, both the 2008 Employee Plan and the 2008 Consultants Plan (together the “2008 Option Plans”) were amended and restated in order to increase the number of options that can be issued under the 2008 Consultants Plan from 400,000 to 1.0 million and to extend the date for options to be granted under the 2008 Option Plans.</w:t>
      </w:r>
    </w:p>
    <w:p>
      <w:pPr>
        <w:spacing w:after="0" w:line="2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February 14, 2027.</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Prior to 2018, share options typically vest over a period of five years from date of grant and expire eight years from date of grant. Share options granted to non-executive directors during 2018 vest over 12 months and expire eight years from the date of grant. The maximum contractual term of options outstanding at September 30, 2019 is eight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nine months ended September 30, 2019:</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8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408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Weighted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Average</w:t>
            </w:r>
          </w:p>
        </w:tc>
      </w:tr>
      <w:tr>
        <w:trPr>
          <w:trHeight w:val="216"/>
        </w:trPr>
        <w:tc>
          <w:tcPr>
            <w:tcW w:w="408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5"/>
              </w:rPr>
              <w:t>Average Grant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408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Exercise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Date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Contractual</w:t>
            </w:r>
          </w:p>
        </w:tc>
      </w:tr>
      <w:tr>
        <w:trPr>
          <w:trHeight w:val="241"/>
        </w:trPr>
        <w:tc>
          <w:tcPr>
            <w:tcW w:w="408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Price</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Life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2620" w:type="dxa"/>
            <w:vAlign w:val="bottom"/>
          </w:tcPr>
          <w:p>
            <w:pPr>
              <w:jc w:val="right"/>
              <w:ind w:right="70"/>
              <w:spacing w:after="0"/>
              <w:rPr>
                <w:sz w:val="20"/>
                <w:szCs w:val="20"/>
                <w:color w:val="auto"/>
              </w:rPr>
            </w:pPr>
            <w:r>
              <w:rPr>
                <w:rFonts w:ascii="Arial" w:cs="Arial" w:eastAsia="Arial" w:hAnsi="Arial"/>
                <w:sz w:val="18"/>
                <w:szCs w:val="18"/>
                <w:color w:val="auto"/>
              </w:rPr>
              <w:t>920,746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74.32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22.39</w:t>
            </w:r>
          </w:p>
        </w:tc>
        <w:tc>
          <w:tcPr>
            <w:tcW w:w="1320" w:type="dxa"/>
            <w:vAlign w:val="bottom"/>
          </w:tcPr>
          <w:p>
            <w:pPr>
              <w:spacing w:after="0"/>
              <w:rPr>
                <w:sz w:val="21"/>
                <w:szCs w:val="21"/>
                <w:color w:val="auto"/>
              </w:rPr>
            </w:pPr>
          </w:p>
        </w:tc>
      </w:tr>
      <w:tr>
        <w:trPr>
          <w:trHeight w:val="34"/>
        </w:trPr>
        <w:tc>
          <w:tcPr>
            <w:tcW w:w="40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97,112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43.43</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Exercised</w:t>
            </w: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(317,713)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19.93</w:t>
            </w:r>
          </w:p>
        </w:tc>
        <w:tc>
          <w:tcPr>
            <w:tcW w:w="132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2"/>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(28,060)</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26.82</w:t>
            </w:r>
          </w:p>
        </w:tc>
        <w:tc>
          <w:tcPr>
            <w:tcW w:w="1320" w:type="dxa"/>
            <w:vAlign w:val="bottom"/>
            <w:tcBorders>
              <w:bottom w:val="single" w:sz="8" w:color="CCEEFF"/>
            </w:tcBorders>
            <w:shd w:val="clear" w:color="auto" w:fill="CCEEFF"/>
          </w:tcPr>
          <w:p>
            <w:pPr>
              <w:spacing w:after="0"/>
              <w:rPr>
                <w:sz w:val="24"/>
                <w:szCs w:val="24"/>
                <w:color w:val="auto"/>
              </w:rPr>
            </w:pPr>
          </w:p>
        </w:tc>
      </w:tr>
      <w:tr>
        <w:trPr>
          <w:trHeight w:val="297"/>
        </w:trPr>
        <w:tc>
          <w:tcPr>
            <w:tcW w:w="408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75"/>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2019</w:t>
            </w:r>
          </w:p>
        </w:tc>
        <w:tc>
          <w:tcPr>
            <w:tcW w:w="2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672,085</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26.41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0"/>
        </w:trPr>
        <w:tc>
          <w:tcPr>
            <w:tcW w:w="408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5"/>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September 30, 2019</w:t>
            </w:r>
          </w:p>
        </w:tc>
        <w:tc>
          <w:tcPr>
            <w:tcW w:w="2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310,834</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20.77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0"/>
        </w:trPr>
        <w:tc>
          <w:tcPr>
            <w:tcW w:w="408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2" w:right="239" w:bottom="1440" w:gutter="0" w:footer="0" w:header="0"/>
          <w:type w:val="continuous"/>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The Company has outstanding options with fair values ranging from $9.72 to $43.59 per option or a weighted average fair value of $15.60 per option. The Company issues ordinary shares for all options exercised. The total amount of fully vested share options which remained outstanding at September 30, 2019 was 310,834. Fully vested share options at September 30, 2019 have an average remaining contractual term of 3.83 years, an average exercise price of $67.84 and a total intrinsic value of $24.7 million. The total intrinsic value of options exercised during the nine months ended September 30, 2019 was $24.9 million (September 30, 2018: $32.6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nine months ended September 30, 2019:</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shd w:val="clear" w:color="auto" w:fill="CCEEFF"/>
          </w:tcPr>
          <w:p>
            <w:pPr>
              <w:spacing w:after="0"/>
              <w:rPr>
                <w:sz w:val="19"/>
                <w:szCs w:val="19"/>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Grant Date Fair</w:t>
            </w:r>
          </w:p>
        </w:tc>
      </w:tr>
      <w:tr>
        <w:trPr>
          <w:trHeight w:val="241"/>
        </w:trPr>
        <w:tc>
          <w:tcPr>
            <w:tcW w:w="528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Exercise Price</w:t>
            </w: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Value</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Non-vested outstanding at December 31, 2018</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522,823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88.18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26.41</w:t>
            </w:r>
          </w:p>
        </w:tc>
      </w:tr>
      <w:tr>
        <w:trPr>
          <w:trHeight w:val="34"/>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Granted</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97,112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140.13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43.43</w:t>
            </w:r>
          </w:p>
        </w:tc>
      </w:tr>
      <w:tr>
        <w:trPr>
          <w:trHeight w:val="27"/>
        </w:trPr>
        <w:tc>
          <w:tcPr>
            <w:tcW w:w="5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(233,861)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84.91</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000" w:type="dxa"/>
            <w:vAlign w:val="bottom"/>
          </w:tcPr>
          <w:p>
            <w:pPr>
              <w:jc w:val="right"/>
              <w:ind w:right="10"/>
              <w:spacing w:after="0"/>
              <w:rPr>
                <w:sz w:val="20"/>
                <w:szCs w:val="20"/>
                <w:color w:val="auto"/>
              </w:rPr>
            </w:pPr>
            <w:r>
              <w:rPr>
                <w:rFonts w:ascii="Arial" w:cs="Arial" w:eastAsia="Arial" w:hAnsi="Arial"/>
                <w:sz w:val="18"/>
                <w:szCs w:val="18"/>
                <w:color w:val="auto"/>
              </w:rPr>
              <w:t>(24,823)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97.28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29.20</w:t>
            </w:r>
          </w:p>
        </w:tc>
      </w:tr>
      <w:tr>
        <w:trPr>
          <w:trHeight w:val="34"/>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Non-vested outstanding at September 30, 2019</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361,251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103.63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31.26</w:t>
            </w:r>
          </w:p>
        </w:tc>
      </w:tr>
      <w:tr>
        <w:trPr>
          <w:trHeight w:val="27"/>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options granted during the nine months ended September 30, 2019 and September 30, 2018 was calculated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The weighted average grant date fair values and assumptions used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9060"/>
        <w:spacing w:after="0"/>
        <w:rPr>
          <w:sz w:val="20"/>
          <w:szCs w:val="20"/>
          <w:color w:val="auto"/>
        </w:rPr>
      </w:pPr>
      <w:r>
        <w:rPr>
          <w:rFonts w:ascii="Arial" w:cs="Arial" w:eastAsia="Arial" w:hAnsi="Arial"/>
          <w:sz w:val="18"/>
          <w:szCs w:val="18"/>
          <w:b w:val="1"/>
          <w:bCs w:val="1"/>
          <w:u w:val="single" w:color="auto"/>
          <w:color w:val="auto"/>
        </w:rPr>
        <w:t>Nine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2"/>
              </w:rPr>
              <w:t>September 30,</w:t>
            </w:r>
          </w:p>
        </w:tc>
        <w:tc>
          <w:tcPr>
            <w:tcW w:w="26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4"/>
              </w:rPr>
              <w:t>September 30,</w:t>
            </w:r>
          </w:p>
        </w:tc>
      </w:tr>
      <w:tr>
        <w:trPr>
          <w:trHeight w:val="196"/>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82"/>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36.84</w:t>
            </w:r>
          </w:p>
        </w:tc>
      </w:tr>
      <w:tr>
        <w:trPr>
          <w:trHeight w:val="203"/>
        </w:trPr>
        <w:tc>
          <w:tcPr>
            <w:tcW w:w="5520" w:type="dxa"/>
            <w:vAlign w:val="bottom"/>
            <w:tcBorders>
              <w:top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Assumptions:</w:t>
            </w:r>
          </w:p>
        </w:tc>
        <w:tc>
          <w:tcPr>
            <w:tcW w:w="28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8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Dividend yield</w:t>
            </w:r>
          </w:p>
        </w:tc>
        <w:tc>
          <w:tcPr>
            <w:tcW w:w="2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8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Expected life</w:t>
            </w:r>
          </w:p>
        </w:tc>
        <w:tc>
          <w:tcPr>
            <w:tcW w:w="2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5 years</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5 years</w:t>
            </w:r>
          </w:p>
        </w:tc>
      </w:tr>
      <w:tr>
        <w:trPr>
          <w:trHeight w:val="27"/>
        </w:trPr>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9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awards are at par value and vest over a service period.</w:t>
      </w:r>
    </w:p>
    <w:p>
      <w:pPr>
        <w:sectPr>
          <w:pgSz w:w="11900" w:h="16838" w:orient="portrait"/>
          <w:cols w:equalWidth="0" w:num="1">
            <w:col w:w="11420"/>
          </w:cols>
          <w:pgMar w:left="240" w:top="746" w:right="239" w:bottom="100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6" w:right="239" w:bottom="1000" w:gutter="0" w:footer="0" w:header="0"/>
          <w:type w:val="continuous"/>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in May 2019 vest over twelve months.</w:t>
      </w:r>
    </w:p>
    <w:p>
      <w:pPr>
        <w:spacing w:after="0" w:line="13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nine months ended September 30, 2019:</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PSU</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RSU</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PSU</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Weighted</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RSU</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Weighted</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PSU</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Weighted</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Average</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RSU</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Weighted</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Average</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Outstanding</w:t>
            </w:r>
          </w:p>
        </w:tc>
        <w:tc>
          <w:tcPr>
            <w:tcW w:w="1540" w:type="dxa"/>
            <w:vAlign w:val="bottom"/>
            <w:gridSpan w:val="2"/>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Average Grant</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Remaining</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Outstanding</w:t>
            </w:r>
          </w:p>
        </w:tc>
        <w:tc>
          <w:tcPr>
            <w:tcW w:w="1500" w:type="dxa"/>
            <w:vAlign w:val="bottom"/>
            <w:gridSpan w:val="2"/>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Average Grant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Remaining</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Number of</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Date</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Contractual</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Number of</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Date</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Contractual</w:t>
            </w:r>
          </w:p>
        </w:tc>
      </w:tr>
      <w:tr>
        <w:trPr>
          <w:trHeight w:val="233"/>
        </w:trPr>
        <w:tc>
          <w:tcPr>
            <w:tcW w:w="30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Shares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Fair Value</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Life</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Shares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Fair Value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Life</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251,053</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89.95</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0.96</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534,677</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89.50</w:t>
            </w: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4"/>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7"/>
        </w:trPr>
        <w:tc>
          <w:tcPr>
            <w:tcW w:w="30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60,182</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140.13</w:t>
            </w:r>
          </w:p>
        </w:tc>
        <w:tc>
          <w:tcPr>
            <w:tcW w:w="134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158,341</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138.24</w:t>
            </w:r>
          </w:p>
        </w:tc>
        <w:tc>
          <w:tcPr>
            <w:tcW w:w="118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vested</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(118,611)</w:t>
            </w:r>
          </w:p>
        </w:tc>
        <w:tc>
          <w:tcPr>
            <w:tcW w:w="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71.45</w:t>
            </w:r>
          </w:p>
        </w:tc>
        <w:tc>
          <w:tcPr>
            <w:tcW w:w="1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(234,395)</w:t>
            </w: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68.97</w:t>
            </w: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(14,847)</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90.72</w:t>
            </w:r>
          </w:p>
        </w:tc>
        <w:tc>
          <w:tcPr>
            <w:tcW w:w="1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(52,411)</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103.61</w:t>
            </w:r>
          </w:p>
        </w:tc>
        <w:tc>
          <w:tcPr>
            <w:tcW w:w="1180" w:type="dxa"/>
            <w:vAlign w:val="bottom"/>
          </w:tcPr>
          <w:p>
            <w:pPr>
              <w:spacing w:after="0"/>
              <w:rPr>
                <w:sz w:val="21"/>
                <w:szCs w:val="21"/>
                <w:color w:val="auto"/>
              </w:rPr>
            </w:pPr>
          </w:p>
        </w:tc>
      </w:tr>
      <w:tr>
        <w:trPr>
          <w:trHeight w:val="34"/>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7"/>
        </w:trPr>
        <w:tc>
          <w:tcPr>
            <w:tcW w:w="30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Outstanding at September 30, 2019</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177,777</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110.73</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1.28</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406,212</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118.52</w:t>
            </w: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PSUs vested for the nine months ended September 30, 2019 totaled $8.5 million (full year 2018: $14.7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nine months ended September 30, 2019 totaled $16.2 million (full year 2018: $18.8 million).</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PSUs vest based on service and specified EPS targets over the periods 2017 – 2019, 2018 – 2020 and 2019 – 2021. Depending on the amount of EPS from 2017 to 2021, up to an additional 76,321 PSUs may also be granted.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Non-cash stock compensation expense for the three and nine months ended September 30, 2019 and September 30, 2018 has been allocated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80" w:type="dxa"/>
            <w:vAlign w:val="bottom"/>
            <w:gridSpan w:val="8"/>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80" w:type="dxa"/>
            <w:vAlign w:val="bottom"/>
            <w:gridSpan w:val="9"/>
            <w:shd w:val="clear" w:color="auto" w:fill="CCEEFF"/>
          </w:tcPr>
          <w:p>
            <w:pPr>
              <w:jc w:val="center"/>
              <w:ind w:right="640"/>
              <w:spacing w:after="0"/>
              <w:rPr>
                <w:sz w:val="20"/>
                <w:szCs w:val="20"/>
                <w:color w:val="auto"/>
              </w:rPr>
            </w:pPr>
            <w:r>
              <w:rPr>
                <w:rFonts w:ascii="Arial" w:cs="Arial" w:eastAsia="Arial" w:hAnsi="Arial"/>
                <w:sz w:val="18"/>
                <w:szCs w:val="18"/>
                <w:b w:val="1"/>
                <w:bCs w:val="1"/>
                <w:color w:val="auto"/>
                <w:w w:val="91"/>
              </w:rPr>
              <w:t>Nine Months Ended</w:t>
            </w:r>
          </w:p>
        </w:tc>
      </w:tr>
      <w:tr>
        <w:trPr>
          <w:trHeight w:val="48"/>
        </w:trPr>
        <w:tc>
          <w:tcPr>
            <w:tcW w:w="410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4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w w:val="90"/>
              </w:rPr>
              <w:t>September 30,</w:t>
            </w:r>
          </w:p>
        </w:tc>
        <w:tc>
          <w:tcPr>
            <w:tcW w:w="380" w:type="dxa"/>
            <w:vAlign w:val="bottom"/>
          </w:tcPr>
          <w:p>
            <w:pPr>
              <w:spacing w:after="0"/>
              <w:rPr>
                <w:sz w:val="17"/>
                <w:szCs w:val="17"/>
                <w:color w:val="auto"/>
              </w:rPr>
            </w:pPr>
          </w:p>
        </w:tc>
        <w:tc>
          <w:tcPr>
            <w:tcW w:w="120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86"/>
              </w:rPr>
              <w:t>September 30,</w:t>
            </w:r>
          </w:p>
        </w:tc>
        <w:tc>
          <w:tcPr>
            <w:tcW w:w="260" w:type="dxa"/>
            <w:vAlign w:val="bottom"/>
          </w:tcPr>
          <w:p>
            <w:pPr>
              <w:spacing w:after="0"/>
              <w:rPr>
                <w:sz w:val="17"/>
                <w:szCs w:val="17"/>
                <w:color w:val="auto"/>
              </w:rPr>
            </w:pPr>
          </w:p>
        </w:tc>
        <w:tc>
          <w:tcPr>
            <w:tcW w:w="122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17"/>
                <w:szCs w:val="17"/>
                <w:color w:val="auto"/>
              </w:rPr>
            </w:pPr>
          </w:p>
        </w:tc>
        <w:tc>
          <w:tcPr>
            <w:tcW w:w="122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17"/>
                <w:szCs w:val="17"/>
                <w:color w:val="auto"/>
              </w:rPr>
            </w:pPr>
          </w:p>
        </w:tc>
        <w:tc>
          <w:tcPr>
            <w:tcW w:w="120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4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4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7"/>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9"/>
            <w:shd w:val="clear" w:color="auto" w:fill="CCEEFF"/>
          </w:tcPr>
          <w:p>
            <w:pPr>
              <w:jc w:val="center"/>
              <w:ind w:right="64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4,535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4,708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11,607</w:t>
            </w:r>
          </w:p>
        </w:tc>
        <w:tc>
          <w:tcPr>
            <w:tcW w:w="1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13,761</w:t>
            </w:r>
          </w:p>
        </w:tc>
      </w:tr>
      <w:tr>
        <w:trPr>
          <w:trHeight w:val="27"/>
        </w:trPr>
        <w:tc>
          <w:tcPr>
            <w:tcW w:w="4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3,836</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9,458</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11,213</w:t>
            </w:r>
          </w:p>
        </w:tc>
      </w:tr>
      <w:tr>
        <w:trPr>
          <w:trHeight w:val="270"/>
        </w:trPr>
        <w:tc>
          <w:tcPr>
            <w:tcW w:w="4100" w:type="dxa"/>
            <w:vAlign w:val="bottom"/>
            <w:tcBorders>
              <w:top w:val="single" w:sz="8" w:color="auto"/>
            </w:tcBorders>
          </w:tcPr>
          <w:p>
            <w:pPr>
              <w:spacing w:after="0"/>
              <w:rPr>
                <w:sz w:val="23"/>
                <w:szCs w:val="23"/>
                <w:color w:val="auto"/>
              </w:rPr>
            </w:pPr>
          </w:p>
        </w:tc>
        <w:tc>
          <w:tcPr>
            <w:tcW w:w="16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4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8,231</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8,544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21,065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24,974</w:t>
            </w:r>
          </w:p>
        </w:tc>
      </w:tr>
      <w:tr>
        <w:trPr>
          <w:trHeight w:val="20"/>
        </w:trPr>
        <w:tc>
          <w:tcPr>
            <w:tcW w:w="4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non-cash stock compensation expense not yet recognized at September 30, 2019 amounted to $50.9 million. The weighted average period over which this is expected to be recognized is 2.34 years.</w:t>
      </w:r>
    </w:p>
    <w:p>
      <w:pPr>
        <w:sectPr>
          <w:pgSz w:w="11900" w:h="16838" w:orient="portrait"/>
          <w:cols w:equalWidth="0" w:num="1">
            <w:col w:w="11420"/>
          </w:cols>
          <w:pgMar w:left="240" w:top="1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125"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12. Share capital</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8, 2019, the Company commenced a share buyback program of up to 1.0 million shares. The Company can acquire up to 10% of its outstanding ordinary shares (by way of redemption), in accordance with Irish law, the United States securities laws, and the Company’s constitutional documents through open market share acquisitions.</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buyback program gives a broker authority to acquire the Company’s ordinary shares from time to time on the open market in accordance with agreed terms and limitations. The acquisition of shares pursuant to the buyback program was effected by way of redemption and cancellation of the shares, in accordance with the Constitution of the Company.</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nine months ended September 30, 2019 1.0 million ordinary shares were redeemed by the Company under this buyback program for a total consideration of $141.6 million. All ordinary shares that were redeemed under the buyback program were canceled in accordance with the Constitution of the Company and the nominal value of these shares transferred to an other undenominated capital reserve as required under Irish Company Law.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 information</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The Company determined that the CODM was comprised of the Chief Executive Officer and the Chief Financial Officer.</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determines and presents operating segments based on the information that is provided to the CODM. The Company operates as one single business segment, which is the provision of outsourced development services on a global basis to the pharmaceutical, biotechnology and medical devices industries. There have been no changes to the basis of segmentation or the measurement basis for the segment results in the period.</w:t>
      </w:r>
    </w:p>
    <w:p>
      <w:pPr>
        <w:spacing w:after="0" w:line="2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 up policy is reviewed annually to ensure that it is market appropriate.</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areas of operation outside of Ireland include the United States, United Kingdom, Belgium, France, Germany, Italy, Spain, The Netherlands, Sweden, Turkey, Poland, Bulgaria, Portugal, Czech Republic, Latvia, Russia, Ukraine, Hungary, Israel, Romania, Canada, Mexico, Brazil, Colombia, Argentina, Chile, Peru, India, China (including Hong Kong), South Korea,</w:t>
      </w:r>
    </w:p>
    <w:p>
      <w:pPr>
        <w:sectPr>
          <w:pgSz w:w="11900" w:h="16838" w:orient="portrait"/>
          <w:cols w:equalWidth="0" w:num="1">
            <w:col w:w="11420"/>
          </w:cols>
          <w:pgMar w:left="240" w:top="74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2"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Japan, Thailand, Taiwan, Singapore, The Philippines, Australia, New Zealand, South Africa and Serbia.</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geographical distribution of the Company’s segment measures as at September 30, 2019 and December 31, 2018 and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September 30, 2018 is as follows: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distribution of revenue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120" w:type="dxa"/>
            <w:vAlign w:val="bottom"/>
            <w:gridSpan w:val="9"/>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40" w:type="dxa"/>
            <w:vAlign w:val="bottom"/>
            <w:gridSpan w:val="10"/>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1"/>
              </w:rPr>
              <w:t>Nine Months Ended</w:t>
            </w:r>
          </w:p>
        </w:tc>
      </w:tr>
      <w:tr>
        <w:trPr>
          <w:trHeight w:val="48"/>
        </w:trPr>
        <w:tc>
          <w:tcPr>
            <w:tcW w:w="360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6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5"/>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360" w:type="dxa"/>
            <w:vAlign w:val="bottom"/>
            <w:gridSpan w:val="6"/>
          </w:tcPr>
          <w:p>
            <w:pPr>
              <w:jc w:val="right"/>
              <w:ind w:right="120"/>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1360" w:type="dxa"/>
            <w:vAlign w:val="bottom"/>
            <w:gridSpan w:val="6"/>
          </w:tcPr>
          <w:p>
            <w:pPr>
              <w:ind w:left="160"/>
              <w:spacing w:after="0" w:line="202"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3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36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9"/>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Ireland *</w:t>
            </w:r>
          </w:p>
        </w:tc>
        <w:tc>
          <w:tcPr>
            <w:tcW w:w="29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320,459</w:t>
            </w:r>
          </w:p>
        </w:tc>
        <w:tc>
          <w:tcPr>
            <w:tcW w:w="120" w:type="dxa"/>
            <w:vAlign w:val="bottom"/>
          </w:tcPr>
          <w:p>
            <w:pPr>
              <w:spacing w:after="0"/>
              <w:rPr>
                <w:sz w:val="21"/>
                <w:szCs w:val="21"/>
                <w:color w:val="auto"/>
              </w:rPr>
            </w:pPr>
          </w:p>
        </w:tc>
        <w:tc>
          <w:tcPr>
            <w:tcW w:w="6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w w:val="92"/>
              </w:rPr>
              <w:t>270,709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929,419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765,939</w:t>
            </w:r>
          </w:p>
        </w:tc>
      </w:tr>
      <w:tr>
        <w:trPr>
          <w:trHeight w:val="27"/>
        </w:trPr>
        <w:tc>
          <w:tcPr>
            <w:tcW w:w="3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2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98,080</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91,292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282,717</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283,024</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U.S.</w:t>
            </w:r>
          </w:p>
        </w:tc>
        <w:tc>
          <w:tcPr>
            <w:tcW w:w="2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223,900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w w:val="92"/>
              </w:rPr>
              <w:t>227,279</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664,752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674,150</w:t>
            </w:r>
          </w:p>
        </w:tc>
      </w:tr>
      <w:tr>
        <w:trPr>
          <w:trHeight w:val="27"/>
        </w:trPr>
        <w:tc>
          <w:tcPr>
            <w:tcW w:w="3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5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68,002</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65,737</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203,542</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193,639</w:t>
            </w:r>
          </w:p>
        </w:tc>
      </w:tr>
      <w:tr>
        <w:trPr>
          <w:trHeight w:val="270"/>
        </w:trPr>
        <w:tc>
          <w:tcPr>
            <w:tcW w:w="3600" w:type="dxa"/>
            <w:vAlign w:val="bottom"/>
            <w:tcBorders>
              <w:top w:val="single" w:sz="8" w:color="auto"/>
            </w:tcBorders>
          </w:tcPr>
          <w:p>
            <w:pPr>
              <w:spacing w:after="0"/>
              <w:rPr>
                <w:sz w:val="23"/>
                <w:szCs w:val="23"/>
                <w:color w:val="auto"/>
              </w:rPr>
            </w:pPr>
          </w:p>
        </w:tc>
        <w:tc>
          <w:tcPr>
            <w:tcW w:w="25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710,441</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2"/>
              </w:rPr>
              <w:t>655,017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2,080,430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1,916,752</w:t>
            </w:r>
          </w:p>
        </w:tc>
      </w:tr>
      <w:tr>
        <w:trPr>
          <w:trHeight w:val="20"/>
        </w:trPr>
        <w:tc>
          <w:tcPr>
            <w:tcW w:w="360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40" w:hanging="132"/>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33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distribution of income from operations including restructuring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20" w:type="dxa"/>
            <w:vAlign w:val="bottom"/>
            <w:gridSpan w:val="9"/>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80" w:type="dxa"/>
            <w:vAlign w:val="bottom"/>
            <w:gridSpan w:val="10"/>
            <w:shd w:val="clear" w:color="auto" w:fill="CCEEFF"/>
          </w:tcPr>
          <w:p>
            <w:pPr>
              <w:ind w:left="220"/>
              <w:spacing w:after="0"/>
              <w:rPr>
                <w:sz w:val="20"/>
                <w:szCs w:val="20"/>
                <w:color w:val="auto"/>
              </w:rPr>
            </w:pPr>
            <w:r>
              <w:rPr>
                <w:rFonts w:ascii="Arial" w:cs="Arial" w:eastAsia="Arial" w:hAnsi="Arial"/>
                <w:sz w:val="18"/>
                <w:szCs w:val="18"/>
                <w:b w:val="1"/>
                <w:bCs w:val="1"/>
                <w:color w:val="auto"/>
              </w:rPr>
              <w:t>Nine Months Ended</w:t>
            </w:r>
          </w:p>
        </w:tc>
      </w:tr>
      <w:tr>
        <w:trPr>
          <w:trHeight w:val="48"/>
        </w:trPr>
        <w:tc>
          <w:tcPr>
            <w:tcW w:w="360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6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5"/>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360" w:type="dxa"/>
            <w:vAlign w:val="bottom"/>
            <w:gridSpan w:val="6"/>
          </w:tcPr>
          <w:p>
            <w:pPr>
              <w:jc w:val="right"/>
              <w:ind w:right="120"/>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1360" w:type="dxa"/>
            <w:vAlign w:val="bottom"/>
            <w:gridSpan w:val="6"/>
          </w:tcPr>
          <w:p>
            <w:pPr>
              <w:ind w:left="160"/>
              <w:spacing w:after="0" w:line="202"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3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36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Ireland</w:t>
            </w:r>
          </w:p>
        </w:tc>
        <w:tc>
          <w:tcPr>
            <w:tcW w:w="29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82,529</w:t>
            </w:r>
          </w:p>
        </w:tc>
        <w:tc>
          <w:tcPr>
            <w:tcW w:w="6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w w:val="98"/>
              </w:rPr>
              <w:t>71,435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231,202</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w w:val="92"/>
              </w:rPr>
              <w:t>190,832</w:t>
            </w:r>
          </w:p>
        </w:tc>
      </w:tr>
      <w:tr>
        <w:trPr>
          <w:trHeight w:val="27"/>
        </w:trPr>
        <w:tc>
          <w:tcPr>
            <w:tcW w:w="3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2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10,234</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7,038</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21,747</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23,864</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U.S.</w:t>
            </w:r>
          </w:p>
        </w:tc>
        <w:tc>
          <w:tcPr>
            <w:tcW w:w="2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11,975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w w:val="98"/>
              </w:rPr>
              <w:t>14,413</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45,382</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40,918</w:t>
            </w:r>
          </w:p>
        </w:tc>
      </w:tr>
      <w:tr>
        <w:trPr>
          <w:trHeight w:val="27"/>
        </w:trPr>
        <w:tc>
          <w:tcPr>
            <w:tcW w:w="3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5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5,054</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19,749</w:t>
            </w: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15,958</w:t>
            </w:r>
          </w:p>
        </w:tc>
      </w:tr>
      <w:tr>
        <w:trPr>
          <w:trHeight w:val="270"/>
        </w:trPr>
        <w:tc>
          <w:tcPr>
            <w:tcW w:w="3600" w:type="dxa"/>
            <w:vAlign w:val="bottom"/>
            <w:tcBorders>
              <w:top w:val="single" w:sz="8" w:color="auto"/>
            </w:tcBorders>
          </w:tcPr>
          <w:p>
            <w:pPr>
              <w:spacing w:after="0"/>
              <w:rPr>
                <w:sz w:val="23"/>
                <w:szCs w:val="23"/>
                <w:color w:val="auto"/>
              </w:rPr>
            </w:pPr>
          </w:p>
        </w:tc>
        <w:tc>
          <w:tcPr>
            <w:tcW w:w="25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110,044</w:t>
            </w:r>
          </w:p>
        </w:tc>
        <w:tc>
          <w:tcPr>
            <w:tcW w:w="6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8"/>
              </w:rPr>
              <w:t>97,940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318,080</w:t>
            </w:r>
          </w:p>
        </w:tc>
        <w:tc>
          <w:tcPr>
            <w:tcW w:w="6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271,572</w:t>
            </w:r>
          </w:p>
        </w:tc>
      </w:tr>
      <w:tr>
        <w:trPr>
          <w:trHeight w:val="20"/>
        </w:trPr>
        <w:tc>
          <w:tcPr>
            <w:tcW w:w="360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The distribution of income from operations excluding restructuring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20" w:type="dxa"/>
            <w:vAlign w:val="bottom"/>
            <w:gridSpan w:val="9"/>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80" w:type="dxa"/>
            <w:vAlign w:val="bottom"/>
            <w:gridSpan w:val="10"/>
            <w:shd w:val="clear" w:color="auto" w:fill="CCEEFF"/>
          </w:tcPr>
          <w:p>
            <w:pPr>
              <w:ind w:left="220"/>
              <w:spacing w:after="0"/>
              <w:rPr>
                <w:sz w:val="20"/>
                <w:szCs w:val="20"/>
                <w:color w:val="auto"/>
              </w:rPr>
            </w:pPr>
            <w:r>
              <w:rPr>
                <w:rFonts w:ascii="Arial" w:cs="Arial" w:eastAsia="Arial" w:hAnsi="Arial"/>
                <w:sz w:val="18"/>
                <w:szCs w:val="18"/>
                <w:b w:val="1"/>
                <w:bCs w:val="1"/>
                <w:color w:val="auto"/>
              </w:rPr>
              <w:t>Nine Months Ended</w:t>
            </w:r>
          </w:p>
        </w:tc>
      </w:tr>
      <w:tr>
        <w:trPr>
          <w:trHeight w:val="48"/>
        </w:trPr>
        <w:tc>
          <w:tcPr>
            <w:tcW w:w="360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6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5"/>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360" w:type="dxa"/>
            <w:vAlign w:val="bottom"/>
            <w:gridSpan w:val="6"/>
          </w:tcPr>
          <w:p>
            <w:pPr>
              <w:jc w:val="right"/>
              <w:ind w:right="120"/>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1360" w:type="dxa"/>
            <w:vAlign w:val="bottom"/>
            <w:gridSpan w:val="6"/>
          </w:tcPr>
          <w:p>
            <w:pPr>
              <w:ind w:left="160"/>
              <w:spacing w:after="0" w:line="202"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3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36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Ireland</w:t>
            </w:r>
          </w:p>
        </w:tc>
        <w:tc>
          <w:tcPr>
            <w:tcW w:w="29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82,529</w:t>
            </w:r>
          </w:p>
        </w:tc>
        <w:tc>
          <w:tcPr>
            <w:tcW w:w="6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w w:val="98"/>
              </w:rPr>
              <w:t>71,435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231,202</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w w:val="92"/>
              </w:rPr>
              <w:t>203,322</w:t>
            </w:r>
          </w:p>
        </w:tc>
      </w:tr>
      <w:tr>
        <w:trPr>
          <w:trHeight w:val="27"/>
        </w:trPr>
        <w:tc>
          <w:tcPr>
            <w:tcW w:w="3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2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10,234</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7,038</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21,747</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23,864</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U.S.</w:t>
            </w:r>
          </w:p>
        </w:tc>
        <w:tc>
          <w:tcPr>
            <w:tcW w:w="2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11,975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w w:val="98"/>
              </w:rPr>
              <w:t>14,413</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45,382</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40,918</w:t>
            </w:r>
          </w:p>
        </w:tc>
      </w:tr>
      <w:tr>
        <w:trPr>
          <w:trHeight w:val="27"/>
        </w:trPr>
        <w:tc>
          <w:tcPr>
            <w:tcW w:w="3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5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5,054</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19,749</w:t>
            </w: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15,958</w:t>
            </w:r>
          </w:p>
        </w:tc>
      </w:tr>
      <w:tr>
        <w:trPr>
          <w:trHeight w:val="270"/>
        </w:trPr>
        <w:tc>
          <w:tcPr>
            <w:tcW w:w="3600" w:type="dxa"/>
            <w:vAlign w:val="bottom"/>
            <w:tcBorders>
              <w:top w:val="single" w:sz="8" w:color="auto"/>
            </w:tcBorders>
          </w:tcPr>
          <w:p>
            <w:pPr>
              <w:spacing w:after="0"/>
              <w:rPr>
                <w:sz w:val="23"/>
                <w:szCs w:val="23"/>
                <w:color w:val="auto"/>
              </w:rPr>
            </w:pPr>
          </w:p>
        </w:tc>
        <w:tc>
          <w:tcPr>
            <w:tcW w:w="25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110,044</w:t>
            </w:r>
          </w:p>
        </w:tc>
        <w:tc>
          <w:tcPr>
            <w:tcW w:w="6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8"/>
              </w:rPr>
              <w:t>97,940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318,080</w:t>
            </w:r>
          </w:p>
        </w:tc>
        <w:tc>
          <w:tcPr>
            <w:tcW w:w="6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284,062</w:t>
            </w:r>
          </w:p>
        </w:tc>
      </w:tr>
      <w:tr>
        <w:trPr>
          <w:trHeight w:val="20"/>
        </w:trPr>
        <w:tc>
          <w:tcPr>
            <w:tcW w:w="360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584"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7860" w:type="dxa"/>
            <w:vAlign w:val="bottom"/>
          </w:tcPr>
          <w:p>
            <w:pPr>
              <w:ind w:left="340"/>
              <w:spacing w:after="0"/>
              <w:rPr>
                <w:sz w:val="20"/>
                <w:szCs w:val="20"/>
                <w:color w:val="auto"/>
              </w:rPr>
            </w:pPr>
            <w:r>
              <w:rPr>
                <w:rFonts w:ascii="Arial" w:cs="Arial" w:eastAsia="Arial" w:hAnsi="Arial"/>
                <w:sz w:val="18"/>
                <w:szCs w:val="18"/>
                <w:color w:val="auto"/>
              </w:rPr>
              <w:t>d) The distribution of property, plant and equipment, net, by geographical area was as follows: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8"/>
        </w:trPr>
        <w:tc>
          <w:tcPr>
            <w:tcW w:w="78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7"/>
          </w:tcPr>
          <w:p>
            <w:pPr>
              <w:ind w:left="7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5"/>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99,317</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106,206</w:t>
            </w:r>
          </w:p>
        </w:tc>
        <w:tc>
          <w:tcPr>
            <w:tcW w:w="0" w:type="dxa"/>
            <w:vAlign w:val="bottom"/>
          </w:tcPr>
          <w:p>
            <w:pPr>
              <w:spacing w:after="0"/>
              <w:rPr>
                <w:sz w:val="1"/>
                <w:szCs w:val="1"/>
                <w:color w:val="auto"/>
              </w:rPr>
            </w:pPr>
          </w:p>
        </w:tc>
      </w:tr>
      <w:tr>
        <w:trPr>
          <w:trHeight w:val="169"/>
        </w:trPr>
        <w:tc>
          <w:tcPr>
            <w:tcW w:w="78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vMerge w:val="continue"/>
            <w:shd w:val="clear" w:color="auto" w:fill="CCEEFF"/>
          </w:tcPr>
          <w:p>
            <w:pPr>
              <w:spacing w:after="0"/>
              <w:rPr>
                <w:sz w:val="14"/>
                <w:szCs w:val="14"/>
                <w:color w:val="auto"/>
              </w:rPr>
            </w:pPr>
          </w:p>
        </w:tc>
        <w:tc>
          <w:tcPr>
            <w:tcW w:w="1240" w:type="dxa"/>
            <w:vAlign w:val="bottom"/>
            <w:tcBorders>
              <w:bottom w:val="single" w:sz="8" w:color="CCEEFF"/>
            </w:tcBorders>
            <w:gridSpan w:val="4"/>
            <w:vMerge w:val="continue"/>
            <w:shd w:val="clear" w:color="auto" w:fill="CCEEFF"/>
          </w:tcPr>
          <w:p>
            <w:pPr>
              <w:spacing w:after="0"/>
              <w:rPr>
                <w:sz w:val="14"/>
                <w:szCs w:val="14"/>
                <w:color w:val="auto"/>
              </w:rPr>
            </w:pPr>
          </w:p>
        </w:tc>
        <w:tc>
          <w:tcPr>
            <w:tcW w:w="300" w:type="dxa"/>
            <w:vAlign w:val="bottom"/>
            <w:tcBorders>
              <w:bottom w:val="single" w:sz="8" w:color="CCEEFF"/>
            </w:tcBorders>
            <w:vMerge w:val="continue"/>
            <w:shd w:val="clear" w:color="auto" w:fill="CCEEFF"/>
          </w:tcPr>
          <w:p>
            <w:pPr>
              <w:spacing w:after="0"/>
              <w:rPr>
                <w:sz w:val="14"/>
                <w:szCs w:val="14"/>
                <w:color w:val="auto"/>
              </w:rPr>
            </w:pPr>
          </w:p>
        </w:tc>
        <w:tc>
          <w:tcPr>
            <w:tcW w:w="116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860" w:type="dxa"/>
            <w:vAlign w:val="bottom"/>
          </w:tcPr>
          <w:p>
            <w:pPr>
              <w:spacing w:after="0"/>
              <w:rPr>
                <w:sz w:val="21"/>
                <w:szCs w:val="21"/>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10,379</w:t>
            </w:r>
          </w:p>
        </w:tc>
        <w:tc>
          <w:tcPr>
            <w:tcW w:w="30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9,807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24,103</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25,535</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860" w:type="dxa"/>
            <w:vAlign w:val="bottom"/>
          </w:tcPr>
          <w:p>
            <w:pPr>
              <w:spacing w:after="0"/>
              <w:rPr>
                <w:sz w:val="21"/>
                <w:szCs w:val="21"/>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22,506</w:t>
            </w:r>
          </w:p>
        </w:tc>
        <w:tc>
          <w:tcPr>
            <w:tcW w:w="30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17,121</w:t>
            </w:r>
          </w:p>
        </w:tc>
        <w:tc>
          <w:tcPr>
            <w:tcW w:w="0" w:type="dxa"/>
            <w:vAlign w:val="bottom"/>
          </w:tcPr>
          <w:p>
            <w:pPr>
              <w:spacing w:after="0"/>
              <w:rPr>
                <w:sz w:val="1"/>
                <w:szCs w:val="1"/>
                <w:color w:val="auto"/>
              </w:rPr>
            </w:pPr>
          </w:p>
        </w:tc>
      </w:tr>
      <w:tr>
        <w:trPr>
          <w:trHeight w:val="34"/>
        </w:trPr>
        <w:tc>
          <w:tcPr>
            <w:tcW w:w="7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78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156,305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158,669</w:t>
            </w:r>
          </w:p>
        </w:tc>
        <w:tc>
          <w:tcPr>
            <w:tcW w:w="0" w:type="dxa"/>
            <w:vAlign w:val="bottom"/>
          </w:tcPr>
          <w:p>
            <w:pPr>
              <w:spacing w:after="0"/>
              <w:rPr>
                <w:sz w:val="1"/>
                <w:szCs w:val="1"/>
                <w:color w:val="auto"/>
              </w:rPr>
            </w:pPr>
          </w:p>
        </w:tc>
      </w:tr>
      <w:tr>
        <w:trPr>
          <w:trHeight w:val="67"/>
        </w:trPr>
        <w:tc>
          <w:tcPr>
            <w:tcW w:w="78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8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 The distribution of depreciation and amortization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20" w:type="dxa"/>
            <w:vAlign w:val="bottom"/>
            <w:gridSpan w:val="9"/>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80" w:type="dxa"/>
            <w:vAlign w:val="bottom"/>
            <w:gridSpan w:val="10"/>
            <w:shd w:val="clear" w:color="auto" w:fill="CCEEFF"/>
          </w:tcPr>
          <w:p>
            <w:pPr>
              <w:ind w:left="220"/>
              <w:spacing w:after="0"/>
              <w:rPr>
                <w:sz w:val="20"/>
                <w:szCs w:val="20"/>
                <w:color w:val="auto"/>
              </w:rPr>
            </w:pPr>
            <w:r>
              <w:rPr>
                <w:rFonts w:ascii="Arial" w:cs="Arial" w:eastAsia="Arial" w:hAnsi="Arial"/>
                <w:sz w:val="18"/>
                <w:szCs w:val="18"/>
                <w:b w:val="1"/>
                <w:bCs w:val="1"/>
                <w:color w:val="auto"/>
              </w:rPr>
              <w:t>Nine Months Ended</w:t>
            </w:r>
          </w:p>
        </w:tc>
      </w:tr>
      <w:tr>
        <w:trPr>
          <w:trHeight w:val="48"/>
        </w:trPr>
        <w:tc>
          <w:tcPr>
            <w:tcW w:w="360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6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5"/>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360" w:type="dxa"/>
            <w:vAlign w:val="bottom"/>
            <w:gridSpan w:val="6"/>
          </w:tcPr>
          <w:p>
            <w:pPr>
              <w:jc w:val="right"/>
              <w:ind w:right="120"/>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1360" w:type="dxa"/>
            <w:vAlign w:val="bottom"/>
            <w:gridSpan w:val="6"/>
          </w:tcPr>
          <w:p>
            <w:pPr>
              <w:ind w:left="160"/>
              <w:spacing w:after="0" w:line="202"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3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36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Ireland</w:t>
            </w:r>
          </w:p>
        </w:tc>
        <w:tc>
          <w:tcPr>
            <w:tcW w:w="29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6,777</w:t>
            </w:r>
          </w:p>
        </w:tc>
        <w:tc>
          <w:tcPr>
            <w:tcW w:w="120" w:type="dxa"/>
            <w:vAlign w:val="bottom"/>
          </w:tcPr>
          <w:p>
            <w:pPr>
              <w:spacing w:after="0"/>
              <w:rPr>
                <w:sz w:val="21"/>
                <w:szCs w:val="21"/>
                <w:color w:val="auto"/>
              </w:rPr>
            </w:pPr>
          </w:p>
        </w:tc>
        <w:tc>
          <w:tcPr>
            <w:tcW w:w="6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rPr>
              <w:t>8,053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21,345</w:t>
            </w:r>
          </w:p>
        </w:tc>
        <w:tc>
          <w:tcPr>
            <w:tcW w:w="7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w w:val="98"/>
              </w:rPr>
              <w:t>23,917</w:t>
            </w:r>
          </w:p>
        </w:tc>
      </w:tr>
      <w:tr>
        <w:trPr>
          <w:trHeight w:val="27"/>
        </w:trPr>
        <w:tc>
          <w:tcPr>
            <w:tcW w:w="3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2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1,491</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3,968</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4,654</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U.S.</w:t>
            </w:r>
          </w:p>
        </w:tc>
        <w:tc>
          <w:tcPr>
            <w:tcW w:w="2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rPr>
              <w:t>6,396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17,146</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w w:val="98"/>
              </w:rPr>
              <w:t>18,997</w:t>
            </w:r>
          </w:p>
        </w:tc>
      </w:tr>
      <w:tr>
        <w:trPr>
          <w:trHeight w:val="27"/>
        </w:trPr>
        <w:tc>
          <w:tcPr>
            <w:tcW w:w="3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5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1,122</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3,383</w:t>
            </w: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3,438</w:t>
            </w:r>
          </w:p>
        </w:tc>
      </w:tr>
      <w:tr>
        <w:trPr>
          <w:trHeight w:val="270"/>
        </w:trPr>
        <w:tc>
          <w:tcPr>
            <w:tcW w:w="3600" w:type="dxa"/>
            <w:vAlign w:val="bottom"/>
            <w:tcBorders>
              <w:top w:val="single" w:sz="8" w:color="auto"/>
            </w:tcBorders>
          </w:tcPr>
          <w:p>
            <w:pPr>
              <w:spacing w:after="0"/>
              <w:rPr>
                <w:sz w:val="23"/>
                <w:szCs w:val="23"/>
                <w:color w:val="auto"/>
              </w:rPr>
            </w:pPr>
          </w:p>
        </w:tc>
        <w:tc>
          <w:tcPr>
            <w:tcW w:w="25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15,157</w:t>
            </w:r>
          </w:p>
        </w:tc>
        <w:tc>
          <w:tcPr>
            <w:tcW w:w="6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8"/>
              </w:rPr>
              <w:t>17,062</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45,842</w:t>
            </w:r>
          </w:p>
        </w:tc>
        <w:tc>
          <w:tcPr>
            <w:tcW w:w="70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51,006</w:t>
            </w:r>
          </w:p>
        </w:tc>
      </w:tr>
      <w:tr>
        <w:trPr>
          <w:trHeight w:val="20"/>
        </w:trPr>
        <w:tc>
          <w:tcPr>
            <w:tcW w:w="360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340"/>
              <w:spacing w:after="0"/>
              <w:rPr>
                <w:sz w:val="20"/>
                <w:szCs w:val="20"/>
                <w:color w:val="auto"/>
              </w:rPr>
            </w:pPr>
            <w:r>
              <w:rPr>
                <w:rFonts w:ascii="Arial" w:cs="Arial" w:eastAsia="Arial" w:hAnsi="Arial"/>
                <w:sz w:val="18"/>
                <w:szCs w:val="18"/>
                <w:color w:val="auto"/>
              </w:rPr>
              <w:t>f) The distribution of total assets by geographical area was as follows:</w:t>
            </w: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9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6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698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69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80" w:type="dxa"/>
            <w:vAlign w:val="bottom"/>
            <w:gridSpan w:val="8"/>
          </w:tcPr>
          <w:p>
            <w:pPr>
              <w:ind w:left="72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1,166,505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1,073,411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176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652,782</w:t>
            </w:r>
          </w:p>
        </w:tc>
        <w:tc>
          <w:tcPr>
            <w:tcW w:w="26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514,010</w:t>
            </w:r>
          </w:p>
        </w:tc>
      </w:tr>
      <w:tr>
        <w:trPr>
          <w:trHeight w:val="27"/>
        </w:trPr>
        <w:tc>
          <w:tcPr>
            <w:tcW w:w="6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7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762,376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646,512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176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163,523</w:t>
            </w:r>
          </w:p>
        </w:tc>
        <w:tc>
          <w:tcPr>
            <w:tcW w:w="26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120,322</w:t>
            </w:r>
          </w:p>
        </w:tc>
      </w:tr>
      <w:tr>
        <w:trPr>
          <w:trHeight w:val="34"/>
        </w:trPr>
        <w:tc>
          <w:tcPr>
            <w:tcW w:w="69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69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2,745,186</w:t>
            </w:r>
          </w:p>
        </w:tc>
        <w:tc>
          <w:tcPr>
            <w:tcW w:w="1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2,354,255</w:t>
            </w:r>
          </w:p>
        </w:tc>
      </w:tr>
      <w:tr>
        <w:trPr>
          <w:trHeight w:val="27"/>
        </w:trPr>
        <w:tc>
          <w:tcPr>
            <w:tcW w:w="69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87"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87"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14.  Impact of change in accounting policies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new leasing standard (ASU No. 2016-02 '</w:t>
      </w:r>
      <w:r>
        <w:rPr>
          <w:rFonts w:ascii="Arial" w:cs="Arial" w:eastAsia="Arial" w:hAnsi="Arial"/>
          <w:sz w:val="17"/>
          <w:szCs w:val="17"/>
          <w:i w:val="1"/>
          <w:iCs w:val="1"/>
          <w:color w:val="auto"/>
        </w:rPr>
        <w:t>Leases</w:t>
      </w:r>
      <w:r>
        <w:rPr>
          <w:rFonts w:ascii="Arial" w:cs="Arial" w:eastAsia="Arial" w:hAnsi="Arial"/>
          <w:sz w:val="17"/>
          <w:szCs w:val="17"/>
          <w:color w:val="auto"/>
        </w:rPr>
        <w:t>') was issued in February 2016. ASC 842 '</w:t>
      </w:r>
      <w:r>
        <w:rPr>
          <w:rFonts w:ascii="Arial" w:cs="Arial" w:eastAsia="Arial" w:hAnsi="Arial"/>
          <w:sz w:val="17"/>
          <w:szCs w:val="17"/>
          <w:i w:val="1"/>
          <w:iCs w:val="1"/>
          <w:color w:val="auto"/>
        </w:rPr>
        <w:t>Leases</w:t>
      </w:r>
      <w:r>
        <w:rPr>
          <w:rFonts w:ascii="Arial" w:cs="Arial" w:eastAsia="Arial" w:hAnsi="Arial"/>
          <w:sz w:val="17"/>
          <w:szCs w:val="17"/>
          <w:color w:val="auto"/>
        </w:rPr>
        <w:t>' supersedes the requirements in ASC 840 '</w:t>
      </w:r>
      <w:r>
        <w:rPr>
          <w:rFonts w:ascii="Arial" w:cs="Arial" w:eastAsia="Arial" w:hAnsi="Arial"/>
          <w:sz w:val="17"/>
          <w:szCs w:val="17"/>
          <w:i w:val="1"/>
          <w:iCs w:val="1"/>
          <w:color w:val="auto"/>
        </w:rPr>
        <w:t>Leases</w:t>
      </w:r>
      <w:r>
        <w:rPr>
          <w:rFonts w:ascii="Arial" w:cs="Arial" w:eastAsia="Arial" w:hAnsi="Arial"/>
          <w:sz w:val="17"/>
          <w:szCs w:val="17"/>
          <w:color w:val="auto"/>
        </w:rPr>
        <w:t>' and requires that lessees recognize rights and obligations from virtually all leases (other than leases that meet the definition of a short-term lease) on their balance sheets as right-of-use assets with corresponding lease liabilities. The ASU also provides additional guidance on how to classify leases and how to determine the lease term for accounting purposes. In July 2018,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provides the option to adopt the standard retrospectively for each prior period presented, as initially set out in ASU No. 2016-02, or as of the adoption date with a cumulative-effect adjustment to the opening balance of retained earnings.</w:t>
      </w:r>
    </w:p>
    <w:p>
      <w:pPr>
        <w:spacing w:after="0" w:line="1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ASC 842 became effective for ICON plc with effect from January 1, 2019. ICON adopted the new standard as of January 1, 2019 under the cumulative effect adjustment approach. Under this transition method, the new standard is applied from January 1, 2019 without restatement of comparative period amounts. Results for the three and nine months ended September 30, 2018 are therefore presented under the previous leasing accounting principles, ASC 840 '</w:t>
      </w:r>
      <w:r>
        <w:rPr>
          <w:rFonts w:ascii="Arial" w:cs="Arial" w:eastAsia="Arial" w:hAnsi="Arial"/>
          <w:sz w:val="16"/>
          <w:szCs w:val="16"/>
          <w:i w:val="1"/>
          <w:iCs w:val="1"/>
          <w:color w:val="auto"/>
        </w:rPr>
        <w:t>Leases</w:t>
      </w:r>
      <w:r>
        <w:rPr>
          <w:rFonts w:ascii="Arial" w:cs="Arial" w:eastAsia="Arial" w:hAnsi="Arial"/>
          <w:sz w:val="16"/>
          <w:szCs w:val="16"/>
          <w:color w:val="auto"/>
        </w:rPr>
        <w:t>'. Operating lease liabilities and right-of-use assets have been recorded on the Condensed Consolidated Balance Sheet as at January 1, 2019 of $106.5 million.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There is no impact of adopting ASC 842 on opening retained earnings at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ICON plc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2018. The consolidated financial statements have been prepared in accordance with accounting principles generally accepted in the United States.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2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2019 we employed approximately 14,600 employees, in 99 locations in 40 countries. During the nine months ended September 30, 2019 we derived approximately 32.0%, 58.2% and 9.8% of our revenue in the United States, Europe and Rest of World respectively.</w:t>
      </w:r>
    </w:p>
    <w:p>
      <w:pPr>
        <w:spacing w:after="0" w:line="2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9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backlog consists of potential revenue yet to be earned from projects awarded by clients. At September 30, 2019 we had unsatisfied performance obligations of approximately $5.2 billion (see </w:t>
      </w:r>
      <w:r>
        <w:rPr>
          <w:rFonts w:ascii="Arial" w:cs="Arial" w:eastAsia="Arial" w:hAnsi="Arial"/>
          <w:sz w:val="18"/>
          <w:szCs w:val="18"/>
          <w:i w:val="1"/>
          <w:iCs w:val="1"/>
          <w:color w:val="auto"/>
        </w:rPr>
        <w:t>note 4 - Accounts receivable, unbilled revenue (contract assets) and payments on account (contract liabilities)</w:t>
      </w:r>
      <w:r>
        <w:rPr>
          <w:rFonts w:ascii="Arial" w:cs="Arial" w:eastAsia="Arial" w:hAnsi="Arial"/>
          <w:sz w:val="18"/>
          <w:szCs w:val="18"/>
          <w:color w:val="auto"/>
        </w:rPr>
        <w:t xml:space="preserve"> for further details). We believe that our remaining or unrealized performance obligations as of any date is not necessarily a meaningful predictor of future results, due to the potential for cancellation or delay of revenue.</w:t>
      </w:r>
    </w:p>
    <w:p>
      <w:pPr>
        <w:spacing w:after="0" w:line="29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translation exposures, we are also subject to transaction exposures when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we conduct operations on a global basis, our effective tax rate depends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742"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compared with Three Months Ended September 30, 2018</w:t>
      </w:r>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2900" w:type="dxa"/>
            <w:vAlign w:val="bottom"/>
            <w:gridSpan w:val="8"/>
            <w:shd w:val="clear" w:color="auto" w:fill="CCEEFF"/>
          </w:tcPr>
          <w:p>
            <w:pPr>
              <w:jc w:val="right"/>
              <w:ind w:right="128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53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460" w:type="dxa"/>
            <w:vAlign w:val="bottom"/>
            <w:gridSpan w:val="4"/>
          </w:tcPr>
          <w:p>
            <w:pPr>
              <w:jc w:val="right"/>
              <w:ind w:right="36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980" w:type="dxa"/>
            <w:vAlign w:val="bottom"/>
            <w:gridSpan w:val="5"/>
          </w:tcPr>
          <w:p>
            <w:pPr>
              <w:jc w:val="right"/>
              <w:ind w:right="700"/>
              <w:spacing w:after="0" w:line="202" w:lineRule="exact"/>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17"/>
                <w:szCs w:val="17"/>
                <w:color w:val="auto"/>
              </w:rPr>
            </w:pPr>
          </w:p>
        </w:tc>
        <w:tc>
          <w:tcPr>
            <w:tcW w:w="1200" w:type="dxa"/>
            <w:vAlign w:val="bottom"/>
            <w:gridSpan w:val="5"/>
          </w:tcPr>
          <w:p>
            <w:pPr>
              <w:jc w:val="right"/>
              <w:ind w:right="240"/>
              <w:spacing w:after="0" w:line="196" w:lineRule="exact"/>
              <w:rPr>
                <w:sz w:val="20"/>
                <w:szCs w:val="20"/>
                <w:color w:val="auto"/>
              </w:rPr>
            </w:pPr>
            <w:r>
              <w:rPr>
                <w:rFonts w:ascii="Arial" w:cs="Arial" w:eastAsia="Arial" w:hAnsi="Arial"/>
                <w:sz w:val="18"/>
                <w:szCs w:val="18"/>
                <w:b w:val="1"/>
                <w:bCs w:val="1"/>
                <w:color w:val="auto"/>
                <w:w w:val="87"/>
              </w:rPr>
              <w:t>2018 to 2019</w:t>
            </w: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530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w w:val="96"/>
              </w:rPr>
              <w:t>Percentage</w:t>
            </w:r>
          </w:p>
        </w:tc>
      </w:tr>
      <w:tr>
        <w:trPr>
          <w:trHeight w:val="203"/>
        </w:trPr>
        <w:tc>
          <w:tcPr>
            <w:tcW w:w="4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3440" w:type="dxa"/>
            <w:vAlign w:val="bottom"/>
            <w:tcBorders>
              <w:top w:val="single" w:sz="8" w:color="CCEEFF"/>
            </w:tcBorders>
            <w:gridSpan w:val="9"/>
          </w:tcPr>
          <w:p>
            <w:pPr>
              <w:jc w:val="right"/>
              <w:ind w:right="1220"/>
              <w:spacing w:after="0" w:line="202" w:lineRule="exact"/>
              <w:rPr>
                <w:sz w:val="20"/>
                <w:szCs w:val="20"/>
                <w:color w:val="auto"/>
              </w:rPr>
            </w:pPr>
            <w:r>
              <w:rPr>
                <w:rFonts w:ascii="Arial" w:cs="Arial" w:eastAsia="Arial" w:hAnsi="Arial"/>
                <w:sz w:val="18"/>
                <w:szCs w:val="18"/>
                <w:b w:val="1"/>
                <w:bCs w:val="1"/>
                <w:color w:val="auto"/>
              </w:rPr>
              <w:t>Percentage of Revenue</w:t>
            </w: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w w:val="99"/>
              </w:rPr>
              <w:t>Increase/</w:t>
            </w:r>
          </w:p>
        </w:tc>
        <w:tc>
          <w:tcPr>
            <w:tcW w:w="240" w:type="dxa"/>
            <w:vAlign w:val="bottom"/>
            <w:tcBorders>
              <w:top w:val="single" w:sz="8" w:color="CCEEFF"/>
            </w:tcBorders>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jc w:val="right"/>
              <w:ind w:right="240"/>
              <w:spacing w:after="0" w:line="196" w:lineRule="exact"/>
              <w:rPr>
                <w:sz w:val="20"/>
                <w:szCs w:val="20"/>
                <w:color w:val="auto"/>
              </w:rPr>
            </w:pPr>
            <w:r>
              <w:rPr>
                <w:rFonts w:ascii="Arial" w:cs="Arial" w:eastAsia="Arial" w:hAnsi="Arial"/>
                <w:sz w:val="18"/>
                <w:szCs w:val="18"/>
                <w:b w:val="1"/>
                <w:bCs w:val="1"/>
                <w:color w:val="auto"/>
                <w:w w:val="84"/>
              </w:rPr>
              <w:t>(Decrease)</w:t>
            </w: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82"/>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6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98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8.5 %</w:t>
            </w:r>
          </w:p>
        </w:tc>
      </w:tr>
      <w:tr>
        <w:trPr>
          <w:trHeight w:val="270"/>
        </w:trPr>
        <w:tc>
          <w:tcPr>
            <w:tcW w:w="4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53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r>
      <w:tr>
        <w:trPr>
          <w:trHeight w:val="203"/>
        </w:trPr>
        <w:tc>
          <w:tcPr>
            <w:tcW w:w="67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Costs and expenses:</w:t>
            </w:r>
          </w:p>
        </w:tc>
        <w:tc>
          <w:tcPr>
            <w:tcW w:w="5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53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43"/>
        </w:trPr>
        <w:tc>
          <w:tcPr>
            <w:tcW w:w="6780" w:type="dxa"/>
            <w:vAlign w:val="bottom"/>
            <w:gridSpan w:val="3"/>
          </w:tcPr>
          <w:p>
            <w:pPr>
              <w:ind w:left="40"/>
              <w:spacing w:after="0"/>
              <w:rPr>
                <w:sz w:val="20"/>
                <w:szCs w:val="20"/>
                <w:color w:val="auto"/>
              </w:rPr>
            </w:pPr>
            <w:r>
              <w:rPr>
                <w:rFonts w:ascii="Arial" w:cs="Arial" w:eastAsia="Arial" w:hAnsi="Arial"/>
                <w:sz w:val="18"/>
                <w:szCs w:val="18"/>
                <w:color w:val="auto"/>
              </w:rPr>
              <w:t>Direct costs</w:t>
            </w:r>
          </w:p>
        </w:tc>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70.3%</w:t>
            </w:r>
          </w:p>
        </w:tc>
        <w:tc>
          <w:tcPr>
            <w:tcW w:w="1980" w:type="dxa"/>
            <w:vAlign w:val="bottom"/>
            <w:gridSpan w:val="5"/>
          </w:tcPr>
          <w:p>
            <w:pPr>
              <w:jc w:val="right"/>
              <w:ind w:right="540"/>
              <w:spacing w:after="0"/>
              <w:rPr>
                <w:sz w:val="20"/>
                <w:szCs w:val="20"/>
                <w:color w:val="auto"/>
              </w:rPr>
            </w:pPr>
            <w:r>
              <w:rPr>
                <w:rFonts w:ascii="Arial" w:cs="Arial" w:eastAsia="Arial" w:hAnsi="Arial"/>
                <w:sz w:val="18"/>
                <w:szCs w:val="18"/>
                <w:color w:val="auto"/>
              </w:rPr>
              <w:t>70.1%</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8.8 %</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198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12.3%</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5.7 %</w:t>
            </w:r>
          </w:p>
        </w:tc>
      </w:tr>
      <w:tr>
        <w:trPr>
          <w:trHeight w:val="243"/>
        </w:trPr>
        <w:tc>
          <w:tcPr>
            <w:tcW w:w="6780" w:type="dxa"/>
            <w:vAlign w:val="bottom"/>
            <w:gridSpan w:val="3"/>
          </w:tcPr>
          <w:p>
            <w:pPr>
              <w:ind w:left="40"/>
              <w:spacing w:after="0"/>
              <w:rPr>
                <w:sz w:val="20"/>
                <w:szCs w:val="20"/>
                <w:color w:val="auto"/>
              </w:rPr>
            </w:pPr>
            <w:r>
              <w:rPr>
                <w:rFonts w:ascii="Arial" w:cs="Arial" w:eastAsia="Arial" w:hAnsi="Arial"/>
                <w:sz w:val="18"/>
                <w:szCs w:val="18"/>
                <w:color w:val="auto"/>
              </w:rPr>
              <w:t>Depreciation</w:t>
            </w:r>
          </w:p>
        </w:tc>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1.6%</w:t>
            </w:r>
          </w:p>
        </w:tc>
        <w:tc>
          <w:tcPr>
            <w:tcW w:w="1980" w:type="dxa"/>
            <w:vAlign w:val="bottom"/>
            <w:gridSpan w:val="5"/>
          </w:tcPr>
          <w:p>
            <w:pPr>
              <w:jc w:val="right"/>
              <w:ind w:right="540"/>
              <w:spacing w:after="0"/>
              <w:rPr>
                <w:sz w:val="20"/>
                <w:szCs w:val="20"/>
                <w:color w:val="auto"/>
              </w:rPr>
            </w:pPr>
            <w:r>
              <w:rPr>
                <w:rFonts w:ascii="Arial" w:cs="Arial" w:eastAsia="Arial" w:hAnsi="Arial"/>
                <w:sz w:val="18"/>
                <w:szCs w:val="18"/>
                <w:color w:val="auto"/>
              </w:rPr>
              <w:t>1.8%</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(2.6)%</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82"/>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46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98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0.8%</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r>
      <w:tr>
        <w:trPr>
          <w:trHeight w:val="270"/>
        </w:trPr>
        <w:tc>
          <w:tcPr>
            <w:tcW w:w="4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53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r>
      <w:tr>
        <w:trPr>
          <w:trHeight w:val="275"/>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46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198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15.0%</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12.4 %</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for the period increased by $55.4 million, or 8.5%, from $655.0 million for the three months ended September 30, 2018 to $710.4 million for the three months ended September 30, 2019. Revenue increased by 9.5% in constant currency and increased by 8.4% in constant dollar organic terms. The increase in revenues in the three months ended September 30, 2019 can be explained by continued organic growth.</w:t>
      </w: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September 30, 2019 we derived approximately 31.5%, 58.9% and 9.6% of our revenue in the United States, Europe and Rest of World respectively. During the three months ended September 30, 2019, $257.5 million or 36.2% of our revenues were derived from our top 5 customers. The largest of these customers related to a strategic partnership with a large global pharmaceutical company. Revenue from this customer contributed 11.4% of revenue for the quarter. The addition of new customer accounts, particularly mid-tier pharma customers and biotech customers continues to result in a reduction in concentration of revenues from our top 5 customers.</w:t>
      </w:r>
    </w:p>
    <w:p>
      <w:pPr>
        <w:spacing w:after="0" w:line="2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Revenue in Ireland increased from $270.7 million for the three months ended September 30, 2018 to $320.5 million for the three months ended September 30, 2019. Revenue in Ireland is principally a function of the Company’s global transfer pricing model (see </w:t>
      </w:r>
      <w:r>
        <w:rPr>
          <w:rFonts w:ascii="Arial" w:cs="Arial" w:eastAsia="Arial" w:hAnsi="Arial"/>
          <w:sz w:val="17"/>
          <w:szCs w:val="17"/>
          <w:i w:val="1"/>
          <w:iCs w:val="1"/>
          <w:color w:val="auto"/>
        </w:rPr>
        <w:t>note 13 - Business segment information</w:t>
      </w:r>
      <w:r>
        <w:rPr>
          <w:rFonts w:ascii="Arial" w:cs="Arial" w:eastAsia="Arial" w:hAnsi="Arial"/>
          <w:sz w:val="17"/>
          <w:szCs w:val="17"/>
          <w:color w:val="auto"/>
        </w:rPr>
        <w:t xml:space="preserve"> for further details). Revenue in our Rest of Europe region increased from $91.3 million for the three months ended September 30, 2018 to $98.1 million for the three months ended September 30, 2019. Revenue in the Rest of World region increased from $65.7 million for the three months ended September 30, 2018 to $68.0 million for the three months ended September 30, 2019. Revenue in the U.S. region decreased from $227.3 million for the three months ended September 30, 2018 to $223.9 million for the three months ended September 30, 2019.</w:t>
      </w:r>
    </w:p>
    <w:p>
      <w:pPr>
        <w:spacing w:after="0" w:line="2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 costs for the period increased by $40.6 million, or 8.8%, from $459.2 million for the three months ended September 30, 2018 to $499.8 million for the three months ended September 30, 2019. Direct costs consist primarily of investigator and other reimbursable costs, compensation, associated fringe benefits and share based compensation expense for project-related employees and other direct project driven costs. The increase in direct costs during the period relates to increases in third party investigator and other reimbursable costs, an increase in direct project related costs and personnel related expenditure and an increase in laboratory costs during the period. As a percentage of revenue, direct costs have increased from 70.1% for the three months ended September 30, 2018 to 70.3% for the three months ended September 30, 2019.</w:t>
      </w: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for the period increased by $4.6 million, or 5.7%, from $80.8 million for the three months ended September 30, 2018 to $85.4 million for the three months ended September 30, 2019.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As a percentage of revenue, selling, general and administrative expenses decreased from 12.3%</w:t>
      </w:r>
    </w:p>
    <w:p>
      <w:pPr>
        <w:sectPr>
          <w:pgSz w:w="11900" w:h="16838" w:orient="portrait"/>
          <w:cols w:equalWidth="0" w:num="1">
            <w:col w:w="11420"/>
          </w:cols>
          <w:pgMar w:left="240" w:top="742"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742" w:right="239" w:bottom="1440" w:gutter="0" w:footer="0" w:header="0"/>
          <w:type w:val="continuous"/>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for the three months ended September 30, 2018 to 12.0% for the three months ended September 30, 2019. This reflects a continued focus on personnel related expenditure and facilities and related costs.</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Depreciation expense for the period decreased by $0.3 million, or 2.6%, from $11.7 million for three months ended September 30, 2018 to $11.4 million for three months ended September 30, 2019. Depreciation expense arises principally from investment in facilities, information systems and equipment to support the Company’s growth. As a percentage of revenue the depreciation expense decreased from 1.8% for the three months ended September 30, 2018 to 1.6% for the three months ended September 30, 2019. Amortization on intangibles for the period decreased by $1.6 million, or 29.7%, from $5.4 million for the three months ended September 30, 2018 to $3.8 million for the three months ended September 30, 2019. Amortization expense represents the amortization of intangible assets acquired on business combinations. The decrease in the amortization expense for the period was driven by some intangibles being fully amortized. As a percentage of revenue, amortization expense decreased from 0.8% for the three months ended September 30, 2018 to 0.6% for the three months ended September 30, 2019.</w:t>
      </w:r>
    </w:p>
    <w:p>
      <w:pPr>
        <w:spacing w:after="0" w:line="2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above, income from operations for the period increased by $12.1 million, or 12.4%, from $97.9 million for the three months ended September 30, 2018 to $110.0 million for the three months ended September 30, 2019. As a percentage of revenue, income from operations increased from 15.0% of revenues for the three months ended September 30, 2018 to 15.5% of revenues for the three months ended September 30, 2019.</w:t>
      </w: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Income from operations in Ireland increased from a profit of $71.4 million for the three months ended September 30, 2018 to a profit of $82.5 million for the three months ended September 30, 2019. Income from operations in Ireland is impacted by the Group’s global transfer pricing model </w:t>
      </w:r>
      <w:r>
        <w:rPr>
          <w:rFonts w:ascii="Arial" w:cs="Arial" w:eastAsia="Arial" w:hAnsi="Arial"/>
          <w:sz w:val="18"/>
          <w:szCs w:val="18"/>
          <w:i w:val="1"/>
          <w:iCs w:val="1"/>
          <w:color w:val="auto"/>
        </w:rPr>
        <w:t>(see note 13 -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segment information </w:t>
      </w:r>
      <w:r>
        <w:rPr>
          <w:rFonts w:ascii="Arial" w:cs="Arial" w:eastAsia="Arial" w:hAnsi="Arial"/>
          <w:sz w:val="18"/>
          <w:szCs w:val="18"/>
          <w:color w:val="auto"/>
        </w:rPr>
        <w:t>for further details)</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operations in our Rest of Europe region increased from $7.0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to $10.2 million for the three months ended September 30, 2019, while income from operations in our Rest of World region increased from $5.1 million for the three months ended September 30, 2018 to $5.3 million for the three months ended September 30, 2019. Income from operations in the U.S. region decreased from $14.4 million for the three months ended September 30, 2018 to $12.0 million for the three months ended September 30, 2019.</w:t>
      </w:r>
    </w:p>
    <w:p>
      <w:pPr>
        <w:spacing w:after="0" w:line="2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period increased by $0.2 million, or 6%, from $3.2 million for the three months ended September 30, 2018 to $3.4 million for the three months ended September 30, 2019. Interest income increased by $0.5 million or 40.9% from $1.3 million for the three months ended September 30, 2018 to $1.9 million for the three months ended September 30, 2019.</w:t>
      </w:r>
    </w:p>
    <w:p>
      <w:pPr>
        <w:spacing w:after="0" w:line="2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increased from $11.5 million for the three months ended September 30, 2018 to $13.0 million for the three months ended September 30, 2019. The Company’s effective tax rate for the three months ended September 30, 2019 was 12% compared with 12% for the three months ended September 30, 2018. The Company’s effective tax rate remains principally a function of the distribution of pre-tax profits amongst the territories in which it operates.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with Nine Months Ended September 30, 2018</w:t>
      </w:r>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360"/>
        <w:spacing w:after="0"/>
        <w:rPr>
          <w:sz w:val="20"/>
          <w:szCs w:val="20"/>
          <w:color w:val="auto"/>
        </w:rPr>
      </w:pPr>
      <w:r>
        <w:rPr>
          <w:rFonts w:ascii="Arial" w:cs="Arial" w:eastAsia="Arial" w:hAnsi="Arial"/>
          <w:sz w:val="18"/>
          <w:szCs w:val="18"/>
          <w:b w:val="1"/>
          <w:bCs w:val="1"/>
          <w:u w:val="single" w:color="auto"/>
          <w:color w:val="auto"/>
        </w:rPr>
        <w:t>Nine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87"/>
              </w:rPr>
              <w:t>September 30,</w:t>
            </w:r>
          </w:p>
        </w:tc>
        <w:tc>
          <w:tcPr>
            <w:tcW w:w="19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6"/>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17"/>
                <w:szCs w:val="17"/>
                <w:color w:val="auto"/>
              </w:rPr>
            </w:pPr>
          </w:p>
        </w:tc>
        <w:tc>
          <w:tcPr>
            <w:tcW w:w="1200" w:type="dxa"/>
            <w:vAlign w:val="bottom"/>
            <w:gridSpan w:val="5"/>
          </w:tcPr>
          <w:p>
            <w:pPr>
              <w:jc w:val="right"/>
              <w:ind w:right="240"/>
              <w:spacing w:after="0" w:line="196" w:lineRule="exact"/>
              <w:rPr>
                <w:sz w:val="20"/>
                <w:szCs w:val="20"/>
                <w:color w:val="auto"/>
              </w:rPr>
            </w:pPr>
            <w:r>
              <w:rPr>
                <w:rFonts w:ascii="Arial" w:cs="Arial" w:eastAsia="Arial" w:hAnsi="Arial"/>
                <w:sz w:val="18"/>
                <w:szCs w:val="18"/>
                <w:b w:val="1"/>
                <w:bCs w:val="1"/>
                <w:color w:val="auto"/>
                <w:w w:val="87"/>
              </w:rPr>
              <w:t>2018 to 2019</w:t>
            </w: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53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w w:val="96"/>
              </w:rPr>
              <w:t>Percentage</w:t>
            </w:r>
          </w:p>
        </w:tc>
      </w:tr>
      <w:tr>
        <w:trPr>
          <w:trHeight w:val="203"/>
        </w:trPr>
        <w:tc>
          <w:tcPr>
            <w:tcW w:w="4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760" w:type="dxa"/>
            <w:vAlign w:val="bottom"/>
            <w:tcBorders>
              <w:top w:val="single" w:sz="8" w:color="CCEEFF"/>
              <w:bottom w:val="single" w:sz="8" w:color="auto"/>
            </w:tcBorders>
            <w:gridSpan w:val="5"/>
          </w:tcPr>
          <w:p>
            <w:pPr>
              <w:spacing w:after="0" w:line="202" w:lineRule="exact"/>
              <w:rPr>
                <w:sz w:val="20"/>
                <w:szCs w:val="20"/>
                <w:color w:val="auto"/>
              </w:rPr>
            </w:pPr>
            <w:r>
              <w:rPr>
                <w:rFonts w:ascii="Arial" w:cs="Arial" w:eastAsia="Arial" w:hAnsi="Arial"/>
                <w:sz w:val="18"/>
                <w:szCs w:val="18"/>
                <w:b w:val="1"/>
                <w:bCs w:val="1"/>
                <w:color w:val="auto"/>
                <w:w w:val="87"/>
              </w:rPr>
              <w:t>Percentage of Revenue</w:t>
            </w:r>
          </w:p>
        </w:tc>
        <w:tc>
          <w:tcPr>
            <w:tcW w:w="1200" w:type="dxa"/>
            <w:vAlign w:val="bottom"/>
            <w:tcBorders>
              <w:top w:val="single" w:sz="8" w:color="CCEEFF"/>
            </w:tcBorders>
            <w:gridSpan w:val="3"/>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87"/>
              </w:rPr>
              <w:t>Increase/</w:t>
            </w:r>
          </w:p>
        </w:tc>
        <w:tc>
          <w:tcPr>
            <w:tcW w:w="240" w:type="dxa"/>
            <w:vAlign w:val="bottom"/>
            <w:tcBorders>
              <w:top w:val="single" w:sz="8" w:color="CCEEFF"/>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jc w:val="right"/>
              <w:ind w:right="240"/>
              <w:spacing w:after="0" w:line="196" w:lineRule="exact"/>
              <w:rPr>
                <w:sz w:val="20"/>
                <w:szCs w:val="20"/>
                <w:color w:val="auto"/>
              </w:rPr>
            </w:pPr>
            <w:r>
              <w:rPr>
                <w:rFonts w:ascii="Arial" w:cs="Arial" w:eastAsia="Arial" w:hAnsi="Arial"/>
                <w:sz w:val="18"/>
                <w:szCs w:val="18"/>
                <w:b w:val="1"/>
                <w:bCs w:val="1"/>
                <w:color w:val="auto"/>
                <w:w w:val="84"/>
              </w:rPr>
              <w:t>(Decrease)</w:t>
            </w: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82"/>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6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98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8.5 %</w:t>
            </w:r>
          </w:p>
        </w:tc>
      </w:tr>
      <w:tr>
        <w:trPr>
          <w:trHeight w:val="270"/>
        </w:trPr>
        <w:tc>
          <w:tcPr>
            <w:tcW w:w="4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53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r>
      <w:tr>
        <w:trPr>
          <w:trHeight w:val="203"/>
        </w:trPr>
        <w:tc>
          <w:tcPr>
            <w:tcW w:w="67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Costs and expenses:</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53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43"/>
        </w:trPr>
        <w:tc>
          <w:tcPr>
            <w:tcW w:w="6780" w:type="dxa"/>
            <w:vAlign w:val="bottom"/>
            <w:gridSpan w:val="3"/>
          </w:tcPr>
          <w:p>
            <w:pPr>
              <w:ind w:left="40"/>
              <w:spacing w:after="0"/>
              <w:rPr>
                <w:sz w:val="20"/>
                <w:szCs w:val="20"/>
                <w:color w:val="auto"/>
              </w:rPr>
            </w:pPr>
            <w:r>
              <w:rPr>
                <w:rFonts w:ascii="Arial" w:cs="Arial" w:eastAsia="Arial" w:hAnsi="Arial"/>
                <w:sz w:val="18"/>
                <w:szCs w:val="18"/>
                <w:color w:val="auto"/>
              </w:rPr>
              <w:t>Direct costs</w:t>
            </w:r>
          </w:p>
        </w:tc>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70.5%</w:t>
            </w:r>
          </w:p>
        </w:tc>
        <w:tc>
          <w:tcPr>
            <w:tcW w:w="1980" w:type="dxa"/>
            <w:vAlign w:val="bottom"/>
            <w:gridSpan w:val="5"/>
          </w:tcPr>
          <w:p>
            <w:pPr>
              <w:jc w:val="right"/>
              <w:ind w:right="540"/>
              <w:spacing w:after="0"/>
              <w:rPr>
                <w:sz w:val="20"/>
                <w:szCs w:val="20"/>
                <w:color w:val="auto"/>
              </w:rPr>
            </w:pPr>
            <w:r>
              <w:rPr>
                <w:rFonts w:ascii="Arial" w:cs="Arial" w:eastAsia="Arial" w:hAnsi="Arial"/>
                <w:sz w:val="18"/>
                <w:szCs w:val="18"/>
                <w:color w:val="auto"/>
              </w:rPr>
              <w:t>69.9%</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9.5 %</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198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12.7%</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3.3 %</w:t>
            </w:r>
          </w:p>
        </w:tc>
      </w:tr>
      <w:tr>
        <w:trPr>
          <w:trHeight w:val="243"/>
        </w:trPr>
        <w:tc>
          <w:tcPr>
            <w:tcW w:w="6780" w:type="dxa"/>
            <w:vAlign w:val="bottom"/>
            <w:gridSpan w:val="3"/>
          </w:tcPr>
          <w:p>
            <w:pPr>
              <w:ind w:left="40"/>
              <w:spacing w:after="0"/>
              <w:rPr>
                <w:sz w:val="20"/>
                <w:szCs w:val="20"/>
                <w:color w:val="auto"/>
              </w:rPr>
            </w:pPr>
            <w:r>
              <w:rPr>
                <w:rFonts w:ascii="Arial" w:cs="Arial" w:eastAsia="Arial" w:hAnsi="Arial"/>
                <w:sz w:val="18"/>
                <w:szCs w:val="18"/>
                <w:color w:val="auto"/>
              </w:rPr>
              <w:t>Depreciation</w:t>
            </w:r>
          </w:p>
        </w:tc>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1.6%</w:t>
            </w:r>
          </w:p>
        </w:tc>
        <w:tc>
          <w:tcPr>
            <w:tcW w:w="1980" w:type="dxa"/>
            <w:vAlign w:val="bottom"/>
            <w:gridSpan w:val="5"/>
          </w:tcPr>
          <w:p>
            <w:pPr>
              <w:jc w:val="right"/>
              <w:ind w:right="540"/>
              <w:spacing w:after="0"/>
              <w:rPr>
                <w:sz w:val="20"/>
                <w:szCs w:val="20"/>
                <w:color w:val="auto"/>
              </w:rPr>
            </w:pPr>
            <w:r>
              <w:rPr>
                <w:rFonts w:ascii="Arial" w:cs="Arial" w:eastAsia="Arial" w:hAnsi="Arial"/>
                <w:sz w:val="18"/>
                <w:szCs w:val="18"/>
                <w:color w:val="auto"/>
              </w:rPr>
              <w:t>1.8%</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46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98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0.8%</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r>
      <w:tr>
        <w:trPr>
          <w:trHeight w:val="243"/>
        </w:trPr>
        <w:tc>
          <w:tcPr>
            <w:tcW w:w="6780" w:type="dxa"/>
            <w:vAlign w:val="bottom"/>
            <w:gridSpan w:val="3"/>
          </w:tcPr>
          <w:p>
            <w:pPr>
              <w:ind w:left="40"/>
              <w:spacing w:after="0"/>
              <w:rPr>
                <w:sz w:val="20"/>
                <w:szCs w:val="20"/>
                <w:color w:val="auto"/>
              </w:rPr>
            </w:pPr>
            <w:r>
              <w:rPr>
                <w:rFonts w:ascii="Arial" w:cs="Arial" w:eastAsia="Arial" w:hAnsi="Arial"/>
                <w:sz w:val="18"/>
                <w:szCs w:val="18"/>
                <w:color w:val="auto"/>
              </w:rPr>
              <w:t>Restructuring</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gridSpan w:val="5"/>
          </w:tcPr>
          <w:p>
            <w:pPr>
              <w:jc w:val="right"/>
              <w:ind w:right="540"/>
              <w:spacing w:after="0"/>
              <w:rPr>
                <w:sz w:val="20"/>
                <w:szCs w:val="20"/>
                <w:color w:val="auto"/>
              </w:rPr>
            </w:pPr>
            <w:r>
              <w:rPr>
                <w:rFonts w:ascii="Arial" w:cs="Arial" w:eastAsia="Arial" w:hAnsi="Arial"/>
                <w:sz w:val="18"/>
                <w:szCs w:val="18"/>
                <w:color w:val="auto"/>
              </w:rPr>
              <w:t>0.6%</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(100.0)%</w:t>
            </w:r>
          </w:p>
        </w:tc>
      </w:tr>
      <w:tr>
        <w:trPr>
          <w:trHeight w:val="34"/>
        </w:trPr>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243"/>
        </w:trPr>
        <w:tc>
          <w:tcPr>
            <w:tcW w:w="6780" w:type="dxa"/>
            <w:vAlign w:val="bottom"/>
            <w:gridSpan w:val="3"/>
          </w:tcPr>
          <w:p>
            <w:pPr>
              <w:ind w:left="40"/>
              <w:spacing w:after="0"/>
              <w:rPr>
                <w:sz w:val="20"/>
                <w:szCs w:val="20"/>
                <w:color w:val="auto"/>
              </w:rPr>
            </w:pPr>
            <w:r>
              <w:rPr>
                <w:rFonts w:ascii="Arial" w:cs="Arial" w:eastAsia="Arial" w:hAnsi="Arial"/>
                <w:sz w:val="18"/>
                <w:szCs w:val="18"/>
                <w:color w:val="auto"/>
              </w:rPr>
              <w:t>Income from operations</w:t>
            </w:r>
          </w:p>
        </w:tc>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15.3%</w:t>
            </w:r>
          </w:p>
        </w:tc>
        <w:tc>
          <w:tcPr>
            <w:tcW w:w="1980" w:type="dxa"/>
            <w:vAlign w:val="bottom"/>
            <w:gridSpan w:val="5"/>
          </w:tcPr>
          <w:p>
            <w:pPr>
              <w:jc w:val="right"/>
              <w:ind w:right="540"/>
              <w:spacing w:after="0"/>
              <w:rPr>
                <w:sz w:val="20"/>
                <w:szCs w:val="20"/>
                <w:color w:val="auto"/>
              </w:rPr>
            </w:pPr>
            <w:r>
              <w:rPr>
                <w:rFonts w:ascii="Arial" w:cs="Arial" w:eastAsia="Arial" w:hAnsi="Arial"/>
                <w:sz w:val="18"/>
                <w:szCs w:val="18"/>
                <w:color w:val="auto"/>
              </w:rPr>
              <w:t>14.2%</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17.1 %</w:t>
            </w:r>
          </w:p>
        </w:tc>
      </w:tr>
      <w:tr>
        <w:trPr>
          <w:trHeight w:val="27"/>
        </w:trPr>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746" w:right="239" w:bottom="1440" w:gutter="0" w:footer="0" w:header="0"/>
          <w:type w:val="continuous"/>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Revenue for the period increased by $163.7 million, or 8.5%, from $1,916.8 million for the nine months ended September 30, 2018 to $2,080.4 million for the nine months ended September 30, 2019. Revenue increased by 10.3% in constant currency and increased by 9.4% in constant dollar organic terms. The increase in revenues in the nine months ended September 30, 2019 can be explained by continued organic growth.</w:t>
      </w:r>
    </w:p>
    <w:p>
      <w:pPr>
        <w:spacing w:after="0" w:line="2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2019 we derived approximately 32.0%, 58.2% and 9.8% of our revenue in the United States, Europe and Rest of World respectively. During the nine months ended September 30, 2019, $783.3 million or 37.7% of our revenues were derived from our top 5 customers. The largest of these customers related to a strategic partnership with a large global pharmaceutical company. Revenue from this customer contributed 13.0% of revenue for the nine months ended September 30, 2019.</w:t>
      </w:r>
    </w:p>
    <w:p>
      <w:pPr>
        <w:spacing w:after="0" w:line="2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Revenue in Ireland increased from $765.9 million for the nine months ended September 30, 2018 to $929.4 million for the nine months ended September 30, 2019. Revenue in Ireland is principally a function of the Company’s global transfer pricing model (see </w:t>
      </w:r>
      <w:r>
        <w:rPr>
          <w:rFonts w:ascii="Arial" w:cs="Arial" w:eastAsia="Arial" w:hAnsi="Arial"/>
          <w:sz w:val="17"/>
          <w:szCs w:val="17"/>
          <w:i w:val="1"/>
          <w:iCs w:val="1"/>
          <w:color w:val="auto"/>
        </w:rPr>
        <w:t>note 13 - Business segment information</w:t>
      </w:r>
      <w:r>
        <w:rPr>
          <w:rFonts w:ascii="Arial" w:cs="Arial" w:eastAsia="Arial" w:hAnsi="Arial"/>
          <w:sz w:val="17"/>
          <w:szCs w:val="17"/>
          <w:color w:val="auto"/>
        </w:rPr>
        <w:t xml:space="preserve"> for further details). Revenue in our Rest of Europe region decreased from $283.0 million for the nine months ended September 30, 2018 to $282.7 million for the nine months ended September 30, 2019. Revenue in the Rest of World region increased from $193.6 million for the nine months ended September 30, 2018 to $203.5 million for the nine months ended September 30, 2019. Revenue in the U.S. region decreased from $674.2 million for the nine months ended September 30, 2018 to $664.8 million for the nine months ended September 30, 2019.</w:t>
      </w:r>
    </w:p>
    <w:p>
      <w:pPr>
        <w:spacing w:after="0" w:line="2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 costs for the period increased by $126.9 million, or 9.5%, from $1,339.0 million for the nine months ended September 30, 2018 to $1,465.9 million for the nine months ended September 30, 2019. Direct costs consist primarily of investigator and other reimbursable costs, compensation, associated fringe benefits and share based compensation expense for project-related employees and other direct project driven costs. The increase in direct costs during the period relates to increases in third party investigator and other reimbursable costs, an increase in direct project related costs and personnel related expenditure, which was partly offset by a decrease in laboratory costs during the period. As a percentage of revenue, direct costs have increased from 69.9% for the nine months ended September 30, 2018 to 70.5% for the nine months ended September 30, 2019.</w:t>
      </w:r>
    </w:p>
    <w:p>
      <w:pPr>
        <w:spacing w:after="0" w:line="2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for the period increased by $7.9 million, or 3.3%, from $242.7 million for the nine months ended September 30, 2018 to $250.6 million for the nine months ended September 30, 2019.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As a percentage of revenue, selling, general and administrative expenses decreased from 12.7% for the nine months ended September 30, 2018 to 12.0% for the nine months ended September 30, 2019. This reflects a continued focus on personnel related expenditure and facilities and related costs.</w:t>
      </w:r>
    </w:p>
    <w:p>
      <w:pPr>
        <w:spacing w:after="0" w:line="3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Depreciation expense for the period decreased by $1.2 million, or 3.3%, from $35.4 million for nine months ended September 30, 2018 to $34.3 million for nine months ended September 30, 2019. Depreciation expense arises principally from continued investment in facilities, information systems and equipment to support the Company’s growth. As a percentage of revenue the depreciation expense decreased from 1.8% for the nine months ended September 30, 2018 to 1.6% for the nine months ended September 30, 2019. Amortization on intangibles for the period decreased by $4.0 million, or 25.7%, from $15.6 million for the nine months ended September 30, 2018 to $11.6 million for the nine months ended September 30, 2019. Amortization expense represents the amortization of intangible assets acquired on business combinations. The decrease in the amortization expense for the period was driven by some intangibles being fully amortized during 2018. As a percentage of revenue, amortization expense decreased from 0.8% for the nine months ended September 30, 2018 to 0.6% for the nine months ended September 30, 2019.</w:t>
      </w: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restructuring charge was recognized during the nine months ended September 30, 2019. During the nine months ended September 30, 2018, a restructuring charge of $12.5 million was recognized under a restructuring plan adopted following a review by the company of its operations. The restructuring plan includes resource rationalization in certain areas of the business to improve resource utilization (</w:t>
      </w:r>
      <w:r>
        <w:rPr>
          <w:rFonts w:ascii="Arial" w:cs="Arial" w:eastAsia="Arial" w:hAnsi="Arial"/>
          <w:sz w:val="18"/>
          <w:szCs w:val="18"/>
          <w:i w:val="1"/>
          <w:iCs w:val="1"/>
          <w:color w:val="auto"/>
        </w:rPr>
        <w:t>see note 7 - Restructuring</w:t>
      </w:r>
      <w:r>
        <w:rPr>
          <w:rFonts w:ascii="Arial" w:cs="Arial" w:eastAsia="Arial" w:hAnsi="Arial"/>
          <w:sz w:val="18"/>
          <w:szCs w:val="18"/>
          <w:color w:val="auto"/>
        </w:rPr>
        <w:t xml:space="preserve"> for further information).</w:t>
      </w:r>
    </w:p>
    <w:p>
      <w:pPr>
        <w:spacing w:after="0" w:line="2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above, income from operations for the period increased by $46.5 million, or 17.1%, from $271.6 million ($284.1 million excluding restructuring) for the nine months ended September 30, 2018 to $318.1 million for the nine months ended September 30, 2019. As a percentage of revenue, income from operations for the nine months ended September 30, 2018 increased from 14.2% (14.8% excluding restructuring charges) of revenues to 15.3% of revenues for the nine months ended September 30, 2019.</w:t>
      </w:r>
    </w:p>
    <w:p>
      <w:pPr>
        <w:spacing w:after="0" w:line="2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Income from operations in Ireland increased from $190.8 million ($203.3 million excluding restructuring) for the nine months ended ended September 30, 2018 to $231.2 million ($231.2 million excluding restructuring) for the nine months ended September 30, 2019. Income from operations in Ireland is impacted by the Group’s global transfer pricing model </w:t>
      </w:r>
      <w:r>
        <w:rPr>
          <w:rFonts w:ascii="Arial" w:cs="Arial" w:eastAsia="Arial" w:hAnsi="Arial"/>
          <w:sz w:val="18"/>
          <w:szCs w:val="18"/>
          <w:i w:val="1"/>
          <w:iCs w:val="1"/>
          <w:color w:val="auto"/>
        </w:rPr>
        <w:t>(see note - 13 Business segment information</w:t>
      </w:r>
      <w:r>
        <w:rPr>
          <w:rFonts w:ascii="Arial" w:cs="Arial" w:eastAsia="Arial" w:hAnsi="Arial"/>
          <w:sz w:val="18"/>
          <w:szCs w:val="18"/>
          <w:color w:val="auto"/>
        </w:rPr>
        <w:t xml:space="preserve"> for further details)</w:t>
      </w:r>
      <w:r>
        <w:rPr>
          <w:rFonts w:ascii="Arial" w:cs="Arial" w:eastAsia="Arial" w:hAnsi="Arial"/>
          <w:sz w:val="18"/>
          <w:szCs w:val="18"/>
          <w:i w:val="1"/>
          <w:iCs w:val="1"/>
          <w:color w:val="auto"/>
        </w:rPr>
        <w:t>.</w:t>
      </w:r>
      <w:r>
        <w:rPr>
          <w:rFonts w:ascii="Arial" w:cs="Arial" w:eastAsia="Arial" w:hAnsi="Arial"/>
          <w:sz w:val="18"/>
          <w:szCs w:val="18"/>
          <w:color w:val="auto"/>
        </w:rPr>
        <w:t xml:space="preserve"> Income from operations in our Rest of Europe region decreased from $23.9 million for the nine months ended September 30, 2018 to $21.7 million for the nine months ended September 30, 2019, while</w:t>
      </w:r>
    </w:p>
    <w:p>
      <w:pPr>
        <w:sectPr>
          <w:pgSz w:w="11900" w:h="16838" w:orient="portrait"/>
          <w:cols w:equalWidth="0" w:num="1">
            <w:col w:w="11420"/>
          </w:cols>
          <w:pgMar w:left="240" w:top="746"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746" w:right="239" w:bottom="1440" w:gutter="0" w:footer="0" w:header="0"/>
          <w:type w:val="continuous"/>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income from operations in our Rest of World region increased from $16.0 million for the nine months ended September 30, 2018 to $19.7 million for the nine months ended September 30, 2019. Income from operations in the U.S. region increased from $40.9 million for the nine months ended September 30, 2018 to $45.4 million for the nine months ended September 30, 2019.</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period decreased by $0.4 million, or 3.4%, from $10.3 million for the nine months ended September 30, 2018 to $9.9 million for the nine months ended September 30, 2019. Interest income increased by $2.2 million or 70.5% from $3.2 million for the nine months ended September 30, 2018 to $5.4 million for the nine months ended September 30, 2019.</w:t>
      </w:r>
    </w:p>
    <w:p>
      <w:pPr>
        <w:spacing w:after="0" w:line="2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Provision for income taxes increased from $29.9 million ($31.4 million excluding restructuring) for the nine months ended September 30, 2018 to $37.5 million ($37.5 million excluding restructuring) for the nine months ended September 30, 2019. The Company’s effective tax rate for the nine months ended September 30, 2019 was 12% compared with 11.3% (11.3% excluding restructuring) for the nine months ended September 30, 2018. The Company’s effective tax rate remains principally a function of the distribution of pre-tax profits amongst the territories in which it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or revenue recognized on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net borrowings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96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Balance</w:t>
            </w:r>
          </w:p>
        </w:tc>
        <w:tc>
          <w:tcPr>
            <w:tcW w:w="11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Drawn</w:t>
            </w:r>
          </w:p>
        </w:tc>
        <w:tc>
          <w:tcPr>
            <w:tcW w:w="12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Net cash</w:t>
            </w:r>
          </w:p>
        </w:tc>
        <w:tc>
          <w:tcPr>
            <w:tcW w:w="15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Other non-</w:t>
            </w:r>
          </w:p>
        </w:tc>
        <w:tc>
          <w:tcPr>
            <w:tcW w:w="13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Effect of</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Balance</w:t>
            </w:r>
          </w:p>
        </w:tc>
      </w:tr>
      <w:tr>
        <w:trPr>
          <w:trHeight w:val="216"/>
        </w:trPr>
        <w:tc>
          <w:tcPr>
            <w:tcW w:w="29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December</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down/</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inflow/</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cash</w:t>
            </w:r>
          </w:p>
        </w:tc>
        <w:tc>
          <w:tcPr>
            <w:tcW w:w="13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exchange</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September 30,</w:t>
            </w:r>
          </w:p>
        </w:tc>
      </w:tr>
      <w:tr>
        <w:trPr>
          <w:trHeight w:val="241"/>
        </w:trPr>
        <w:tc>
          <w:tcPr>
            <w:tcW w:w="29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31, 2018</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(repaid)</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(outflow)</w:t>
            </w: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adjustments</w:t>
            </w:r>
          </w:p>
        </w:tc>
        <w:tc>
          <w:tcPr>
            <w:tcW w:w="13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rates</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43"/>
        </w:trPr>
        <w:tc>
          <w:tcPr>
            <w:tcW w:w="29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 (in thousands)</w:t>
            </w:r>
          </w:p>
        </w:tc>
        <w:tc>
          <w:tcPr>
            <w:tcW w:w="13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2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395,851</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25,068</w:t>
            </w: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(3,315)</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417,604</w:t>
            </w:r>
          </w:p>
        </w:tc>
      </w:tr>
      <w:tr>
        <w:trPr>
          <w:trHeight w:val="243"/>
        </w:trPr>
        <w:tc>
          <w:tcPr>
            <w:tcW w:w="2960" w:type="dxa"/>
            <w:vAlign w:val="bottom"/>
          </w:tcPr>
          <w:p>
            <w:pPr>
              <w:ind w:left="280"/>
              <w:spacing w:after="0"/>
              <w:rPr>
                <w:sz w:val="20"/>
                <w:szCs w:val="20"/>
                <w:color w:val="auto"/>
              </w:rPr>
            </w:pPr>
            <w:r>
              <w:rPr>
                <w:rFonts w:ascii="Arial" w:cs="Arial" w:eastAsia="Arial" w:hAnsi="Arial"/>
                <w:sz w:val="18"/>
                <w:szCs w:val="18"/>
                <w:color w:val="auto"/>
              </w:rPr>
              <w:t>Available for sale investments</w:t>
            </w: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rPr>
              <w:t>59,910</w:t>
            </w: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(7,739)</w:t>
            </w: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rPr>
              <w:t>1,465</w:t>
            </w: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53,636</w:t>
            </w:r>
          </w:p>
        </w:tc>
      </w:tr>
      <w:tr>
        <w:trPr>
          <w:trHeight w:val="27"/>
        </w:trPr>
        <w:tc>
          <w:tcPr>
            <w:tcW w:w="2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82"/>
        </w:trPr>
        <w:tc>
          <w:tcPr>
            <w:tcW w:w="2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Private placement notes</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(349,264)</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(278)</w:t>
            </w:r>
          </w:p>
        </w:tc>
        <w:tc>
          <w:tcPr>
            <w:tcW w:w="13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(349,542)</w:t>
            </w:r>
          </w:p>
        </w:tc>
      </w:tr>
      <w:tr>
        <w:trPr>
          <w:trHeight w:val="297"/>
        </w:trPr>
        <w:tc>
          <w:tcPr>
            <w:tcW w:w="296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r>
      <w:tr>
        <w:trPr>
          <w:trHeight w:val="275"/>
        </w:trPr>
        <w:tc>
          <w:tcPr>
            <w:tcW w:w="29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106,497</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17,329</w:t>
            </w: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1,187</w:t>
            </w:r>
          </w:p>
        </w:tc>
        <w:tc>
          <w:tcPr>
            <w:tcW w:w="1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(3,315)</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121,698</w:t>
            </w:r>
          </w:p>
        </w:tc>
      </w:tr>
      <w:tr>
        <w:trPr>
          <w:trHeight w:val="20"/>
        </w:trPr>
        <w:tc>
          <w:tcPr>
            <w:tcW w:w="29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cash and short term investment balances at September 30, 2019 amounted to $471.2 million compared with cash and short term investment balances of $455.8 million at December 31, 2018. The Company’s cash and short term investment balances at September 30, 2019 comprised of cash and cash equivalents of $417.6 million and short-term investments of $53.6 million. The Company’s cash and short term investment balances at December 31, 2018 comprised of cash and cash equivalents of $395.9 million and short-term investments of $59.9 million.</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12,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bears interest at LIBOR plus a margin. No amounts were drawn at September 30, 2019, or at December 31, 2018, in respect of the Revolving Credit Facility. Amounts available to the Group under the facility at September 30, 2019 and at December 31, 2018 were $150.0 million.</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746" w:right="239" w:bottom="1440" w:gutter="0" w:footer="0" w:header="0"/>
          <w:type w:val="continuous"/>
        </w:sectPr>
      </w:pPr>
    </w:p>
    <w:bookmarkStart w:id="29" w:name="page30"/>
    <w:bookmarkEnd w:id="29"/>
    <w:p>
      <w:pPr>
        <w:jc w:val="both"/>
        <w:spacing w:after="0" w:line="287" w:lineRule="auto"/>
        <w:rPr>
          <w:sz w:val="20"/>
          <w:szCs w:val="20"/>
          <w:color w:val="auto"/>
        </w:rPr>
      </w:pPr>
      <w:r>
        <w:rPr>
          <w:rFonts w:ascii="Arial" w:cs="Arial" w:eastAsia="Arial" w:hAnsi="Arial"/>
          <w:sz w:val="16"/>
          <w:szCs w:val="16"/>
          <w:color w:val="auto"/>
        </w:rPr>
        <w:t>Net cash provided by operating activities was $278.1 million for the nine months ended September 30, 2019 compared with cash provided by operating activities of $207.8 million for the nine months ended September 30, 2018. This reflects the impact of the increase in revenues and underlying profitability of the Company offset by movements in working capital balances in the period.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delivery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delivery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September 30, 2019 was 73 days compared with 67 days at December 31, 2018. This reflects both extended credit terms provided to a number of key accounts and the timing of cash collections.</w:t>
      </w:r>
    </w:p>
    <w:p>
      <w:pPr>
        <w:spacing w:after="0" w:line="2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used in investing activities was $132.4 million for the nine months ended September 30, 2019 compared to net cash used in investing activities of $17.0 million for the nine months ended September 30, 2018. Net cash used in investing activities in the nine months ended September 30, 2019 was largely attributable to cash outflows on the acquisitions of MMD of $42.2 million on January 25, 2019, cash outflows on the acquisition of MeDiNova on May 23, 2019 of $39.3 million and cash outflows on the acquisition of Symphony on September 24, 2019 of $35.0 million. These were offset in part by cash acquired of $11.7 million. During the nine months ended September 30, 2019, capital expenditure of $31.9 million was made mainly relating to investment in facilities and IT infrastructure. In addition, $3.5 million was used for the purchase of investments in equity. During the nine months ended September 30, 2019 $16.1 million was used for the purchase of short term investments and $23.8 million was generated by the sale of short term investments. Net cash used in investing activities during the nine months ended September 30, 2018 relates to capital expenditure of $28.4 million, which was mainly comprised of investment in facilities and IT infrastructure. During the nine months ended September 30, 2018 $85.9 million was used for the purchase of short term investments and $98.9 million was generated by the sale of short term investments.</w:t>
      </w:r>
    </w:p>
    <w:p>
      <w:pPr>
        <w:spacing w:after="0" w:line="28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used in financing activities during the nine months ended September 30, 2019 amounted to $120.6 million compared to net cash used in financing activities of $42.9 million for the nine months ended September 30, 2018. Cash outflows in respect of financing includes cash payments in respect of the Company’s share repurchase program totaling $141.6 million during the nine months ended September 30, 2019. In addition, $21.1 million was received by the Company from the exercise of share options. During the nine months ended September 30, 2018, $57.0 million was recognized in relation to the Company's share repurchase program. In addition, $14.9 million was received by the Company from the exercise of share options.</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cash flows, cash and cash equivalents increased by $21.8 million for the nine months ended September 30, 2019 compared to an increase of $143.4 million for the nine months ended September 30,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40"/>
        <w:spacing w:after="0"/>
        <w:rPr>
          <w:sz w:val="20"/>
          <w:szCs w:val="20"/>
          <w:color w:val="auto"/>
        </w:rPr>
      </w:pPr>
      <w:r>
        <w:rPr>
          <w:rFonts w:ascii="Arial" w:cs="Arial" w:eastAsia="Arial" w:hAnsi="Arial"/>
          <w:sz w:val="18"/>
          <w:szCs w:val="18"/>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6841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57" w:lineRule="exact"/>
        <w:rPr>
          <w:sz w:val="20"/>
          <w:szCs w:val="20"/>
          <w:color w:val="auto"/>
        </w:rPr>
      </w:pPr>
    </w:p>
    <w:p>
      <w:pPr>
        <w:ind w:left="720" w:right="1720" w:hanging="7994"/>
        <w:spacing w:after="0" w:line="290" w:lineRule="auto"/>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2019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2019-11-28T10:28:02Z</dcterms:created>
  <dcterms:modified xsi:type="dcterms:W3CDTF">2019-11-28T10:28:02Z</dcterms:modified>
</cp:coreProperties>
</file>