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FORM 6-K</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August, 2012</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890270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2012 we had approximately 8,930 employees, in 82 locations in 40 countries. During the six months ended June 30, 2012, we derived approximately 41.9%, 45.9% and 12.2%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February 28, 2012 the Company acquired 100% of the common stock of PriceSpective LLC (“PriceSpective”), a global leader in value strategy consulting.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PriceSpective’s inception in 2003, it has developed strategies for dozens of new product launches, and hundreds of development and in-market products, across 40+ disease areas </w:t>
      </w:r>
      <w:r>
        <w:rPr>
          <w:rFonts w:ascii="Arial" w:cs="Arial" w:eastAsia="Arial" w:hAnsi="Arial"/>
          <w:sz w:val="18"/>
          <w:szCs w:val="18"/>
          <w:i w:val="1"/>
          <w:iCs w:val="1"/>
          <w:color w:val="auto"/>
        </w:rPr>
        <w:t>(see note 3 Business Combinations for further information).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February 15, 2012 the Company acquired 100% of the common stock of BeijingWits Medical Limited (“BeijingWits Medical”), a leading Chinese CRO, with over 100 highly qualified and experienced professionals in Beijing, Shanghai, Chengdu, Guangzhou, Wuhan and Hong Kong </w:t>
      </w:r>
      <w:r>
        <w:rPr>
          <w:rFonts w:ascii="Arial" w:cs="Arial" w:eastAsia="Arial" w:hAnsi="Arial"/>
          <w:sz w:val="18"/>
          <w:szCs w:val="18"/>
          <w:i w:val="1"/>
          <w:iCs w:val="1"/>
          <w:color w:val="auto"/>
        </w:rPr>
        <w:t>(see note 3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October 27, 2011 the Company announced its intention to commence a share repurchase program of up to $50 million. The Company has subsequently entered into a number of share repurchase plans to effect this share repurchase program. As at June 30, 2012 1,283,938 ordinary shares have been repurchased by the Company for a total consideration of $24.6 million. </w:t>
      </w:r>
      <w:r>
        <w:rPr>
          <w:rFonts w:ascii="Arial" w:cs="Arial" w:eastAsia="Arial" w:hAnsi="Arial"/>
          <w:sz w:val="17"/>
          <w:szCs w:val="17"/>
          <w:i w:val="1"/>
          <w:iCs w:val="1"/>
          <w:color w:val="auto"/>
        </w:rPr>
        <w:t>(See note 8 Share Capital for further information</w:t>
      </w:r>
      <w:r>
        <w:rPr>
          <w:rFonts w:ascii="Arial" w:cs="Arial" w:eastAsia="Arial" w:hAnsi="Arial"/>
          <w:sz w:val="17"/>
          <w:szCs w:val="17"/>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JUNE 30, 2012 AND DECEMBER 31,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20"/>
        </w:trPr>
        <w:tc>
          <w:tcPr>
            <w:tcW w:w="7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94,922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119,237</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Short term investments - available for sale</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73,116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54,940</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228,215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201,338</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Unbilled revenue</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115,407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126,850</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13,788</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Deferred tax asset</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18,494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14,662</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Prepayments and other current assets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21,424</w:t>
            </w:r>
          </w:p>
        </w:tc>
      </w:tr>
      <w:tr>
        <w:trPr>
          <w:trHeight w:val="223"/>
        </w:trPr>
        <w:tc>
          <w:tcPr>
            <w:tcW w:w="100" w:type="dxa"/>
            <w:vAlign w:val="bottom"/>
          </w:tcPr>
          <w:p>
            <w:pPr>
              <w:spacing w:after="0"/>
              <w:rPr>
                <w:sz w:val="19"/>
                <w:szCs w:val="19"/>
                <w:color w:val="auto"/>
              </w:rPr>
            </w:pPr>
          </w:p>
        </w:tc>
        <w:tc>
          <w:tcPr>
            <w:tcW w:w="7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Income taxes receivable</w:t>
            </w:r>
          </w:p>
        </w:tc>
        <w:tc>
          <w:tcPr>
            <w:tcW w:w="1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6,363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8,183</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569,021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560,422</w:t>
            </w:r>
          </w:p>
        </w:tc>
      </w:tr>
      <w:tr>
        <w:trPr>
          <w:trHeight w:val="216"/>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161,874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168,461</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319,097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253,393</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other assets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Non-current income taxes receivable</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14,328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10,272</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Non-current deferred tax asset</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10,076</w:t>
            </w:r>
          </w:p>
        </w:tc>
      </w:tr>
      <w:tr>
        <w:trPr>
          <w:trHeight w:val="223"/>
        </w:trPr>
        <w:tc>
          <w:tcPr>
            <w:tcW w:w="100" w:type="dxa"/>
            <w:vAlign w:val="bottom"/>
          </w:tcPr>
          <w:p>
            <w:pPr>
              <w:spacing w:after="0"/>
              <w:rPr>
                <w:sz w:val="19"/>
                <w:szCs w:val="19"/>
                <w:color w:val="auto"/>
              </w:rPr>
            </w:pPr>
          </w:p>
        </w:tc>
        <w:tc>
          <w:tcPr>
            <w:tcW w:w="7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Intangible assets</w:t>
            </w:r>
          </w:p>
        </w:tc>
        <w:tc>
          <w:tcPr>
            <w:tcW w:w="1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24,445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r>
      <w:tr>
        <w:trPr>
          <w:trHeight w:val="257"/>
        </w:trPr>
        <w:tc>
          <w:tcPr>
            <w:tcW w:w="100" w:type="dxa"/>
            <w:vAlign w:val="bottom"/>
          </w:tcPr>
          <w:p>
            <w:pPr>
              <w:spacing w:after="0"/>
              <w:rPr>
                <w:sz w:val="22"/>
                <w:szCs w:val="22"/>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1,104,894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1,035,467</w:t>
            </w:r>
          </w:p>
        </w:tc>
      </w:tr>
      <w:tr>
        <w:trPr>
          <w:trHeight w:val="210"/>
        </w:trPr>
        <w:tc>
          <w:tcPr>
            <w:tcW w:w="1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8,068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5,340</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account</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194,514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150,792</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159,710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145,963</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23"/>
        </w:trPr>
        <w:tc>
          <w:tcPr>
            <w:tcW w:w="100" w:type="dxa"/>
            <w:vAlign w:val="bottom"/>
          </w:tcPr>
          <w:p>
            <w:pPr>
              <w:spacing w:after="0"/>
              <w:rPr>
                <w:sz w:val="19"/>
                <w:szCs w:val="19"/>
                <w:color w:val="auto"/>
              </w:rPr>
            </w:pPr>
          </w:p>
        </w:tc>
        <w:tc>
          <w:tcPr>
            <w:tcW w:w="7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Income taxes payable</w:t>
            </w:r>
          </w:p>
        </w:tc>
        <w:tc>
          <w:tcPr>
            <w:tcW w:w="1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7,859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3,630</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371,432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306,908</w:t>
            </w:r>
          </w:p>
        </w:tc>
      </w:tr>
      <w:tr>
        <w:trPr>
          <w:trHeight w:val="216"/>
        </w:trPr>
        <w:tc>
          <w:tcPr>
            <w:tcW w:w="1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other liabilities</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24,230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20,038</w:t>
            </w:r>
          </w:p>
        </w:tc>
      </w:tr>
      <w:tr>
        <w:trPr>
          <w:trHeight w:val="216"/>
        </w:trPr>
        <w:tc>
          <w:tcPr>
            <w:tcW w:w="1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Non-current government grants</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1,271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income taxes payable</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5,231</w:t>
            </w:r>
          </w:p>
        </w:tc>
      </w:tr>
      <w:tr>
        <w:trPr>
          <w:trHeight w:val="202"/>
        </w:trPr>
        <w:tc>
          <w:tcPr>
            <w:tcW w:w="100" w:type="dxa"/>
            <w:vAlign w:val="bottom"/>
          </w:tcPr>
          <w:p>
            <w:pPr>
              <w:spacing w:after="0"/>
              <w:rPr>
                <w:sz w:val="17"/>
                <w:szCs w:val="17"/>
                <w:color w:val="auto"/>
              </w:rPr>
            </w:pPr>
          </w:p>
        </w:tc>
        <w:tc>
          <w:tcPr>
            <w:tcW w:w="7480" w:type="dxa"/>
            <w:vAlign w:val="bottom"/>
          </w:tcPr>
          <w:p>
            <w:pPr>
              <w:ind w:left="280"/>
              <w:spacing w:after="0" w:line="201" w:lineRule="exact"/>
              <w:rPr>
                <w:sz w:val="20"/>
                <w:szCs w:val="20"/>
                <w:color w:val="auto"/>
              </w:rPr>
            </w:pPr>
            <w:r>
              <w:rPr>
                <w:rFonts w:ascii="Arial" w:cs="Arial" w:eastAsia="Arial" w:hAnsi="Arial"/>
                <w:sz w:val="18"/>
                <w:szCs w:val="18"/>
                <w:color w:val="auto"/>
              </w:rPr>
              <w:t>Non-current deferred tax liability</w:t>
            </w:r>
          </w:p>
        </w:tc>
        <w:tc>
          <w:tcPr>
            <w:tcW w:w="1480" w:type="dxa"/>
            <w:vAlign w:val="bottom"/>
          </w:tcPr>
          <w:p>
            <w:pPr>
              <w:spacing w:after="0"/>
              <w:rPr>
                <w:sz w:val="17"/>
                <w:szCs w:val="17"/>
                <w:color w:val="auto"/>
              </w:rPr>
            </w:pPr>
          </w:p>
        </w:tc>
        <w:tc>
          <w:tcPr>
            <w:tcW w:w="11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19,467</w:t>
            </w:r>
          </w:p>
        </w:tc>
        <w:tc>
          <w:tcPr>
            <w:tcW w:w="3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20,395</w:t>
            </w:r>
          </w:p>
        </w:tc>
      </w:tr>
      <w:tr>
        <w:trPr>
          <w:trHeight w:val="230"/>
        </w:trPr>
        <w:tc>
          <w:tcPr>
            <w:tcW w:w="100" w:type="dxa"/>
            <w:vAlign w:val="bottom"/>
          </w:tcPr>
          <w:p>
            <w:pPr>
              <w:spacing w:after="0"/>
              <w:rPr>
                <w:sz w:val="20"/>
                <w:szCs w:val="20"/>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1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74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59,679,858 shares issued and outstanding at June 30, 2012 and</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60,135,603 shares issued and outstanding at December 31, 2011</w:t>
            </w:r>
          </w:p>
        </w:tc>
        <w:tc>
          <w:tcPr>
            <w:tcW w:w="1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5,021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5,055</w:t>
            </w:r>
          </w:p>
        </w:tc>
      </w:tr>
      <w:tr>
        <w:trPr>
          <w:trHeight w:val="216"/>
        </w:trPr>
        <w:tc>
          <w:tcPr>
            <w:tcW w:w="1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220,829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211,549</w:t>
            </w:r>
          </w:p>
        </w:tc>
      </w:tr>
      <w:tr>
        <w:trPr>
          <w:trHeight w:val="216"/>
        </w:trPr>
        <w:tc>
          <w:tcPr>
            <w:tcW w:w="10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Capital redemption reserve</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1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(24,831)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(16,446)</w:t>
            </w:r>
          </w:p>
        </w:tc>
      </w:tr>
      <w:tr>
        <w:trPr>
          <w:trHeight w:val="223"/>
        </w:trPr>
        <w:tc>
          <w:tcPr>
            <w:tcW w:w="10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482,482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481,342</w:t>
            </w:r>
          </w:p>
        </w:tc>
      </w:tr>
      <w:tr>
        <w:trPr>
          <w:trHeight w:val="223"/>
        </w:trPr>
        <w:tc>
          <w:tcPr>
            <w:tcW w:w="100" w:type="dxa"/>
            <w:vAlign w:val="bottom"/>
          </w:tcPr>
          <w:p>
            <w:pPr>
              <w:spacing w:after="0"/>
              <w:rPr>
                <w:sz w:val="19"/>
                <w:szCs w:val="19"/>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683,601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681,544</w:t>
            </w:r>
          </w:p>
        </w:tc>
      </w:tr>
      <w:tr>
        <w:trPr>
          <w:trHeight w:val="257"/>
        </w:trPr>
        <w:tc>
          <w:tcPr>
            <w:tcW w:w="100" w:type="dxa"/>
            <w:vAlign w:val="bottom"/>
          </w:tcPr>
          <w:p>
            <w:pPr>
              <w:spacing w:after="0"/>
              <w:rPr>
                <w:sz w:val="22"/>
                <w:szCs w:val="22"/>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1,104,894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-4527550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513"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SIX MONTHS ENDED JUNE 30, 2012 AND JUNE 30,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10"/>
          </w:tcPr>
          <w:p>
            <w:pPr>
              <w:jc w:val="right"/>
              <w:ind w:right="42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22"/>
          </w:tcPr>
          <w:p>
            <w:pPr>
              <w:jc w:val="right"/>
              <w:ind w:right="42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0" w:type="dxa"/>
            <w:vAlign w:val="bottom"/>
          </w:tcPr>
          <w:p>
            <w:pPr>
              <w:spacing w:after="0"/>
              <w:rPr>
                <w:sz w:val="1"/>
                <w:szCs w:val="1"/>
                <w:color w:val="auto"/>
              </w:rPr>
            </w:pPr>
          </w:p>
        </w:tc>
      </w:tr>
      <w:tr>
        <w:trPr>
          <w:trHeight w:val="432"/>
        </w:trPr>
        <w:tc>
          <w:tcPr>
            <w:tcW w:w="572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379,620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317,696</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722,675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623,243</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(102,613)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(84,651)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(193,335)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(160,901)</w:t>
            </w:r>
          </w:p>
        </w:tc>
        <w:tc>
          <w:tcPr>
            <w:tcW w:w="0" w:type="dxa"/>
            <w:vAlign w:val="bottom"/>
          </w:tcPr>
          <w:p>
            <w:pPr>
              <w:spacing w:after="0"/>
              <w:rPr>
                <w:sz w:val="1"/>
                <w:szCs w:val="1"/>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277,007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233,045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529,340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462,342</w:t>
            </w:r>
          </w:p>
        </w:tc>
        <w:tc>
          <w:tcPr>
            <w:tcW w:w="0" w:type="dxa"/>
            <w:vAlign w:val="bottom"/>
          </w:tcPr>
          <w:p>
            <w:pPr>
              <w:spacing w:after="0"/>
              <w:rPr>
                <w:sz w:val="1"/>
                <w:szCs w:val="1"/>
                <w:color w:val="auto"/>
              </w:rPr>
            </w:pPr>
          </w:p>
        </w:tc>
      </w:tr>
      <w:tr>
        <w:trPr>
          <w:trHeight w:val="432"/>
        </w:trPr>
        <w:tc>
          <w:tcPr>
            <w:tcW w:w="5720" w:type="dxa"/>
            <w:vAlign w:val="bottom"/>
            <w:gridSpan w:val="2"/>
          </w:tcPr>
          <w:p>
            <w:pPr>
              <w:ind w:left="100"/>
              <w:spacing w:after="0"/>
              <w:rPr>
                <w:sz w:val="20"/>
                <w:szCs w:val="20"/>
                <w:color w:val="auto"/>
              </w:rPr>
            </w:pPr>
            <w:r>
              <w:rPr>
                <w:rFonts w:ascii="Arial" w:cs="Arial" w:eastAsia="Arial" w:hAnsi="Arial"/>
                <w:sz w:val="18"/>
                <w:szCs w:val="18"/>
                <w:color w:val="auto"/>
              </w:rPr>
              <w:t>Costs and expenses: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150,866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342,411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295,336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69,410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57,344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136,925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117,227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Restructuring and other non-recurring items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costs and expenses</w:t>
            </w: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266,003</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217,539</w:t>
            </w:r>
          </w:p>
        </w:tc>
        <w:tc>
          <w:tcPr>
            <w:tcW w:w="120" w:type="dxa"/>
            <w:vAlign w:val="bottom"/>
            <w:tcBorders>
              <w:left w:val="single" w:sz="8" w:color="CCEEFF"/>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506,604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435,867</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vMerge w:val="continue"/>
          </w:tcPr>
          <w:p>
            <w:pPr>
              <w:spacing w:after="0"/>
              <w:rPr>
                <w:sz w:val="22"/>
                <w:szCs w:val="2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120" w:type="dxa"/>
            <w:vAlign w:val="bottom"/>
            <w:tcBorders>
              <w:lef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16,935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Ordinary Share:</w:t>
            </w: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62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
        </w:trPr>
        <w:tc>
          <w:tcPr>
            <w:tcW w:w="5720" w:type="dxa"/>
            <w:vAlign w:val="bottom"/>
            <w:gridSpan w:val="2"/>
            <w:vMerge w:val="restart"/>
          </w:tcPr>
          <w:p>
            <w:pPr>
              <w:ind w:left="100"/>
              <w:spacing w:after="0"/>
              <w:rPr>
                <w:sz w:val="20"/>
                <w:szCs w:val="20"/>
                <w:color w:val="auto"/>
              </w:rPr>
            </w:pPr>
            <w:r>
              <w:rPr>
                <w:rFonts w:ascii="Arial" w:cs="Arial" w:eastAsia="Arial" w:hAnsi="Arial"/>
                <w:sz w:val="18"/>
                <w:szCs w:val="18"/>
                <w:color w:val="auto"/>
              </w:rPr>
              <w:t>Weighted average number of Ordinary Shares outstanding:</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72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8"/>
              </w:rPr>
              <w:t>59,978,509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60,390,788</w:t>
            </w:r>
          </w:p>
        </w:tc>
        <w:tc>
          <w:tcPr>
            <w:tcW w:w="120" w:type="dxa"/>
            <w:vAlign w:val="bottom"/>
            <w:tcBorders>
              <w:left w:val="single" w:sz="8" w:color="CCEEFF"/>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60,032,306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60,336,933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8"/>
              </w:rPr>
              <w:t>60,630,891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61,114,996</w:t>
            </w:r>
          </w:p>
        </w:tc>
        <w:tc>
          <w:tcPr>
            <w:tcW w:w="120" w:type="dxa"/>
            <w:vAlign w:val="bottom"/>
            <w:tcBorders>
              <w:left w:val="single" w:sz="8" w:color="CCEEFF"/>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60,607,635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61,056,232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-4356100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-3926840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-1234440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 AND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4"/>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Pr>
          <w:p>
            <w:pPr>
              <w:spacing w:after="0"/>
              <w:rPr>
                <w:sz w:val="20"/>
                <w:szCs w:val="20"/>
                <w:color w:val="auto"/>
              </w:rPr>
            </w:pP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8180" w:type="dxa"/>
            <w:vAlign w:val="bottom"/>
            <w:gridSpan w:val="3"/>
            <w:vMerge w:val="continue"/>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16,935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6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Depreciation expense</w:t>
            </w: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17,572</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20"/>
              <w:spacing w:after="0"/>
              <w:rPr>
                <w:sz w:val="20"/>
                <w:szCs w:val="20"/>
                <w:color w:val="auto"/>
              </w:rPr>
            </w:pPr>
            <w:r>
              <w:rPr>
                <w:rFonts w:ascii="Arial" w:cs="Arial" w:eastAsia="Arial" w:hAnsi="Arial"/>
                <w:sz w:val="18"/>
                <w:szCs w:val="18"/>
                <w:color w:val="auto"/>
              </w:rPr>
              <w:t>Amortization of grants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 compensation expense</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6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(Increase)/decrease in accounts receivable</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(29,435)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Decrease/(increase)</w:t>
            </w: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unbilled revenue</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w w:val="90"/>
              </w:rPr>
              <w:t>Decrease/(increase)</w:t>
            </w:r>
          </w:p>
        </w:tc>
        <w:tc>
          <w:tcPr>
            <w:tcW w:w="6340" w:type="dxa"/>
            <w:vAlign w:val="bottom"/>
          </w:tcPr>
          <w:p>
            <w:pPr>
              <w:ind w:left="20"/>
              <w:spacing w:after="0"/>
              <w:rPr>
                <w:sz w:val="20"/>
                <w:szCs w:val="20"/>
                <w:color w:val="auto"/>
              </w:rPr>
            </w:pPr>
            <w:r>
              <w:rPr>
                <w:rFonts w:ascii="Arial" w:cs="Arial" w:eastAsia="Arial" w:hAnsi="Arial"/>
                <w:sz w:val="18"/>
                <w:szCs w:val="18"/>
                <w:color w:val="auto"/>
              </w:rPr>
              <w:t>in other receivables</w:t>
            </w: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Decrease/(increase) in prepayments and other current assets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Increase in other non current assets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Increase/(decrease) in payments on account</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45,871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(Decrease)/increase in other current liabilities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(3,129)</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other non current liabilities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Decrease in income taxes receivable</w:t>
            </w: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Increase/(decrease) in accounts payable</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Net cash provided by/(used in) operating activities</w:t>
            </w:r>
          </w:p>
        </w:tc>
        <w:tc>
          <w:tcPr>
            <w:tcW w:w="1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72,166</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418"/>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Purchase of subsidiary undertakings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(51,563)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acquired with subsidiary undertakings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Purchase of short term investments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(63,492)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 of short term investments</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45,688</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(82,253)</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(79,989)</w:t>
            </w:r>
          </w:p>
        </w:tc>
        <w:tc>
          <w:tcPr>
            <w:tcW w:w="0" w:type="dxa"/>
            <w:vAlign w:val="bottom"/>
          </w:tcPr>
          <w:p>
            <w:pPr>
              <w:spacing w:after="0"/>
              <w:rPr>
                <w:sz w:val="1"/>
                <w:szCs w:val="1"/>
                <w:color w:val="auto"/>
              </w:rPr>
            </w:pPr>
          </w:p>
        </w:tc>
      </w:tr>
      <w:tr>
        <w:trPr>
          <w:trHeight w:val="418"/>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w w:val="85"/>
              </w:rPr>
              <w:t>Share issuance costs</w:t>
            </w:r>
          </w:p>
        </w:tc>
        <w:tc>
          <w:tcPr>
            <w:tcW w:w="6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Tax benefit from the exercise of share options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Repurchase of ordinary shares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(15,605)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 repurchase costs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Drawdown of bank credit lines and loan facilities</w:t>
            </w:r>
          </w:p>
        </w:tc>
        <w:tc>
          <w:tcPr>
            <w:tcW w:w="1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Repayment of bank credit lines and loan facilities</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(11,726)</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(24,315)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119,237</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94,922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175,564</w:t>
            </w:r>
          </w:p>
        </w:tc>
        <w:tc>
          <w:tcPr>
            <w:tcW w:w="0" w:type="dxa"/>
            <w:vAlign w:val="bottom"/>
          </w:tcPr>
          <w:p>
            <w:pPr>
              <w:spacing w:after="0"/>
              <w:rPr>
                <w:sz w:val="1"/>
                <w:szCs w:val="1"/>
                <w:color w:val="auto"/>
              </w:rPr>
            </w:pPr>
          </w:p>
        </w:tc>
      </w:tr>
      <w:tr>
        <w:trPr>
          <w:trHeight w:val="453"/>
        </w:trPr>
        <w:tc>
          <w:tcPr>
            <w:tcW w:w="818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340" w:type="dxa"/>
            <w:vAlign w:val="bottom"/>
          </w:tcPr>
          <w:p>
            <w:pPr>
              <w:jc w:val="right"/>
              <w:ind w:right="2330"/>
              <w:spacing w:after="0"/>
              <w:rPr>
                <w:sz w:val="20"/>
                <w:szCs w:val="20"/>
                <w:color w:val="auto"/>
              </w:rPr>
            </w:pPr>
            <w:r>
              <w:rPr>
                <w:rFonts w:ascii="Arial" w:cs="Arial" w:eastAsia="Arial" w:hAnsi="Arial"/>
                <w:sz w:val="18"/>
                <w:szCs w:val="18"/>
                <w:color w:val="auto"/>
              </w:rPr>
              <w:t>5</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Accumulated</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200" w:type="dxa"/>
            <w:vAlign w:val="bottom"/>
          </w:tcPr>
          <w:p>
            <w:pPr>
              <w:spacing w:after="0"/>
              <w:rPr>
                <w:sz w:val="17"/>
                <w:szCs w:val="17"/>
                <w:color w:val="auto"/>
              </w:rPr>
            </w:pPr>
          </w:p>
        </w:tc>
        <w:tc>
          <w:tcPr>
            <w:tcW w:w="10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Redemption</w:t>
            </w:r>
          </w:p>
        </w:tc>
        <w:tc>
          <w:tcPr>
            <w:tcW w:w="220" w:type="dxa"/>
            <w:vAlign w:val="bottom"/>
          </w:tcPr>
          <w:p>
            <w:pPr>
              <w:spacing w:after="0"/>
              <w:rPr>
                <w:sz w:val="17"/>
                <w:szCs w:val="17"/>
                <w:color w:val="auto"/>
              </w:rPr>
            </w:pPr>
          </w:p>
        </w:tc>
        <w:tc>
          <w:tcPr>
            <w:tcW w:w="13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28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Retained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124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84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79"/>
              </w:rPr>
              <w:t>Reserve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Income</w:t>
            </w:r>
          </w:p>
        </w:tc>
        <w:tc>
          <w:tcPr>
            <w:tcW w:w="28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r>
      <w:tr>
        <w:trPr>
          <w:trHeight w:val="20"/>
        </w:trPr>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12"/>
          </w:tcPr>
          <w:p>
            <w:pPr>
              <w:jc w:val="right"/>
              <w:ind w:right="400"/>
              <w:spacing w:after="0"/>
              <w:rPr>
                <w:sz w:val="20"/>
                <w:szCs w:val="20"/>
                <w:color w:val="auto"/>
              </w:rPr>
            </w:pPr>
            <w:r>
              <w:rPr>
                <w:rFonts w:ascii="Arial" w:cs="Arial" w:eastAsia="Arial" w:hAnsi="Arial"/>
                <w:sz w:val="18"/>
                <w:szCs w:val="18"/>
                <w:b w:val="1"/>
                <w:bCs w:val="1"/>
                <w:color w:val="auto"/>
                <w:w w:val="87"/>
              </w:rPr>
              <w:t>(dollars in thousands, except share data)</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8"/>
        </w:trPr>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2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60,135,603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(16,446)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481,342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681,544</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16,935</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16,935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(10,293)</w:t>
            </w: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(10,293)</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of long term funding</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term funding</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capital gain -</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358"/>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(8,385)</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16,935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8,550</w:t>
            </w:r>
          </w:p>
        </w:tc>
      </w:tr>
      <w:tr>
        <w:trPr>
          <w:trHeight w:val="351"/>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282,596</w:t>
            </w:r>
          </w:p>
        </w:tc>
        <w:tc>
          <w:tcPr>
            <w:tcW w:w="26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3,143</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Issue of ordinary shares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Non-cash stock compensation</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5,233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5,233</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programme</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(738,341)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(15,605)</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(15,605)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on exercise of</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r>
      <w:tr>
        <w:trPr>
          <w:trHeight w:val="351"/>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June 30, 2012</w:t>
            </w: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59,679,858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220,829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(24,831)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482,482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5"/>
              </w:rPr>
              <w:t>683,601</w:t>
            </w: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2011. Operating results for the six months ended June 30, 2012 are not necessarily indicative of the results that may be expected for the fiscal period ending December 31, 2012.</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3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253,393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175,860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9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68,512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39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(3,342)</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3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319,097</w:t>
            </w: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253,393</w:t>
            </w:r>
          </w:p>
        </w:tc>
        <w:tc>
          <w:tcPr>
            <w:tcW w:w="0" w:type="dxa"/>
            <w:vAlign w:val="bottom"/>
          </w:tcPr>
          <w:p>
            <w:pPr>
              <w:spacing w:after="0"/>
              <w:rPr>
                <w:sz w:val="1"/>
                <w:szCs w:val="1"/>
                <w:color w:val="auto"/>
              </w:rPr>
            </w:pPr>
          </w:p>
        </w:tc>
      </w:tr>
      <w:tr>
        <w:trPr>
          <w:trHeight w:val="453"/>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The goodwill balance relates entirely to the clinical research segment</w:t>
            </w: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980" w:type="dxa"/>
            <w:vAlign w:val="bottom"/>
          </w:tcPr>
          <w:p>
            <w:pPr>
              <w:jc w:val="right"/>
              <w:ind w:right="347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PriceSpective</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28, 2012 the Company acquired 100% of the common stock of PriceSpective, a global leader in value strategy consulting,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inception in 2003, it has developed strategies for dozens of new product launches, and hundreds of development and in-market products, across 40+ disease areas. Further consideration of up to $15.0 million may become payable if certain performance milestones are achieved in respect of periods up to December 2012. At June 30, 2012 the Company has recorded a liability of $15.0 million in respect of this additional consideration.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Company’s provisional estimates of the fair values of assets acquired and the liabilities assumed:</w:t>
            </w:r>
          </w:p>
        </w:tc>
        <w:tc>
          <w:tcPr>
            <w:tcW w:w="340" w:type="dxa"/>
            <w:vAlign w:val="bottom"/>
          </w:tcPr>
          <w:p>
            <w:pPr>
              <w:spacing w:after="0"/>
              <w:rPr>
                <w:sz w:val="20"/>
                <w:szCs w:val="20"/>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20" w:right="360" w:firstLine="10"/>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BeijingWits Medical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2012 the Company acquired 100% of the common stock of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At June 30, 2012 the Company has recorded a liability of $7.0 million in respect of the additional consideration.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Company’s provisional estimates of the fair values of assets acquired and the liabilities assumed:</w:t>
            </w:r>
          </w:p>
        </w:tc>
        <w:tc>
          <w:tcPr>
            <w:tcW w:w="340" w:type="dxa"/>
            <w:vAlign w:val="bottom"/>
          </w:tcPr>
          <w:p>
            <w:pPr>
              <w:spacing w:after="0"/>
              <w:rPr>
                <w:sz w:val="20"/>
                <w:szCs w:val="20"/>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February 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Non current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60" w:right="1120" w:hanging="5652"/>
        <w:spacing w:after="0" w:line="731" w:lineRule="auto"/>
        <w:tabs>
          <w:tab w:leader="none" w:pos="134"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Prior Period Acquiistions - Acquisition of Firecrest Clinical</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($24.1 million). Headquartered in Limerick, Ireland, Firecrest Clinical provides a comprehensive site performance management system that is used to improve compliance consistency and execution of activities at investigative sites. Further consideration of up to €33.0 million ($46.8 million) may become payable if certain performance milestones are achieved in respect of periods up to June 30, 2013. The acquisition agreement also provided for certain working capital targets to be achieved by Firecrest Clinical on completion. In March 2012 the Company paid €3.0 million ($4.0million) in respect of the first element of the additional consideration and €0.4 million ($0.5 million) in respect of the working capital review. At June 30, 2012 the Company has recorded a liability of €29.2 million ($36.2 million) in relation to the remaining performance milestones. On July 2, 2012 the Company paid a further €10 million ($12.5 million) in relation to performance milestones for the year ended December 31, 2011.</w:t>
      </w: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tcPr>
          <w:p>
            <w:pPr>
              <w:jc w:val="right"/>
              <w:ind w:right="10"/>
              <w:spacing w:after="0" w:line="200" w:lineRule="exact"/>
              <w:rPr>
                <w:sz w:val="20"/>
                <w:szCs w:val="20"/>
                <w:color w:val="auto"/>
              </w:rPr>
            </w:pPr>
            <w:r>
              <w:rPr>
                <w:rFonts w:ascii="Arial" w:cs="Arial" w:eastAsia="Arial" w:hAnsi="Arial"/>
                <w:sz w:val="18"/>
                <w:szCs w:val="18"/>
                <w:b w:val="1"/>
                <w:bCs w:val="1"/>
                <w:color w:val="auto"/>
              </w:rPr>
              <w:t>July 14</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36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48,607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3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36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3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36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57"/>
        </w:trPr>
        <w:tc>
          <w:tcPr>
            <w:tcW w:w="20" w:type="dxa"/>
            <w:vAlign w:val="bottom"/>
          </w:tcPr>
          <w:p>
            <w:pPr>
              <w:spacing w:after="0"/>
              <w:rPr>
                <w:sz w:val="22"/>
                <w:szCs w:val="22"/>
                <w:color w:val="auto"/>
              </w:rPr>
            </w:pPr>
          </w:p>
        </w:tc>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69,025</w:t>
            </w:r>
          </w:p>
        </w:tc>
      </w:tr>
    </w:tbl>
    <w:p>
      <w:pPr>
        <w:ind w:left="120" w:firstLine="10"/>
        <w:spacing w:after="0" w:line="323" w:lineRule="auto"/>
        <w:tabs>
          <w:tab w:leader="none" w:pos="273"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Oxford Outcomes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(“Oxford Outcomes”), a leading international health outcomes consultancy business, for an initial cash consideration of £17.8 million ($27.6 million). Headquartered in Oxford, United Kingdom, and with offices in the USA and Canada, Oxford Outcomes provides specialist services in the areas of patient reported outcomes (PRO), health economics, epidemiology and translation and linguistic validation. A put and call option was also agreed between the Company and the selling shareholders for the acquisition of the remaining common stock of Oxford Outcomes during the year ended December 31, 2011 for cash consideration of £3.8 million ($6.0 million). This option was exercised on October 20, 2011.</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consideration of up to £8.0 million ($12.6 million) is potentially payable if certain performance milestones are achieved in respect of periods up to March 31, 2012; £4.0 million ($6.3 million) in respect of the year ended March 31, 2011 and £4.0 million ($6.3 million) in respect of the year ended March 31, 2012. £4.0 million ($6.3 million) was paid during the year ended December 31, 2011 in respect of the first element of the performance milestones. At June 30, 2012 the Company has accrued £4.0 million ($6.2 million) in respect of the remaining performance milestones.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agreement also provided for certain working capital targets to be achieved by Oxford Outcomes on completion. In May 2011 the Company paid an additional £3.3 million ($5.1 million) in respect of certain elements of this review. In March 2012 a further £0.8 million ($1.2 million) was paid in respect of the remaining elements of this review.</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line="258"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60" w:type="dxa"/>
            <w:vAlign w:val="bottom"/>
          </w:tcPr>
          <w:p>
            <w:pPr>
              <w:jc w:val="right"/>
              <w:ind w:right="10"/>
              <w:spacing w:after="0" w:line="200" w:lineRule="exact"/>
              <w:rPr>
                <w:sz w:val="20"/>
                <w:szCs w:val="20"/>
                <w:color w:val="auto"/>
              </w:rPr>
            </w:pPr>
            <w:r>
              <w:rPr>
                <w:rFonts w:ascii="Arial" w:cs="Arial" w:eastAsia="Arial" w:hAnsi="Arial"/>
                <w:sz w:val="18"/>
                <w:szCs w:val="18"/>
                <w:b w:val="1"/>
                <w:bCs w:val="1"/>
                <w:color w:val="auto"/>
                <w:w w:val="99"/>
              </w:rPr>
              <w:t>January 14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35,583</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6,792</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52,335</w:t>
            </w:r>
          </w:p>
        </w:tc>
      </w:tr>
    </w:tbl>
    <w:p>
      <w:pPr>
        <w:ind w:left="120" w:firstLine="10"/>
        <w:spacing w:after="0" w:line="261" w:lineRule="auto"/>
        <w:tabs>
          <w:tab w:leader="none" w:pos="281" w:val="left"/>
        </w:tabs>
        <w:numPr>
          <w:ilvl w:val="1"/>
          <w:numId w:val="4"/>
        </w:numPr>
        <w:rPr>
          <w:rFonts w:ascii="Arial" w:cs="Arial" w:eastAsia="Arial" w:hAnsi="Arial"/>
          <w:sz w:val="18"/>
          <w:szCs w:val="18"/>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and is not tax deductible.</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non-recurring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non-recurring items recognized during the three and six months ended June 30, 2012 comprise: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June 30,</w:t>
            </w:r>
          </w:p>
        </w:tc>
        <w:tc>
          <w:tcPr>
            <w:tcW w:w="300" w:type="dxa"/>
            <w:vAlign w:val="bottom"/>
          </w:tcPr>
          <w:p>
            <w:pPr>
              <w:spacing w:after="0"/>
              <w:rPr>
                <w:sz w:val="17"/>
                <w:szCs w:val="17"/>
                <w:color w:val="auto"/>
              </w:rPr>
            </w:pPr>
          </w:p>
        </w:tc>
        <w:tc>
          <w:tcPr>
            <w:tcW w:w="8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8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non-recurring items</w:t>
            </w:r>
          </w:p>
        </w:tc>
        <w:tc>
          <w:tcPr>
            <w:tcW w:w="2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1,111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1,111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5,636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June 30, 2012; $3.4 million in respect of resource rationalizations and $1.2 million in respect of lease termination and exit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 Restructuring Plan recognized during the three months ended June 30, 2012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Office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Consolidations</w:t>
            </w:r>
          </w:p>
        </w:tc>
        <w:tc>
          <w:tcPr>
            <w:tcW w:w="3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4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3,394</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Cash payments</w:t>
            </w:r>
          </w:p>
        </w:tc>
        <w:tc>
          <w:tcPr>
            <w:tcW w:w="4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(2,719)</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4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1"/>
        </w:trPr>
        <w:tc>
          <w:tcPr>
            <w:tcW w:w="3860" w:type="dxa"/>
            <w:vAlign w:val="bottom"/>
            <w:gridSpan w:val="2"/>
          </w:tcPr>
          <w:p>
            <w:pPr>
              <w:spacing w:after="0"/>
              <w:rPr>
                <w:sz w:val="20"/>
                <w:szCs w:val="20"/>
                <w:color w:val="auto"/>
              </w:rPr>
            </w:pPr>
            <w:r>
              <w:rPr>
                <w:rFonts w:ascii="Arial" w:cs="Arial" w:eastAsia="Arial" w:hAnsi="Arial"/>
                <w:sz w:val="18"/>
                <w:szCs w:val="18"/>
                <w:color w:val="auto"/>
              </w:rPr>
              <w:t>Provision at June 30, 2012</w:t>
            </w:r>
          </w:p>
        </w:tc>
        <w:tc>
          <w:tcPr>
            <w:tcW w:w="4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671</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40" w:type="dxa"/>
            <w:vAlign w:val="bottom"/>
          </w:tcPr>
          <w:p>
            <w:pPr>
              <w:jc w:val="right"/>
              <w:ind w:right="231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2011 Plan”), which resulted in the closure of the Company’s facility in Edinburgh, United Kingdom and resource rationalizations in certain of the more mature markets in which it operates. A restructuring charge of $5.0 million was recognized in respect of this plan during the three months ended March 31, 2011, $1.0 million in respect of lease termination and exit costs associated with the closure of the Edinburgh facility and $4.0 million in respect of workforce reductions. $3.5 million of costs recognised under the Q1 2011 Plan related to the clinical research segment, while $1.5 million related to the central laboratory business.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2011 the Company implemented a further restructuring plan (the “Q3 2011 Plan”) which resulted in the relocation of the Company’s facility in Maryland, USA; and further resource rationalizations. A restructuring charge of $4.8 million was recognized in respect of this plan during the three months ended September 30, 2011, $0.9 million in respect of lease termination and exit costs associated with the closure of the existing Maryland facility and $3.9 million in respect of workforce reductions. All costs recognized under the Q3 2011 Plan related to the clinical research segment.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the movement in the 2011 Restructuring Plans recognized during the year ended December 31, 2011 and for the six months ended June 30, 2012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Office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Consolidations</w:t>
            </w:r>
          </w:p>
        </w:tc>
        <w:tc>
          <w:tcPr>
            <w:tcW w:w="3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recognised</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Q3 Plan - initial provision recognised</w:t>
            </w:r>
          </w:p>
        </w:tc>
        <w:tc>
          <w:tcPr>
            <w:tcW w:w="2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3,880</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28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8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58"/>
        </w:trPr>
        <w:tc>
          <w:tcPr>
            <w:tcW w:w="5400" w:type="dxa"/>
            <w:vAlign w:val="bottom"/>
            <w:gridSpan w:val="2"/>
          </w:tcPr>
          <w:p>
            <w:pPr>
              <w:spacing w:after="0"/>
              <w:rPr>
                <w:sz w:val="20"/>
                <w:szCs w:val="20"/>
                <w:color w:val="auto"/>
              </w:rPr>
            </w:pPr>
            <w:r>
              <w:rPr>
                <w:rFonts w:ascii="Arial" w:cs="Arial" w:eastAsia="Arial" w:hAnsi="Arial"/>
                <w:sz w:val="18"/>
                <w:szCs w:val="18"/>
                <w:color w:val="auto"/>
              </w:rPr>
              <w:t>Provision at December 31, 2011</w:t>
            </w:r>
          </w:p>
        </w:tc>
        <w:tc>
          <w:tcPr>
            <w:tcW w:w="2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2,234</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Amounts released</w:t>
            </w:r>
          </w:p>
        </w:tc>
        <w:tc>
          <w:tcPr>
            <w:tcW w:w="2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write-off</w:t>
            </w:r>
          </w:p>
        </w:tc>
        <w:tc>
          <w:tcPr>
            <w:tcW w:w="2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June 30, 2012</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Charges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September 30, 2011 Mr. Peter Gray, Vice-Chairman of the Board, retired as Chief Executive Officer (“CEO”) of the Company, in accordance with the provisions of his service agreement, which was terminable on twelve months notice by either party.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recognised a share-based compensation charge of $620,000 in respect of these options during the three months ended June 30, 2012.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5. Income Taxes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340" w:type="dxa"/>
            <w:vAlign w:val="bottom"/>
          </w:tcPr>
          <w:p>
            <w:pPr>
              <w:spacing w:after="0"/>
              <w:rPr>
                <w:sz w:val="20"/>
                <w:szCs w:val="20"/>
                <w:color w:val="auto"/>
              </w:rPr>
            </w:pPr>
            <w:r>
              <w:rPr>
                <w:rFonts w:ascii="Arial" w:cs="Arial" w:eastAsia="Arial" w:hAnsi="Arial"/>
                <w:sz w:val="18"/>
                <w:szCs w:val="18"/>
                <w:color w:val="auto"/>
                <w:w w:val="99"/>
              </w:rPr>
              <w:t>Income taxes recognized during the six months ended June 30, 2012 comprise:</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5"/>
              </w:rPr>
              <w:t>June 30,</w:t>
            </w:r>
          </w:p>
        </w:tc>
        <w:tc>
          <w:tcPr>
            <w:tcW w:w="260" w:type="dxa"/>
            <w:vAlign w:val="bottom"/>
          </w:tcPr>
          <w:p>
            <w:pPr>
              <w:spacing w:after="0"/>
              <w:rPr>
                <w:sz w:val="17"/>
                <w:szCs w:val="17"/>
                <w:color w:val="auto"/>
              </w:rPr>
            </w:pPr>
          </w:p>
        </w:tc>
        <w:tc>
          <w:tcPr>
            <w:tcW w:w="8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7"/>
                <w:szCs w:val="17"/>
                <w:color w:val="auto"/>
              </w:rPr>
            </w:pPr>
          </w:p>
        </w:tc>
        <w:tc>
          <w:tcPr>
            <w:tcW w:w="7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June 30,</w:t>
            </w:r>
          </w:p>
        </w:tc>
        <w:tc>
          <w:tcPr>
            <w:tcW w:w="260" w:type="dxa"/>
            <w:vAlign w:val="bottom"/>
          </w:tcPr>
          <w:p>
            <w:pPr>
              <w:spacing w:after="0"/>
              <w:rPr>
                <w:sz w:val="17"/>
                <w:szCs w:val="17"/>
                <w:color w:val="auto"/>
              </w:rPr>
            </w:pPr>
          </w:p>
        </w:tc>
        <w:tc>
          <w:tcPr>
            <w:tcW w:w="8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196"/>
        </w:trPr>
        <w:tc>
          <w:tcPr>
            <w:tcW w:w="6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non-recurring items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5,761</w:t>
            </w:r>
          </w:p>
        </w:tc>
      </w:tr>
      <w:tr>
        <w:trPr>
          <w:trHeight w:val="223"/>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non-recurring items</w:t>
            </w: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(705)</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(705)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(544)</w:t>
            </w:r>
          </w:p>
        </w:tc>
      </w:tr>
      <w:tr>
        <w:trPr>
          <w:trHeight w:val="392"/>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non-recurring items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5,535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5,217</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June 30, 2012 the Company maintains a $6.9 million liability (December 31, 2011: $7.7 million) for unrecognized tax benefit, which is comprised of $5.8 million (December 31, 2011: $6.5 million) related to items generating unrecognized tax benefits and $1.1 million (December 31, 2011: $1.2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2007 through 2011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20" w:type="dxa"/>
            <w:vAlign w:val="bottom"/>
            <w:gridSpan w:val="9"/>
          </w:tcPr>
          <w:p>
            <w:pPr>
              <w:jc w:val="right"/>
              <w:ind w:righ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880" w:type="dxa"/>
            <w:vAlign w:val="bottom"/>
            <w:gridSpan w:val="8"/>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w w:val="85"/>
              </w:rPr>
              <w:t>June 30,</w:t>
            </w:r>
          </w:p>
        </w:tc>
        <w:tc>
          <w:tcPr>
            <w:tcW w:w="112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June 30,</w:t>
            </w:r>
          </w:p>
        </w:tc>
        <w:tc>
          <w:tcPr>
            <w:tcW w:w="1140" w:type="dxa"/>
            <w:vAlign w:val="bottom"/>
            <w:gridSpan w:val="5"/>
          </w:tcPr>
          <w:p>
            <w:pPr>
              <w:ind w:left="340"/>
              <w:spacing w:after="0" w:line="196" w:lineRule="exact"/>
              <w:rPr>
                <w:sz w:val="20"/>
                <w:szCs w:val="20"/>
                <w:color w:val="auto"/>
              </w:rPr>
            </w:pPr>
            <w:r>
              <w:rPr>
                <w:rFonts w:ascii="Arial" w:cs="Arial" w:eastAsia="Arial" w:hAnsi="Arial"/>
                <w:sz w:val="18"/>
                <w:szCs w:val="18"/>
                <w:b w:val="1"/>
                <w:bCs w:val="1"/>
                <w:color w:val="auto"/>
              </w:rPr>
              <w:t>June 30,</w:t>
            </w:r>
          </w:p>
        </w:tc>
        <w:tc>
          <w:tcPr>
            <w:tcW w:w="1080" w:type="dxa"/>
            <w:vAlign w:val="bottom"/>
            <w:gridSpan w:val="4"/>
          </w:tcPr>
          <w:p>
            <w:pPr>
              <w:ind w:left="3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2011</w:t>
            </w:r>
          </w:p>
        </w:tc>
        <w:tc>
          <w:tcPr>
            <w:tcW w:w="9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7"/>
                <w:szCs w:val="17"/>
                <w:color w:val="auto"/>
              </w:rPr>
            </w:pPr>
          </w:p>
        </w:tc>
        <w:tc>
          <w:tcPr>
            <w:tcW w:w="10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outstanding for basic net income per ordinary</w:t>
            </w:r>
          </w:p>
        </w:tc>
        <w:tc>
          <w:tcPr>
            <w:tcW w:w="2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59,978,509</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60,390,788</w:t>
            </w: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60,032,306</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60,336,933</w:t>
            </w:r>
          </w:p>
        </w:tc>
        <w:tc>
          <w:tcPr>
            <w:tcW w:w="0" w:type="dxa"/>
            <w:vAlign w:val="bottom"/>
          </w:tcPr>
          <w:p>
            <w:pPr>
              <w:spacing w:after="0"/>
              <w:rPr>
                <w:sz w:val="1"/>
                <w:szCs w:val="1"/>
                <w:color w:val="auto"/>
              </w:rPr>
            </w:pPr>
          </w:p>
        </w:tc>
      </w:tr>
      <w:tr>
        <w:trPr>
          <w:trHeight w:val="358"/>
        </w:trPr>
        <w:tc>
          <w:tcPr>
            <w:tcW w:w="6980" w:type="dxa"/>
            <w:vAlign w:val="bottom"/>
            <w:gridSpan w:val="2"/>
          </w:tcPr>
          <w:p>
            <w:pPr>
              <w:spacing w:after="0"/>
              <w:rPr>
                <w:sz w:val="20"/>
                <w:szCs w:val="20"/>
                <w:color w:val="auto"/>
              </w:rPr>
            </w:pPr>
            <w:r>
              <w:rPr>
                <w:rFonts w:ascii="Arial" w:cs="Arial" w:eastAsia="Arial" w:hAnsi="Arial"/>
                <w:sz w:val="18"/>
                <w:szCs w:val="18"/>
                <w:color w:val="auto"/>
              </w:rPr>
              <w:t>Effect of dilutive share options outstanding</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652,382</w:t>
            </w:r>
          </w:p>
        </w:tc>
        <w:tc>
          <w:tcPr>
            <w:tcW w:w="180" w:type="dxa"/>
            <w:vAlign w:val="bottom"/>
          </w:tcPr>
          <w:p>
            <w:pPr>
              <w:spacing w:after="0"/>
              <w:rPr>
                <w:sz w:val="24"/>
                <w:szCs w:val="24"/>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724,208</w:t>
            </w: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575,329</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719,299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1100" w:type="dxa"/>
            <w:vAlign w:val="bottom"/>
            <w:tcBorders>
              <w:top w:val="single" w:sz="8" w:color="auto"/>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60,630,891</w:t>
            </w:r>
          </w:p>
        </w:tc>
        <w:tc>
          <w:tcPr>
            <w:tcW w:w="1120" w:type="dxa"/>
            <w:vAlign w:val="bottom"/>
            <w:tcBorders>
              <w:top w:val="single" w:sz="8" w:color="auto"/>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61,114,996</w:t>
            </w:r>
          </w:p>
        </w:tc>
        <w:tc>
          <w:tcPr>
            <w:tcW w:w="1140" w:type="dxa"/>
            <w:vAlign w:val="bottom"/>
            <w:tcBorders>
              <w:top w:val="single" w:sz="8" w:color="auto"/>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60,607,635</w:t>
            </w:r>
          </w:p>
        </w:tc>
        <w:tc>
          <w:tcPr>
            <w:tcW w:w="1080" w:type="dxa"/>
            <w:vAlign w:val="bottom"/>
            <w:tcBorders>
              <w:top w:val="single" w:sz="8" w:color="auto"/>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61,056,232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2012 is eight years.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option activity for the six months ended June 30, 2012:</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Weighted</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4,902,818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820,243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(282,596)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5,114,379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2012</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2,682,192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$8.03 per option. The Company issues ordinary shares for all options exercised. The total amount of fully vested share options which remained outstanding at June 30, 2012, was 2,682,192. Fully vested share options at June 30, 2012 have an average remaining contractual term of 3.4 years, an average exercise price of $22.24 and a total intrinsic value of $9.0 million. The total intrinsic value of options exercised during the six months ended June 30, 2012, was $3.2 million (June 30, 2011: $2.0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4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2011</w:t>
            </w: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2,534,310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820,243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Vested</w:t>
            </w:r>
          </w:p>
        </w:tc>
        <w:tc>
          <w:tcPr>
            <w:tcW w:w="3480" w:type="dxa"/>
            <w:vAlign w:val="bottom"/>
          </w:tcPr>
          <w:p>
            <w:pPr>
              <w:jc w:val="right"/>
              <w:spacing w:after="0"/>
              <w:rPr>
                <w:sz w:val="20"/>
                <w:szCs w:val="20"/>
                <w:color w:val="auto"/>
              </w:rPr>
            </w:pPr>
            <w:r>
              <w:rPr>
                <w:rFonts w:ascii="Arial" w:cs="Arial" w:eastAsia="Arial" w:hAnsi="Arial"/>
                <w:sz w:val="18"/>
                <w:szCs w:val="18"/>
                <w:color w:val="auto"/>
              </w:rPr>
              <w:t>(667,974)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2012</w:t>
            </w: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2,432,187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426"/>
        </w:trPr>
        <w:tc>
          <w:tcPr>
            <w:tcW w:w="5720" w:type="dxa"/>
            <w:vAlign w:val="bottom"/>
            <w:gridSpan w:val="2"/>
          </w:tcPr>
          <w:p>
            <w:pPr>
              <w:spacing w:after="0"/>
              <w:rPr>
                <w:sz w:val="20"/>
                <w:szCs w:val="20"/>
                <w:color w:val="auto"/>
              </w:rPr>
            </w:pPr>
            <w:r>
              <w:rPr>
                <w:rFonts w:ascii="Arial" w:cs="Arial" w:eastAsia="Arial" w:hAnsi="Arial"/>
                <w:sz w:val="18"/>
                <w:szCs w:val="18"/>
                <w:i w:val="1"/>
                <w:iCs w:val="1"/>
                <w:color w:val="auto"/>
              </w:rPr>
              <w:t>Fair value of Stock Options Assumptions</w:t>
            </w: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period ended June 30, 2012 and June 30, 2011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08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5"/>
              </w:rPr>
              <w:t>June 30,</w:t>
            </w:r>
          </w:p>
        </w:tc>
        <w:tc>
          <w:tcPr>
            <w:tcW w:w="240" w:type="dxa"/>
            <w:vAlign w:val="bottom"/>
          </w:tcPr>
          <w:p>
            <w:pPr>
              <w:spacing w:after="0"/>
              <w:rPr>
                <w:sz w:val="17"/>
                <w:szCs w:val="17"/>
                <w:color w:val="auto"/>
              </w:rPr>
            </w:pPr>
          </w:p>
        </w:tc>
        <w:tc>
          <w:tcPr>
            <w:tcW w:w="8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5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311"/>
        </w:trPr>
        <w:tc>
          <w:tcPr>
            <w:tcW w:w="382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52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5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5 years</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520" w:type="dxa"/>
            <w:vAlign w:val="bottom"/>
          </w:tcPr>
          <w:p>
            <w:pPr>
              <w:jc w:val="right"/>
              <w:ind w:right="34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40"/>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restricted Share Units (“RSU’s”) to certain key executives of the Group. The following table summarizes RSU activity for the six months ended June 30,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RSU</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8"/>
              </w:rPr>
              <w:t>Weighted</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Exercised</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2012</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 includes 100,000 RSU’s awarded to Mr. Peter Gray which will not vest.</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9120" w:type="dxa"/>
            <w:vAlign w:val="bottom"/>
            <w:gridSpan w:val="3"/>
          </w:tcPr>
          <w:p>
            <w:pPr>
              <w:spacing w:after="0"/>
              <w:rPr>
                <w:sz w:val="20"/>
                <w:szCs w:val="20"/>
                <w:color w:val="auto"/>
              </w:rPr>
            </w:pPr>
            <w:r>
              <w:rPr>
                <w:rFonts w:ascii="Arial" w:cs="Arial" w:eastAsia="Arial" w:hAnsi="Arial"/>
                <w:sz w:val="18"/>
                <w:szCs w:val="18"/>
                <w:color w:val="auto"/>
              </w:rPr>
              <w:t>The following table summarizes the movement in non-vested RSU’s during the six months ended June 30, 2012: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Units</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2011*</w:t>
            </w:r>
          </w:p>
        </w:tc>
        <w:tc>
          <w:tcPr>
            <w:tcW w:w="2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365,000</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237,000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Vested</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Forfieted</w:t>
            </w:r>
          </w:p>
        </w:tc>
        <w:tc>
          <w:tcPr>
            <w:tcW w:w="2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(50,000)</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2012*</w:t>
            </w:r>
          </w:p>
        </w:tc>
        <w:tc>
          <w:tcPr>
            <w:tcW w:w="24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552,000</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includes 100,000 RSU’s awarded to Mr. Peter Gray which will not vest.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vested for the six months ended June 30, 2012 totaled $0.0 million (2011: $0.1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20" w:type="dxa"/>
            <w:vAlign w:val="bottom"/>
            <w:gridSpan w:val="5"/>
          </w:tcPr>
          <w:p>
            <w:pPr>
              <w:spacing w:after="0"/>
              <w:rPr>
                <w:sz w:val="20"/>
                <w:szCs w:val="20"/>
                <w:color w:val="auto"/>
              </w:rPr>
            </w:pPr>
            <w:r>
              <w:rPr>
                <w:rFonts w:ascii="Arial" w:cs="Arial" w:eastAsia="Arial" w:hAnsi="Arial"/>
                <w:sz w:val="18"/>
                <w:szCs w:val="18"/>
                <w:color w:val="auto"/>
                <w:w w:val="89"/>
              </w:rPr>
              <w:t>Non-cash stock compensation expense for the six months ended June 30, 2012 has been allocated as follows: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r>
      <w:tr>
        <w:trPr>
          <w:trHeight w:val="20"/>
        </w:trPr>
        <w:tc>
          <w:tcPr>
            <w:tcW w:w="6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8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8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1,258</w:t>
            </w:r>
          </w:p>
        </w:tc>
        <w:tc>
          <w:tcPr>
            <w:tcW w:w="42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2,350</w:t>
            </w:r>
          </w:p>
        </w:tc>
        <w:tc>
          <w:tcPr>
            <w:tcW w:w="2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1,857</w:t>
            </w: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and other non-recurring items (note 4)</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2012 amounted to $17.3 million. The weighted average period over which this is expected to be recognized is 3.4 years. Total tax benefit recognized in additional paid in capital related to the non-cash compensation expense amounted to $0.9 million for the six months ended June 31, 2012 (2011: $0.3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On February 21, 2012 the Company entered into a further share repurchase plan of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 The Company intends to enter further share repurchase plans to effect the share repurchase program in accordance with Rule 10b-18 and Rule 10b5-1 of the Securities Exchange Act of 1934, the authorization granted at the Company’s annual general meeting, applicable laws and regulations and the Listing Rules of the Irish Stock Exchange.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repurchase program,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authorization and applicable laws and regulations. Separately, Ordinary Shares traded on the Irish Stock Exchange may also be repurchased on behalf of the Company. The program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 will be made independently of and uninfluenced by the Company. The Company confirms that on entering the repurchase plans it had no material non-public, price-sensitive or inside information regarding the Company or its securities. Furthermore, the Company will not enter into additional plans whilst in possession of such information.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 All Ordinary Shares repurchased by the Company will be cancelled.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2012 738,341 ordinary shares were repurchased by the Company for a total consideration of $15.6 million. As at June 30,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determines and presents operating segments in accordance with FASB ASC 280-10 </w:t>
      </w:r>
      <w:r>
        <w:rPr>
          <w:rFonts w:ascii="Arial" w:cs="Arial" w:eastAsia="Arial" w:hAnsi="Arial"/>
          <w:sz w:val="18"/>
          <w:szCs w:val="18"/>
          <w:i w:val="1"/>
          <w:iCs w:val="1"/>
          <w:color w:val="auto"/>
        </w:rPr>
        <w:t>Disclosures about Segments of an Enterprises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based on the information that is internally provided to the Chief Executive Officer and Chief Financial Officer, who together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chief operating decision maker. The Company has determined that it has two reportable segments, its Clinical Research segment and Central Laboratory segment.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areas of operation outside of Ireland include the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as at June 30, 2012 and December 31, 2011 and for the three and six months ended June 30, 2012 and June 30, 2011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r>
      <w:tr>
        <w:trPr>
          <w:trHeight w:val="20"/>
        </w:trPr>
        <w:tc>
          <w:tcPr>
            <w:tcW w:w="6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8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8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196"/>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24,080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69,762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53,433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 of Europe</w:t>
            </w:r>
          </w:p>
        </w:tc>
        <w:tc>
          <w:tcPr>
            <w:tcW w:w="10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87,230</w:t>
            </w:r>
          </w:p>
        </w:tc>
        <w:tc>
          <w:tcPr>
            <w:tcW w:w="42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85,868</w:t>
            </w:r>
          </w:p>
        </w:tc>
        <w:tc>
          <w:tcPr>
            <w:tcW w:w="38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173,274</w:t>
            </w:r>
          </w:p>
        </w:tc>
        <w:tc>
          <w:tcPr>
            <w:tcW w:w="2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166,945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114,237</w:t>
            </w:r>
          </w:p>
        </w:tc>
        <w:tc>
          <w:tcPr>
            <w:tcW w:w="4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93,826</w:t>
            </w:r>
          </w:p>
        </w:tc>
        <w:tc>
          <w:tcPr>
            <w:tcW w:w="3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221,984</w:t>
            </w:r>
          </w:p>
        </w:tc>
        <w:tc>
          <w:tcPr>
            <w:tcW w:w="2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186,390</w:t>
            </w:r>
          </w:p>
        </w:tc>
      </w:tr>
      <w:tr>
        <w:trPr>
          <w:trHeight w:val="223"/>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34,773</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29,271</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64,320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55,574</w:t>
            </w:r>
          </w:p>
        </w:tc>
      </w:tr>
      <w:tr>
        <w:trPr>
          <w:trHeight w:val="392"/>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277,007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233,045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529,340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462,342</w:t>
            </w:r>
          </w:p>
        </w:tc>
      </w:tr>
    </w:tbl>
    <w:p>
      <w:pPr>
        <w:ind w:left="680" w:hanging="132"/>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r>
      <w:tr>
        <w:trPr>
          <w:trHeight w:val="20"/>
        </w:trPr>
        <w:tc>
          <w:tcPr>
            <w:tcW w:w="3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8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8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196"/>
        </w:trPr>
        <w:tc>
          <w:tcPr>
            <w:tcW w:w="3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255,952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216,163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488,857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429,007</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3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21,055</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16,882</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40,483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33,335</w:t>
            </w:r>
          </w:p>
        </w:tc>
      </w:tr>
      <w:tr>
        <w:trPr>
          <w:trHeight w:val="392"/>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277,007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233,045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529,340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462,342</w:t>
            </w:r>
          </w:p>
        </w:tc>
      </w:tr>
      <w:tr>
        <w:trPr>
          <w:trHeight w:val="844"/>
        </w:trPr>
        <w:tc>
          <w:tcPr>
            <w:tcW w:w="3480" w:type="dxa"/>
            <w:vAlign w:val="bottom"/>
          </w:tcPr>
          <w:p>
            <w:pPr>
              <w:spacing w:after="0"/>
              <w:rPr>
                <w:sz w:val="24"/>
                <w:szCs w:val="24"/>
                <w:color w:val="auto"/>
              </w:rPr>
            </w:pPr>
          </w:p>
        </w:tc>
        <w:tc>
          <w:tcPr>
            <w:tcW w:w="3660" w:type="dxa"/>
            <w:vAlign w:val="bottom"/>
          </w:tcPr>
          <w:p>
            <w:pPr>
              <w:jc w:val="right"/>
              <w:ind w:right="12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8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6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89"/>
              </w:rPr>
              <w:t>Three months ended</w:t>
            </w:r>
          </w:p>
        </w:tc>
        <w:tc>
          <w:tcPr>
            <w:tcW w:w="98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Excluding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5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Restructuring</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460" w:type="dxa"/>
            <w:vAlign w:val="bottom"/>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4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7,247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6,701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4,362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2,896</w:t>
            </w:r>
          </w:p>
        </w:tc>
      </w:tr>
      <w:tr>
        <w:trPr>
          <w:trHeight w:val="392"/>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auto"/>
            </w:tcBorders>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16,640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(5,636)</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11,004</w:t>
            </w:r>
          </w:p>
        </w:tc>
      </w:tr>
      <w:tr>
        <w:trPr>
          <w:trHeight w:val="677"/>
        </w:trPr>
        <w:tc>
          <w:tcPr>
            <w:tcW w:w="33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2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w w:val="89"/>
              </w:rPr>
              <w:t>Three months ended</w:t>
            </w:r>
          </w:p>
        </w:tc>
        <w:tc>
          <w:tcPr>
            <w:tcW w:w="98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5460" w:type="dxa"/>
            <w:vAlign w:val="bottom"/>
            <w:gridSpan w:val="2"/>
          </w:tcPr>
          <w:p>
            <w:pPr>
              <w:ind w:left="4280"/>
              <w:spacing w:after="0"/>
              <w:rPr>
                <w:sz w:val="20"/>
                <w:szCs w:val="20"/>
                <w:color w:val="auto"/>
              </w:rPr>
            </w:pPr>
            <w:r>
              <w:rPr>
                <w:rFonts w:ascii="Arial" w:cs="Arial" w:eastAsia="Arial" w:hAnsi="Arial"/>
                <w:sz w:val="18"/>
                <w:szCs w:val="18"/>
                <w:b w:val="1"/>
                <w:bCs w:val="1"/>
                <w:color w:val="auto"/>
                <w:w w:val="98"/>
              </w:rPr>
              <w:t>Restructuring</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Restructuring</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460" w:type="dxa"/>
            <w:vAlign w:val="bottom"/>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11,368</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11,368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6,600</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1,924</w:t>
            </w:r>
          </w:p>
        </w:tc>
      </w:tr>
      <w:tr>
        <w:trPr>
          <w:trHeight w:val="392"/>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auto"/>
            </w:tcBorders>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w:t>
            </w:r>
          </w:p>
        </w:tc>
      </w:tr>
      <w:tr>
        <w:trPr>
          <w:trHeight w:val="894"/>
        </w:trPr>
        <w:tc>
          <w:tcPr>
            <w:tcW w:w="33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7"/>
              </w:rPr>
              <w:t>Six months ended</w:t>
            </w:r>
          </w:p>
        </w:tc>
        <w:tc>
          <w:tcPr>
            <w:tcW w:w="98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360" w:type="dxa"/>
            <w:vAlign w:val="bottom"/>
          </w:tcPr>
          <w:p>
            <w:pPr>
              <w:spacing w:after="0"/>
              <w:rPr>
                <w:sz w:val="18"/>
                <w:szCs w:val="18"/>
                <w:color w:val="auto"/>
              </w:rPr>
            </w:pPr>
          </w:p>
        </w:tc>
        <w:tc>
          <w:tcPr>
            <w:tcW w:w="5460" w:type="dxa"/>
            <w:vAlign w:val="bottom"/>
            <w:gridSpan w:val="2"/>
          </w:tcPr>
          <w:p>
            <w:pPr>
              <w:ind w:left="4280"/>
              <w:spacing w:after="0"/>
              <w:rPr>
                <w:sz w:val="20"/>
                <w:szCs w:val="20"/>
                <w:color w:val="auto"/>
              </w:rPr>
            </w:pPr>
            <w:r>
              <w:rPr>
                <w:rFonts w:ascii="Arial" w:cs="Arial" w:eastAsia="Arial" w:hAnsi="Arial"/>
                <w:sz w:val="18"/>
                <w:szCs w:val="18"/>
                <w:b w:val="1"/>
                <w:bCs w:val="1"/>
                <w:color w:val="auto"/>
                <w:w w:val="98"/>
              </w:rPr>
              <w:t>Restructuring</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Restructuring</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non-</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recurring</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items</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r>
      <w:tr>
        <w:trPr>
          <w:trHeight w:val="234"/>
        </w:trPr>
        <w:tc>
          <w:tcPr>
            <w:tcW w:w="3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460" w:type="dxa"/>
            <w:vAlign w:val="bottom"/>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44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16,968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16,422</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4,646</w:t>
            </w:r>
          </w:p>
        </w:tc>
      </w:tr>
      <w:tr>
        <w:trPr>
          <w:trHeight w:val="392"/>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auto"/>
            </w:tcBorders>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28,372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22,736</w:t>
            </w:r>
          </w:p>
        </w:tc>
      </w:tr>
      <w:tr>
        <w:trPr>
          <w:trHeight w:val="844"/>
        </w:trPr>
        <w:tc>
          <w:tcPr>
            <w:tcW w:w="3360" w:type="dxa"/>
            <w:vAlign w:val="bottom"/>
          </w:tcPr>
          <w:p>
            <w:pPr>
              <w:spacing w:after="0"/>
              <w:rPr>
                <w:sz w:val="24"/>
                <w:szCs w:val="24"/>
                <w:color w:val="auto"/>
              </w:rPr>
            </w:pPr>
          </w:p>
        </w:tc>
        <w:tc>
          <w:tcPr>
            <w:tcW w:w="4460" w:type="dxa"/>
            <w:vAlign w:val="bottom"/>
          </w:tcPr>
          <w:p>
            <w:pPr>
              <w:ind w:left="226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w w:val="96"/>
              </w:rPr>
              <w:t xml:space="preserve">c)The distribution of income from operations by geographical area was as follows </w:t>
            </w:r>
            <w:r>
              <w:rPr>
                <w:rFonts w:ascii="Arial" w:cs="Arial" w:eastAsia="Arial" w:hAnsi="Arial"/>
                <w:sz w:val="18"/>
                <w:szCs w:val="18"/>
                <w:i w:val="1"/>
                <w:iCs w:val="1"/>
                <w:color w:val="auto"/>
                <w:w w:val="96"/>
              </w:rPr>
              <w:t>(continued)</w:t>
            </w:r>
            <w:r>
              <w:rPr>
                <w:rFonts w:ascii="Arial" w:cs="Arial" w:eastAsia="Arial" w:hAnsi="Arial"/>
                <w:sz w:val="18"/>
                <w:szCs w:val="18"/>
                <w:color w:val="auto"/>
                <w:w w:val="96"/>
              </w:rPr>
              <w:t>:</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Excluding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w w:val="98"/>
              </w:rPr>
              <w:t>Restructuring</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Restructuring</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Restructuring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and other</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items</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 of Europe</w:t>
            </w: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16,841</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392"/>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31,477</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(5,002)</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696"/>
        </w:trPr>
        <w:tc>
          <w:tcPr>
            <w:tcW w:w="7240" w:type="dxa"/>
            <w:vAlign w:val="bottom"/>
          </w:tcPr>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9"/>
              </w:rPr>
              <w:t>Three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Excluding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w w:val="98"/>
              </w:rPr>
              <w:t>Restructuring</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Restructuring</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Restructuring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and other</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items</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16,140</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(5,478)</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392"/>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16,640</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(5,636)</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921"/>
        </w:trPr>
        <w:tc>
          <w:tcPr>
            <w:tcW w:w="7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9"/>
              </w:rPr>
              <w:t>Three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Excluding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w w:val="98"/>
              </w:rPr>
              <w:t>Restructuring</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Restructuring</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Restructuring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and other</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3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items</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14,939</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92"/>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844"/>
        </w:trPr>
        <w:tc>
          <w:tcPr>
            <w:tcW w:w="7240" w:type="dxa"/>
            <w:vAlign w:val="bottom"/>
          </w:tcPr>
          <w:p>
            <w:pPr>
              <w:ind w:left="562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w w:val="96"/>
              </w:rPr>
              <w:t>d) The distribution of income from operations by business segment was as follows (continued):</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7"/>
              </w:rPr>
              <w:t>Six months ended</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Excluding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728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w w:val="96"/>
              </w:rPr>
              <w:t>Restructuring</w:t>
            </w:r>
          </w:p>
        </w:tc>
        <w:tc>
          <w:tcPr>
            <w:tcW w:w="132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Restructuring</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and other</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and other</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non-</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recurring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items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items</w:t>
            </w:r>
          </w:p>
        </w:tc>
      </w:tr>
      <w:tr>
        <w:trPr>
          <w:trHeight w:val="234"/>
        </w:trPr>
        <w:tc>
          <w:tcPr>
            <w:tcW w:w="7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(5,478)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20,761</w:t>
            </w: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1,975</w:t>
            </w:r>
          </w:p>
        </w:tc>
      </w:tr>
      <w:tr>
        <w:trPr>
          <w:trHeight w:val="392"/>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(5,636)</w:t>
            </w:r>
          </w:p>
        </w:tc>
        <w:tc>
          <w:tcPr>
            <w:tcW w:w="3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22,736</w:t>
            </w:r>
          </w:p>
        </w:tc>
      </w:tr>
      <w:tr>
        <w:trPr>
          <w:trHeight w:val="921"/>
        </w:trPr>
        <w:tc>
          <w:tcPr>
            <w:tcW w:w="7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7"/>
              </w:rPr>
              <w:t>Six months ended</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Excluding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728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w w:val="96"/>
              </w:rPr>
              <w:t>Restructuring</w:t>
            </w:r>
          </w:p>
        </w:tc>
        <w:tc>
          <w:tcPr>
            <w:tcW w:w="132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Restructuring</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color w:val="auto"/>
                <w:w w:val="98"/>
              </w:rPr>
              <w:t>Restructuring</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and other</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and other</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non-</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3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recurring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items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items</w:t>
            </w:r>
          </w:p>
        </w:tc>
      </w:tr>
      <w:tr>
        <w:trPr>
          <w:trHeight w:val="234"/>
        </w:trPr>
        <w:tc>
          <w:tcPr>
            <w:tcW w:w="7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33,616</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(3,457)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30,159</w:t>
            </w: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(1,545)</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(3,684)</w:t>
            </w:r>
          </w:p>
        </w:tc>
      </w:tr>
      <w:tr>
        <w:trPr>
          <w:trHeight w:val="392"/>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31,477</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26,475</w:t>
            </w:r>
          </w:p>
        </w:tc>
      </w:tr>
      <w:tr>
        <w:trPr>
          <w:trHeight w:val="453"/>
        </w:trPr>
        <w:tc>
          <w:tcPr>
            <w:tcW w:w="7280" w:type="dxa"/>
            <w:vAlign w:val="bottom"/>
          </w:tcPr>
          <w:p>
            <w:pPr>
              <w:spacing w:after="0"/>
              <w:rPr>
                <w:sz w:val="20"/>
                <w:szCs w:val="20"/>
                <w:color w:val="auto"/>
              </w:rPr>
            </w:pPr>
            <w:r>
              <w:rPr>
                <w:rFonts w:ascii="Arial" w:cs="Arial" w:eastAsia="Arial" w:hAnsi="Arial"/>
                <w:sz w:val="18"/>
                <w:szCs w:val="18"/>
                <w:color w:val="auto"/>
                <w:w w:val="97"/>
              </w:rPr>
              <w:t>e) The distribution of property, plant and equipment, net, by geographical area was as follows: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7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7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105,501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109,953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Rest of Europe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15,151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16,419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32,323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33,086</w:t>
            </w: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8,899</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9,003</w:t>
            </w:r>
          </w:p>
        </w:tc>
      </w:tr>
      <w:tr>
        <w:trPr>
          <w:trHeight w:val="392"/>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161,874</w:t>
            </w:r>
          </w:p>
        </w:tc>
        <w:tc>
          <w:tcPr>
            <w:tcW w:w="1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168,461</w:t>
            </w:r>
          </w:p>
        </w:tc>
      </w:tr>
      <w:tr>
        <w:trPr>
          <w:trHeight w:val="453"/>
        </w:trPr>
        <w:tc>
          <w:tcPr>
            <w:tcW w:w="7280" w:type="dxa"/>
            <w:vAlign w:val="bottom"/>
          </w:tcPr>
          <w:p>
            <w:pPr>
              <w:spacing w:after="0"/>
              <w:rPr>
                <w:sz w:val="20"/>
                <w:szCs w:val="20"/>
                <w:color w:val="auto"/>
              </w:rPr>
            </w:pPr>
            <w:r>
              <w:rPr>
                <w:rFonts w:ascii="Arial" w:cs="Arial" w:eastAsia="Arial" w:hAnsi="Arial"/>
                <w:sz w:val="18"/>
                <w:szCs w:val="18"/>
                <w:color w:val="auto"/>
                <w:w w:val="97"/>
              </w:rPr>
              <w:t>f) The distribution of property, plant and equipment, net, by business segment was as follows: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7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7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145,376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150,169</w:t>
            </w: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16,498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18,292</w:t>
            </w:r>
          </w:p>
        </w:tc>
      </w:tr>
      <w:tr>
        <w:trPr>
          <w:trHeight w:val="392"/>
        </w:trPr>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161,874</w:t>
            </w:r>
          </w:p>
        </w:tc>
        <w:tc>
          <w:tcPr>
            <w:tcW w:w="1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168,461</w:t>
            </w:r>
          </w:p>
        </w:tc>
      </w:tr>
      <w:tr>
        <w:trPr>
          <w:trHeight w:val="844"/>
        </w:trPr>
        <w:tc>
          <w:tcPr>
            <w:tcW w:w="7280" w:type="dxa"/>
            <w:vAlign w:val="bottom"/>
          </w:tcPr>
          <w:p>
            <w:pPr>
              <w:ind w:left="56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7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w w:val="95"/>
              </w:rPr>
              <w:t>g) The distribution of depreciation and amortization by geographical area was as follows: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6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8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94"/>
              </w:rPr>
              <w:t>June 30,</w:t>
            </w:r>
          </w:p>
        </w:tc>
        <w:tc>
          <w:tcPr>
            <w:tcW w:w="28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3,236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9,001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6,182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 of Europe</w:t>
            </w:r>
          </w:p>
        </w:tc>
        <w:tc>
          <w:tcPr>
            <w:tcW w:w="4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1,759</w:t>
            </w:r>
          </w:p>
        </w:tc>
        <w:tc>
          <w:tcPr>
            <w:tcW w:w="42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rPr>
              <w:t>1,854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7"/>
          </w:tcPr>
          <w:p>
            <w:pPr>
              <w:jc w:val="right"/>
              <w:ind w:right="60"/>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3,436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4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3,125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6,937</w:t>
            </w: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6,468</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1,030</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1,114</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1,955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2,216</w:t>
            </w:r>
          </w:p>
        </w:tc>
      </w:tr>
      <w:tr>
        <w:trPr>
          <w:trHeight w:val="392"/>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9,329</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21,632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18,302</w:t>
            </w: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w w:val="94"/>
              </w:rPr>
              <w:t>h) The distribution of depreciation and amortization by business segment was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6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82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94"/>
              </w:rPr>
              <w:t>June 30,</w:t>
            </w:r>
          </w:p>
        </w:tc>
        <w:tc>
          <w:tcPr>
            <w:tcW w:w="28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7,962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19,902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15,697</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822</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1,367</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1,730</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2,605</w:t>
            </w:r>
          </w:p>
        </w:tc>
      </w:tr>
      <w:tr>
        <w:trPr>
          <w:trHeight w:val="392"/>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9,329</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21,632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18,302</w:t>
            </w: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4"/>
              </w:rPr>
              <w:t>2011</w:t>
            </w:r>
          </w:p>
        </w:tc>
        <w:tc>
          <w:tcPr>
            <w:tcW w:w="100" w:type="dxa"/>
            <w:vAlign w:val="bottom"/>
          </w:tcPr>
          <w:p>
            <w:pPr>
              <w:spacing w:after="0"/>
              <w:rPr>
                <w:sz w:val="17"/>
                <w:szCs w:val="17"/>
                <w:color w:val="auto"/>
              </w:rPr>
            </w:pPr>
          </w:p>
        </w:tc>
      </w:tr>
      <w:tr>
        <w:trPr>
          <w:trHeight w:val="237"/>
        </w:trPr>
        <w:tc>
          <w:tcPr>
            <w:tcW w:w="6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gridSpan w:val="12"/>
          </w:tcPr>
          <w:p>
            <w:pPr>
              <w:ind w:left="1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418,507</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414,510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 of Europe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230,992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216,313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408,123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363,527</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47,272</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41,117</w:t>
            </w:r>
          </w:p>
        </w:tc>
      </w:tr>
      <w:tr>
        <w:trPr>
          <w:trHeight w:val="392"/>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1,104,894</w:t>
            </w: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1,035,467</w:t>
            </w: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6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4"/>
              </w:rPr>
              <w:t>2011</w:t>
            </w:r>
          </w:p>
        </w:tc>
        <w:tc>
          <w:tcPr>
            <w:tcW w:w="100" w:type="dxa"/>
            <w:vAlign w:val="bottom"/>
          </w:tcPr>
          <w:p>
            <w:pPr>
              <w:spacing w:after="0"/>
              <w:rPr>
                <w:sz w:val="17"/>
                <w:szCs w:val="17"/>
                <w:color w:val="auto"/>
              </w:rPr>
            </w:pPr>
          </w:p>
        </w:tc>
      </w:tr>
      <w:tr>
        <w:trPr>
          <w:trHeight w:val="237"/>
        </w:trPr>
        <w:tc>
          <w:tcPr>
            <w:tcW w:w="6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gridSpan w:val="12"/>
          </w:tcPr>
          <w:p>
            <w:pPr>
              <w:ind w:left="1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7"/>
              </w:rPr>
              <w:t>1,052,033</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980,283</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52,861</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55,184</w:t>
            </w:r>
          </w:p>
        </w:tc>
      </w:tr>
      <w:tr>
        <w:trPr>
          <w:trHeight w:val="392"/>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1,104,894</w:t>
            </w: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1,035,467</w:t>
            </w:r>
          </w:p>
        </w:tc>
      </w:tr>
      <w:tr>
        <w:trPr>
          <w:trHeight w:val="574"/>
        </w:trPr>
        <w:tc>
          <w:tcPr>
            <w:tcW w:w="6720" w:type="dxa"/>
            <w:vAlign w:val="bottom"/>
          </w:tcPr>
          <w:p>
            <w:pPr>
              <w:ind w:left="562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2011. The Consolidated Financial Statements have been prepared in accordance with accounting principles generally accepted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2012, we had approximately 8,930 employees, in 82 locations in 40 countries. During the six months ended June 30, 2012 we derived approximately 41.9%, 45.9% and 12.2% of our net revenue in the United States, Europe and Rest of World, respectively.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2012 we had a backlog of approximately $2.5 billion, compared with approximately $2.3 billion at December 31, 2011.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comprise primarily of compensation, related fringe benefits and share based compensation expense for non project-related employees, recruitment expenditure, professional service costs, advertising costs and all costs related to facilities and information systems.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with Three Months Ended June 30, 2011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6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7"/>
                <w:szCs w:val="17"/>
                <w:color w:val="auto"/>
              </w:rPr>
            </w:pPr>
          </w:p>
        </w:tc>
        <w:tc>
          <w:tcPr>
            <w:tcW w:w="6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680" w:type="dxa"/>
            <w:vAlign w:val="bottom"/>
            <w:gridSpan w:val="4"/>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5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760" w:type="dxa"/>
            <w:vAlign w:val="bottom"/>
          </w:tcPr>
          <w:p>
            <w:pPr>
              <w:spacing w:after="0"/>
              <w:rPr>
                <w:sz w:val="17"/>
                <w:szCs w:val="17"/>
                <w:color w:val="auto"/>
              </w:rPr>
            </w:pPr>
          </w:p>
        </w:tc>
        <w:tc>
          <w:tcPr>
            <w:tcW w:w="10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rPr>
              <w:t>to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300" w:type="dxa"/>
            <w:vAlign w:val="bottom"/>
            <w:gridSpan w:val="10"/>
          </w:tcPr>
          <w:p>
            <w:pPr>
              <w:jc w:val="right"/>
              <w:ind w:right="6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60" w:type="dxa"/>
            <w:vAlign w:val="bottom"/>
          </w:tcPr>
          <w:p>
            <w:pPr>
              <w:spacing w:after="0"/>
              <w:rPr>
                <w:sz w:val="17"/>
                <w:szCs w:val="17"/>
                <w:color w:val="auto"/>
              </w:rPr>
            </w:pPr>
          </w:p>
        </w:tc>
        <w:tc>
          <w:tcPr>
            <w:tcW w:w="100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30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11"/>
        </w:trPr>
        <w:tc>
          <w:tcPr>
            <w:tcW w:w="58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33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65.0%</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gridSpan w:val="5"/>
          </w:tcPr>
          <w:p>
            <w:pPr>
              <w:jc w:val="right"/>
              <w:ind w:right="620"/>
              <w:spacing w:after="0"/>
              <w:rPr>
                <w:sz w:val="20"/>
                <w:szCs w:val="20"/>
                <w:color w:val="auto"/>
              </w:rPr>
            </w:pPr>
            <w:r>
              <w:rPr>
                <w:rFonts w:ascii="Arial" w:cs="Arial" w:eastAsia="Arial" w:hAnsi="Arial"/>
                <w:sz w:val="18"/>
                <w:szCs w:val="18"/>
                <w:color w:val="auto"/>
              </w:rPr>
              <w:t>25.1%</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24.6%</w:t>
            </w:r>
          </w:p>
        </w:tc>
        <w:tc>
          <w:tcPr>
            <w:tcW w:w="1260" w:type="dxa"/>
            <w:vAlign w:val="bottom"/>
            <w:gridSpan w:val="6"/>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0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37"/>
        </w:trPr>
        <w:tc>
          <w:tcPr>
            <w:tcW w:w="586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non-recurring items)</w:t>
            </w:r>
          </w:p>
        </w:tc>
        <w:tc>
          <w:tcPr>
            <w:tcW w:w="3300" w:type="dxa"/>
            <w:vAlign w:val="bottom"/>
            <w:gridSpan w:val="5"/>
          </w:tcPr>
          <w:p>
            <w:pPr>
              <w:jc w:val="right"/>
              <w:ind w:right="620"/>
              <w:spacing w:after="0"/>
              <w:rPr>
                <w:sz w:val="20"/>
                <w:szCs w:val="20"/>
                <w:color w:val="auto"/>
              </w:rPr>
            </w:pPr>
            <w:r>
              <w:rPr>
                <w:rFonts w:ascii="Arial" w:cs="Arial" w:eastAsia="Arial" w:hAnsi="Arial"/>
                <w:sz w:val="18"/>
                <w:szCs w:val="18"/>
                <w:color w:val="auto"/>
              </w:rPr>
              <w:t>6.0%</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6.7%</w:t>
            </w:r>
          </w:p>
        </w:tc>
        <w:tc>
          <w:tcPr>
            <w:tcW w:w="1260" w:type="dxa"/>
            <w:vAlign w:val="bottom"/>
            <w:gridSpan w:val="6"/>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non-recurring items</w:t>
            </w:r>
          </w:p>
        </w:tc>
        <w:tc>
          <w:tcPr>
            <w:tcW w:w="330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37"/>
        </w:trPr>
        <w:tc>
          <w:tcPr>
            <w:tcW w:w="5860" w:type="dxa"/>
            <w:vAlign w:val="bottom"/>
            <w:gridSpan w:val="3"/>
          </w:tcPr>
          <w:p>
            <w:pPr>
              <w:spacing w:after="0"/>
              <w:rPr>
                <w:sz w:val="20"/>
                <w:szCs w:val="20"/>
                <w:color w:val="auto"/>
              </w:rPr>
            </w:pPr>
            <w:r>
              <w:rPr>
                <w:rFonts w:ascii="Arial" w:cs="Arial" w:eastAsia="Arial" w:hAnsi="Arial"/>
                <w:sz w:val="18"/>
                <w:szCs w:val="18"/>
                <w:color w:val="auto"/>
              </w:rPr>
              <w:t>Income from operations (including restructuring and other</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non-recurring items )</w:t>
            </w:r>
          </w:p>
        </w:tc>
        <w:tc>
          <w:tcPr>
            <w:tcW w:w="3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color w:val="auto"/>
              </w:rPr>
              <w:t>4.0%</w:t>
            </w: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rPr>
              <w:t>6.7%</w:t>
            </w: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revenue for the period increased by $43.9 million, or 18.9%, from $233.0 million for the three months ended June 30, 2011 to $277.0 million for the three months ended June 30, 2012. Net revenue in our clinical research segment increased by $39.7 million, or 18.4%, from $216.2 million for the three months ended June 30, 2011 to $255.9 million for the three months ended June 30, 2012. In our central laboratory business, net revenue increased by $4.2 million, or 24.7%, from $16.8 million for the three months ended June 30, 2011 to $21.0 million for the three months ended June 30, 2012. Net revenue derived from the acquisitions of Firecrest, BeijingWits Medical and PriceSpective amounted to $9.3 million for the three months ended June 30, 2012. For the three months ended June 30, 2012 we derived approximately 41.2%, 46.2% and 12.6% of our net revenue in the United States, Europe and Rest of World,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right="40"/>
        <w:spacing w:after="0" w:line="291" w:lineRule="auto"/>
        <w:rPr>
          <w:sz w:val="20"/>
          <w:szCs w:val="20"/>
          <w:color w:val="auto"/>
        </w:rPr>
      </w:pPr>
      <w:r>
        <w:rPr>
          <w:rFonts w:ascii="Arial" w:cs="Arial" w:eastAsia="Arial" w:hAnsi="Arial"/>
          <w:sz w:val="16"/>
          <w:szCs w:val="16"/>
          <w:color w:val="auto"/>
        </w:rPr>
        <w:t>Direct costs for the period increased by $29.2 million, or 19.4%, from $150.9 million for the three months ended June 30, 2011 to $180.1 million for the three months ended June 30, 2012. As a percentage of net revenue, direct costs have increased from 64.7% for the three months ended June 30, 2011 to 65.0% for the three months ended June 30, 2012. Direct costs in our clinical research segment have increased by 20.0% or $27.7 million during the three month period. As a percentage of net revenue direct costs in our clinical research segment have increased from 64.2% for the three months ended June 30, 2011 to 65.0% for the three months ended June 31, 2012. In our central laboratory business, direct costs have increased by 13.0% or $1.6 million during the period. As a percentage of net revenue direct costs in our central laboratory business have decreased from 72.2% for the three months ended June 30, 2011 to 65.4% for the three months ended June 30, 2012, a result of ongoing cost management and improved resource utilization in this business.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increased by $12.1 million, or 21.0%, from $57.3 million for the three months ended June 30, 2011 to $69.4 million for the three months ended June 30, 2012. The increase in selling, general and administration expenses for the period arose primarily from an increase in personnel related expenditure of $4.1 million, an increase in facilities and related costs of $0.4 million and an increase in other general overhead costs of $7.6 million. General overhead costs for the three months ended June 30, 2011 included $6.0 million in relation to the release of certain non-recurring tax provisions in both our clinical research and central laboratory business, arising from the receipt of additional information in relation to these items. As a percentage of net revenue, selling, general and administrative expenses, increased from 24.6% for the three months ended June 30, 2011 to 25.1% for the three months ended June 30, 2012.</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expense for the period increased by $0.3 million, or 3.0%, from $8.5 million for the three months ended June 30, 2011 to $8.8 million for the three months ended June 30, 2012, principally as a result of our continued investment in facilities and equipment to support the Company’s growth. As a percentage of net revenue, depreciation expense decreased from 3.7% of net revenues for the three months ended June 30, 2011 to 3.2% for the three months ended June 30, 2012. Amortization expense for the period increased by $1.2 million, or 154.0%, from $0.8 million for the three months ended June 30, 2011 to $2.0 million for the three months ended June 30, 2012. Amortization expense represents the amortization of intangible assets acquired on business combinations. The increase in the amortization expense in the current period is primarily a result of intangible assets acquired from the acquisitions of Firecrest in July 2011 and the acquisitions of BeijingWits Medical and PriceSpective in February 2012. As a percentage of net revenue, amortization expense increased from 0.3% of net revenues for the three months ended June 30, 2011 to 0.7% of net revenues for the three months ended June 30, 2012.</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other non-recurring items of $5.6 million were recorded during the three months ended June 30, 2012 (inclusive of the release of $0.1 million relating to the 2011 Restructuring Plans). During the three months ended June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June 30, 2012; $3.4 million in respect of resource rationalizations and $1.2 million in respect of lease termination and exit costs. The Company also incurred certain other charges in relation to the retirement of Mr. Peter Gray, Vice Chairman of the Board and former CEO. A charge of $1.1 million was recognized in respect of this during the three months ended June 30, 2012 (s</w:t>
      </w:r>
      <w:r>
        <w:rPr>
          <w:rFonts w:ascii="Arial" w:cs="Arial" w:eastAsia="Arial" w:hAnsi="Arial"/>
          <w:sz w:val="18"/>
          <w:szCs w:val="18"/>
          <w:i w:val="1"/>
          <w:iCs w:val="1"/>
          <w:color w:val="auto"/>
        </w:rPr>
        <w:t>ee note 4 Restructuring and other non-recurring items</w:t>
      </w:r>
      <w:r>
        <w:rPr>
          <w:rFonts w:ascii="Arial" w:cs="Arial" w:eastAsia="Arial" w:hAnsi="Arial"/>
          <w:sz w:val="18"/>
          <w:szCs w:val="18"/>
          <w:color w:val="auto"/>
        </w:rPr>
        <w:t xml:space="preserve"> </w:t>
      </w:r>
      <w:r>
        <w:rPr>
          <w:rFonts w:ascii="Arial" w:cs="Arial" w:eastAsia="Arial" w:hAnsi="Arial"/>
          <w:sz w:val="18"/>
          <w:szCs w:val="18"/>
          <w:i w:val="1"/>
          <w:iCs w:val="1"/>
          <w:color w:val="auto"/>
        </w:rPr>
        <w:t>for further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three months ended June 30, 2012 decreased by $4.5 million, or 29.1%,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2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w w:val="97"/>
              </w:rPr>
              <w:t>Operating Income</w:t>
            </w:r>
          </w:p>
        </w:tc>
        <w:tc>
          <w:tcPr>
            <w:tcW w:w="19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6"/>
              </w:rPr>
              <w:t>Operating Margin*</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4"/>
          </w:tcPr>
          <w:p>
            <w:pPr>
              <w:jc w:val="right"/>
              <w:ind w:right="500"/>
              <w:spacing w:after="0" w:line="196" w:lineRule="exact"/>
              <w:rPr>
                <w:sz w:val="20"/>
                <w:szCs w:val="20"/>
                <w:color w:val="auto"/>
              </w:rPr>
            </w:pPr>
            <w:r>
              <w:rPr>
                <w:rFonts w:ascii="Arial" w:cs="Arial" w:eastAsia="Arial" w:hAnsi="Arial"/>
                <w:sz w:val="18"/>
                <w:szCs w:val="18"/>
                <w:b w:val="1"/>
                <w:bCs w:val="1"/>
                <w:color w:val="auto"/>
              </w:rPr>
              <w:t>2011</w:t>
            </w:r>
          </w:p>
        </w:tc>
        <w:tc>
          <w:tcPr>
            <w:tcW w:w="1120" w:type="dxa"/>
            <w:vAlign w:val="bottom"/>
            <w:gridSpan w:val="3"/>
          </w:tcPr>
          <w:p>
            <w:pPr>
              <w:jc w:val="right"/>
              <w:ind w:right="500"/>
              <w:spacing w:after="0" w:line="196" w:lineRule="exact"/>
              <w:rPr>
                <w:sz w:val="20"/>
                <w:szCs w:val="20"/>
                <w:color w:val="auto"/>
              </w:rPr>
            </w:pPr>
            <w:r>
              <w:rPr>
                <w:rFonts w:ascii="Arial" w:cs="Arial" w:eastAsia="Arial" w:hAnsi="Arial"/>
                <w:sz w:val="18"/>
                <w:szCs w:val="18"/>
                <w:b w:val="1"/>
                <w:bCs w:val="1"/>
                <w:color w:val="auto"/>
              </w:rPr>
              <w:t>2012</w:t>
            </w:r>
          </w:p>
        </w:tc>
        <w:tc>
          <w:tcPr>
            <w:tcW w:w="84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10,662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14,939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342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color w:val="auto"/>
              </w:rPr>
              <w:t>567</w:t>
            </w:r>
          </w:p>
        </w:tc>
        <w:tc>
          <w:tcPr>
            <w:tcW w:w="1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3.4%</w:t>
            </w:r>
          </w:p>
        </w:tc>
      </w:tr>
      <w:tr>
        <w:trPr>
          <w:trHeight w:val="392"/>
        </w:trPr>
        <w:tc>
          <w:tcPr>
            <w:tcW w:w="20" w:type="dxa"/>
            <w:vAlign w:val="bottom"/>
          </w:tcPr>
          <w:p>
            <w:pPr>
              <w:spacing w:after="0"/>
              <w:rPr>
                <w:sz w:val="24"/>
                <w:szCs w:val="24"/>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11,004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15,506</w:t>
            </w:r>
          </w:p>
        </w:tc>
        <w:tc>
          <w:tcPr>
            <w:tcW w:w="112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8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24"/>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78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00" w:type="dxa"/>
            <w:vAlign w:val="bottom"/>
          </w:tcPr>
          <w:p>
            <w:pPr>
              <w:jc w:val="right"/>
              <w:ind w:right="12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Excluding the impact of restructuring and other non-recurring items recognised during the three months ended June 30, 2012, income from operations for the three months ended June 30, 2012 increased by $1.1 million, or 7.2%,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Operating Income</w:t>
            </w:r>
          </w:p>
        </w:tc>
        <w:tc>
          <w:tcPr>
            <w:tcW w:w="800" w:type="dxa"/>
            <w:vAlign w:val="bottom"/>
            <w:gridSpan w:val="2"/>
          </w:tcPr>
          <w:p>
            <w:pPr>
              <w:spacing w:after="0"/>
              <w:rPr>
                <w:sz w:val="17"/>
                <w:szCs w:val="17"/>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6"/>
              </w:rPr>
              <w:t>Operating Margin*</w:t>
            </w:r>
          </w:p>
        </w:tc>
        <w:tc>
          <w:tcPr>
            <w:tcW w:w="4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4"/>
          </w:tcPr>
          <w:p>
            <w:pPr>
              <w:jc w:val="right"/>
              <w:ind w:right="500"/>
              <w:spacing w:after="0" w:line="196" w:lineRule="exact"/>
              <w:rPr>
                <w:sz w:val="20"/>
                <w:szCs w:val="20"/>
                <w:color w:val="auto"/>
              </w:rPr>
            </w:pPr>
            <w:r>
              <w:rPr>
                <w:rFonts w:ascii="Arial" w:cs="Arial" w:eastAsia="Arial" w:hAnsi="Arial"/>
                <w:sz w:val="18"/>
                <w:szCs w:val="18"/>
                <w:b w:val="1"/>
                <w:bCs w:val="1"/>
                <w:color w:val="auto"/>
              </w:rPr>
              <w:t>2011</w:t>
            </w:r>
          </w:p>
        </w:tc>
        <w:tc>
          <w:tcPr>
            <w:tcW w:w="1120" w:type="dxa"/>
            <w:vAlign w:val="bottom"/>
            <w:gridSpan w:val="3"/>
          </w:tcPr>
          <w:p>
            <w:pPr>
              <w:jc w:val="right"/>
              <w:ind w:right="500"/>
              <w:spacing w:after="0" w:line="196" w:lineRule="exact"/>
              <w:rPr>
                <w:sz w:val="20"/>
                <w:szCs w:val="20"/>
                <w:color w:val="auto"/>
              </w:rPr>
            </w:pPr>
            <w:r>
              <w:rPr>
                <w:rFonts w:ascii="Arial" w:cs="Arial" w:eastAsia="Arial" w:hAnsi="Arial"/>
                <w:sz w:val="18"/>
                <w:szCs w:val="18"/>
                <w:b w:val="1"/>
                <w:bCs w:val="1"/>
                <w:color w:val="auto"/>
              </w:rPr>
              <w:t>2012</w:t>
            </w:r>
          </w:p>
        </w:tc>
        <w:tc>
          <w:tcPr>
            <w:tcW w:w="84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16,140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14,939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500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color w:val="auto"/>
              </w:rPr>
              <w:t>567</w:t>
            </w:r>
          </w:p>
        </w:tc>
        <w:tc>
          <w:tcPr>
            <w:tcW w:w="1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2.4%</w:t>
            </w:r>
          </w:p>
        </w:tc>
        <w:tc>
          <w:tcPr>
            <w:tcW w:w="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3.4%</w:t>
            </w:r>
          </w:p>
        </w:tc>
      </w:tr>
      <w:tr>
        <w:trPr>
          <w:trHeight w:val="392"/>
        </w:trPr>
        <w:tc>
          <w:tcPr>
            <w:tcW w:w="20" w:type="dxa"/>
            <w:vAlign w:val="bottom"/>
          </w:tcPr>
          <w:p>
            <w:pPr>
              <w:spacing w:after="0"/>
              <w:rPr>
                <w:sz w:val="24"/>
                <w:szCs w:val="24"/>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16,640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15,506</w:t>
            </w:r>
          </w:p>
        </w:tc>
        <w:tc>
          <w:tcPr>
            <w:tcW w:w="112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8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24"/>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$0.2 million for the three months ended June 30, 2011 to $0.6 million for the three months ended June 30, 2012. Interest expense for the three months ended June 30, 2012 includes $0.2 million in respect of non-cash finance charges relating to acquisition contingent consideration. Interest income for the period remained at $0.3 million for the three months ended June 30, 2011 and the three months ended June 30, 2012.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period increased from $2.5 million for the three months ended June 30, 2011 to $2.8 million for the three months ended June 30, 2012. The Company’s effective tax rate for the three months ended June 30, 2012 was 26.1% compared with 16.2% for the three months ended June 30, 2011. Excluding the impact of restructuring and other non-recurring items recognized during the three months ended June 30, 2012 the Company’s effective tax rate was 21.4% for the three months ended June 30, 2012. The Company’s effective tax rate is principally a function of the distribution of pre-tax profits amongst the territories in which it operates.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w w:val="88"/>
              </w:rPr>
              <w:t>Six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June 30,</w:t>
            </w:r>
          </w:p>
        </w:tc>
        <w:tc>
          <w:tcPr>
            <w:tcW w:w="940" w:type="dxa"/>
            <w:vAlign w:val="bottom"/>
            <w:gridSpan w:val="5"/>
          </w:tcPr>
          <w:p>
            <w:pPr>
              <w:jc w:val="right"/>
              <w:ind w:right="280"/>
              <w:spacing w:after="0" w:line="196" w:lineRule="exact"/>
              <w:rPr>
                <w:sz w:val="20"/>
                <w:szCs w:val="20"/>
                <w:color w:val="auto"/>
              </w:rPr>
            </w:pPr>
            <w:r>
              <w:rPr>
                <w:rFonts w:ascii="Arial" w:cs="Arial" w:eastAsia="Arial" w:hAnsi="Arial"/>
                <w:sz w:val="18"/>
                <w:szCs w:val="18"/>
                <w:b w:val="1"/>
                <w:bCs w:val="1"/>
                <w:color w:val="auto"/>
                <w:w w:val="88"/>
              </w:rPr>
              <w:t>June 30,</w:t>
            </w:r>
          </w:p>
        </w:tc>
        <w:tc>
          <w:tcPr>
            <w:tcW w:w="88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6"/>
              </w:rPr>
              <w:t>to 2011</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8"/>
          </w:tcPr>
          <w:p>
            <w:pPr>
              <w:jc w:val="center"/>
              <w:spacing w:after="0" w:line="196" w:lineRule="exact"/>
              <w:rPr>
                <w:sz w:val="20"/>
                <w:szCs w:val="20"/>
                <w:color w:val="auto"/>
              </w:rPr>
            </w:pPr>
            <w:r>
              <w:rPr>
                <w:rFonts w:ascii="Arial" w:cs="Arial" w:eastAsia="Arial" w:hAnsi="Arial"/>
                <w:sz w:val="18"/>
                <w:szCs w:val="18"/>
                <w:b w:val="1"/>
                <w:bCs w:val="1"/>
                <w:color w:val="auto"/>
                <w:w w:val="88"/>
              </w:rPr>
              <w:t>Percentage of Net</w:t>
            </w:r>
          </w:p>
        </w:tc>
        <w:tc>
          <w:tcPr>
            <w:tcW w:w="5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4"/>
          </w:tcPr>
          <w:p>
            <w:pPr>
              <w:jc w:val="center"/>
              <w:ind w:left="50"/>
              <w:spacing w:after="0" w:line="196" w:lineRule="exact"/>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04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311"/>
        </w:trPr>
        <w:tc>
          <w:tcPr>
            <w:tcW w:w="67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0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gridSpan w:val="6"/>
          </w:tcPr>
          <w:p>
            <w:pPr>
              <w:jc w:val="right"/>
              <w:ind w:right="30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rPr>
              <w:t>25.3%</w:t>
            </w:r>
          </w:p>
        </w:tc>
        <w:tc>
          <w:tcPr>
            <w:tcW w:w="1080" w:type="dxa"/>
            <w:vAlign w:val="bottom"/>
            <w:gridSpan w:val="7"/>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351"/>
        </w:trPr>
        <w:tc>
          <w:tcPr>
            <w:tcW w:w="676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 non-recurring items )</w:t>
            </w:r>
          </w:p>
        </w:tc>
        <w:tc>
          <w:tcPr>
            <w:tcW w:w="2040" w:type="dxa"/>
            <w:vAlign w:val="bottom"/>
            <w:gridSpan w:val="6"/>
          </w:tcPr>
          <w:p>
            <w:pPr>
              <w:jc w:val="right"/>
              <w:ind w:right="3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rPr>
              <w:t>6.8%</w:t>
            </w:r>
          </w:p>
        </w:tc>
        <w:tc>
          <w:tcPr>
            <w:tcW w:w="1080" w:type="dxa"/>
            <w:vAlign w:val="bottom"/>
            <w:gridSpan w:val="7"/>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non-recurring items</w:t>
            </w:r>
          </w:p>
        </w:tc>
        <w:tc>
          <w:tcPr>
            <w:tcW w:w="204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51"/>
        </w:trPr>
        <w:tc>
          <w:tcPr>
            <w:tcW w:w="6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from operations (including restructuring and other non-recurring items)</w:t>
            </w:r>
          </w:p>
        </w:tc>
        <w:tc>
          <w:tcPr>
            <w:tcW w:w="20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revenue for the period increased by $67.0 million, or 14.5%, from $462.3 million for the six months ended June 30, 2011 to $529.3 million for the six months ended June 30, 2012. Net revenue in our clinical research segment increased by $59.8 million, or 14.0%, from $429.0 million for the six months ended June 30, 2011 to $488.8 million for the six months ended June 30, 2012. In our central laboratory business, net revenue increased by $7.1 million, or 21.4%, from $33.3 million for the six months ended June 30, 2011 to $40.4 million for the six months ended June 30, 2012. Net revenue derived from the acquisitions of Firecrest, BeijingWits Medical and PriceSpective amounted to $15.8 million for the six months ended June 30, 2012. For the six months ended June 30, 2012 we derived approximately 41.9%, 45.9% and 12.2% of our net revenue in the United States, Europe and Rest of World,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Direct costs for the period increased by $47.1 million, or 15.9%, from $295.3 million for the six months ended June 30, 2011 to $342.4 million for the six months ended June 30, 2012. As a percentage of net revenue, direct costs have increased from 63.9% for the six months ended June 30, 2011 to 64.7% for the six months ended June 30, 2012. Direct costs in our clinical research segment have increased by 16.8% or $45.6 million during the six month period. As a percentage of net revenue direct costs in our clinical research segment have increased from 63.2% for the six months ended June 30, 2011 to 64.8% for the six months ended June 30, 2012. In our central laboratory business, direct costs have increased by 6.1% or $1.5 million during the period. As a percentage of net revenue direct costs in our central laboratory business have decreased from 73.0% for the six months ended June 30, 2011 to 63.8% for the six months ended June 30, 2012, a result of ongoing cost management and improved resource utilization in this business.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increased by $19.7 million, or 16.8%, from $117.2 million for the six months ended June 30, 2011 to $136.9 million for the six months ended June 30, 2012. The increase in selling, general and administration expense for the period arose primarily from an increase in personnel related expenditure of $12.0 million, an increase in facilities and related costs of $1.8 million and an increase in other general overhead costs of $5.9 million. General overhead costs for the six months ended June 30, 2011 included $6.0 million in relation to the release of certain non-recurring tax provisions in both our clinical research and central laboratory business, arising from the receipt of additional information in relation to these items. As a percentage of net revenue, selling, general and administrative expenses increased from 25.3% for the six months ended June 30, 2011 to 25.8% for the six months ended June 30, 2012.</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expense for the period increased by $0.7 million, or 4.2%, from $16.9 million for the six months ended June 30, 2011 to $17.6 million for the six months ended June 30, 2012, principally as a result of our continued investment in facilities and equipment to support the Company’s growth. As a percentage of net revenue, depreciation expense decreased from 3.6% of net revenues for the six months ended June 30, 2011 to 3.3% for the six months ended June 30, 2012. Amortization expense for the period increased by $2.6 million, or 181.0%, from $1.4 million for the six months ended June 30, 2011 to $4.0 million for the six months ended June 30, 2012. Amortization expense represents the amortization of intangible assets acquired on business combinations. The increase in the amortization expense in the current period is primarily a result of intangible assets acquired from the acquisitions of Firecrest in July 2011 and the acquisitions of BeijingWits Medical and PriceSpective in February 2012. As a percentage of net revenue, amortization expense increased from 0.3% of net revenues for the six months ended June 30, 2011 to 0.8% of net revenues for the six months ended June 30, 2012.</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other non-recurring items of $5.6 million were recorded during the six months ended June 30, 2012 (inclusive of the release of $0.1 million relating to the 2011 Restructuring Plans). During the six months ended June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June 30, 2012; $3.4 million in respect of resource rationalizations and $1.2 million in respect of lease termination and exit costs. The Company also incurred certain other charges in relation to the retirement of Mr. Peter Gray, Vice Chairman of the Board and former CEO. A charge of $1.1 million was recognized in respect of this during the three months ended June 30, 2012 (</w:t>
      </w:r>
      <w:r>
        <w:rPr>
          <w:rFonts w:ascii="Arial" w:cs="Arial" w:eastAsia="Arial" w:hAnsi="Arial"/>
          <w:sz w:val="18"/>
          <w:szCs w:val="18"/>
          <w:i w:val="1"/>
          <w:iCs w:val="1"/>
          <w:color w:val="auto"/>
        </w:rPr>
        <w:t>see note 4 Restructuring and other non-recurring items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21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six months ended June 30, 2011 the Company commenced a review of its operations to improve resource utilization within the business and better align resources to current and future growth opportunities of the business. This review resulted in the adoption of a restructuring plan, the closure of the Company’s facility in Edinburgh, United Kingdom and resource rationalizations in certain of the more mature markets in which it operates. A restructuring charge of $5.0 million was recognized during the six months ended June 30, 2011 $1.0 million in respect of lease termination and exit costs associated with the closure of the Edinburgh facility and $4.0 million in respect of workforce reductions.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As a result of the above, income from operations for the six months ended June 30, 2012 decreased by $3.8 million, or 14.1%,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0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7"/>
              </w:rPr>
              <w:t>Operating Income</w:t>
            </w:r>
          </w:p>
        </w:tc>
        <w:tc>
          <w:tcPr>
            <w:tcW w:w="22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Operating Margin*</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rPr>
              <w:t>2011</w:t>
            </w:r>
          </w:p>
        </w:tc>
        <w:tc>
          <w:tcPr>
            <w:tcW w:w="1320" w:type="dxa"/>
            <w:vAlign w:val="bottom"/>
            <w:gridSpan w:val="4"/>
          </w:tcPr>
          <w:p>
            <w:pPr>
              <w:jc w:val="right"/>
              <w:ind w:right="480"/>
              <w:spacing w:after="0" w:line="196" w:lineRule="exact"/>
              <w:rPr>
                <w:sz w:val="20"/>
                <w:szCs w:val="20"/>
                <w:color w:val="auto"/>
              </w:rPr>
            </w:pPr>
            <w:r>
              <w:rPr>
                <w:rFonts w:ascii="Arial" w:cs="Arial" w:eastAsia="Arial" w:hAnsi="Arial"/>
                <w:sz w:val="18"/>
                <w:szCs w:val="18"/>
                <w:b w:val="1"/>
                <w:bCs w:val="1"/>
                <w:color w:val="auto"/>
              </w:rPr>
              <w:t>2012</w:t>
            </w:r>
          </w:p>
        </w:tc>
        <w:tc>
          <w:tcPr>
            <w:tcW w:w="92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8"/>
              </w:rPr>
              <w:t>(in 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20,761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30,159</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1,975</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(3,684)</w:t>
            </w: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4.9%</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w:t>
            </w:r>
          </w:p>
        </w:tc>
      </w:tr>
      <w:tr>
        <w:trPr>
          <w:trHeight w:val="392"/>
        </w:trPr>
        <w:tc>
          <w:tcPr>
            <w:tcW w:w="20" w:type="dxa"/>
            <w:vAlign w:val="bottom"/>
          </w:tcPr>
          <w:p>
            <w:pPr>
              <w:spacing w:after="0"/>
              <w:rPr>
                <w:sz w:val="24"/>
                <w:szCs w:val="24"/>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22,736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26,475</w:t>
            </w:r>
          </w:p>
        </w:tc>
        <w:tc>
          <w:tcPr>
            <w:tcW w:w="132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impact of restructuring and other non-recurring items recognised during the six months ended June 30, 2012, income from operations for the six months ended June 30, 2012 decreased by $3.1 million, or 9.9%,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0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7"/>
              </w:rPr>
              <w:t>Operating Income</w:t>
            </w:r>
          </w:p>
        </w:tc>
        <w:tc>
          <w:tcPr>
            <w:tcW w:w="22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Operating Margin*</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rPr>
              <w:t>2011</w:t>
            </w:r>
          </w:p>
        </w:tc>
        <w:tc>
          <w:tcPr>
            <w:tcW w:w="1340" w:type="dxa"/>
            <w:vAlign w:val="bottom"/>
            <w:gridSpan w:val="4"/>
          </w:tcPr>
          <w:p>
            <w:pPr>
              <w:jc w:val="right"/>
              <w:ind w:right="500"/>
              <w:spacing w:after="0" w:line="196" w:lineRule="exact"/>
              <w:rPr>
                <w:sz w:val="20"/>
                <w:szCs w:val="20"/>
                <w:color w:val="auto"/>
              </w:rPr>
            </w:pPr>
            <w:r>
              <w:rPr>
                <w:rFonts w:ascii="Arial" w:cs="Arial" w:eastAsia="Arial" w:hAnsi="Arial"/>
                <w:sz w:val="18"/>
                <w:szCs w:val="18"/>
                <w:b w:val="1"/>
                <w:bCs w:val="1"/>
                <w:color w:val="auto"/>
              </w:rPr>
              <w:t>2012</w:t>
            </w:r>
          </w:p>
        </w:tc>
        <w:tc>
          <w:tcPr>
            <w:tcW w:w="90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8"/>
              </w:rPr>
              <w:t>(in 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26,239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33,616</w:t>
            </w:r>
          </w:p>
        </w:tc>
        <w:tc>
          <w:tcPr>
            <w:tcW w:w="13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2,133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(2,139)</w:t>
            </w: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color w:val="auto"/>
              </w:rPr>
              <w:t>5.3%</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w:t>
            </w:r>
          </w:p>
        </w:tc>
      </w:tr>
      <w:tr>
        <w:trPr>
          <w:trHeight w:val="392"/>
        </w:trPr>
        <w:tc>
          <w:tcPr>
            <w:tcW w:w="20" w:type="dxa"/>
            <w:vAlign w:val="bottom"/>
          </w:tcPr>
          <w:p>
            <w:pPr>
              <w:spacing w:after="0"/>
              <w:rPr>
                <w:sz w:val="24"/>
                <w:szCs w:val="24"/>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28,372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31,477</w:t>
            </w:r>
          </w:p>
        </w:tc>
        <w:tc>
          <w:tcPr>
            <w:tcW w:w="1340" w:type="dxa"/>
            <w:vAlign w:val="bottom"/>
            <w:tcBorders>
              <w:bottom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$0.4 million for the six months ended June 30, 2011 to $1.0 million for the six months ended June 30, 2012. Interest expense for the six months ended June 30, 2012 includes $0.4 million in respect of non-cash finance charges relating to acquisition contingent consideration. Interest income for the period increased from $0.5 million for the six months ended June 30, 2011 to $0.7 million for the six months ended June 30, 2012.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period increased from $5.2 million for the six months ended June 30, 2011 to $5.5 million for the six months ended June 30, 2012. The Company’s effective tax rate for the six months ended June 30, 2012 was 24.6% compared with 19.6% for the six months ended June 30, 2011. Excluding the impact of restructuring and other non-recurring items the Company’s effective tax rate was 22.2% for the six months ended June 30, 2012 compared with 18.2% for the six months ended June 30, 2011. The Company’s effective tax rate is principally a function of the distribution of pre-tax profits in the territories in which it operates.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and short term investment balances at June 30, 2012 amounted to $168.0 million compared with cash and short term investment balances of $174.1 million at December 31, 2011. The Company’s cash and short term investment balances at June 30, 2012 comprised cash and cash equivalents $94.9 million and short-term investments $73.1 million. The Company’s cash and short-term investment balances at December 31, 2011 comprised cash and cash equivalents $119.2 million and short-term investments $54.9 million.</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June 30, 2012 compared with $150.0 million at December 31, 2011.</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operating activities was $72.2 million for the six months ended June 30, 2012 compared with cash used in operating activities of $11.7 million for the six months ended June 30, 2011.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increase in cash flow from operating activities during the six months ended June 30, 2012 arose primarily from a decrease in the number of days revenue outstanding during the period. The number of days revenue outstanding at June 30, 2012 was 36 days compared to 47 days at December 31, 2011. The number of days revenue outstanding at June 30, 2011 was 49 days compared to 37 days at December 31, 2010.</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$82.3 million for the six months ended June 30, 2012 compared to net cash used in investing activities of $80.0 million for the six months ended June 30, 2011. Net cash used in the six months ended June 30, 2012 arose principally from cash paid for acquisitions, capital expenditures and the purchase of short-term investments.</w:t>
      </w: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During the six months ended June 30, 2012 the Company completed the acquisition of BeijingWits Medical for an initial cash consideration of $9.0 and the acquisition of PriceSpective for an initial cash consideration of $37.1 million. Cash received on the acquisitions of BeijingWits Medical and PriceSpective amounted to $0.6 million and $2.3 million respectively. The Company also paid $1.2 million during the six months ended June 30, 2012 in respect of certain working capital targets for Oxford Outcomes and $4.5 million in respect of certain performance milestones and working capital targets for</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Firecrest. Additional amounts payable at June 30, 2012 in relation to acquisitions include $0.3 million in respect of Timaq Medical Imaging and $64.4 million potentially payable contingent upon the results of acquired businesses; including PriceSpective ($15.0 million); BeijingWits Medical ($7.0 million); Firecrest ($36.2 million - €10 million ($12.5 million) of which was paid in July 2012 in respect of certain elements of the additional consideration) and Oxford Outcomes ($6.2 million). </w:t>
      </w:r>
      <w:r>
        <w:rPr>
          <w:rFonts w:ascii="Arial" w:cs="Arial" w:eastAsia="Arial" w:hAnsi="Arial"/>
          <w:sz w:val="18"/>
          <w:szCs w:val="18"/>
          <w:i w:val="1"/>
          <w:iCs w:val="1"/>
          <w:color w:val="auto"/>
        </w:rPr>
        <w:t>(See note 3 Business Combinations for further information relating to acquisitions and amounts potentially payable</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contingent upon the future results of acquired businesses).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Capital expenditure for the six months ended June 30, 2012 amounted to $15.7 million, and comprised mainly of expenditure on global infrastructure and information technology systems to support the Company’s growth. During the six months ended June 30, 2012 the Company invested a net $17.8 million in short-term investments.</w:t>
      </w:r>
    </w:p>
    <w:p>
      <w:pPr>
        <w:spacing w:after="0" w:line="200" w:lineRule="exact"/>
        <w:rPr>
          <w:sz w:val="20"/>
          <w:szCs w:val="20"/>
          <w:color w:val="auto"/>
        </w:rPr>
      </w:pP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Net cash used by financing activities during the six months ended June 30, 2012 amounted to $11.7 million compared with net cash provided by financing activities of $2.6 million for the six months ended June 30, 2011. Net cash used by financing activities during the six months ended June 30, 2012 arose primarily from cash paid to repurchase ordinary shares under the Company’s share repurchase program. During the six months ended June 30, 2012 the Company repurchased 738,341 ordinary shares for a total consideration of $15.6 million. As at June 30, 2012 1,283,938 ordinary shares have been repurchased by the Company for a total consideration of $24.6 million. All ordinary shares repurchased by the Company were cancelled </w:t>
      </w:r>
      <w:r>
        <w:rPr>
          <w:rFonts w:ascii="Arial" w:cs="Arial" w:eastAsia="Arial" w:hAnsi="Arial"/>
          <w:sz w:val="17"/>
          <w:szCs w:val="17"/>
          <w:i w:val="1"/>
          <w:iCs w:val="1"/>
          <w:color w:val="auto"/>
        </w:rPr>
        <w:t>(see note 9 Share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Capital for further information). </w:t>
      </w:r>
      <w:r>
        <w:rPr>
          <w:rFonts w:ascii="Arial" w:cs="Arial" w:eastAsia="Arial" w:hAnsi="Arial"/>
          <w:sz w:val="17"/>
          <w:szCs w:val="17"/>
          <w:color w:val="auto"/>
        </w:rPr>
        <w:t>During the six months ended June 30, 2012 the Company received $3.1 million from the exercise of share options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$2.4 million from the exercise of share options during the six months ended June 30, 2011.</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these cash flows, cash and cash equivalents decreased by $24.3 million for the six months ended June 30, 2012 compared to a decrease of $80.1 million for the six months ended June 30, 2011.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-19050</wp:posOffset>
            </wp:positionV>
            <wp:extent cx="1967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7865" cy="8890"/>
                    </a:xfrm>
                    <a:prstGeom prst="rect">
                      <a:avLst/>
                    </a:prstGeom>
                    <a:noFill/>
                  </pic:spPr>
                </pic:pic>
              </a:graphicData>
            </a:graphic>
          </wp:anchor>
        </w:drawing>
      </w:r>
    </w:p>
    <w:p>
      <w:pPr>
        <w:ind w:left="540"/>
        <w:spacing w:after="0"/>
        <w:tabs>
          <w:tab w:leader="none" w:pos="624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6"/>
          <w:szCs w:val="16"/>
          <w:color w:val="auto"/>
        </w:rPr>
        <w:t>Brendan Brennan</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3"/>
    </w:lvl>
    <w:lvl w:ilvl="1">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2019-12-09T13:44:36Z</dcterms:created>
  <dcterms:modified xsi:type="dcterms:W3CDTF">2019-12-09T13:44:36Z</dcterms:modified>
</cp:coreProperties>
</file>