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20-F</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580" w:right="1560" w:hanging="5572"/>
        <w:spacing w:after="0" w:line="52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PURSUANT TO SECTION 12(b) OR (g) OF THE SECURITIES EXCHANGE ACT OF 1934 OR</w:t>
      </w:r>
    </w:p>
    <w:p>
      <w:pPr>
        <w:ind w:left="4060" w:right="2480" w:hanging="4052"/>
        <w:spacing w:after="0" w:line="532"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2009</w:t>
      </w: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52"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Commission file number:</w:t>
            </w:r>
          </w:p>
        </w:tc>
        <w:tc>
          <w:tcPr>
            <w:tcW w:w="2520" w:type="dxa"/>
            <w:vAlign w:val="bottom"/>
          </w:tcPr>
          <w:p>
            <w:pPr>
              <w:jc w:val="right"/>
              <w:spacing w:after="0"/>
              <w:rPr>
                <w:sz w:val="20"/>
                <w:szCs w:val="20"/>
                <w:color w:val="auto"/>
              </w:rPr>
            </w:pPr>
            <w:r>
              <w:rPr>
                <w:rFonts w:ascii="Arial" w:cs="Arial" w:eastAsia="Arial" w:hAnsi="Arial"/>
                <w:sz w:val="18"/>
                <w:szCs w:val="18"/>
                <w:color w:val="auto"/>
              </w:rPr>
              <w:t>000-29714</w:t>
            </w:r>
          </w:p>
        </w:tc>
      </w:tr>
    </w:tbl>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(Jurisdiction of incorporation or organization)</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Ciaran Murray, CFO</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Ciaran.Murray@iconplc.com</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0011-353-1-291-2000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telephone number, email and/or facsmile number and address of Company contact person)</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Securities registered or to be registered pursuant to Section 12(b) of the Act:</w:t>
            </w: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960" w:type="dxa"/>
            <w:vAlign w:val="bottom"/>
          </w:tcPr>
          <w:p>
            <w:pPr>
              <w:spacing w:after="0"/>
              <w:rPr>
                <w:sz w:val="24"/>
                <w:szCs w:val="24"/>
                <w:color w:val="auto"/>
              </w:rPr>
            </w:pPr>
          </w:p>
        </w:tc>
        <w:tc>
          <w:tcPr>
            <w:tcW w:w="4460" w:type="dxa"/>
            <w:vAlign w:val="bottom"/>
          </w:tcPr>
          <w:p>
            <w:pPr>
              <w:ind w:left="660"/>
              <w:spacing w:after="0"/>
              <w:rPr>
                <w:sz w:val="20"/>
                <w:szCs w:val="20"/>
                <w:color w:val="auto"/>
              </w:rPr>
            </w:pPr>
            <w:r>
              <w:rPr>
                <w:rFonts w:ascii="Arial" w:cs="Arial" w:eastAsia="Arial" w:hAnsi="Arial"/>
                <w:sz w:val="18"/>
                <w:szCs w:val="18"/>
                <w:color w:val="auto"/>
              </w:rPr>
              <w:t>Name of exchange</w:t>
            </w:r>
          </w:p>
        </w:tc>
        <w:tc>
          <w:tcPr>
            <w:tcW w:w="20" w:type="dxa"/>
            <w:vAlign w:val="bottom"/>
          </w:tcPr>
          <w:p>
            <w:pPr>
              <w:spacing w:after="0"/>
              <w:rPr>
                <w:sz w:val="24"/>
                <w:szCs w:val="24"/>
                <w:color w:val="auto"/>
              </w:rPr>
            </w:pPr>
          </w:p>
        </w:tc>
      </w:tr>
      <w:tr>
        <w:trPr>
          <w:trHeight w:val="230"/>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 of each class</w:t>
            </w:r>
          </w:p>
        </w:tc>
        <w:tc>
          <w:tcPr>
            <w:tcW w:w="44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on which registered</w:t>
            </w:r>
          </w:p>
        </w:tc>
        <w:tc>
          <w:tcPr>
            <w:tcW w:w="20" w:type="dxa"/>
            <w:vAlign w:val="bottom"/>
          </w:tcPr>
          <w:p>
            <w:pPr>
              <w:spacing w:after="0"/>
              <w:rPr>
                <w:sz w:val="20"/>
                <w:szCs w:val="20"/>
                <w:color w:val="auto"/>
              </w:rPr>
            </w:pPr>
          </w:p>
        </w:tc>
      </w:tr>
      <w:tr>
        <w:trPr>
          <w:trHeight w:val="411"/>
        </w:trPr>
        <w:tc>
          <w:tcPr>
            <w:tcW w:w="6960" w:type="dxa"/>
            <w:vAlign w:val="bottom"/>
          </w:tcPr>
          <w:p>
            <w:pPr>
              <w:spacing w:after="0"/>
              <w:rPr>
                <w:sz w:val="20"/>
                <w:szCs w:val="20"/>
                <w:color w:val="auto"/>
              </w:rPr>
            </w:pPr>
            <w:r>
              <w:rPr>
                <w:rFonts w:ascii="Arial" w:cs="Arial" w:eastAsia="Arial" w:hAnsi="Arial"/>
                <w:sz w:val="18"/>
                <w:szCs w:val="18"/>
                <w:color w:val="auto"/>
              </w:rPr>
              <w:t>American Depository Shares, representing Ordinary</w:t>
            </w:r>
          </w:p>
        </w:tc>
        <w:tc>
          <w:tcPr>
            <w:tcW w:w="4460" w:type="dxa"/>
            <w:vAlign w:val="bottom"/>
          </w:tcPr>
          <w:p>
            <w:pPr>
              <w:ind w:left="660"/>
              <w:spacing w:after="0"/>
              <w:rPr>
                <w:sz w:val="20"/>
                <w:szCs w:val="20"/>
                <w:color w:val="auto"/>
              </w:rPr>
            </w:pPr>
            <w:r>
              <w:rPr>
                <w:rFonts w:ascii="Arial" w:cs="Arial" w:eastAsia="Arial" w:hAnsi="Arial"/>
                <w:sz w:val="18"/>
                <w:szCs w:val="18"/>
                <w:color w:val="auto"/>
              </w:rPr>
              <w:t>NASDAQ Global Select Market</w:t>
            </w:r>
          </w:p>
        </w:tc>
        <w:tc>
          <w:tcPr>
            <w:tcW w:w="20" w:type="dxa"/>
            <w:vAlign w:val="bottom"/>
          </w:tcPr>
          <w:p>
            <w:pPr>
              <w:spacing w:after="0"/>
              <w:rPr>
                <w:sz w:val="24"/>
                <w:szCs w:val="24"/>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Shares, par value €0.06 each Ordinary Shares, par</w:t>
            </w: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value €0.06 each</w:t>
            </w:r>
          </w:p>
        </w:tc>
        <w:tc>
          <w:tcPr>
            <w:tcW w:w="4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8"/>
        </w:trPr>
        <w:tc>
          <w:tcPr>
            <w:tcW w:w="6960" w:type="dxa"/>
            <w:vAlign w:val="bottom"/>
          </w:tcPr>
          <w:p>
            <w:pPr>
              <w:spacing w:after="0"/>
              <w:rPr>
                <w:sz w:val="20"/>
                <w:szCs w:val="20"/>
                <w:color w:val="auto"/>
              </w:rPr>
            </w:pPr>
            <w:r>
              <w:rPr>
                <w:rFonts w:ascii="Arial" w:cs="Arial" w:eastAsia="Arial" w:hAnsi="Arial"/>
                <w:sz w:val="18"/>
                <w:szCs w:val="18"/>
                <w:color w:val="auto"/>
              </w:rPr>
              <w:t>Securities registered or to be registered pursuant to Section 12(g) of the Act:</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Title of each class</w:t>
            </w: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69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61"/>
        </w:trPr>
        <w:tc>
          <w:tcPr>
            <w:tcW w:w="6960" w:type="dxa"/>
            <w:vAlign w:val="bottom"/>
          </w:tcPr>
          <w:p>
            <w:pPr>
              <w:jc w:val="center"/>
              <w:ind w:left="4370"/>
              <w:spacing w:after="0"/>
              <w:rPr>
                <w:sz w:val="20"/>
                <w:szCs w:val="20"/>
                <w:color w:val="auto"/>
              </w:rPr>
            </w:pPr>
            <w:r>
              <w:rPr>
                <w:rFonts w:ascii="Arial" w:cs="Arial" w:eastAsia="Arial" w:hAnsi="Arial"/>
                <w:sz w:val="18"/>
                <w:szCs w:val="18"/>
                <w:color w:val="auto"/>
                <w:w w:val="88"/>
              </w:rPr>
              <w:t>None</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69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46"/>
        </w:trPr>
        <w:tc>
          <w:tcPr>
            <w:tcW w:w="6960" w:type="dxa"/>
            <w:vAlign w:val="bottom"/>
          </w:tcPr>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960" w:type="dxa"/>
            <w:vAlign w:val="bottom"/>
          </w:tcPr>
          <w:p>
            <w:pPr>
              <w:jc w:val="center"/>
              <w:ind w:left="4370"/>
              <w:spacing w:after="0"/>
              <w:rPr>
                <w:sz w:val="20"/>
                <w:szCs w:val="20"/>
                <w:color w:val="auto"/>
              </w:rPr>
            </w:pPr>
            <w:r>
              <w:rPr>
                <w:rFonts w:ascii="Arial" w:cs="Arial" w:eastAsia="Arial" w:hAnsi="Arial"/>
                <w:sz w:val="18"/>
                <w:szCs w:val="18"/>
                <w:color w:val="auto"/>
                <w:w w:val="88"/>
              </w:rPr>
              <w:t>None</w:t>
            </w: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69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8"/>
        </w:trPr>
        <w:tc>
          <w:tcPr>
            <w:tcW w:w="6960" w:type="dxa"/>
            <w:vAlign w:val="bottom"/>
          </w:tcPr>
          <w:p>
            <w:pPr>
              <w:jc w:val="center"/>
              <w:ind w:left="4390"/>
              <w:spacing w:after="0"/>
              <w:rPr>
                <w:sz w:val="20"/>
                <w:szCs w:val="20"/>
                <w:color w:val="auto"/>
              </w:rPr>
            </w:pPr>
            <w:r>
              <w:rPr>
                <w:rFonts w:ascii="Arial" w:cs="Arial" w:eastAsia="Arial" w:hAnsi="Arial"/>
                <w:sz w:val="18"/>
                <w:szCs w:val="18"/>
                <w:color w:val="auto"/>
                <w:w w:val="93"/>
              </w:rPr>
              <w:t>(Title of Class)</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59,007,565 Ordinary Shares.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determined in Rule 405 of the Securities Act.</w:t>
      </w:r>
    </w:p>
    <w:p>
      <w:pPr>
        <w:spacing w:after="0" w:line="252"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registrant is not required to file reports pursuant to section 13 or 15(d) of the Securities Exchange Act of 1934.</w:t>
      </w:r>
    </w:p>
    <w:p>
      <w:pPr>
        <w:sectPr>
          <w:pgSz w:w="11900" w:h="16915" w:orient="portrait"/>
          <w:cols w:equalWidth="0" w:num="1">
            <w:col w:w="11440"/>
          </w:cols>
          <w:pgMar w:left="240" w:top="301" w:right="219" w:bottom="0" w:gutter="0" w:footer="0" w:header="0"/>
        </w:sectPr>
      </w:pPr>
    </w:p>
    <w:bookmarkStart w:id="1" w:name="page2"/>
    <w:bookmarkEnd w:id="1"/>
    <w:p>
      <w:pPr>
        <w:spacing w:after="0"/>
        <w:tabs>
          <w:tab w:leader="none" w:pos="34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814"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Yes 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No o</w:t>
      </w:r>
    </w:p>
    <w:p>
      <w:pPr>
        <w:spacing w:after="0" w:line="200" w:lineRule="exact"/>
        <w:rPr>
          <w:sz w:val="20"/>
          <w:szCs w:val="20"/>
          <w:color w:val="auto"/>
        </w:rPr>
      </w:pPr>
    </w:p>
    <w:p>
      <w:pPr>
        <w:sectPr>
          <w:pgSz w:w="11900" w:h="16838" w:orient="portrait"/>
          <w:cols w:equalWidth="0" w:num="2">
            <w:col w:w="2720" w:space="720"/>
            <w:col w:w="7980"/>
          </w:cols>
          <w:pgMar w:left="240" w:top="814"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 accelerated filer</w:t>
      </w:r>
    </w:p>
    <w:p>
      <w:pPr>
        <w:sectPr>
          <w:pgSz w:w="11900" w:h="16838" w:orient="portrait"/>
          <w:cols w:equalWidth="0" w:num="1">
            <w:col w:w="11420"/>
          </w:cols>
          <w:pgMar w:left="240" w:top="814"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97790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0" w:lineRule="exact"/>
        <w:rPr>
          <w:sz w:val="20"/>
          <w:szCs w:val="20"/>
          <w:color w:val="auto"/>
        </w:rPr>
      </w:pPr>
    </w:p>
    <w:p>
      <w:pPr>
        <w:sectPr>
          <w:pgSz w:w="11900" w:h="16838" w:orient="portrait"/>
          <w:cols w:equalWidth="0" w:num="3">
            <w:col w:w="3080" w:space="720"/>
            <w:col w:w="3100" w:space="720"/>
            <w:col w:w="3800"/>
          </w:cols>
          <w:pgMar w:left="240" w:top="814"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814"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U.S. GAAP x</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1060" w:val="left"/>
          <w:tab w:leader="none" w:pos="1900" w:val="left"/>
          <w:tab w:leader="none" w:pos="2780" w:val="left"/>
          <w:tab w:leader="none" w:pos="3640" w:val="left"/>
        </w:tabs>
        <w:rPr>
          <w:sz w:val="20"/>
          <w:szCs w:val="20"/>
          <w:color w:val="auto"/>
        </w:rPr>
      </w:pPr>
      <w:r>
        <w:rPr>
          <w:rFonts w:ascii="Arial" w:cs="Arial" w:eastAsia="Arial" w:hAnsi="Arial"/>
          <w:sz w:val="18"/>
          <w:szCs w:val="18"/>
          <w:color w:val="auto"/>
        </w:rPr>
        <w:t>International</w:t>
        <w:tab/>
        <w:t>Financial</w:t>
        <w:tab/>
        <w:t>Reporting</w:t>
        <w:tab/>
        <w:t>Standards</w:t>
      </w:r>
      <w:r>
        <w:rPr>
          <w:sz w:val="20"/>
          <w:szCs w:val="20"/>
          <w:color w:val="auto"/>
        </w:rPr>
        <w:tab/>
      </w:r>
      <w:r>
        <w:rPr>
          <w:rFonts w:ascii="Arial" w:cs="Arial" w:eastAsia="Arial" w:hAnsi="Arial"/>
          <w:sz w:val="15"/>
          <w:szCs w:val="15"/>
          <w:color w:val="auto"/>
        </w:rPr>
        <w:t>asOther 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issued 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the International Accounting Standards Board</w:t>
      </w:r>
    </w:p>
    <w:p>
      <w:pPr>
        <w:spacing w:after="0" w:line="200" w:lineRule="exact"/>
        <w:rPr>
          <w:sz w:val="20"/>
          <w:szCs w:val="20"/>
          <w:color w:val="auto"/>
        </w:rPr>
      </w:pPr>
    </w:p>
    <w:p>
      <w:pPr>
        <w:sectPr>
          <w:pgSz w:w="11900" w:h="16838" w:orient="portrait"/>
          <w:cols w:equalWidth="0" w:num="2">
            <w:col w:w="3080" w:space="720"/>
            <w:col w:w="7620"/>
          </w:cols>
          <w:pgMar w:left="240" w:top="814"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75"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Item 17 o</w:t>
      </w:r>
      <w:r>
        <w:rPr>
          <w:sz w:val="20"/>
          <w:szCs w:val="20"/>
          <w:color w:val="auto"/>
        </w:rPr>
        <w:tab/>
      </w:r>
      <w:r>
        <w:rPr>
          <w:rFonts w:ascii="Arial" w:cs="Arial" w:eastAsia="Arial" w:hAnsi="Arial"/>
          <w:sz w:val="16"/>
          <w:szCs w:val="16"/>
          <w:color w:val="auto"/>
        </w:rPr>
        <w:t>Item 18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52"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20" w:type="dxa"/>
            <w:vAlign w:val="bottom"/>
            <w:gridSpan w:val="26"/>
          </w:tcPr>
          <w:p>
            <w:pPr>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0"/>
                <w:szCs w:val="20"/>
                <w:color w:val="auto"/>
              </w:rPr>
            </w:pPr>
          </w:p>
        </w:tc>
      </w:tr>
      <w:tr>
        <w:trPr>
          <w:trHeight w:val="419"/>
        </w:trPr>
        <w:tc>
          <w:tcPr>
            <w:tcW w:w="162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w:t>
              </w:r>
            </w:hyperlink>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162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Cautionary</w:t>
              </w:r>
            </w:hyperlink>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8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Statement</w:t>
              </w:r>
            </w:hyperlink>
          </w:p>
        </w:tc>
        <w:tc>
          <w:tcPr>
            <w:tcW w:w="7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53"/>
        </w:trPr>
        <w:tc>
          <w:tcPr>
            <w:tcW w:w="7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76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Advisors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2.</w:t>
              </w:r>
            </w:hyperlink>
          </w:p>
        </w:tc>
        <w:tc>
          <w:tcPr>
            <w:tcW w:w="76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3.</w:t>
              </w:r>
            </w:hyperlink>
          </w:p>
        </w:tc>
        <w:tc>
          <w:tcPr>
            <w:tcW w:w="76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760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Information on the Company</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760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Operating and Financial Review and Prospects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76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Directors, Senior Management and Employees.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7.</w:t>
              </w:r>
            </w:hyperlink>
          </w:p>
        </w:tc>
        <w:tc>
          <w:tcPr>
            <w:tcW w:w="76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Major Shareholders and Related Party Transactions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8.</w:t>
              </w:r>
            </w:hyperlink>
          </w:p>
        </w:tc>
        <w:tc>
          <w:tcPr>
            <w:tcW w:w="760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Information</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9.</w:t>
              </w:r>
            </w:hyperlink>
          </w:p>
        </w:tc>
        <w:tc>
          <w:tcPr>
            <w:tcW w:w="760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The Offer and the Listing</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10.</w:t>
              </w:r>
            </w:hyperlink>
          </w:p>
        </w:tc>
        <w:tc>
          <w:tcPr>
            <w:tcW w:w="200" w:type="dxa"/>
            <w:vAlign w:val="bottom"/>
            <w:gridSpan w:val="2"/>
          </w:tcPr>
          <w:p>
            <w:pPr>
              <w:spacing w:after="0"/>
              <w:rPr>
                <w:sz w:val="24"/>
                <w:szCs w:val="24"/>
                <w:color w:val="auto"/>
              </w:rPr>
            </w:pPr>
          </w:p>
        </w:tc>
        <w:tc>
          <w:tcPr>
            <w:tcW w:w="760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Additional Information</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Item 11.</w:t>
              </w:r>
            </w:hyperlink>
          </w:p>
        </w:tc>
        <w:tc>
          <w:tcPr>
            <w:tcW w:w="200" w:type="dxa"/>
            <w:vAlign w:val="bottom"/>
            <w:gridSpan w:val="2"/>
          </w:tcPr>
          <w:p>
            <w:pPr>
              <w:spacing w:after="0"/>
              <w:rPr>
                <w:sz w:val="24"/>
                <w:szCs w:val="24"/>
                <w:color w:val="auto"/>
              </w:rPr>
            </w:pPr>
          </w:p>
        </w:tc>
        <w:tc>
          <w:tcPr>
            <w:tcW w:w="76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Item 12.</w:t>
              </w:r>
            </w:hyperlink>
          </w:p>
        </w:tc>
        <w:tc>
          <w:tcPr>
            <w:tcW w:w="200" w:type="dxa"/>
            <w:vAlign w:val="bottom"/>
            <w:gridSpan w:val="2"/>
          </w:tcPr>
          <w:p>
            <w:pPr>
              <w:spacing w:after="0"/>
              <w:rPr>
                <w:sz w:val="24"/>
                <w:szCs w:val="24"/>
                <w:color w:val="auto"/>
              </w:rPr>
            </w:pPr>
          </w:p>
        </w:tc>
        <w:tc>
          <w:tcPr>
            <w:tcW w:w="38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Description of Securities Other than Equity Securities</w:t>
              </w:r>
            </w:hyperlink>
          </w:p>
        </w:tc>
        <w:tc>
          <w:tcPr>
            <w:tcW w:w="420" w:type="dxa"/>
            <w:vAlign w:val="bottom"/>
            <w:tcBorders>
              <w:top w:val="single" w:sz="8" w:color="0000EE"/>
            </w:tcBorders>
            <w:gridSpan w:val="2"/>
          </w:tcPr>
          <w:p>
            <w:pPr>
              <w:spacing w:after="0"/>
              <w:rPr>
                <w:sz w:val="24"/>
                <w:szCs w:val="24"/>
                <w:color w:val="auto"/>
              </w:rPr>
            </w:pPr>
          </w:p>
        </w:tc>
        <w:tc>
          <w:tcPr>
            <w:tcW w:w="3300" w:type="dxa"/>
            <w:vAlign w:val="bottom"/>
            <w:gridSpan w:val="2"/>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53"/>
        </w:trPr>
        <w:tc>
          <w:tcPr>
            <w:tcW w:w="1620" w:type="dxa"/>
            <w:vAlign w:val="bottom"/>
            <w:gridSpan w:val="8"/>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13.</w:t>
              </w:r>
            </w:hyperlink>
          </w:p>
        </w:tc>
        <w:tc>
          <w:tcPr>
            <w:tcW w:w="180" w:type="dxa"/>
            <w:vAlign w:val="bottom"/>
          </w:tcPr>
          <w:p>
            <w:pPr>
              <w:spacing w:after="0"/>
              <w:rPr>
                <w:sz w:val="24"/>
                <w:szCs w:val="24"/>
                <w:color w:val="auto"/>
              </w:rPr>
            </w:pPr>
          </w:p>
        </w:tc>
        <w:tc>
          <w:tcPr>
            <w:tcW w:w="35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Defaults, Dividend Arrearages and Delinquencies</w:t>
              </w:r>
            </w:hyperlink>
          </w:p>
        </w:tc>
        <w:tc>
          <w:tcPr>
            <w:tcW w:w="4020" w:type="dxa"/>
            <w:vAlign w:val="bottom"/>
            <w:gridSpan w:val="6"/>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14.</w:t>
              </w:r>
            </w:hyperlink>
          </w:p>
        </w:tc>
        <w:tc>
          <w:tcPr>
            <w:tcW w:w="180" w:type="dxa"/>
            <w:vAlign w:val="bottom"/>
          </w:tcPr>
          <w:p>
            <w:pPr>
              <w:spacing w:after="0"/>
              <w:rPr>
                <w:sz w:val="24"/>
                <w:szCs w:val="24"/>
                <w:color w:val="auto"/>
              </w:rPr>
            </w:pPr>
          </w:p>
        </w:tc>
        <w:tc>
          <w:tcPr>
            <w:tcW w:w="56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Material Modifications to the Rights of Security Holders and Use of Proceeds</w:t>
              </w:r>
            </w:hyperlink>
          </w:p>
        </w:tc>
        <w:tc>
          <w:tcPr>
            <w:tcW w:w="20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15.</w:t>
              </w:r>
            </w:hyperlink>
          </w:p>
        </w:tc>
        <w:tc>
          <w:tcPr>
            <w:tcW w:w="180" w:type="dxa"/>
            <w:vAlign w:val="bottom"/>
          </w:tcPr>
          <w:p>
            <w:pPr>
              <w:spacing w:after="0"/>
              <w:rPr>
                <w:sz w:val="24"/>
                <w:szCs w:val="24"/>
                <w:color w:val="auto"/>
              </w:rPr>
            </w:pPr>
          </w:p>
        </w:tc>
        <w:tc>
          <w:tcPr>
            <w:tcW w:w="760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Item 16.</w:t>
              </w:r>
            </w:hyperlink>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Reserved</w:t>
              </w:r>
            </w:hyperlink>
          </w:p>
        </w:tc>
        <w:tc>
          <w:tcPr>
            <w:tcW w:w="5840" w:type="dxa"/>
            <w:vAlign w:val="bottom"/>
            <w:gridSpan w:val="13"/>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53"/>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600" w:type="dxa"/>
            <w:vAlign w:val="bottom"/>
            <w:tcBorders>
              <w:top w:val="single" w:sz="8" w:color="0000EE"/>
            </w:tcBorders>
            <w:gridSpan w:val="3"/>
          </w:tcPr>
          <w:p>
            <w:pPr>
              <w:spacing w:after="0"/>
              <w:rPr>
                <w:sz w:val="24"/>
                <w:szCs w:val="24"/>
                <w:color w:val="auto"/>
              </w:rPr>
            </w:pPr>
          </w:p>
        </w:tc>
        <w:tc>
          <w:tcPr>
            <w:tcW w:w="20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Item 17.</w:t>
              </w:r>
            </w:hyperlink>
          </w:p>
        </w:tc>
        <w:tc>
          <w:tcPr>
            <w:tcW w:w="180" w:type="dxa"/>
            <w:vAlign w:val="bottom"/>
          </w:tcPr>
          <w:p>
            <w:pPr>
              <w:spacing w:after="0"/>
              <w:rPr>
                <w:sz w:val="24"/>
                <w:szCs w:val="24"/>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Financial Statements</w:t>
              </w:r>
            </w:hyperlink>
          </w:p>
        </w:tc>
        <w:tc>
          <w:tcPr>
            <w:tcW w:w="6040" w:type="dxa"/>
            <w:vAlign w:val="bottom"/>
            <w:gridSpan w:val="15"/>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Item 18.</w:t>
              </w:r>
            </w:hyperlink>
          </w:p>
        </w:tc>
        <w:tc>
          <w:tcPr>
            <w:tcW w:w="180" w:type="dxa"/>
            <w:vAlign w:val="bottom"/>
          </w:tcPr>
          <w:p>
            <w:pPr>
              <w:spacing w:after="0"/>
              <w:rPr>
                <w:sz w:val="24"/>
                <w:szCs w:val="24"/>
                <w:color w:val="auto"/>
              </w:rPr>
            </w:pPr>
          </w:p>
        </w:tc>
        <w:tc>
          <w:tcPr>
            <w:tcW w:w="1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Financial Statements</w:t>
              </w:r>
            </w:hyperlink>
          </w:p>
        </w:tc>
        <w:tc>
          <w:tcPr>
            <w:tcW w:w="6040" w:type="dxa"/>
            <w:vAlign w:val="bottom"/>
            <w:gridSpan w:val="15"/>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19.</w:t>
              </w:r>
            </w:hyperlink>
          </w:p>
        </w:tc>
        <w:tc>
          <w:tcPr>
            <w:tcW w:w="760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Exhibits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858"/>
        </w:trPr>
        <w:tc>
          <w:tcPr>
            <w:tcW w:w="6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General</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sixteen members of the European Union (including the Republic of Ireland, France, Germany, Spain, Italy, Finland and the Netherlands). ICON publishes its consolidated financial statements in U.S. dollars.</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The trading price of ICON’s ADSs was adjusted on NASDAQ to effect the Bonus Issue prior to the opening of trading on October 24, 2006. All outstanding ordinary share amounts referenced in the consolidated financial state ments and the notes thereto have been retrospectively restated to give effect to the Bonus Issue as if it had occurred as of the date referenced.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 ompany’s Securities and Exchange Commission filings. The Company has no obligation under the PSLRA to update any forward looking statements and does not intend to do so.</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selected financial data set forth below are derived from ICON’s consolidated financial statements and should be read in conjunction with, and are qualified by reference to, Item 5 “Operating and Financial Review and Prospects” and ICON’s consolidated financial statements and related notes thereto included elsewhere in this Form 20-F.</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Seven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Month</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Ended</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Ended</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May</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8"/>
                <w:szCs w:val="18"/>
                <w:b w:val="1"/>
                <w:bCs w:val="1"/>
                <w:color w:val="auto"/>
                <w:w w:val="96"/>
              </w:rPr>
              <w:t>(in thousands, except share and per share data)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469,583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275,586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649,826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867,473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1,209,451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1,258,227</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Reimbursable expenses (1)</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(142,925)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(73,636)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(194,229)</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(236,751)</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(344,203)</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(370,615)</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revenue</w:t>
            </w:r>
          </w:p>
        </w:tc>
        <w:tc>
          <w:tcPr>
            <w:tcW w:w="78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326,658</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201,950</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455,597</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630,722</w:t>
            </w:r>
          </w:p>
        </w:tc>
        <w:tc>
          <w:tcPr>
            <w:tcW w:w="220" w:type="dxa"/>
            <w:vAlign w:val="bottom"/>
          </w:tcPr>
          <w:p>
            <w:pPr>
              <w:spacing w:after="0"/>
              <w:rPr>
                <w:sz w:val="17"/>
                <w:szCs w:val="17"/>
                <w:color w:val="auto"/>
              </w:rPr>
            </w:pPr>
          </w:p>
        </w:tc>
        <w:tc>
          <w:tcPr>
            <w:tcW w:w="9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865,248</w:t>
            </w:r>
          </w:p>
        </w:tc>
        <w:tc>
          <w:tcPr>
            <w:tcW w:w="22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887,612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179,661</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114,004</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256,263</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354,479</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489,238</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507,783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103,784</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62,276</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136,569</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187,993</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248,778</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230,910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13,331</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8,094</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14,949</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19,008</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27,728</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Share based compensation (2)</w:t>
            </w: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6,024</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One-time net charges (3) (4)</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11,275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Total costs and expenses</w:t>
            </w:r>
          </w:p>
        </w:tc>
        <w:tc>
          <w:tcPr>
            <w:tcW w:w="78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308,051</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190,398</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407,781</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561,480</w:t>
            </w:r>
          </w:p>
        </w:tc>
        <w:tc>
          <w:tcPr>
            <w:tcW w:w="220" w:type="dxa"/>
            <w:vAlign w:val="bottom"/>
          </w:tcPr>
          <w:p>
            <w:pPr>
              <w:spacing w:after="0"/>
              <w:rPr>
                <w:sz w:val="17"/>
                <w:szCs w:val="17"/>
                <w:color w:val="auto"/>
              </w:rPr>
            </w:pPr>
          </w:p>
        </w:tc>
        <w:tc>
          <w:tcPr>
            <w:tcW w:w="9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765,744</w:t>
            </w:r>
          </w:p>
        </w:tc>
        <w:tc>
          <w:tcPr>
            <w:tcW w:w="22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780,160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18,607</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11,552</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47,816</w:t>
            </w:r>
          </w:p>
        </w:tc>
        <w:tc>
          <w:tcPr>
            <w:tcW w:w="2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69,242</w:t>
            </w:r>
          </w:p>
        </w:tc>
        <w:tc>
          <w:tcPr>
            <w:tcW w:w="2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99,504</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107,452</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interest income / (expense)</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979</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3,640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2,738</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78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19,586</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12,824</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51,456</w:t>
            </w:r>
          </w:p>
        </w:tc>
        <w:tc>
          <w:tcPr>
            <w:tcW w:w="20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71,980</w:t>
            </w:r>
          </w:p>
        </w:tc>
        <w:tc>
          <w:tcPr>
            <w:tcW w:w="220" w:type="dxa"/>
            <w:vAlign w:val="bottom"/>
          </w:tcPr>
          <w:p>
            <w:pPr>
              <w:spacing w:after="0"/>
              <w:rPr>
                <w:sz w:val="17"/>
                <w:szCs w:val="17"/>
                <w:color w:val="auto"/>
              </w:rPr>
            </w:pPr>
          </w:p>
        </w:tc>
        <w:tc>
          <w:tcPr>
            <w:tcW w:w="9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98,280</w:t>
            </w:r>
          </w:p>
        </w:tc>
        <w:tc>
          <w:tcPr>
            <w:tcW w:w="220" w:type="dxa"/>
            <w:vAlign w:val="bottom"/>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104,674</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(5,852)</w:t>
            </w: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(5,396)</w:t>
            </w: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(12,924)</w:t>
            </w: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(15,830)</w:t>
            </w: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(19,967)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 - controlling interests</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7,418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38,304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55,963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94,299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700" w:type="dxa"/>
            <w:vAlign w:val="bottom"/>
            <w:gridSpan w:val="2"/>
          </w:tcPr>
          <w:p>
            <w:pPr>
              <w:spacing w:after="0"/>
              <w:rPr>
                <w:sz w:val="20"/>
                <w:szCs w:val="20"/>
                <w:color w:val="auto"/>
              </w:rPr>
            </w:pPr>
            <w:r>
              <w:rPr>
                <w:rFonts w:ascii="Arial" w:cs="Arial" w:eastAsia="Arial" w:hAnsi="Arial"/>
                <w:sz w:val="18"/>
                <w:szCs w:val="18"/>
                <w:color w:val="auto"/>
              </w:rPr>
              <w:t>Net income per</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ordinary share (5):</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Basic</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Weighted average number</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of ordinary shares outstanding:</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Basic</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55,440,812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55,880,424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56,629,970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57,410,544</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58,245,240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58,636,878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56,613,780</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56,990,168</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57,726,668</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59,495,928</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60,221,587</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59,900,504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jc w:val="right"/>
              <w:ind w:right="8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May</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w w:val="87"/>
              </w:rPr>
              <w:t>December</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56,341</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59,509</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63,039</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76,881</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58,378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144,801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22,034</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22,809</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39,822</w:t>
            </w:r>
          </w:p>
        </w:tc>
        <w:tc>
          <w:tcPr>
            <w:tcW w:w="3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41,752</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42,726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Working capital</w:t>
            </w: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125,288</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132,312</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160,321</w:t>
            </w:r>
          </w:p>
        </w:tc>
        <w:tc>
          <w:tcPr>
            <w:tcW w:w="3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2"/>
              </w:rPr>
              <w:t>193,271</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185,957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235,906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assets</w:t>
            </w: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347,553</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349,067</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476,341</w:t>
            </w:r>
          </w:p>
        </w:tc>
        <w:tc>
          <w:tcPr>
            <w:tcW w:w="3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2"/>
              </w:rPr>
              <w:t>693,138</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867,285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908,398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debt</w:t>
            </w: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4,856</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94,829</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105,379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Long term government grants</w:t>
            </w: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1,257</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1,160</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1,170</w:t>
            </w:r>
          </w:p>
        </w:tc>
        <w:tc>
          <w:tcPr>
            <w:tcW w:w="3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1,179</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1,386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Long term liabilities</w:t>
            </w:r>
          </w:p>
        </w:tc>
        <w:tc>
          <w:tcPr>
            <w:tcW w:w="16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1,443</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1,880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233,066</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241,558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302,738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2"/>
              </w:rPr>
              <w:t>388,400</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456,366</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572,246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160" w:right="2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Reimbursable expenses are comprised of investigator payments and certain other costs reimbursed by clients under terms specific to each of ICON’s contracts. See Note 2 (d) to the Audited Consolidated Financial Statements.</w:t>
      </w:r>
    </w:p>
    <w:p>
      <w:pPr>
        <w:spacing w:after="0" w:line="170"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 million share-based compensation expensed during the period ended December 31, 2005, was recorded in relation to the transfer of 576,000 shares from the founders of the Company to the Chief Executive Officer.</w:t>
      </w:r>
    </w:p>
    <w:p>
      <w:pPr>
        <w:spacing w:after="0" w:line="170"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One-time net charges of $11.3 million were recorded in the year ended May 31, 2005. These charges related to the recognition of an impairment in the carrying value of our investment in the central laboratory, a write-down of certain fixed assets and the lease termination and exit costs associated with the consolidation of some of our office facilities in the US.</w:t>
      </w:r>
    </w:p>
    <w:p>
      <w:pPr>
        <w:spacing w:after="0" w:line="181" w:lineRule="exact"/>
        <w:rPr>
          <w:rFonts w:ascii="Arial" w:cs="Arial" w:eastAsia="Arial" w:hAnsi="Arial"/>
          <w:sz w:val="18"/>
          <w:szCs w:val="18"/>
          <w:color w:val="auto"/>
        </w:rPr>
      </w:pPr>
    </w:p>
    <w:p>
      <w:pPr>
        <w:jc w:val="both"/>
        <w:ind w:left="1160" w:hanging="571"/>
        <w:spacing w:after="0" w:line="297"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One-time net charges of $8.8 million were recorded in the year ended December 31, 2009. In response to the globalization of clinical studies and its attendant impact on resources in existing and emerging markets, the Company conducted a review of its existing infrastructure to better align its resources with the needs of its clients. This realignment resulted in resource rationalization in certain more mature markets in which the Company operates and the recognition of a restructuring charge of $13.3 million. This was offset by research and development incentives of $4.5 million received by the Company in certain European Union jurisdictions in which it operates.</w:t>
      </w:r>
    </w:p>
    <w:p>
      <w:pPr>
        <w:spacing w:after="0" w:line="158" w:lineRule="exact"/>
        <w:rPr>
          <w:rFonts w:ascii="Arial" w:cs="Arial" w:eastAsia="Arial" w:hAnsi="Arial"/>
          <w:sz w:val="16"/>
          <w:szCs w:val="16"/>
          <w:color w:val="auto"/>
        </w:rPr>
      </w:pPr>
    </w:p>
    <w:p>
      <w:pPr>
        <w:ind w:left="116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economic and financial downturn may have a material adverse effect on our results.</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 world’s largest economies and financial institutions are facing extreme financial difficulty, including a decline in asset prices, liquidity problems and limited availability of credit. It is still uncertain how long this downturn will last. Such difficult economic times may have a material adverse effect on our revenues, results of operations, financial condition and ability to raise capital.</w:t>
      </w:r>
    </w:p>
    <w:p>
      <w:pPr>
        <w:spacing w:after="0" w:line="2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Increased deliberation by clients of contract proposals may impact our ability to win sufficient new business awards, which may result in decreased revenues.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Current and prospective clients have become increasingly deliberate when making decisions on whether to use our services. While requests for proposals continue to be circulated, clients are taking longer in their decisions to award clinical research projects. An inability to attract sufficient new business awards could have a material effect on our revenues, backlog and result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major projects or clients. During the years ended December 31, 2009, December 31, 2008 and December 31, 2007, 27%, 29% and 30% respectively of our net revenues were derived from our top five clients. No one client contributed more than 10% of net revenues during the years ended December 31, 2009, December 31, 2008 and December 31, 2007. The loss of, or a significant decrease in business from one or more of these key clients could result in a material adverse effect.</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market for Contract Research Organizations (“CROs”) is highly competitive. We primarily compete against in-house departments of pharmaceutical companies and other CROs including Covance Inc., i3 Research (United Health Group Incorporated), Kendle International Inc., Omnicare Inc., PAREXEL International Corporation, Pharmaceutical Product Development Inc., PharmaNet Development Group Inc., PRA International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 tting the opportunity to bid on new projects or prevent us from being competitive in bidding on new contracts.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2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181"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or</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Approximately 55% of our net revenue is earned from long-term fixed-fee contracts. We would lose money in performing these contracts if the costs of performance exceed the fixed fees for these projects.</w:t>
      </w:r>
    </w:p>
    <w:p>
      <w:pPr>
        <w:spacing w:after="0" w:line="19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Approximately 55% of our net revenue is earned from long-term fixed fee contracts. Revenues on these contracts are agreed on contract initiation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ens ures that changes in scope are appropriately monitored and change orders for additional revenue are promptly negotiated for the additional work. If we were to fail to recognise and negotiate change orders for changes in the resources required or the scope of the work to be performed the Company could lose money if the costs of performance of these contracts exceeded their fixed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are highly dependent on information technology. If our systems fail or are unreliable our operations may be adversely impacted.</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Company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natural or man-made disasters, terrorist attacks, computer viruses or hackers, power loss, or other computer systems, Internet telecommunications or data network failures. Any such interruption could adversely affect our business and results of operations.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9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47"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any research;</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disqualification of data;</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denial of the right to conduct business;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penalties;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2009, we received a warning letter from the U.S. Food and Drug Administration (FDA) regarding clinical study management services provided by the company to one of its clients in relation to two studies conducted between 2004 and 2006. These studies related to the development of an antibiotic for the treatment of complicated skin and skin-structure infections. The FDA letter arises from its inspections of the Company’s client and selected clinical sites and follows a similar letter issued to that client. We submitted a response to the FDA on January 13, 2010. We are committed to working cooperatively and expeditiously with the FDA to address the matters raised in the letter. We are unable to predict at this time the financial consequences, if any, of the issues raised by the letter.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required services could have a material adverse effect on our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our clients if changes in the relative value of those currencies exceed predetermined tolerances. We regularly review our currency exchange exposure and on occasion hedge a portion of this exposure using forward exchange contracts.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and legal risks associated with our international operations.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and operate from 68 locations in 38 countries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 isturbances, health concerns, cultural differences such as employment and business practices, volatility in gross domestic product, economic and governmental instability, the potential for nationalization of private assets and the imposition of exchange controls.</w:t>
      </w:r>
    </w:p>
    <w:p>
      <w:pPr>
        <w:spacing w:after="0" w:line="1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w:t>
      </w:r>
    </w:p>
    <w:p>
      <w:pPr>
        <w:spacing w:after="0" w:line="2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the uncertainty of the legal environment in some emerging countries could limit our ability to enforce our rights. In certain emerging and developing countries we enjoy less comprehensive protection for some of our rights, including intellectual property rights, which could undermine our competitive position. Finally, we operate in some countries where national laws may require not only accurate books and records, but also sufficient controls, policies and processes to ensure business is conducted without the influence of bribery and corruption. Given the high level of complexity of these laws, however, there is a risk that some provisions may be inadvertently breached, for example through negligent behavior of individual employees, our failure to comply with certain formal documentation requirements or otherwise. Any violation of these laws or allegations of such violations, whether or not merited, could have a material adverse effect on our reputation and could cause the trading price of our ordinary shares and ADSs’ to decline.</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124"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 In the event that the operations of an acquired business do not meet our performance expectations, we may have to restructure the acquired business or write-off the value of some or all of the assets of the acquired business.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raise sufficient finance may affect our ability to sustain future development of the business.</w:t>
      </w:r>
    </w:p>
    <w:p>
      <w:pPr>
        <w:spacing w:after="0" w:line="252"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have financed our operations and growth since inception primarily with cash flows from operations, proceeds from our initial public offering in May 1998, secondary offering in August 2003 and borrowings as applicable. Although we have not had difficulty in raising finance in the past, there is no guarantee that we will be able to raise sufficient capital, at an appropriate cost to the Company, to sustain future development of the business.</w:t>
      </w:r>
    </w:p>
    <w:p>
      <w:pPr>
        <w:spacing w:after="0" w:line="1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randomization of patients and the dosage required for patients enrolled in the trials.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liability claims against the Company or all three.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 healthy volunteer Phase I trials including first-into-man trials. Due to the experimental nature of these studies, serious adverse events may arise. We mitigate such events by following Good Clinical Practice and ensuring appropriately trained and experienced clinical physicians are managing these trials and that internal Standard Operating Procedures and client protocols are rigorously adhered to. We also ensure that a signed contract is in place with the client in advance of clinical dosing with appropriate indemnifications and insurance coverage. We maintain our own no-faults clinical trial insurance. Following our internal review and submission, an Independent Ethics committee approves the study protocol and appropriate approval is obtained from the relevant regulatory body.</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capability and expertise to conduct clinical trials in most major therapeutic areas on a global basis. At December 31, 2009, we had 7,170 employees, in 68 locations in 38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year ended December 31, 2009, we derived approximately 46.0%, 45.4 % and 8.6 % of our net revenue in the United States, Europe and Rest of World,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9, 2009, the Company acquired 100% of the common stock of Veeda Laboratories Limited, a specialist provider of biomarker laboratory services to the global pharmaceutical and biotechnology industries, located in Oxford, United Kingdom, for an initial cash consideration of $1.9 million (£1.2 million).</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28, 2009, the Company acquired the assets of the former Qualia Clinical Services, Inc., a 33,000 square foot Phase 1 facility, located in Omaha, Nebraska, for $0.3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Credit Lines and Loan Facilities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2009, a four year committed credit facility was negotiated with Bank of Ireland for $25 million. The facility bears interest at LIBOR plus a margin and is secured by certain composite guarantees, indemnities and pledges in favor of the bank. As at December 31, 2009, $25 million of this facility was available to be drawn.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favor of the banks. As at December 31, 2009, $50 million was available to be drawn under these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Issue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consolidated financial stateme nts and the notes thereto have been retrospectively restated to give effect to the Bonus Issue as if it had occurred as of the date referenced.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Industry 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post marketing surveillance, central laboratory and regulatory affairs services. CROs are required to p rovide these services in accordance with good clinical and laboratory practices, as governed by the applicable regulatory authorities.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 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global regulatory agencies. The stages of this development process are as follows:</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Preclinical Research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become effective by the FDA before starting the proposed clinical studies.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4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pharmacology testing in 20 to 80 human subjects, usually healthy volunteers, and includes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how the drug works, if it is safe, how it is affected by other drugs, where it goes in the body, how long it remains active and how it is broken down and eliminated from the body.</w:t>
      </w:r>
    </w:p>
    <w:p>
      <w:pPr>
        <w:spacing w:after="0" w:line="20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color w:val="auto"/>
        </w:rPr>
        <w:t>). Includes basic efficacy (effectiveness)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best effective dose, confirm that the drug works as expected, and provide additional safety data. If the Phase II results are satisfactory and no clinical hold is enforced by the FDA, the Sponsor may proceed to Phase III studies.</w:t>
      </w:r>
    </w:p>
    <w:p>
      <w:pPr>
        <w:spacing w:after="0" w:line="20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u w:val="single" w:color="auto"/>
          <w:color w:val="auto"/>
        </w:rPr>
        <w:t>Phase III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can be placebo-controlled trials, in which the new drug is compared with a “sugar pill”, or studies comparing the new drug with one or more drugs with established safety and efficacy profiles in the same therapeutic category.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 serious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for which existing therapeutic options are limited or of minimal value, the FDA may allow the Sponsor to make the new drug or biologic available to a larger number of patients through the regulated provision of a Treatment Investigational New Drug, or TIND. Although less scientifically rigorous than a controlled clinical trial, a TIND may enroll and collect a substantial amount of data from tens of thousands of patients.</w:t>
      </w:r>
    </w:p>
    <w:p>
      <w:pPr>
        <w:spacing w:after="0" w:line="19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NDA or BLA Preparation and Submission. </w:t>
      </w:r>
      <w:r>
        <w:rPr>
          <w:rFonts w:ascii="Arial" w:cs="Arial" w:eastAsia="Arial" w:hAnsi="Arial"/>
          <w:sz w:val="17"/>
          <w:szCs w:val="17"/>
          <w:color w:val="auto"/>
        </w:rPr>
        <w:t>Upon completion of Phase III trials, the Sponsor assembles the statistically analyzed data from all phases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into a single large submission along with the Chemistry and Manufacturing and preclinical data and the proposed labeling into the New Drug Application (NDA), or Biologics License Application (BLA) which today comprises, on average, approximately 100,000 pages.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FDA Review &amp; Approval of NDA or BLA (1 to 1.5 years). </w:t>
      </w:r>
      <w:r>
        <w:rPr>
          <w:rFonts w:ascii="Arial" w:cs="Arial" w:eastAsia="Arial" w:hAnsi="Arial"/>
          <w:sz w:val="17"/>
          <w:szCs w:val="17"/>
          <w:color w:val="auto"/>
        </w:rPr>
        <w:t>Data from all phases of development (including a TIND) is scrutinized to confirm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 has complied with all applicable regulations and that the drug or biologic is safe and effective for the specific use (or “indication”) under study. The FDA may refuse to accept the NDA or BLA if the Sponsor’s application has certain administrative or content criteria which do meet FDA standards. The FDA may also deny approval of the drug or biologic product if applicable regulatory requirements are not satisfied.</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Post-Marketing Surveillance and Phase IV Studies. </w:t>
      </w:r>
      <w:r>
        <w:rPr>
          <w:rFonts w:ascii="Arial" w:cs="Arial" w:eastAsia="Arial" w:hAnsi="Arial"/>
          <w:sz w:val="17"/>
          <w:szCs w:val="17"/>
          <w:color w:val="auto"/>
        </w:rPr>
        <w:t>Federal regulation requires the Sponsor to collect and periodically report to the FDA additional safety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efficacy data on the drug or biologic for as long as the Sponsor 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Sponsors of marketed drugs or biologics to prepare Risk Management plans which are aimed at assessing areas of product risk and plans for managing such risk should they occur. The FDA Amendment Act of 2007 has imposed additional regulatory requirements on Sponsors which address product safety, to conduct post-marketing surveillance studies and to submit the clinical trial information, including clinical study results, of investigational and marketed products to a databank managed and maintained by the National Institutes of Health. The information is accessible to the public via the worldwide web. This action was taken as a result to increase “public transparency” of Sponsor’s clinical studies and respective clinical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2008 was approximately $20 billion. We believe that the following trends create further growth opportunities for global CROs, although there is no assurance that growth will materialize.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Technologies such as combinational chemistry and high throughput screening,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Arising from this innovation, funding for research and development, particularly by biotechnology companies, grew strongly in recent years. This lead to significant increased activity in both Preclinical and Phase I development which we believe will lead to more treatments in Phase II-III clinical trials. As the number of trials that need to be performed increases, we believe that drug de velopers will increasingly rely on CROs to manage these trials in order to continue to focus on drug discovery. However, this growth in Preclinical and Phase I development activity in the near term may be impacted by the current global economic downturn and the reduction in the availability of funding for research and development activities, in particular for smaller biotech companies.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Declining productivity within Research and Development programs.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 atments to get to patients quicker at potentially reduced development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 Alongside this, the increasing need to access pools of “treatment naive” patients is leading to the conduct of clinical trials in new “emerging regions” such as Eastern Europe, Latin America, South America and India. We believe that having access to both traditional and emerging clinical research markets gives global CROs a competitive advantage.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Emergence of the Biotechnology Sector.</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a priori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will see the emergence of more strategic relationships between small discovery firms and the larger pha rmaceutical groups. As the majority of these biotechnology companies do not have a clinical development infrastructure, we believe that the services offered by CROs will continue to be in demand from such companies.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of Research and Development Activities of the Biotechnology Sector.</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emergence of the Biotechnology sector and the increasing number of highly technical drugs being developed by these companies has resulted in increased funding for research and development in recent years. Much of this funding was aimed at small biotechnology companies who do not derive revenues from the sale of other product lines and are dependent on external funding and investment to support their research activities. The current global downturn has reduced the availability of funding to support research and development activities which may reduce the number of treatments in Phase II-III clinical trials in future years. As many of these companies are dependent on the CRO industry to manage their trials the reduction in funding may impact demand for such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to establish competitive claims,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wake of a number of high profile recalls of previously approved drugs, regulatory authorities, such as the FDA and the European Medicines Agency (“EMEA”),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 m of prospective long-term safety studies, simpler observational studies or registries where patients meeting specific criteria for disease or drug use are followed for long periods to detect any safety issues. CROs are well positioned to perform these studies on behalf of sponsors. Furthermore, a variety of healthcare databases containing medical and prescribing records can be “data mined” to collect patient data from very large populations in support of on-going safety and efficacy assessments. Again, this sort of data management and biostatistical activity is well performed by CROs.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ICON Strategy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ICON’s mission is to provide flexible, superior quality, global pharmaceutical development services, that enable clients to expedite development, reduce costs and establish the benefits of treatments that enhance people’s lives.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provide these development services to clients on a stand-alone basis or as part of an integrated “full service” solution. Our primary approach is to use dedicated teams to achieve optimum results which we believe enables us to deliver high quality services to our clients. However, we retain the operational flexibility to implement a range of resourcing models to suit client requirements.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strategy is to continue to grow by penetrating further our existing client base and adding new clients within the Phase I-IV outsourced development services market; the aim being to ensure we will be considered by every company for every major Phase I – IV project.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implement our strategy by continuing to deliver high quality services, by increasing our geographic presence, expanding the scale and range of our services and, where appropriate, cross selling these services into clients. As needed we intend to supplement our internal growth with strategic acquisitions.</w:t>
      </w:r>
    </w:p>
    <w:p>
      <w:pPr>
        <w:spacing w:after="0" w:line="208" w:lineRule="exact"/>
        <w:rPr>
          <w:sz w:val="20"/>
          <w:szCs w:val="20"/>
          <w:color w:val="auto"/>
        </w:rPr>
      </w:pPr>
    </w:p>
    <w:p>
      <w:pPr>
        <w:ind w:left="720" w:hanging="451"/>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Deliver High Quality Services and Customer Satisfaction. </w:t>
      </w:r>
      <w:r>
        <w:rPr>
          <w:rFonts w:ascii="Arial" w:cs="Arial" w:eastAsia="Arial" w:hAnsi="Arial"/>
          <w:sz w:val="17"/>
          <w:szCs w:val="17"/>
          <w:color w:val="auto"/>
        </w:rPr>
        <w:t>ICON’s core competency is project management, built up over the</w:t>
      </w:r>
    </w:p>
    <w:p>
      <w:pPr>
        <w:spacing w:after="0" w:line="34" w:lineRule="exact"/>
        <w:rPr>
          <w:rFonts w:ascii="Arial" w:cs="Arial" w:eastAsia="Arial" w:hAnsi="Arial"/>
          <w:sz w:val="17"/>
          <w:szCs w:val="17"/>
          <w:color w:val="auto"/>
        </w:rPr>
      </w:pPr>
    </w:p>
    <w:p>
      <w:pPr>
        <w:ind w:left="720" w:right="240"/>
        <w:spacing w:after="0" w:line="261" w:lineRule="auto"/>
        <w:rPr>
          <w:rFonts w:ascii="Arial" w:cs="Arial" w:eastAsia="Arial" w:hAnsi="Arial"/>
          <w:sz w:val="17"/>
          <w:szCs w:val="17"/>
          <w:color w:val="auto"/>
        </w:rPr>
      </w:pPr>
      <w:r>
        <w:rPr>
          <w:rFonts w:ascii="Arial" w:cs="Arial" w:eastAsia="Arial" w:hAnsi="Arial"/>
          <w:sz w:val="18"/>
          <w:szCs w:val="18"/>
          <w:color w:val="auto"/>
        </w:rPr>
        <w:t>last nineteen years managing complex projects and underpinned by comprehensive and consistent processes which conform to the ISO9001:2000 quality standard.</w:t>
      </w:r>
    </w:p>
    <w:p>
      <w:pPr>
        <w:spacing w:after="0" w:line="210" w:lineRule="exact"/>
        <w:rPr>
          <w:rFonts w:ascii="Arial" w:cs="Arial" w:eastAsia="Arial" w:hAnsi="Arial"/>
          <w:sz w:val="17"/>
          <w:szCs w:val="17"/>
          <w:color w:val="auto"/>
        </w:rPr>
      </w:pPr>
    </w:p>
    <w:p>
      <w:pPr>
        <w:ind w:left="720" w:right="60"/>
        <w:spacing w:after="0" w:line="277" w:lineRule="auto"/>
        <w:rPr>
          <w:rFonts w:ascii="Arial" w:cs="Arial" w:eastAsia="Arial" w:hAnsi="Arial"/>
          <w:sz w:val="17"/>
          <w:szCs w:val="17"/>
          <w:color w:val="auto"/>
        </w:rPr>
      </w:pPr>
      <w:r>
        <w:rPr>
          <w:rFonts w:ascii="Arial" w:cs="Arial" w:eastAsia="Arial" w:hAnsi="Arial"/>
          <w:sz w:val="18"/>
          <w:szCs w:val="18"/>
          <w:color w:val="auto"/>
        </w:rPr>
        <w:t>We have extensive therapeutic and scientific knowledge residing in the organization and the capability to consistently solve the challenges that arise during clinical trials, each of which is the equivalent of a unique scientific study.</w:t>
      </w:r>
    </w:p>
    <w:p>
      <w:pPr>
        <w:spacing w:after="0" w:line="197" w:lineRule="exact"/>
        <w:rPr>
          <w:rFonts w:ascii="Arial" w:cs="Arial" w:eastAsia="Arial" w:hAnsi="Arial"/>
          <w:sz w:val="17"/>
          <w:szCs w:val="17"/>
          <w:color w:val="auto"/>
        </w:rPr>
      </w:pPr>
    </w:p>
    <w:p>
      <w:pPr>
        <w:ind w:left="720" w:right="80"/>
        <w:spacing w:after="0" w:line="264" w:lineRule="auto"/>
        <w:rPr>
          <w:rFonts w:ascii="Arial" w:cs="Arial" w:eastAsia="Arial" w:hAnsi="Arial"/>
          <w:sz w:val="17"/>
          <w:szCs w:val="17"/>
          <w:color w:val="auto"/>
        </w:rPr>
      </w:pPr>
      <w:r>
        <w:rPr>
          <w:rFonts w:ascii="Arial" w:cs="Arial" w:eastAsia="Arial" w:hAnsi="Arial"/>
          <w:sz w:val="18"/>
          <w:szCs w:val="18"/>
          <w:color w:val="auto"/>
        </w:rPr>
        <w:t>We believe our quality processes, extensive experience, customer focus and flexibility allow us to provide consistent high quality, timely and cost effective services. We believe that the resulting customer satisfaction and enhanced reputation in the industry will continue to enable us to penetrate our existing client base and add new clients.</w:t>
      </w:r>
    </w:p>
    <w:p>
      <w:pPr>
        <w:spacing w:after="0" w:line="208" w:lineRule="exact"/>
        <w:rPr>
          <w:rFonts w:ascii="Arial" w:cs="Arial" w:eastAsia="Arial" w:hAnsi="Arial"/>
          <w:sz w:val="17"/>
          <w:szCs w:val="17"/>
          <w:color w:val="auto"/>
        </w:rPr>
      </w:pPr>
    </w:p>
    <w:p>
      <w:pPr>
        <w:ind w:left="720" w:right="40" w:hanging="451"/>
        <w:spacing w:after="0" w:line="273"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Geographic Presence. </w:t>
      </w:r>
      <w:r>
        <w:rPr>
          <w:rFonts w:ascii="Arial" w:cs="Arial" w:eastAsia="Arial" w:hAnsi="Arial"/>
          <w:sz w:val="17"/>
          <w:szCs w:val="17"/>
          <w:color w:val="auto"/>
        </w:rPr>
        <w:t>In a highly fragmented industry, we are one of a small group of organizations with the capability and expertise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and operate from 68 locations in 38 countries and intend to continue expanding in regions that have the potential to increase our client base or increase our investigator and patient populations. We have most recently been expanding our presence in Eastern Europe and Latin America as well as parts of Asia including India and Japan.</w:t>
      </w:r>
    </w:p>
    <w:p>
      <w:pPr>
        <w:spacing w:after="0" w:line="205" w:lineRule="exact"/>
        <w:rPr>
          <w:rFonts w:ascii="Arial" w:cs="Arial" w:eastAsia="Arial" w:hAnsi="Arial"/>
          <w:sz w:val="17"/>
          <w:szCs w:val="17"/>
          <w:color w:val="auto"/>
        </w:rPr>
      </w:pPr>
    </w:p>
    <w:p>
      <w:pPr>
        <w:ind w:left="720" w:right="80" w:hanging="451"/>
        <w:spacing w:after="0" w:line="273"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Scale and Range of Services. </w:t>
      </w:r>
      <w:r>
        <w:rPr>
          <w:rFonts w:ascii="Arial" w:cs="Arial" w:eastAsia="Arial" w:hAnsi="Arial"/>
          <w:sz w:val="17"/>
          <w:szCs w:val="17"/>
          <w:color w:val="auto"/>
        </w:rPr>
        <w:t>We seek to enhance our competitive position by increasing the scale and range of our services. 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 our clinical trials, central laboratory, digital imaging, IVRS (interactive voice response system), data management, statistical and consulting operations in order to capitalize further on the outsourcing opportunities currently available from our clients. The recent high profile withdrawal of several drugs from the market is also placing the spotlight on drug safety which will lead to greater emphasis, by all involved in drug development, on post-marketing safety monitoring. Recent acquisitions have increased our capability in the early phase of clinical development and will enable ICON to offer integrated Phase I/Bioanalyt ical services to clients.</w:t>
      </w:r>
    </w:p>
    <w:p>
      <w:pPr>
        <w:spacing w:after="0" w:line="205" w:lineRule="exact"/>
        <w:rPr>
          <w:rFonts w:ascii="Arial" w:cs="Arial" w:eastAsia="Arial" w:hAnsi="Arial"/>
          <w:sz w:val="17"/>
          <w:szCs w:val="17"/>
          <w:color w:val="auto"/>
        </w:rPr>
      </w:pPr>
    </w:p>
    <w:p>
      <w:pPr>
        <w:ind w:left="720" w:right="360" w:hanging="451"/>
        <w:spacing w:after="0" w:line="30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Cross Sell Services. </w:t>
      </w:r>
      <w:r>
        <w:rPr>
          <w:rFonts w:ascii="Arial" w:cs="Arial" w:eastAsia="Arial" w:hAnsi="Arial"/>
          <w:sz w:val="16"/>
          <w:szCs w:val="16"/>
          <w:color w:val="auto"/>
        </w:rPr>
        <w:t>By building up a full range of development services, ICON can support clients through all stages of their product lifecycle.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signs that certain client segments are looking to rationalize their supply base down to a small number of CROs who can provide this breadth of service. A core part of our business development strategy is to “cross sell” ICON’s service portfolio. By developing and maintaining close relationships with clients, we gain repeat business and achieve lateral penetration of services with the client organization.</w:t>
      </w:r>
    </w:p>
    <w:p>
      <w:pPr>
        <w:spacing w:after="0" w:line="181" w:lineRule="exact"/>
        <w:rPr>
          <w:rFonts w:ascii="Arial" w:cs="Arial" w:eastAsia="Arial" w:hAnsi="Arial"/>
          <w:sz w:val="16"/>
          <w:szCs w:val="16"/>
          <w:color w:val="auto"/>
        </w:rPr>
      </w:pPr>
    </w:p>
    <w:p>
      <w:pPr>
        <w:ind w:left="720" w:right="440" w:hanging="451"/>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acquisitions. </w:t>
      </w:r>
      <w:r>
        <w:rPr>
          <w:rFonts w:ascii="Arial" w:cs="Arial" w:eastAsia="Arial" w:hAnsi="Arial"/>
          <w:sz w:val="18"/>
          <w:szCs w:val="18"/>
          <w:color w:val="auto"/>
        </w:rPr>
        <w:t>Alongside organic growth, we will continue to seek strategic acquisitions that fall within and are complimentary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service lines.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ICON is a global provider of outsourced development services to the pharmaceutical, biotechnology and medical device industries. We specialize in the strategic development, management and analysis of programs that support Clinical Development - from compound selection to Phase I-IV clinical studies.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core Clinical Research business specializes in the planning, management, execution and analysis of Phase I – IV clinical trials, ranging from small studies to complex, multinational projects. Specific clinical research services offered include:</w:t>
      </w:r>
    </w:p>
    <w:p>
      <w:pPr>
        <w:spacing w:after="0" w:line="197" w:lineRule="exact"/>
        <w:rPr>
          <w:sz w:val="20"/>
          <w:szCs w:val="20"/>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23"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IVR (Interactive Voice Response)</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 Patient Reported Outcomes</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Reporting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Staffing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ICON Central Laboratories provides global central laboratory services dedicated exclusively to clinical trials. Specific services offered by ICON Central Laboratories include:</w:t>
      </w:r>
    </w:p>
    <w:p>
      <w:pPr>
        <w:spacing w:after="0" w:line="214" w:lineRule="exact"/>
        <w:rPr>
          <w:sz w:val="20"/>
          <w:szCs w:val="20"/>
          <w:color w:val="auto"/>
        </w:rPr>
      </w:pPr>
    </w:p>
    <w:p>
      <w:pPr>
        <w:ind w:left="720" w:hanging="40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23" w:lineRule="exact"/>
        <w:rPr>
          <w:rFonts w:ascii="Arial" w:cs="Arial" w:eastAsia="Arial" w:hAnsi="Arial"/>
          <w:sz w:val="18"/>
          <w:szCs w:val="18"/>
          <w:color w:val="auto"/>
        </w:rPr>
      </w:pPr>
    </w:p>
    <w:p>
      <w:pPr>
        <w:ind w:left="720" w:hanging="40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9" w:lineRule="exact"/>
        <w:rPr>
          <w:rFonts w:ascii="Arial" w:cs="Arial" w:eastAsia="Arial" w:hAnsi="Arial"/>
          <w:sz w:val="18"/>
          <w:szCs w:val="18"/>
          <w:color w:val="auto"/>
        </w:rPr>
      </w:pPr>
    </w:p>
    <w:p>
      <w:pPr>
        <w:ind w:left="720" w:hanging="40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Biomarker Development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9"/>
        </w:trPr>
        <w:tc>
          <w:tcPr>
            <w:tcW w:w="53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Name</w:t>
            </w:r>
          </w:p>
        </w:tc>
        <w:tc>
          <w:tcPr>
            <w:tcW w:w="3540" w:type="dxa"/>
            <w:vAlign w:val="bottom"/>
          </w:tcPr>
          <w:p>
            <w:pPr>
              <w:ind w:left="780"/>
              <w:spacing w:after="0"/>
              <w:rPr>
                <w:sz w:val="20"/>
                <w:szCs w:val="20"/>
                <w:color w:val="auto"/>
              </w:rPr>
            </w:pPr>
            <w:r>
              <w:rPr>
                <w:rFonts w:ascii="Arial" w:cs="Arial" w:eastAsia="Arial" w:hAnsi="Arial"/>
                <w:sz w:val="18"/>
                <w:szCs w:val="18"/>
                <w:b w:val="1"/>
                <w:bCs w:val="1"/>
                <w:i w:val="1"/>
                <w:iCs w:val="1"/>
                <w:color w:val="auto"/>
              </w:rPr>
              <w:t>Country of incorporation</w:t>
            </w:r>
          </w:p>
        </w:tc>
        <w:tc>
          <w:tcPr>
            <w:tcW w:w="2240" w:type="dxa"/>
            <w:vAlign w:val="bottom"/>
          </w:tcPr>
          <w:p>
            <w:pPr>
              <w:jc w:val="center"/>
              <w:ind w:left="770"/>
              <w:spacing w:after="0"/>
              <w:rPr>
                <w:sz w:val="20"/>
                <w:szCs w:val="20"/>
                <w:color w:val="auto"/>
              </w:rPr>
            </w:pPr>
            <w:r>
              <w:rPr>
                <w:rFonts w:ascii="Arial" w:cs="Arial" w:eastAsia="Arial" w:hAnsi="Arial"/>
                <w:sz w:val="18"/>
                <w:szCs w:val="18"/>
                <w:b w:val="1"/>
                <w:bCs w:val="1"/>
                <w:i w:val="1"/>
                <w:iCs w:val="1"/>
                <w:color w:val="auto"/>
                <w:w w:val="88"/>
              </w:rPr>
              <w:t>Group ownership*</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Republic of Ireland</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Ovation Healthcare Research 2, 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(UK)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United Kingdom</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GmbH</w:t>
            </w:r>
          </w:p>
        </w:tc>
        <w:tc>
          <w:tcPr>
            <w:tcW w:w="3540" w:type="dxa"/>
            <w:vAlign w:val="bottom"/>
          </w:tcPr>
          <w:p>
            <w:pPr>
              <w:ind w:left="780"/>
              <w:spacing w:after="0"/>
              <w:rPr>
                <w:sz w:val="20"/>
                <w:szCs w:val="20"/>
                <w:color w:val="auto"/>
              </w:rPr>
            </w:pPr>
            <w:r>
              <w:rPr>
                <w:rFonts w:ascii="Arial" w:cs="Arial" w:eastAsia="Arial" w:hAnsi="Arial"/>
                <w:sz w:val="18"/>
                <w:szCs w:val="18"/>
                <w:color w:val="auto"/>
              </w:rPr>
              <w:t>Germany</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SARL</w:t>
            </w:r>
          </w:p>
        </w:tc>
        <w:tc>
          <w:tcPr>
            <w:tcW w:w="3540" w:type="dxa"/>
            <w:vAlign w:val="bottom"/>
          </w:tcPr>
          <w:p>
            <w:pPr>
              <w:ind w:left="780"/>
              <w:spacing w:after="0"/>
              <w:rPr>
                <w:sz w:val="20"/>
                <w:szCs w:val="20"/>
                <w:color w:val="auto"/>
              </w:rPr>
            </w:pPr>
            <w:r>
              <w:rPr>
                <w:rFonts w:ascii="Arial" w:cs="Arial" w:eastAsia="Arial" w:hAnsi="Arial"/>
                <w:sz w:val="18"/>
                <w:szCs w:val="18"/>
                <w:color w:val="auto"/>
              </w:rPr>
              <w:t>France</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Israel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Israel</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Espana S.L.</w:t>
            </w:r>
          </w:p>
        </w:tc>
        <w:tc>
          <w:tcPr>
            <w:tcW w:w="3540" w:type="dxa"/>
            <w:vAlign w:val="bottom"/>
          </w:tcPr>
          <w:p>
            <w:pPr>
              <w:ind w:left="780"/>
              <w:spacing w:after="0"/>
              <w:rPr>
                <w:sz w:val="20"/>
                <w:szCs w:val="20"/>
                <w:color w:val="auto"/>
              </w:rPr>
            </w:pPr>
            <w:r>
              <w:rPr>
                <w:rFonts w:ascii="Arial" w:cs="Arial" w:eastAsia="Arial" w:hAnsi="Arial"/>
                <w:sz w:val="18"/>
                <w:szCs w:val="18"/>
                <w:color w:val="auto"/>
              </w:rPr>
              <w:t>Spain</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Kft</w:t>
            </w:r>
          </w:p>
        </w:tc>
        <w:tc>
          <w:tcPr>
            <w:tcW w:w="3540" w:type="dxa"/>
            <w:vAlign w:val="bottom"/>
          </w:tcPr>
          <w:p>
            <w:pPr>
              <w:ind w:left="780"/>
              <w:spacing w:after="0"/>
              <w:rPr>
                <w:sz w:val="20"/>
                <w:szCs w:val="20"/>
                <w:color w:val="auto"/>
              </w:rPr>
            </w:pPr>
            <w:r>
              <w:rPr>
                <w:rFonts w:ascii="Arial" w:cs="Arial" w:eastAsia="Arial" w:hAnsi="Arial"/>
                <w:sz w:val="18"/>
                <w:szCs w:val="18"/>
                <w:color w:val="auto"/>
              </w:rPr>
              <w:t>Hungary</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S.R.L.</w:t>
            </w:r>
          </w:p>
        </w:tc>
        <w:tc>
          <w:tcPr>
            <w:tcW w:w="3540" w:type="dxa"/>
            <w:vAlign w:val="bottom"/>
          </w:tcPr>
          <w:p>
            <w:pPr>
              <w:ind w:left="780"/>
              <w:spacing w:after="0"/>
              <w:rPr>
                <w:sz w:val="20"/>
                <w:szCs w:val="20"/>
                <w:color w:val="auto"/>
              </w:rPr>
            </w:pPr>
            <w:r>
              <w:rPr>
                <w:rFonts w:ascii="Arial" w:cs="Arial" w:eastAsia="Arial" w:hAnsi="Arial"/>
                <w:sz w:val="18"/>
                <w:szCs w:val="18"/>
                <w:color w:val="auto"/>
              </w:rPr>
              <w:t>Romania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LLC</w:t>
            </w:r>
          </w:p>
        </w:tc>
        <w:tc>
          <w:tcPr>
            <w:tcW w:w="3540" w:type="dxa"/>
            <w:vAlign w:val="bottom"/>
          </w:tcPr>
          <w:p>
            <w:pPr>
              <w:ind w:left="780"/>
              <w:spacing w:after="0"/>
              <w:rPr>
                <w:sz w:val="20"/>
                <w:szCs w:val="20"/>
                <w:color w:val="auto"/>
              </w:rPr>
            </w:pPr>
            <w:r>
              <w:rPr>
                <w:rFonts w:ascii="Arial" w:cs="Arial" w:eastAsia="Arial" w:hAnsi="Arial"/>
                <w:sz w:val="18"/>
                <w:szCs w:val="18"/>
                <w:color w:val="auto"/>
              </w:rPr>
              <w:t>Ukraine</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Holdings</w:t>
            </w:r>
          </w:p>
        </w:tc>
        <w:tc>
          <w:tcPr>
            <w:tcW w:w="3540" w:type="dxa"/>
            <w:vAlign w:val="bottom"/>
          </w:tcPr>
          <w:p>
            <w:pPr>
              <w:ind w:left="780"/>
              <w:spacing w:after="0"/>
              <w:rPr>
                <w:sz w:val="20"/>
                <w:szCs w:val="20"/>
                <w:color w:val="auto"/>
              </w:rPr>
            </w:pPr>
            <w:r>
              <w:rPr>
                <w:rFonts w:ascii="Arial" w:cs="Arial" w:eastAsia="Arial" w:hAnsi="Arial"/>
                <w:sz w:val="18"/>
                <w:szCs w:val="18"/>
                <w:color w:val="auto"/>
              </w:rPr>
              <w:t>Republic of Ireland</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Holdings Clinical Research International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Republic of Ireland</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S.R.O.</w:t>
            </w:r>
          </w:p>
        </w:tc>
        <w:tc>
          <w:tcPr>
            <w:tcW w:w="3540" w:type="dxa"/>
            <w:vAlign w:val="bottom"/>
          </w:tcPr>
          <w:p>
            <w:pPr>
              <w:ind w:left="780"/>
              <w:spacing w:after="0"/>
              <w:rPr>
                <w:sz w:val="20"/>
                <w:szCs w:val="20"/>
                <w:color w:val="auto"/>
              </w:rPr>
            </w:pPr>
            <w:r>
              <w:rPr>
                <w:rFonts w:ascii="Arial" w:cs="Arial" w:eastAsia="Arial" w:hAnsi="Arial"/>
                <w:sz w:val="18"/>
                <w:szCs w:val="18"/>
                <w:color w:val="auto"/>
              </w:rPr>
              <w:t>Czech Republic</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(Canada) Inc.</w:t>
            </w:r>
          </w:p>
        </w:tc>
        <w:tc>
          <w:tcPr>
            <w:tcW w:w="3540" w:type="dxa"/>
            <w:vAlign w:val="bottom"/>
          </w:tcPr>
          <w:p>
            <w:pPr>
              <w:ind w:left="780"/>
              <w:spacing w:after="0"/>
              <w:rPr>
                <w:sz w:val="20"/>
                <w:szCs w:val="20"/>
                <w:color w:val="auto"/>
              </w:rPr>
            </w:pPr>
            <w:r>
              <w:rPr>
                <w:rFonts w:ascii="Arial" w:cs="Arial" w:eastAsia="Arial" w:hAnsi="Arial"/>
                <w:sz w:val="18"/>
                <w:szCs w:val="18"/>
                <w:color w:val="auto"/>
              </w:rPr>
              <w:t>Canada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Pty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Australia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(New Zealand)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New Zealand</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Japan K.K.</w:t>
            </w:r>
          </w:p>
        </w:tc>
        <w:tc>
          <w:tcPr>
            <w:tcW w:w="3540" w:type="dxa"/>
            <w:vAlign w:val="bottom"/>
          </w:tcPr>
          <w:p>
            <w:pPr>
              <w:ind w:left="780"/>
              <w:spacing w:after="0"/>
              <w:rPr>
                <w:sz w:val="20"/>
                <w:szCs w:val="20"/>
                <w:color w:val="auto"/>
              </w:rPr>
            </w:pPr>
            <w:r>
              <w:rPr>
                <w:rFonts w:ascii="Arial" w:cs="Arial" w:eastAsia="Arial" w:hAnsi="Arial"/>
                <w:sz w:val="18"/>
                <w:szCs w:val="18"/>
                <w:color w:val="auto"/>
              </w:rPr>
              <w:t>Japan</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Pte.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Singapore</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Korea Yuhan Hoesa</w:t>
            </w:r>
          </w:p>
        </w:tc>
        <w:tc>
          <w:tcPr>
            <w:tcW w:w="3540" w:type="dxa"/>
            <w:vAlign w:val="bottom"/>
          </w:tcPr>
          <w:p>
            <w:pPr>
              <w:ind w:left="780"/>
              <w:spacing w:after="0"/>
              <w:rPr>
                <w:sz w:val="20"/>
                <w:szCs w:val="20"/>
                <w:color w:val="auto"/>
              </w:rPr>
            </w:pPr>
            <w:r>
              <w:rPr>
                <w:rFonts w:ascii="Arial" w:cs="Arial" w:eastAsia="Arial" w:hAnsi="Arial"/>
                <w:sz w:val="18"/>
                <w:szCs w:val="18"/>
                <w:color w:val="auto"/>
              </w:rPr>
              <w:t>Korea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India Private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India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S.A.</w:t>
            </w:r>
          </w:p>
        </w:tc>
        <w:tc>
          <w:tcPr>
            <w:tcW w:w="3540" w:type="dxa"/>
            <w:vAlign w:val="bottom"/>
          </w:tcPr>
          <w:p>
            <w:pPr>
              <w:ind w:left="780"/>
              <w:spacing w:after="0"/>
              <w:rPr>
                <w:sz w:val="20"/>
                <w:szCs w:val="20"/>
                <w:color w:val="auto"/>
              </w:rPr>
            </w:pPr>
            <w:r>
              <w:rPr>
                <w:rFonts w:ascii="Arial" w:cs="Arial" w:eastAsia="Arial" w:hAnsi="Arial"/>
                <w:sz w:val="18"/>
                <w:szCs w:val="18"/>
                <w:color w:val="auto"/>
              </w:rPr>
              <w:t>Argentina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Pesquisas Clinicas LTDA</w:t>
            </w:r>
          </w:p>
        </w:tc>
        <w:tc>
          <w:tcPr>
            <w:tcW w:w="3540" w:type="dxa"/>
            <w:vAlign w:val="bottom"/>
          </w:tcPr>
          <w:p>
            <w:pPr>
              <w:ind w:left="780"/>
              <w:spacing w:after="0"/>
              <w:rPr>
                <w:sz w:val="20"/>
                <w:szCs w:val="20"/>
                <w:color w:val="auto"/>
              </w:rPr>
            </w:pPr>
            <w:r>
              <w:rPr>
                <w:rFonts w:ascii="Arial" w:cs="Arial" w:eastAsia="Arial" w:hAnsi="Arial"/>
                <w:sz w:val="18"/>
                <w:szCs w:val="18"/>
                <w:color w:val="auto"/>
              </w:rPr>
              <w:t>Brazil</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México, S.A. de C.V.</w:t>
            </w:r>
          </w:p>
        </w:tc>
        <w:tc>
          <w:tcPr>
            <w:tcW w:w="3540" w:type="dxa"/>
            <w:vAlign w:val="bottom"/>
          </w:tcPr>
          <w:p>
            <w:pPr>
              <w:ind w:left="780"/>
              <w:spacing w:after="0"/>
              <w:rPr>
                <w:sz w:val="20"/>
                <w:szCs w:val="20"/>
                <w:color w:val="auto"/>
              </w:rPr>
            </w:pPr>
            <w:r>
              <w:rPr>
                <w:rFonts w:ascii="Arial" w:cs="Arial" w:eastAsia="Arial" w:hAnsi="Arial"/>
                <w:sz w:val="18"/>
                <w:szCs w:val="18"/>
                <w:color w:val="auto"/>
              </w:rPr>
              <w:t>Mexico</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Chile Limitada</w:t>
            </w:r>
          </w:p>
        </w:tc>
        <w:tc>
          <w:tcPr>
            <w:tcW w:w="3540" w:type="dxa"/>
            <w:vAlign w:val="bottom"/>
          </w:tcPr>
          <w:p>
            <w:pPr>
              <w:ind w:left="780"/>
              <w:spacing w:after="0"/>
              <w:rPr>
                <w:sz w:val="20"/>
                <w:szCs w:val="20"/>
                <w:color w:val="auto"/>
              </w:rPr>
            </w:pPr>
            <w:r>
              <w:rPr>
                <w:rFonts w:ascii="Arial" w:cs="Arial" w:eastAsia="Arial" w:hAnsi="Arial"/>
                <w:sz w:val="18"/>
                <w:szCs w:val="18"/>
                <w:color w:val="auto"/>
              </w:rPr>
              <w:t>Chile</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Peru SA</w:t>
            </w:r>
          </w:p>
        </w:tc>
        <w:tc>
          <w:tcPr>
            <w:tcW w:w="3540" w:type="dxa"/>
            <w:vAlign w:val="bottom"/>
          </w:tcPr>
          <w:p>
            <w:pPr>
              <w:ind w:left="780"/>
              <w:spacing w:after="0"/>
              <w:rPr>
                <w:sz w:val="20"/>
                <w:szCs w:val="20"/>
                <w:color w:val="auto"/>
              </w:rPr>
            </w:pPr>
            <w:r>
              <w:rPr>
                <w:rFonts w:ascii="Arial" w:cs="Arial" w:eastAsia="Arial" w:hAnsi="Arial"/>
                <w:sz w:val="18"/>
                <w:szCs w:val="18"/>
                <w:color w:val="auto"/>
              </w:rPr>
              <w:t>Peru</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Clinical Research Sucursal Colombia</w:t>
            </w:r>
          </w:p>
        </w:tc>
        <w:tc>
          <w:tcPr>
            <w:tcW w:w="3540" w:type="dxa"/>
            <w:vAlign w:val="bottom"/>
          </w:tcPr>
          <w:p>
            <w:pPr>
              <w:ind w:left="780"/>
              <w:spacing w:after="0"/>
              <w:rPr>
                <w:sz w:val="20"/>
                <w:szCs w:val="20"/>
                <w:color w:val="auto"/>
              </w:rPr>
            </w:pPr>
            <w:r>
              <w:rPr>
                <w:rFonts w:ascii="Arial" w:cs="Arial" w:eastAsia="Arial" w:hAnsi="Arial"/>
                <w:sz w:val="18"/>
                <w:szCs w:val="18"/>
                <w:color w:val="auto"/>
              </w:rPr>
              <w:t>Colombia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Development Solutions Limited</w:t>
            </w:r>
          </w:p>
        </w:tc>
        <w:tc>
          <w:tcPr>
            <w:tcW w:w="3540" w:type="dxa"/>
            <w:vAlign w:val="bottom"/>
          </w:tcPr>
          <w:p>
            <w:pPr>
              <w:ind w:left="780"/>
              <w:spacing w:after="0"/>
              <w:rPr>
                <w:sz w:val="20"/>
                <w:szCs w:val="20"/>
                <w:color w:val="auto"/>
              </w:rPr>
            </w:pPr>
            <w:r>
              <w:rPr>
                <w:rFonts w:ascii="Arial" w:cs="Arial" w:eastAsia="Arial" w:hAnsi="Arial"/>
                <w:sz w:val="18"/>
                <w:szCs w:val="18"/>
                <w:color w:val="auto"/>
              </w:rPr>
              <w:t>UK</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Contracting Solutions,Inc.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DOCS International BV</w:t>
            </w:r>
          </w:p>
        </w:tc>
        <w:tc>
          <w:tcPr>
            <w:tcW w:w="3540" w:type="dxa"/>
            <w:vAlign w:val="bottom"/>
          </w:tcPr>
          <w:p>
            <w:pPr>
              <w:ind w:left="780"/>
              <w:spacing w:after="0"/>
              <w:rPr>
                <w:sz w:val="20"/>
                <w:szCs w:val="20"/>
                <w:color w:val="auto"/>
              </w:rPr>
            </w:pPr>
            <w:r>
              <w:rPr>
                <w:rFonts w:ascii="Arial" w:cs="Arial" w:eastAsia="Arial" w:hAnsi="Arial"/>
                <w:sz w:val="18"/>
                <w:szCs w:val="18"/>
                <w:color w:val="auto"/>
              </w:rPr>
              <w:t>Netherlands</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Development Solutions 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ICON Central Laboratories 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Beacon Bioscience, 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Healthcare Discoveries 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r>
        <w:trPr>
          <w:trHeight w:val="432"/>
        </w:trPr>
        <w:tc>
          <w:tcPr>
            <w:tcW w:w="5300" w:type="dxa"/>
            <w:vAlign w:val="bottom"/>
          </w:tcPr>
          <w:p>
            <w:pPr>
              <w:ind w:left="480"/>
              <w:spacing w:after="0"/>
              <w:rPr>
                <w:sz w:val="20"/>
                <w:szCs w:val="20"/>
                <w:color w:val="auto"/>
              </w:rPr>
            </w:pPr>
            <w:r>
              <w:rPr>
                <w:rFonts w:ascii="Arial" w:cs="Arial" w:eastAsia="Arial" w:hAnsi="Arial"/>
                <w:sz w:val="18"/>
                <w:szCs w:val="18"/>
                <w:color w:val="auto"/>
              </w:rPr>
              <w:t>Prevalere Life Sciences Inc</w:t>
            </w:r>
          </w:p>
        </w:tc>
        <w:tc>
          <w:tcPr>
            <w:tcW w:w="3540" w:type="dxa"/>
            <w:vAlign w:val="bottom"/>
          </w:tcPr>
          <w:p>
            <w:pPr>
              <w:ind w:left="780"/>
              <w:spacing w:after="0"/>
              <w:rPr>
                <w:sz w:val="20"/>
                <w:szCs w:val="20"/>
                <w:color w:val="auto"/>
              </w:rPr>
            </w:pPr>
            <w:r>
              <w:rPr>
                <w:rFonts w:ascii="Arial" w:cs="Arial" w:eastAsia="Arial" w:hAnsi="Arial"/>
                <w:sz w:val="18"/>
                <w:szCs w:val="18"/>
                <w:color w:val="auto"/>
              </w:rPr>
              <w:t>USA</w:t>
            </w:r>
          </w:p>
        </w:tc>
        <w:tc>
          <w:tcPr>
            <w:tcW w:w="2240" w:type="dxa"/>
            <w:vAlign w:val="bottom"/>
          </w:tcPr>
          <w:p>
            <w:pPr>
              <w:jc w:val="center"/>
              <w:ind w:left="77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080"/>
          </w:cols>
          <w:pgMar w:left="240" w:top="607" w:right="57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All shareholdings comprise ordinary shares.</w:t>
      </w:r>
    </w:p>
    <w:p>
      <w:pPr>
        <w:spacing w:after="0" w:line="200" w:lineRule="exact"/>
        <w:rPr>
          <w:sz w:val="20"/>
          <w:szCs w:val="20"/>
          <w:color w:val="auto"/>
        </w:rPr>
      </w:pPr>
    </w:p>
    <w:p>
      <w:pPr>
        <w:spacing w:after="0" w:line="29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Description of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lease all but one of our facilities under operating leases.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on approximately four and a half acres. In July 2008 we completed an expansion of this facility, extending the facility by approximately 12,900 square meters to approximately 15,800 meters.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maintain three offices in New York, two offices in each of the following US cities: Philadelphia, Chicago and San Antonio, and one office in each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US cities: San Francisco, Nashville, Wilmington, Raleigh, Baltimore, San Diego, Omaha and Houston.</w:t>
      </w:r>
    </w:p>
    <w:p>
      <w:pPr>
        <w:spacing w:after="0" w:line="2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European operations maintain two offices in Amsterdam, Frankfurt and Stockholm and one office in each of the following cities: Southampton, Cambridge, Marlow, Manchester, Edinburgh, Munich, Helsinki, Milan, Barcelona, Riga, Budapest, Vilinius, Prague, Kiev, Bucharest, Moscow, Novosibirsk, Tel Aviv, Paris, Warsaw, and Madrid.</w:t>
      </w:r>
    </w:p>
    <w:p>
      <w:pPr>
        <w:spacing w:after="0" w:line="20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Rest of World operations maintain two offices in Singapore and Banglagore and one office in each of the following cities: Auckland, Sydney, Tokyo, Osaka, Seoul, Beijing, Taipei, Hong Kong, Bangkok, Chennai, New Dehli, Johannesburg, Montreal, Mexico City, Sao Paolo, Lima, Buenos Aires, Bogota and Santiago.</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information technology strategy is built around deploying IT systems to enable the delivery of our business services in a global environment. The focus is to provide ease of access to information for our staff and clients globally. Our current information systems are built on open standards and leading commercial business applications from vendors including Microsoft, Oracle, EMC, BEA, Phase Forward and Medidata. IT expenditure is authorized by strict IT Governance policies requiring senior level approval of all strategic IT expenditure. All critical business systems are formally delivered following a structured project management and systems delivery life cycle approach. Critical clinical information systems, which manage clinical data, are validated in accordance with FDA regulations and those of other equivalent regulatory bodie s throughout the world.</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trials activities. These software applications are both internally developed and commercially available applications from leading vendors in the industry. These include a clinical trials management application that tracks all relevant data in a trial and automates all management and reporting processes. In our Data Management function, we have deployed leading clinical data management solutions including Electronic Data Capture (EDC) solutions from leading industry vendors. Our state of the art workflow technology allows us to process clinical trials data seamlessly throughout the Company. We have also developed an interactive voice response system to increase the efficiency of clinical trials. This syste m provides features such as centralized patient randomization, drug inventory management, patient diary collection and provides our clients with a fully flexible data retrieval solution which can be utilized via telephone, internet browser or a WAP enabled device. In our central laboratory, we utilize a comprehensive suite of software, including a laboratory information management system (LIMS), a kit/sample management system and a web interface system to allow clients to review results online.</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Recognizing that each client has its own requirements and systems, we seek to ensure an entirely flexible approach to client needs. An example of this flexibility is in the provision of portal solutions that allows clients access to study related information via a secure web based environment. We also provide secure remote access to client systems for clients who require us to utilize their internal platforms.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the Company’s global finance operations utilize the Oracle ebusiness suite to serve the organizations financial and project accounting requirements.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ICON’s strategy of using technology to enhance our global processes can be seen from our deployment of a global SOP Document Management system and a WEB based training delivery solution.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IT systems are operated from two centralized hubs in Philadelphia and Dublin. Other offices are linked to these hubs through a resilient network that is managed by a tier one global telecommunications provider. Traveling staff can also access all systems via secure remote access facilities. A global corporate intranet portal provides access to all authorized data and applications for our internal staff as well as providing an internal platform for company wide communication.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global sales and marketing strategy is to focus our business development efforts on pharmaceutical, biotechnology and medical device companies whose development projects are advancing. By developing and maintaining close relationships with our clients, we gain repeat business, can leverage a full service portfolio and achieve lateral penetration into other therapeutic indications where applicable. Simultaneously, we are actively establishing new client relationships.</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While our sales and marketing activities are carried out locally by executives in each of the major locations, the sales and marketing process is coordinated centrally to ensure a consistent and differentiated market positioning for ICON and ongoing development of the ICON brand. In addition, all our business development professionals, senior executives and project team leaders share responsibility for the maintenance of key client relationships and business development activities.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Contractual Arrangements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generally awarded contracts based upon our response to requests for proposals received from pharmaceutical, biotechnology and medical device industries.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are earned from contracts which are either fixed price or units-based, based on certain activities and performance specifications. Payment terms usually provide either for payments based on the achievement of certain identified milestones or units delivered or monthly payments according to a fixed payment schedule over the life of the contract. Where clients request changes in the scope of a trial or in the services to be provided by us, a change order or amendment is issued often resulting in additional revenues for us. We also contract on a “fee-for-service,” or “time and materials” basis, but this accounts for a small portion of overall project activities.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 terms may range from several weeks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negotiation if changes in the relative value of those currencies exceed predetermined tolerances.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year ended December 31, 2009, revenue was earned from over 650 clients, including all of the top 20 pharmaceutical companies as ranked by 2008 global revenues.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major projects or clients. During the years ended December 31, 2009, December 31, 2008 and December 31, 2007, 27%, 29% and 30% respectively of our net revenues were derived from our top five clients. No one client contributed more that 10% of net revenues during the years ended December 31, 2009, December 31, 2008 and December 31, 2007. We believe that the importance of certain clients reflects our success in penetrating our client base. The loss of, or a significant decrease in business from one or more of these key clients could result in a material adverse effect.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backlog consists of potential net revenue yet to be earned from projects awarded by clients.</w:t>
      </w:r>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December 31, 2009, we had a backlog of approximately $1.8 billion, compared with approximately $1.7 billion at December 31, 2008.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and patients, the ability to integrate information technology with systems to improve the efficiency of contract resear ch, an international presence with strategically located facilities, financial viability, medical and scientific expertise in specific therapeutic areas and price. We believe that we compete favorably in these areas. Our principal CRO competitors are Covance Inc., i3 Research (United Health Group Incorporated), Kendle International Inc., Omnicare Inc., PAREXEL International Corporation, Pharmaceutical Product Development Inc., PharmaNet Development Group Inc., PRA International Inc. and Quintiles Transnational Corporation. The trend toward CRO industry consolidation has resulted in heightened competition among the larger CROs for clients and acquisition candidates.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w:t>
      </w:r>
    </w:p>
    <w:p>
      <w:pPr>
        <w:spacing w:after="0" w:line="2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w:t>
      </w:r>
    </w:p>
    <w:p>
      <w:pPr>
        <w:spacing w:after="0" w:line="2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 during audits.</w:t>
      </w:r>
    </w:p>
    <w:p>
      <w:pPr>
        <w:spacing w:after="0" w:line="19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including the Medicines Control Agency in the United Kingdom and the Bundesinstitut für Arzneimittel und Medizinprodukte in Germany. In addition, our activities in Europe are affected by the European Medicines Evaluation Agency, which is based in London, England.</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must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December 2009, ICON received a warning letter from the U.S. Food and Drug Administration (FDA) regarding clinical study management services provided by the company to one of its clients in relation to two studies conducted between 2004 and 2006. These studies related to the development of an antibiotic for the treatment of complicated skin and skin-structure infections. The FDA letter arises from its inspections of the company’s client and selected clinical sites and follows a similar letter issued to that client. ICON submitted a response to the FDA on January 13, 2010. ICON is committed to working cooperatively and expeditiously with the FDA to address the matters raised in the letter. ICON is unable to predict at this time the financial consequences, if any, of the issues raised by t he letter.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From time to time, we are asked to act as the legal representative of a client in certain jurisdictions where the client does not itself have a legal entity but where legislation requires it to do so. As we believe that acting as legal representative of clients might expose us to a higher risk of liability, there is an entity within the ICON Group designated to provide this service in relevant jurisdictions subject to certain preconditions being met. The preconditions relate to obtaining protections such as specific insurance and indemnities from the client to cover the nature of the exposure.</w:t>
      </w:r>
    </w:p>
    <w:p>
      <w:pPr>
        <w:spacing w:after="0" w:line="19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 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preferred approach is to use dedicated teams to achieve optimum results, but we can implement a range of resourcing models to suit client requirements, and increasingly our teams are flexibly applied to minimize costs for our clients.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 highly fragmented industry, we are one of a small number of companies with the capability and expertise to conduct clinical trials in all major therapeutic areas on a global basis. Currently, we have 7,170 employees, in 68 locations in 38 countries, providing Phase I - IV Clinical Trial Management, Drug Development Support Services, Data Management, Biostatistics, Central Laboratory, Imaging and Contract Staffing services.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 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2009, we had a backlog of approximately $1.8 billion, compared with approximately $1.7 billion at December 31, 2008.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We have 17 operations operating in U.S. dollars, 11 trading in Euros, 5 in pounds Sterling, 4 in Indian Rupee, 2 each in Russian Rouble, Japanese Yen, Swedish Krona and Singapore dollars and 1 each in Polish Zloty, Israeli New Shekels, Latvian Lats, Hungarian Forint, Czech Koruna, Ukraine Hryvnia, Romanian New Leu, Lithuanian Litas, South African Rand, Australian dollars, Hong Kong dollar, Taiwan dollar, South Korean Won, Thai Baht, Chinese Yuan Renminbi, New Zealand dollars, Argentine Peso, Mexican Peso, Brazilian Real, Chilean Peso, Colombian Peso, Peruvian Neuvo Sol, and Canad ian dollar.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when appropriate, hedge a portion of these, using forward exchange contracts, where they are not covered by natural hedges. In addition, we usually negotiate currency fluctuation clauses in our contracts which allow for price negotiation if changes in the relative value of those currencies exceed predetermined tolerances.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020" w:type="dxa"/>
            <w:vAlign w:val="bottom"/>
          </w:tcPr>
          <w:p>
            <w:pPr>
              <w:jc w:val="right"/>
              <w:ind w:right="150"/>
              <w:spacing w:after="0"/>
              <w:rPr>
                <w:sz w:val="20"/>
                <w:szCs w:val="20"/>
                <w:color w:val="auto"/>
              </w:rPr>
            </w:pPr>
            <w:r>
              <w:rPr>
                <w:rFonts w:ascii="Arial" w:cs="Arial" w:eastAsia="Arial" w:hAnsi="Arial"/>
                <w:sz w:val="18"/>
                <w:szCs w:val="18"/>
                <w:b w:val="1"/>
                <w:bCs w:val="1"/>
                <w:color w:val="auto"/>
              </w:rPr>
              <w:t>Jan 1, 2008 to</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Jan 1, 2009 to</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Jan 1, 2008 to</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Jan 1, 2009 to</w:t>
            </w:r>
          </w:p>
        </w:tc>
      </w:tr>
      <w:tr>
        <w:trPr>
          <w:trHeight w:val="216"/>
        </w:trPr>
        <w:tc>
          <w:tcPr>
            <w:tcW w:w="4260" w:type="dxa"/>
            <w:vAlign w:val="bottom"/>
          </w:tcPr>
          <w:p>
            <w:pPr>
              <w:spacing w:after="0"/>
              <w:rPr>
                <w:sz w:val="18"/>
                <w:szCs w:val="18"/>
                <w:color w:val="auto"/>
              </w:rPr>
            </w:pPr>
          </w:p>
        </w:tc>
        <w:tc>
          <w:tcPr>
            <w:tcW w:w="30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 31,2008</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Dec 31, 2009</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 31, 2008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Dec 31, 2009</w:t>
            </w:r>
          </w:p>
        </w:tc>
      </w:tr>
      <w:tr>
        <w:trPr>
          <w:trHeight w:val="234"/>
        </w:trPr>
        <w:tc>
          <w:tcPr>
            <w:tcW w:w="4260" w:type="dxa"/>
            <w:vAlign w:val="bottom"/>
          </w:tcPr>
          <w:p>
            <w:pPr>
              <w:spacing w:after="0"/>
              <w:rPr>
                <w:sz w:val="20"/>
                <w:szCs w:val="20"/>
                <w:color w:val="auto"/>
              </w:rPr>
            </w:pPr>
          </w:p>
        </w:tc>
        <w:tc>
          <w:tcPr>
            <w:tcW w:w="44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Percentage of Net Revenue</w:t>
            </w:r>
          </w:p>
        </w:tc>
        <w:tc>
          <w:tcPr>
            <w:tcW w:w="27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1"/>
              </w:rPr>
              <w:t>Percentage Increase/(Decrease)</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Net revenue</w:t>
            </w:r>
          </w:p>
        </w:tc>
        <w:tc>
          <w:tcPr>
            <w:tcW w:w="302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37.2%</w:t>
            </w:r>
          </w:p>
        </w:tc>
        <w:tc>
          <w:tcPr>
            <w:tcW w:w="12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418"/>
        </w:trPr>
        <w:tc>
          <w:tcPr>
            <w:tcW w:w="4260" w:type="dxa"/>
            <w:vAlign w:val="bottom"/>
          </w:tcPr>
          <w:p>
            <w:pPr>
              <w:spacing w:after="0"/>
              <w:rPr>
                <w:sz w:val="20"/>
                <w:szCs w:val="20"/>
                <w:color w:val="auto"/>
              </w:rPr>
            </w:pPr>
            <w:r>
              <w:rPr>
                <w:rFonts w:ascii="Arial" w:cs="Arial" w:eastAsia="Arial" w:hAnsi="Arial"/>
                <w:sz w:val="18"/>
                <w:szCs w:val="18"/>
                <w:color w:val="auto"/>
              </w:rPr>
              <w:t>Costs and expenses:</w:t>
            </w:r>
          </w:p>
        </w:tc>
        <w:tc>
          <w:tcPr>
            <w:tcW w:w="3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Direct costs</w:t>
            </w:r>
          </w:p>
        </w:tc>
        <w:tc>
          <w:tcPr>
            <w:tcW w:w="3020" w:type="dxa"/>
            <w:vAlign w:val="bottom"/>
          </w:tcPr>
          <w:p>
            <w:pPr>
              <w:jc w:val="right"/>
              <w:ind w:right="150"/>
              <w:spacing w:after="0"/>
              <w:rPr>
                <w:sz w:val="20"/>
                <w:szCs w:val="20"/>
                <w:color w:val="auto"/>
              </w:rPr>
            </w:pPr>
            <w:r>
              <w:rPr>
                <w:rFonts w:ascii="Arial" w:cs="Arial" w:eastAsia="Arial" w:hAnsi="Arial"/>
                <w:sz w:val="18"/>
                <w:szCs w:val="18"/>
                <w:color w:val="auto"/>
              </w:rPr>
              <w:t>56.5%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38.0%</w:t>
            </w:r>
          </w:p>
        </w:tc>
        <w:tc>
          <w:tcPr>
            <w:tcW w:w="12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20" w:type="dxa"/>
            <w:vAlign w:val="bottom"/>
          </w:tcPr>
          <w:p>
            <w:pPr>
              <w:jc w:val="right"/>
              <w:ind w:right="150"/>
              <w:spacing w:after="0"/>
              <w:rPr>
                <w:sz w:val="20"/>
                <w:szCs w:val="20"/>
                <w:color w:val="auto"/>
              </w:rPr>
            </w:pPr>
            <w:r>
              <w:rPr>
                <w:rFonts w:ascii="Arial" w:cs="Arial" w:eastAsia="Arial" w:hAnsi="Arial"/>
                <w:sz w:val="18"/>
                <w:szCs w:val="18"/>
                <w:color w:val="auto"/>
              </w:rPr>
              <w:t>28.8%</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32.3%</w:t>
            </w: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2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45.9%</w:t>
            </w:r>
          </w:p>
        </w:tc>
        <w:tc>
          <w:tcPr>
            <w:tcW w:w="1260" w:type="dxa"/>
            <w:vAlign w:val="bottom"/>
          </w:tcPr>
          <w:p>
            <w:pPr>
              <w:jc w:val="right"/>
              <w:spacing w:after="0"/>
              <w:rPr>
                <w:sz w:val="20"/>
                <w:szCs w:val="20"/>
                <w:color w:val="auto"/>
              </w:rPr>
            </w:pPr>
            <w:r>
              <w:rPr>
                <w:rFonts w:ascii="Arial" w:cs="Arial" w:eastAsia="Arial" w:hAnsi="Arial"/>
                <w:sz w:val="18"/>
                <w:szCs w:val="18"/>
                <w:color w:val="auto"/>
              </w:rPr>
              <w:t>17.8 %</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One-time net charges</w:t>
            </w:r>
          </w:p>
        </w:tc>
        <w:tc>
          <w:tcPr>
            <w:tcW w:w="3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2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43.7%</w:t>
            </w:r>
          </w:p>
        </w:tc>
        <w:tc>
          <w:tcPr>
            <w:tcW w:w="1260" w:type="dxa"/>
            <w:vAlign w:val="bottom"/>
          </w:tcPr>
          <w:p>
            <w:pPr>
              <w:jc w:val="right"/>
              <w:spacing w:after="0"/>
              <w:rPr>
                <w:sz w:val="20"/>
                <w:szCs w:val="20"/>
                <w:color w:val="auto"/>
              </w:rPr>
            </w:pPr>
            <w:r>
              <w:rPr>
                <w:rFonts w:ascii="Arial" w:cs="Arial" w:eastAsia="Arial" w:hAnsi="Arial"/>
                <w:sz w:val="18"/>
                <w:szCs w:val="18"/>
                <w:color w:val="auto"/>
              </w:rPr>
              <w:t>8.0 %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 compared to year ended December 31, 2008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for the year increased by $22.4 million, or 2.6%, from $865.2 million for the year ended December 31, 2008 to $887.6 million for the year ended December 31, 2009. For the year ended December 31, 2009, we derived approximately 46.0%, 45.4% and 8.6% of our net revenue in the United States, Europe and Rest of World, respectively. The rate of increase in net revenue has reduced over prior periods as a result of the global economic downturn, its impact on market confidence and the availability of funding for drug development.</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year increased by $18.6 million, or 3.8%, from $489.2 million for the year ended December 31, 2008 to $507.8 million for the year ended December 31, 2009. Direct costs consist primarily of compensation, associated fringe benefits and share based compensation expense for project-related employees and other direct project driven costs. This increase was primarily due to increased salary and related costs of $15.7 million for project related employees, increased laboratory expenses of $1.6 million and an increase in other direct project related costs of $6.5 million. These increases were offset by a reduction in travel costs for project related employees of $5.2 million. Direct costs as a percentage of net revenue increased to 57.2% in the year ended December 31, 2009, compared to 56.5% in the year ended December 31, 2008.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 w:name="page31"/>
    <w:bookmarkEnd w:id="30"/>
    <w:p>
      <w:pPr>
        <w:jc w:val="both"/>
        <w:spacing w:after="0" w:line="271" w:lineRule="auto"/>
        <w:rPr>
          <w:sz w:val="20"/>
          <w:szCs w:val="20"/>
          <w:color w:val="auto"/>
        </w:rPr>
      </w:pPr>
      <w:r>
        <w:rPr>
          <w:rFonts w:ascii="Arial" w:cs="Arial" w:eastAsia="Arial" w:hAnsi="Arial"/>
          <w:sz w:val="17"/>
          <w:szCs w:val="17"/>
          <w:color w:val="auto"/>
        </w:rPr>
        <w:t>Selling, general and administrative expenses for the year reduced by $17.8 million, or 7.2%, from $248.8 million for the year ended December 31, 2008, to $231.0 million for the year ended December 31, 2009. Selling, general and administrative expenses consist of compensation, related fringe benefits and share based compensation expense for selling and administrative employees, professional service costs, advertising costs and all costs related to facilities and information systems. The decrease in selling, general and administrative expenses arises principally from decreases of $7.0 million in personnel related costs, comprising salary and travel costs for selling, general and administrative employees and recruitment expenditure. Facility and information system costs decreased by $2.1 million, principally as a result of a reduction in utility costs and support and maintenance costs. The remainder of the decrease arises from a decrease in other overhead costs. As a percentage of net revenue, selling, general and administrative expenses, decreased from 28.8% for the year ended December 31, 2008, to 26.0% for the year ended December 31, 2009.</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year ended December 31, 2009, amounted to $7.4 milllion compared to $6.1 million during the year ended December 31, 2008.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for the year increased by $5.0 million, or 17.8%, from $27.7 million for the year ended December 31, 2008, to $32.7 million for the year ended December 31, 2009. As a percentage of net revenue, depreciation and amortization increased from 3.2% of net revenues for the year ended December 31, 2008, to 3.7% for the year ended December 31, 2009. This increase relates primarily from our continued investment in facilities and equipment to support the Company’s growth.</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One-time net charges of $8.8 million have been recognized during the year ended December 31, 2009. In response to the globalization of clinical studies and its attendant impact on resources in existing and emerging markets, the Company conducted a review during 2009 of its existing infrastructure to better align its resources with the needs of its clients. This realignment has resulted in resource rationalizations in certain more mature markets and the recognition of a restructuring charge of $13.3 million in the second quarter of 2009. This was offset by research and development incentives of $4.5 million received by the Company in certain European Union jurisdictions in which it operates.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for the year increased by $8.0 million, or 8.0%, from $99.5 million for the year ended December 31, 2008 to $107.5 million for the year ended December 31, 2009. As a percentage of net revenue, income from operations increased from 11.5% of net revenues for the year ended December 31, 2008, to 12.1% for the year ended December 31, 2009. Excluding the impact of one-time net charges recognized during the period, income from operations as a percentage of net revenue increased from 11.5% for the year ended December 31, 2008, to 13.1% for the year ended December 31, 2009.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for the year ended December 31, 2009, was $2.8 million, compared with net interest expense of $1.2 million for the year ended December 31, 2008. Interest expense for the period decreased from $4.1 million for the year ended December 31, 2008 to $3.5 million for the year ended December 31, 2009. Interest income for the period decreased from $2.9 million for the year ended December 31, 2008 to $0.8 million for the year ended December 31, 2009.</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Provision for income taxes decreased from $20.0 million for the year ended December 31, 2008, to $10.4 million for the year ended December 31, 2009. ICON plc’s effective tax rate for the year ended December 31, 2009, was 9.9% compared with 20.3% for the year ended December 31, 2008. The decrease in the effective tax rate during the period arose principally from corporation tax refunds arising from research and development tax credits received in certain European Union jurisdictions. The Company recognized a net benefit of $10.6 million in its 2009 tax charge for research and development tax credits relating to previous years, but received in 2009. Excluding the impact of these research and development tax credits recognized during the period, our effective tax rate decreased from 20.3% for the year ended Dec ember 31, 2008, to 20.0% for the year ended December 31, 2009.</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2007</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revenue for the year increased by $234.5 million, or 37.2%, from $630.7 million for the year ended December 31, 2007 to $865.2 million for the year ended December 31, 2008. For the year ended December 31, 2008, we derived approximately 43.8%, 47.8% and 8.4% of our net revenue in the United States, Europe and Rest of World, respectively. The increase in net revenue has resulted from a combination of increased business from existing clients, business won from new clients and increased use of outsourcing by the pharmaceutical, biotechnology and medical device industries.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for the year increased by $134.8 million, or 38.0%, from $354.5 million for the year ended December 31, 2007 to $489.2 million for the year ended December 31, 2008. Direct costs consist primarily of compensation, associated fringe benefits and share based compensation expense for project-related employees and other direct project driven costs. Direct costs as a percentage of net revenue increased to 56.5% in the year ended December 31, 2008, compared to 56.2% in the year ended December 31, 2007. The primary reason for this increase was an increase in personnel related costs of $120.7 million resulting from an increase in the number of project related employees of over 990. The remainder of the increase resulted primarily from increased laboratory and consulting expenses.</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Selling, general and administrative expenses for the year increased by $60.8 million, or 32.3%, from $188.0 million for the year ended December 31, 2007, to $248.8 million for the year ended December 31, 2008. Selling, general and administrative expenses consist of compensation, related fringe benefits and share based compensation expense for selling and administrative employees, professional services costs, advertising costs and all costs related to facilities and information systems. As a percentage of net revenue, selling, general and administrative expenses, decreased from 29.8% for the year ended December 31, 2007, to 28.8% for the year ended December 31, 2008. The increase in absolute terms is primarily driven by increased personnel costs of $34.5 million, principally driven by increased levels of both administrative a nd operations infrastructure staff to support expanding operations and revenue growth. In addition to these personnel costs there were additional rental charges of $7.5 million, from further office openings in 2008, increased professional, legal and accounting costs of $5.4 million, increased utility costs of $5.5 million and an increase of $4.3 million in relation to support and maintenance costs. These increases were partially offset by a gain from realized and unrealized foreign exchange of $2.3 million which compared with a loss of $6.3 million for the year ended December, 31 2007. These gains arise on the revaluation of monetary assets and liabilities throughout the year.</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year ended December 31, 2008, amounted to $6.1 milllion compared to $5.7 million during the year ended December 31, 2007.</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 for the year increased by $8.7 million, or 45.9%, from $19.0 million for the year ended December 31, 2007, to $27.7 million for the year ended December 31, 2008. As a percentage of net revenue, depreciation and amortization increased from 3.0% of net revenues for the year ended December 31, 2007, to 3.2% for the year ended December 31, 2008. This increase relates primarily to our investment in facilities and equipment to enable our continued growth. Capital expenditures were $71.4 million in 2008. $24.6 million of this spend was attributable to expenditure on the expansion of our facility in Dublin, Republic of Ireland, while the balance relates to the Company’s continued investment in facilities and information technology to support our continued growth globally.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for the year increased by $30.3 million, or 43.7%, from $69.2 million for the year ended December 31, 2007 to $99.5 million for the year ended December 31, 2008. As a percentage of net revenue, income from operations increased from 11.0% of net revenues for the year ended December 31, 2007, to 11.5% for the year ended December 31, 2008.</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for the year ended December 31, 2008, was $1.2 million, compared with net interest income of $2.7 million for the year ended December 31, 2007. The Company entered into a number of significant banking facilities since July 2007. These facilities were used to fund the acquisitions of DOCS International in July 2007, Healthcare Discoveries in February 2008 and Prevalere in November 2008, and also to fund the expansion of the Company’s Dublin facility.</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provision for income taxes increased from $15.8 million for the year ended December 31, 2007, to $20.0 million for the year ended December 31, 2008. ICON plc’s effective tax rate for the year ended December 31, 2008, was 20.3% compared with 22.0% for the year ended December 31, 2007. The effective tax rate is principally a function of the distribution of pre-tax profits in the territories in which the Group operates.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generally is not capital intensive. The Group’s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at December 31, 2009 amounted to $194.0 million compared with net debt of $4.3 million at December 31, 2008. Net cash at December 30, 2009 comprised cash and cash equivalents of $144.8 million and short term investments of $49.2 million. Net debt at December 31, 2008 comprised cash and cash equivalents of $58.4 million, short term investments of $42.7 million, less bank credit lines and loan facilities of $105.4 million. Additional borrowings available to the Group under negotiated facilities at December 31, 2009 amounted to $162.5 million compared with $55.6 million at December 31, 2008.</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provided by operating activities was $255.1 million for the year ended December 31, 2009, compared with cash provided by operating activities of $81.3 million for the year ended December 31, 2008. The Group’s working capital, comprising total current assets less total current liabilities, at December 31, 2009 amounted to $235.9 million, compared to $186.0 million at December 31, 2008. The other significant influence on our working capital and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 ding was 33 days at December 31, 2009 and 70 days at December 31, 2008. The decrease in the number of days revenue outstanding at December 31, 2009 resulted from improved working capital management during the period.</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$65.7 million for the year ended December 31, 2009, compared to $117.4 million for the year ended December 31, 2008. Net cash used in the year ended December 31, 2009 arises principally from capital expenditure, payments for the purchase of subsidiary undertakings, and purchase of short term investments, offset by the sale of short term investments.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Capital expenditure for the year ended December 31, 2009, amounted to $33.8 million, and comprised mainly of expenditure on global infrastructure and information technology systems to support the Company’s growth and expenditure on the expansion of our central laboratory facility in Dublin, Republic of Ireland. During the year ended December 31, 2008, the Company completed the expansion of its office facility in Dublin, Republic of Ireland.</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paid on acquisitions during the year ended December 31, 2009, amounted to $25.9 million, being cash paid for the acquisition of the remaining 30% of the common stock of Beacon Biosciences of $17.8 million, $5.9 million relating to the acquisition of Prevalere Lifesciences, $0.3 million relating to the acquisition of the assets of the former Qualia Clinical Service and $1.9 million relating to the acquisition of Veeda Laboratories Limited. An additional $24.1 million of surplus cash balances were invested in short term investments during the year, offset by $17.5 million realized during the year from the sale of short term investments.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by financing activities during the year ended December 31, 2009, amounted to $105.1 million compared with net cash provided of $22.3 million for the year ended December 31, 2008. During the year ended December 31, 2009, the Company drew down additional borrowings of $17.4 million. This was offset by the repayment of $127.0 million of borrowings during the period. At December 31, 2009, all borrowings previously drawn under negotiated facilities had been repaid in full.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3" w:name="page34"/>
    <w:bookmarkEnd w:id="33"/>
    <w:p>
      <w:pPr>
        <w:ind w:right="80"/>
        <w:spacing w:after="0" w:line="277" w:lineRule="auto"/>
        <w:rPr>
          <w:sz w:val="20"/>
          <w:szCs w:val="20"/>
          <w:color w:val="auto"/>
        </w:rPr>
      </w:pPr>
      <w:r>
        <w:rPr>
          <w:rFonts w:ascii="Arial" w:cs="Arial" w:eastAsia="Arial" w:hAnsi="Arial"/>
          <w:sz w:val="18"/>
          <w:szCs w:val="18"/>
          <w:color w:val="auto"/>
        </w:rPr>
        <w:t>As a result of these cash flows, cash and cash equivalents increased by $86.4 million for the year ended December 31, 2009, compared to a decrease of $18.5 million for the year ended December 31, 2008.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($50.2 million) with Bank of Ireland. The facility bears interest at an annual rate equal to EURIBOR plus a margin and is secured by certain composite guarantees, indemnities and pledges in favor of the bank. At December 31, 2009, €26.2 million ($37.5million),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The facility bears interest at LIBOR plus a margin and is secured by certain composite guarantees and pledges in favor of the bank. As at December 31, 2009, $50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2009, an additional four year committed credit facility was negotiated with Bank of Ireland for $25 million. The facility bears interest at LIBOR plus a margin and is secured by certain composite guarantees, indemnities and pledges in favor of the bank. As at December 31, 2009, $25 million was available to be drawn under this facility.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favor of the banks. As at December 31, 2009, $50 million was available to be drawn under these facilities.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were achieved during the year ended December 31, 2009. No amounts have been accrued in respect of the additional consideration payable as these milestone s have not been achieved.</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2008, the Company acquired 100% of the common stock of Prevalere Life Sciences Inc. (“Prevalere”), for an initial cash consideration of $37.6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were achieved during the years ended December 31, 2008 and 2009. On April 30, 2009, $5.0 million was paid in respect of the milestones for the year ended December 31, 2008. No amounts have been accrued for amounts potentially payable in respect of the year ended December 31, 2 009 as these milestones have not been achieved.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Less than 1</w:t>
            </w:r>
          </w:p>
        </w:tc>
        <w:tc>
          <w:tcPr>
            <w:tcW w:w="34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1 to 3</w:t>
            </w:r>
          </w:p>
        </w:tc>
        <w:tc>
          <w:tcPr>
            <w:tcW w:w="24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3 to 5</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More than</w:t>
            </w:r>
          </w:p>
        </w:tc>
      </w:tr>
      <w:tr>
        <w:trPr>
          <w:trHeight w:val="216"/>
        </w:trPr>
        <w:tc>
          <w:tcPr>
            <w:tcW w:w="4140" w:type="dxa"/>
            <w:vAlign w:val="bottom"/>
          </w:tcPr>
          <w:p>
            <w:pPr>
              <w:spacing w:after="0"/>
              <w:rPr>
                <w:sz w:val="18"/>
                <w:szCs w:val="18"/>
                <w:color w:val="auto"/>
              </w:rPr>
            </w:pPr>
          </w:p>
        </w:tc>
        <w:tc>
          <w:tcPr>
            <w:tcW w:w="302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years</w:t>
            </w:r>
          </w:p>
        </w:tc>
        <w:tc>
          <w:tcPr>
            <w:tcW w:w="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5 years</w:t>
            </w:r>
          </w:p>
        </w:tc>
      </w:tr>
      <w:tr>
        <w:trPr>
          <w:trHeight w:val="220"/>
        </w:trPr>
        <w:tc>
          <w:tcPr>
            <w:tcW w:w="41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(U.S.$ in millions)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177.7</w:t>
            </w:r>
          </w:p>
        </w:tc>
        <w:tc>
          <w:tcPr>
            <w:tcW w:w="4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tax liabilities</w:t>
            </w:r>
          </w:p>
        </w:tc>
        <w:tc>
          <w:tcPr>
            <w:tcW w:w="3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18.9</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432"/>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(U.S.$ in millions)</w:t>
            </w:r>
          </w:p>
        </w:tc>
        <w:tc>
          <w:tcPr>
            <w:tcW w:w="3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197.1</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spend approximately $40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and existing cash balances.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judgements that affect the reported amounts of assets and liabilities at the date of the financial statements and the reported amounts of revenues and expenses during the reported period.</w:t>
      </w:r>
    </w:p>
    <w:p>
      <w:pPr>
        <w:spacing w:after="0" w:line="2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2009, the Financial Accounting Standards Board (“FASB”) issued the FASB Accounting Standards Codification (the “ASC”). The ASC has become the single source of non-governmental accounting principles generally accepted in the United States (“GAAP”) recognized by the FASB in the preparation of financial statements. The ASC does not supersede the rules or regulations of the Securities and Exchange Commission (“SEC”), therefore, the rules and interpretive releases of the SEC continue to be additional sources of GAAP for the Company. The Company adopted the ASC as of July 1, 2009. The ASC does not change GAAP and did not have an effect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74"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We earn revenues by providing a number of different services to our clients. These services include clinical trials management, biometric activities, consulting, laboratory, imaging and contract staffing services. Revenue for services, as rendered, are recognized only after persuasive evidence of an arrangement exists, the sales price is fixed or determinable and collectibility is reasonably assured.</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recognised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recognised on the unit of delivery method, the basis applied is the number of un its completed as a percentage to the total number of contractual units.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p>
      <w:pPr>
        <w:ind w:right="80"/>
        <w:spacing w:after="0" w:line="271" w:lineRule="auto"/>
        <w:rPr>
          <w:sz w:val="20"/>
          <w:szCs w:val="20"/>
          <w:color w:val="auto"/>
        </w:rPr>
      </w:pPr>
      <w:r>
        <w:rPr>
          <w:rFonts w:ascii="Arial" w:cs="Arial" w:eastAsia="Arial" w:hAnsi="Arial"/>
          <w:sz w:val="17"/>
          <w:szCs w:val="17"/>
          <w:color w:val="auto"/>
        </w:rPr>
        <w:t>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 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2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review our goodwill for impairment annually, or more frequently if facts or circumstances warrant such a review. We evaluate goodwill for impairment by comparing the fair value of each reporting segment to its carrying value. Fair value is determined using the market approach, by assessing the market value of each reporting unit, and the income approach, based on estimated discounted future cash flows. Estimates and judgments used include those relating to commercial risk, revenue and cost projections, our intention with respect to the acquired goodwill, the impact of competition, the impact of any reorganization or change of our business focus, the level of third party interest in our operations and market conditions.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implied fair value of reporting unit goodwill is lower than its carrying amount, goodwill is impaired and written down to its implied fair value. If we were to use different estimates or judgments, particularly with respect to expected revenue and cost projections or the impact of any reorganization or change of business focus, a material impairment charge to the statement of operations could arise. We believe that we have used reasonable estimates and judgments in assessing the carrying value of our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operate within multiple taxing jurisdictions and are subject to audits in these jurisdictions. These audits can involve complex issues which may require an extended period of time for resolution. Management believe that adequate provisions for income taxes have been made in the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Future Accounting Pronouncements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December 2009, the Financial Accounting Standards Board (“FASB”) issued Accounting Standards Update (“ASU”) No. 2009-16,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Transfers of Financial Assets </w:t>
      </w:r>
      <w:r>
        <w:rPr>
          <w:rFonts w:ascii="Arial" w:cs="Arial" w:eastAsia="Arial" w:hAnsi="Arial"/>
          <w:sz w:val="17"/>
          <w:szCs w:val="17"/>
          <w:color w:val="auto"/>
        </w:rPr>
        <w:t>(formerly FASB Statement No. 166). ASU 2009-16 eliminates the qualifying special purpose entity concept, creates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conditions for reporting a transfer of a portion of a financial asset as a sale, clarifies the derecognition criteria, revises how retained interests are initially measured, and removes the guaranteed mortgage securitization recharacterization provisions. ASU 2009-16 is effective as of the beginning of January 1, 2010. The Company does not expect the adoption of ASU 2009-16 to have a material i mpact on the financial statements.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2009, the FASB issued ASU No. 2009-14 Software (Topic 985): </w:t>
      </w:r>
      <w:r>
        <w:rPr>
          <w:rFonts w:ascii="Arial" w:cs="Arial" w:eastAsia="Arial" w:hAnsi="Arial"/>
          <w:sz w:val="18"/>
          <w:szCs w:val="18"/>
          <w:i w:val="1"/>
          <w:iCs w:val="1"/>
          <w:color w:val="auto"/>
        </w:rPr>
        <w:t>Certain Revenue Arrangements That Include Software Elements</w:t>
      </w:r>
      <w:r>
        <w:rPr>
          <w:rFonts w:ascii="Arial" w:cs="Arial" w:eastAsia="Arial" w:hAnsi="Arial"/>
          <w:sz w:val="18"/>
          <w:szCs w:val="18"/>
          <w:color w:val="auto"/>
        </w:rPr>
        <w:t>, a consensus of the FASB Emerging Issues Task Force (“EITF”)” (formerly EITF 09-3). ASU 2009-14 revises FASB ASC 985-605 to drop from its scope all tangible products containing both software and non-software components that operate together to deliver the products’ functions. ASU 2009-14 is effective prospectively for revenue arrangements entered into or materially modified in fiscal years beginning on or after June 15, 2010. The Company does not expect the adoption of ASU 2009-14 to have a material impact on the financial statements.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2009, the FASB issued ASU No. 2009-13 Revenue Recognition (Topic 605):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xml:space="preserve"> – a consensus of the FASB Emerging Issues Task Force” (formerly EITF 08-1), which amends the revenue recognition guidance for arrangements with multiple deliverables. The amendments to FASB ASC 605-25 allow vendors to account for products and services separately rather than as a combined unit. ASU 2009-13 is effective prospectively for revenue arrangements entered into or materially modified in fiscal years beginning on or after June 15, 2010. The Company does not expect the adoption of ASU 2009-13 to have a material impact on the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February 23,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8"/>
              </w:rPr>
              <w:t>Age</w:t>
            </w:r>
          </w:p>
        </w:tc>
        <w:tc>
          <w:tcPr>
            <w:tcW w:w="6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Dr. Bruce Given (2) (4) (5)</w:t>
            </w:r>
          </w:p>
        </w:tc>
        <w:tc>
          <w:tcPr>
            <w:tcW w:w="102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89"/>
              </w:rPr>
              <w:t>55</w:t>
            </w:r>
          </w:p>
        </w:tc>
        <w:tc>
          <w:tcPr>
            <w:tcW w:w="6680" w:type="dxa"/>
            <w:vAlign w:val="bottom"/>
          </w:tcPr>
          <w:p>
            <w:pPr>
              <w:ind w:left="140"/>
              <w:spacing w:after="0" w:line="201" w:lineRule="exact"/>
              <w:rPr>
                <w:sz w:val="20"/>
                <w:szCs w:val="20"/>
                <w:color w:val="auto"/>
              </w:rPr>
            </w:pPr>
            <w:r>
              <w:rPr>
                <w:rFonts w:ascii="Arial" w:cs="Arial" w:eastAsia="Arial" w:hAnsi="Arial"/>
                <w:sz w:val="18"/>
                <w:szCs w:val="18"/>
                <w:color w:val="auto"/>
              </w:rPr>
              <w:t>Chairman of the Board, 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Peter Gray (1) (5)</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55</w:t>
            </w:r>
          </w:p>
        </w:tc>
        <w:tc>
          <w:tcPr>
            <w:tcW w:w="6680" w:type="dxa"/>
            <w:vAlign w:val="bottom"/>
          </w:tcPr>
          <w:p>
            <w:pPr>
              <w:ind w:left="14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Ciaran Murray (1) (5)</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47</w:t>
            </w:r>
          </w:p>
        </w:tc>
        <w:tc>
          <w:tcPr>
            <w:tcW w:w="66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Dr. John Climax</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57</w:t>
            </w:r>
          </w:p>
        </w:tc>
        <w:tc>
          <w:tcPr>
            <w:tcW w:w="6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Dr. Ronan Lambe (6)</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70</w:t>
            </w:r>
          </w:p>
        </w:tc>
        <w:tc>
          <w:tcPr>
            <w:tcW w:w="6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Thomas Lynch (2) (3) (4)</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53</w:t>
            </w:r>
          </w:p>
        </w:tc>
        <w:tc>
          <w:tcPr>
            <w:tcW w:w="6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Edward Roberts (3)</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75</w:t>
            </w:r>
          </w:p>
        </w:tc>
        <w:tc>
          <w:tcPr>
            <w:tcW w:w="6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Professor Dermot Kelleher (3) (6)</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54</w:t>
            </w:r>
          </w:p>
        </w:tc>
        <w:tc>
          <w:tcPr>
            <w:tcW w:w="6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Dr. Anthony Murphy (2) (4)</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59</w:t>
            </w:r>
          </w:p>
        </w:tc>
        <w:tc>
          <w:tcPr>
            <w:tcW w:w="6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Dr. John Hubbard</w:t>
            </w: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89"/>
              </w:rPr>
              <w:t>53</w:t>
            </w:r>
          </w:p>
        </w:tc>
        <w:tc>
          <w:tcPr>
            <w:tcW w:w="6680" w:type="dxa"/>
            <w:vAlign w:val="bottom"/>
          </w:tcPr>
          <w:p>
            <w:pPr>
              <w:ind w:left="140"/>
              <w:spacing w:after="0"/>
              <w:rPr>
                <w:sz w:val="20"/>
                <w:szCs w:val="20"/>
                <w:color w:val="auto"/>
              </w:rPr>
            </w:pPr>
            <w:r>
              <w:rPr>
                <w:rFonts w:ascii="Arial" w:cs="Arial" w:eastAsia="Arial" w:hAnsi="Arial"/>
                <w:sz w:val="18"/>
                <w:szCs w:val="18"/>
                <w:color w:val="auto"/>
              </w:rPr>
              <w:t>Group President Clinical Research Services</w:t>
            </w:r>
          </w:p>
        </w:tc>
      </w:tr>
      <w:tr>
        <w:trPr>
          <w:trHeight w:val="23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Alan Morgan</w:t>
            </w:r>
          </w:p>
        </w:tc>
        <w:tc>
          <w:tcPr>
            <w:tcW w:w="10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45</w:t>
            </w:r>
          </w:p>
        </w:tc>
        <w:tc>
          <w:tcPr>
            <w:tcW w:w="6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Group President Early Clinical Research and Laboratory Services</w:t>
            </w:r>
          </w:p>
        </w:tc>
      </w:tr>
    </w:tbl>
    <w:p>
      <w:pPr>
        <w:spacing w:after="0" w:line="22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Quality Committee</w:t>
      </w:r>
    </w:p>
    <w:p>
      <w:pPr>
        <w:spacing w:after="0" w:line="238" w:lineRule="exact"/>
        <w:rPr>
          <w:sz w:val="20"/>
          <w:szCs w:val="20"/>
          <w:color w:val="auto"/>
        </w:rPr>
      </w:pPr>
    </w:p>
    <w:p>
      <w:pPr>
        <w:jc w:val="both"/>
        <w:ind w:right="720"/>
        <w:spacing w:after="0" w:line="312" w:lineRule="auto"/>
        <w:rPr>
          <w:sz w:val="20"/>
          <w:szCs w:val="20"/>
          <w:color w:val="auto"/>
        </w:rPr>
      </w:pPr>
      <w:r>
        <w:rPr>
          <w:rFonts w:ascii="Arial" w:cs="Arial" w:eastAsia="Arial" w:hAnsi="Arial"/>
          <w:sz w:val="16"/>
          <w:szCs w:val="16"/>
          <w:i w:val="1"/>
          <w:iCs w:val="1"/>
          <w:color w:val="auto"/>
        </w:rPr>
        <w:t xml:space="preserve">Dr. Bruce Given </w:t>
      </w:r>
      <w:r>
        <w:rPr>
          <w:rFonts w:ascii="Arial" w:cs="Arial" w:eastAsia="Arial" w:hAnsi="Arial"/>
          <w:sz w:val="16"/>
          <w:szCs w:val="16"/>
          <w:color w:val="auto"/>
        </w:rPr>
        <w:t>was appointed Chairman of the Board of the Company in January 2010. He has served as an outside director of the Company since</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2004. From March 2002 until June 2007 he served as President and Chief Executive Officer of Encysive Pharmaceuticals Inc. Dr. Given previously held various positions in Johnson &amp; Johnson group companies. Dr. Given obtained his doctorate from the University of Chicago in 1980.</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Peter Gray </w:t>
      </w:r>
      <w:r>
        <w:rPr>
          <w:rFonts w:ascii="Arial" w:cs="Arial" w:eastAsia="Arial" w:hAnsi="Arial"/>
          <w:sz w:val="18"/>
          <w:szCs w:val="18"/>
          <w:color w:val="auto"/>
        </w:rPr>
        <w:t>has served as the Chief Executive Officer of ICON since November 2002. He served as the Group Chief Operating Officer of ICON from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2001, and was Chief Financial Officer from June 1997 to June 2001. He has been a director of the Company since June 1997. Mr. Gray has over 19 years experience in the pharmaceutical services industry and has also worked in the engineering and food sectors. Mr. Gray received a degree in Law from Trinity College Dublin in 1977 and became a chartered accountant in 1980.</w:t>
      </w:r>
    </w:p>
    <w:p>
      <w:pPr>
        <w:spacing w:after="0" w:line="214"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i w:val="1"/>
          <w:iCs w:val="1"/>
          <w:color w:val="auto"/>
        </w:rPr>
        <w:t xml:space="preserve">Ciaran Murray </w:t>
      </w:r>
      <w:r>
        <w:rPr>
          <w:rFonts w:ascii="Arial" w:cs="Arial" w:eastAsia="Arial" w:hAnsi="Arial"/>
          <w:sz w:val="16"/>
          <w:szCs w:val="16"/>
          <w:color w:val="auto"/>
        </w:rPr>
        <w:t>has served as Chief Financial Officer of ICON plc since October 2005. Mr. Murray developed his experience in senior financial positions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food sector with Kraft Foods Inc, Cantrell and Cochrane plc and Northern Foods plc, and in the technology sector with Novell Inc and Codec Systems, a privately held Irish technology group where Mr. Murray served as Chief Financial Officer from 1999 to 2005, immediately prior to joining ICON plc. Mr.</w:t>
      </w:r>
    </w:p>
    <w:p>
      <w:pPr>
        <w:ind w:right="60"/>
        <w:spacing w:after="0" w:line="261" w:lineRule="auto"/>
        <w:rPr>
          <w:sz w:val="20"/>
          <w:szCs w:val="20"/>
          <w:color w:val="auto"/>
        </w:rPr>
      </w:pPr>
      <w:r>
        <w:rPr>
          <w:rFonts w:ascii="Arial" w:cs="Arial" w:eastAsia="Arial" w:hAnsi="Arial"/>
          <w:sz w:val="18"/>
          <w:szCs w:val="18"/>
          <w:color w:val="auto"/>
        </w:rPr>
        <w:t>Murray obtained a Bachelor of Commerce degree from University College Dublin in 1982. He qualified as a Chartered Accountant with PwC and is a Fellow of the Institute of Chartered Accountants in Ireland.</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Dr. John Climax</w:t>
      </w:r>
      <w:r>
        <w:rPr>
          <w:rFonts w:ascii="Arial" w:cs="Arial" w:eastAsia="Arial" w:hAnsi="Arial"/>
          <w:sz w:val="18"/>
          <w:szCs w:val="18"/>
          <w:color w:val="auto"/>
        </w:rPr>
        <w:t>, one of the Company’s co-founders, served as Chairman of the Board of the Company from November 2002 to December 2009,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from June 1990 to October 2002. From January 2010 he has held a position as an outside director of the Company. Dr. Climax has over 22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8" w:name="page39"/>
    <w:bookmarkEnd w:id="38"/>
    <w:p>
      <w:pPr>
        <w:ind w:right="80"/>
        <w:spacing w:after="0" w:line="259"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holds a position as an outside director since January 2008. Dr. Lambe has over 25 years of experience in the contract research industry in Europe. Dr. Lambe attended the National University of Ireland where he received his Bachelor of Science degree in chemistry in 1959, his masters in biochemistry in 1962 and his PhD. in pharmacology in 1976.</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Thomas Lynch </w:t>
      </w:r>
      <w:r>
        <w:rPr>
          <w:rFonts w:ascii="Arial" w:cs="Arial" w:eastAsia="Arial" w:hAnsi="Arial"/>
          <w:sz w:val="18"/>
          <w:szCs w:val="18"/>
          <w:color w:val="auto"/>
        </w:rPr>
        <w:t>has served as an outside director of the Company since January 1996. Mr. Lynch served as Chairman of Amarin Corporation plc from 2000 to</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served as its Chief Executive Officer from 2007 to 2009. Between 1993 and 2004, he held a number of senior management positions in Elan Corporation plc. Mr Lynch is an investor in, and serves on the board of, a number of biotechnology companies. He has also served as a board member of IDA Ireland (an agency of the Irish Government) since 2000.</w:t>
      </w:r>
    </w:p>
    <w:p>
      <w:pPr>
        <w:spacing w:after="0" w:line="21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Edward Roberts </w:t>
      </w:r>
      <w:r>
        <w:rPr>
          <w:rFonts w:ascii="Arial" w:cs="Arial" w:eastAsia="Arial" w:hAnsi="Arial"/>
          <w:sz w:val="17"/>
          <w:szCs w:val="17"/>
          <w:color w:val="auto"/>
        </w:rPr>
        <w:t>has served as an outside director of the Company since February 1998. Mr. Roberts was Managing Director of the Pharmaceutical Division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Merck KGaA from 1990 to 1998. Prior to that, he held a number of senior management positions with Eli Lilly International in Europe and the United States. Mr. Roberts has over 40 years of experience in the pharmaceutical industry. Mr Roberts serves as Chairman of Merz &amp; Co. GmbH.</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Professor Dermot Kelleher </w:t>
      </w:r>
      <w:r>
        <w:rPr>
          <w:rFonts w:ascii="Arial" w:cs="Arial" w:eastAsia="Arial" w:hAnsi="Arial"/>
          <w:sz w:val="17"/>
          <w:szCs w:val="17"/>
          <w:color w:val="auto"/>
        </w:rPr>
        <w:t>has served as an outside director of the Company since May 2008. Professor Kelleher is currently Head of the School of Medicine</w:t>
      </w:r>
      <w:r>
        <w:rPr>
          <w:rFonts w:ascii="Arial" w:cs="Arial" w:eastAsia="Arial" w:hAnsi="Arial"/>
          <w:sz w:val="17"/>
          <w:szCs w:val="17"/>
          <w:i w:val="1"/>
          <w:iCs w:val="1"/>
          <w:color w:val="auto"/>
        </w:rPr>
        <w:t xml:space="preserve"> </w:t>
      </w:r>
      <w:r>
        <w:rPr>
          <w:rFonts w:ascii="Arial" w:cs="Arial" w:eastAsia="Arial" w:hAnsi="Arial"/>
          <w:sz w:val="17"/>
          <w:szCs w:val="17"/>
          <w:color w:val="auto"/>
        </w:rPr>
        <w:t>at Trinity College, Dublin, Ireland and Director of the Institute of Molecular Medicine in Dublin. His research interests are broad ranging in the fields of Gastroenterology, Immunology and Molecular Biology and over a distinguished thirty year career he has led significant research projects in this</w:t>
      </w:r>
    </w:p>
    <w:p>
      <w:pPr>
        <w:ind w:right="540"/>
        <w:spacing w:after="0" w:line="261" w:lineRule="auto"/>
        <w:rPr>
          <w:sz w:val="20"/>
          <w:szCs w:val="20"/>
          <w:color w:val="auto"/>
        </w:rPr>
      </w:pPr>
      <w:r>
        <w:rPr>
          <w:rFonts w:ascii="Arial" w:cs="Arial" w:eastAsia="Arial" w:hAnsi="Arial"/>
          <w:sz w:val="18"/>
          <w:szCs w:val="18"/>
          <w:color w:val="auto"/>
        </w:rPr>
        <w:t>field. Alongside his notable academic appointments he has served as a visiting research scientist with a major pharmaceutical company and has been a founder of a number of biotechnology companies.</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Dr. Anthony Murphy </w:t>
      </w:r>
      <w:r>
        <w:rPr>
          <w:rFonts w:ascii="Arial" w:cs="Arial" w:eastAsia="Arial" w:hAnsi="Arial"/>
          <w:sz w:val="18"/>
          <w:szCs w:val="18"/>
          <w:color w:val="auto"/>
        </w:rPr>
        <w:t>has served as an outside director of the Company since April 2009. Dr. Murphy was the Senior Vice President of Human Resources for</w:t>
      </w:r>
      <w:r>
        <w:rPr>
          <w:rFonts w:ascii="Arial" w:cs="Arial" w:eastAsia="Arial" w:hAnsi="Arial"/>
          <w:sz w:val="18"/>
          <w:szCs w:val="18"/>
          <w:i w:val="1"/>
          <w:iCs w:val="1"/>
          <w:color w:val="auto"/>
        </w:rPr>
        <w:t xml:space="preserve"> </w:t>
      </w:r>
      <w:r>
        <w:rPr>
          <w:rFonts w:ascii="Arial" w:cs="Arial" w:eastAsia="Arial" w:hAnsi="Arial"/>
          <w:sz w:val="18"/>
          <w:szCs w:val="18"/>
          <w:color w:val="auto"/>
        </w:rPr>
        <w:t>Eli Lilly &amp; Co., prior to his retirement in May 2009. Born in Cardiff, Wales, Mr. Murphy received a bachelor’s degree in psychology from University College Dublin in 1970 and a doctorate in psychology from the University of Wales in 1975. Mr. Murphy joined Lilly (in the United Kingdom) in 1980, and held increasingly senior positions in HR, with the company until his retirement. Prior to joining he had lectured in industrial relations and worked as a consultant and researcher at the University of Bath, England. Mr. Murphy is a fellow of the Institute of Personnel and Development (U.K.) and a Chartered Psy chologist.</w:t>
      </w:r>
    </w:p>
    <w:p>
      <w:pPr>
        <w:spacing w:after="0" w:line="22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Dr. John W. Hubbard </w:t>
      </w:r>
      <w:r>
        <w:rPr>
          <w:rFonts w:ascii="Arial" w:cs="Arial" w:eastAsia="Arial" w:hAnsi="Arial"/>
          <w:sz w:val="17"/>
          <w:szCs w:val="17"/>
          <w:color w:val="auto"/>
        </w:rPr>
        <w:t>was appointed Group President Clinical Research Services in January 2010. He previously served as President of ICON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from March 2007 to December 2009, President of ICON Clinical Research - U.S. from April 2005 to February 2007 and as Chief Operating Officer, U.S Operations from October 1999 to March 2005. Dr. Hubbard has more than 20 years of experience in pharmaceutical research and development. He has held positions of increasing responsibility at Revlon Health Care Group, Hoechst Marion Roussel Pharmaceuticals, Parexel International Corporation, and from July 1997 until joining ICON, he held the position of Senior Vice President of Clinical Research Operations at Clinical Studies, an industry leading site management organ ization and division of Innovative Clinical Solutions, Ltd. Dr. Hubbard received a B.S. in Psychology/Biology from the University of Santa Clara, a Ph.D. in Cardiovascular Physiology from the University of Tennessee, and was a NIH Postdoctoral Fellow in Cardiovascular Pharmacology at the University of Texas Health Sciences Center.</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Alan Morgan </w:t>
      </w:r>
      <w:r>
        <w:rPr>
          <w:rFonts w:ascii="Arial" w:cs="Arial" w:eastAsia="Arial" w:hAnsi="Arial"/>
          <w:sz w:val="17"/>
          <w:szCs w:val="17"/>
          <w:color w:val="auto"/>
        </w:rPr>
        <w:t>was appointed Group President Early Clinical Research and Laboratory Services in January 2010. Mr. Morgan has held positions of increasing</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responsibility since joining the Company in August 2006, including Chief Operating Officer ICON Clinical Research, President ICON Clinical Research Europe and Vice President of Process Development. Prior to joining ICON, he was Global General Manager of the Phase II - IV business of MDS Pharma Services from August 2005, having joined MDS in September 2002 as General Manager of their European, Latin American and Asian Clinical Development operations. In both roles he was responsible for Clinical Operations, Data Management and Biostatistics, Regulatory Affairs, and all of the commercial operations of the business. ;Mr Morgan joined MDS from Covance Inc, where he held a number of senior positions including General Manager of their Phase II - IV business in Europe, Asia, and Latin America. His initial career was in pharma, including seven years with Glaxo Wellcome and two years with ICI Pharmaceuticals in various business financial roles. He is a graduate of the City University Business School in London and a Fellow of the Chartered Association of Certified Accountants.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Board of Directors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w:t>
      </w:r>
      <w:r>
        <w:rPr>
          <w:rFonts w:ascii="Arial" w:cs="Arial" w:eastAsia="Arial" w:hAnsi="Arial"/>
          <w:sz w:val="17"/>
          <w:szCs w:val="17"/>
          <w:color w:val="FF0000"/>
        </w:rPr>
        <w:t>.</w:t>
      </w:r>
      <w:r>
        <w:rPr>
          <w:rFonts w:ascii="Arial" w:cs="Arial" w:eastAsia="Arial" w:hAnsi="Arial"/>
          <w:sz w:val="17"/>
          <w:szCs w:val="17"/>
          <w:color w:val="auto"/>
        </w:rPr>
        <w:t xml:space="preserv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2010, it is anticipated that two directors will retire by rotation and offer themselves for re-election. Any additional director appointed by us shall hold office until the next annual general meeting and will be subject to re-election at that meeting.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ICON established a Compensation and Organization Committee and an Audit Committee in 1998, a Nominating and Governance Committee in 2004, an Execution Committee in 2005, and a Quality Committee in February 2010, all of which are committees of the Board of Directors and are, with the exception of the Execution Committee, composed of non-executive directors of ICON plc.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2009, the Compensation and Organization Committee comprised Thomas Lynch (Chairman), Edward Roberts, Dr. Bruce Given and Dr. Anthony Murphy. It is responsible for all aspects of senior executive remuneration. The committee aims to ensure that remuneration packages are competitive so that individuals are appropriately rewarded relative to their responsibility, experience and value to ICON. At the Company’s board meeting on February 23, 2010, the committee was amended to comprise Dr Anthony Murphy (Chairman), Dr. Bruce Given and Thomas Lynch.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Annual bonuses for executive directors are determined by the committee based on the achievement of ICON’s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2009, the Audit Committee comprised Edward Roberts (Chairman), Thomas Lynch, Dr. Bruce Given and Professor Dermot Kelleher. It reviews the annual report, the quarterly earnings releases, the effectiveness of the system of internal controls, compliance with our ethical code and legal requirements, and approves the appointment and removal of the external auditors. It also addresses all issues raised and recommendations made by the external auditors and pre-approves all auditor services. At the Company’s board meeting on February 23, 2010, the committee was amended to comprise Thomas Lynch (Chairman), Edward Roberts and Professor Dermot Kelleher.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2009, the Nominating and Governance Committee comprised Thomas Lynch (Chairman), Edward Roberts and Dr. Bruce Given. On an ongoing basis it reviews the membership of the board of directors and board committees. It identifies and recommends individuals to fill any vacancy that is anticipated or arises on the board of directors. It reviews and recommends the corporate governance principles of the Company. At the Company’s board meeting on February 23, 2010, the committee was amended to comprise Dr. Anthony Murphy (Chairman), Dr. Bruce Given and Thomas Lynch.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During 2009, the Execution Committee, formerly known as the Executive Committee, comprised Peter Gray (Chairman), Dr. John Climax and Ciaran Murray. Established in March 2005, this Committee is responsible for the management of the Company in intervals between meetings of the Board and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At the Company’s board meeting on February 23, 2010, the committee was amended to comprise Peter Gray (Chairman), Dr. Bruce Given and Ciaran Murray.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Committee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February 23, 2010, the Company established a Quality Committee. The purpose of this committee is to oversee compliance with the Company’s quality initiatives. The committee comprises Professor Dermot Kelleher (Chairman) and Dr. Ronan Lambe.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 w:name="page41"/>
    <w:bookmarkEnd w:id="40"/>
    <w:p>
      <w:pPr>
        <w:jc w:val="both"/>
        <w:spacing w:after="0" w:line="293" w:lineRule="auto"/>
        <w:rPr>
          <w:sz w:val="20"/>
          <w:szCs w:val="20"/>
          <w:color w:val="auto"/>
        </w:rPr>
      </w:pPr>
      <w:r>
        <w:rPr>
          <w:rFonts w:ascii="Arial" w:cs="Arial" w:eastAsia="Arial" w:hAnsi="Arial"/>
          <w:sz w:val="16"/>
          <w:szCs w:val="16"/>
          <w:color w:val="auto"/>
        </w:rPr>
        <w:t>The aggregate compensation (including share-based compensation of $0.9m) paid by ICON to all persons who served in the capacity of director or executive officer in 2009 (10 persons) was approximately $6.7 million, but does not include expenses reimbursed to directors and executive officers (including business travel, professional and business association dues and expenses). In addition, our officers are eligible to participate in the Company’s equity incentive plans, including the Company’s share options plans and restricted share unit plan. See Note 10 to the Consolidated Financial Statements. As of December 31, 2009, options granted to directors and executive officers of ICON to purchase an aggregate of 465,200 of our ordinary shares were outstanding. The options are exercisable at prices between $7.00 and $36.04 and expi re between October 24, 2010 and April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employed 7,170, 6,975 and 5,610 people for the years ended December 31, 2009, December 31, 2008, and December 31, 2007, respectively. Our employees are not unionized and we believe that our relations with our employees are good.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sets forth certain information regarding beneficial ownership of our ordinary shares (including Amercian Depository Securities, ADS’s) as of February 23, 2010,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2180" w:type="dxa"/>
            <w:vAlign w:val="bottom"/>
          </w:tcPr>
          <w:p>
            <w:pPr>
              <w:jc w:val="right"/>
              <w:ind w:right="50"/>
              <w:spacing w:after="0"/>
              <w:rPr>
                <w:sz w:val="20"/>
                <w:szCs w:val="20"/>
                <w:color w:val="auto"/>
              </w:rPr>
            </w:pPr>
            <w:r>
              <w:rPr>
                <w:rFonts w:ascii="Arial" w:cs="Arial" w:eastAsia="Arial" w:hAnsi="Arial"/>
                <w:sz w:val="18"/>
                <w:szCs w:val="18"/>
                <w:b w:val="1"/>
                <w:bCs w:val="1"/>
                <w:color w:val="auto"/>
              </w:rPr>
              <w:t>No. of</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No. of Options</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Exercise</w:t>
            </w:r>
          </w:p>
        </w:tc>
        <w:tc>
          <w:tcPr>
            <w:tcW w:w="1420" w:type="dxa"/>
            <w:vAlign w:val="bottom"/>
          </w:tcPr>
          <w:p>
            <w:pPr>
              <w:spacing w:after="0"/>
              <w:rPr>
                <w:sz w:val="18"/>
                <w:szCs w:val="18"/>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21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 (1)</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Expiration Date</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Dr. John Climax</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3,107,568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c>
          <w:tcPr>
            <w:tcW w:w="142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4, 2012</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3,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16, 2015</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26, 2016</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15.84</w:t>
            </w:r>
          </w:p>
        </w:tc>
        <w:tc>
          <w:tcPr>
            <w:tcW w:w="1420" w:type="dxa"/>
            <w:vAlign w:val="bottom"/>
          </w:tcPr>
          <w:p>
            <w:pPr>
              <w:jc w:val="right"/>
              <w:spacing w:after="0"/>
              <w:rPr>
                <w:sz w:val="20"/>
                <w:szCs w:val="20"/>
                <w:color w:val="auto"/>
              </w:rPr>
            </w:pPr>
            <w:r>
              <w:rPr>
                <w:rFonts w:ascii="Arial" w:cs="Arial" w:eastAsia="Arial" w:hAnsi="Arial"/>
                <w:sz w:val="18"/>
                <w:szCs w:val="18"/>
                <w:color w:val="auto"/>
              </w:rPr>
              <w:t>April 30, 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Mr. Peter Gray</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396,288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c>
          <w:tcPr>
            <w:tcW w:w="142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4, 2012</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3,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16, 2015</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26, 2016</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15.84</w:t>
            </w:r>
          </w:p>
        </w:tc>
        <w:tc>
          <w:tcPr>
            <w:tcW w:w="1420" w:type="dxa"/>
            <w:vAlign w:val="bottom"/>
          </w:tcPr>
          <w:p>
            <w:pPr>
              <w:jc w:val="right"/>
              <w:spacing w:after="0"/>
              <w:rPr>
                <w:sz w:val="20"/>
                <w:szCs w:val="20"/>
                <w:color w:val="auto"/>
              </w:rPr>
            </w:pPr>
            <w:r>
              <w:rPr>
                <w:rFonts w:ascii="Arial" w:cs="Arial" w:eastAsia="Arial" w:hAnsi="Arial"/>
                <w:sz w:val="18"/>
                <w:szCs w:val="18"/>
                <w:color w:val="auto"/>
              </w:rPr>
              <w:t>April 30, 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Dr. Ronan Lambe</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54,380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c>
          <w:tcPr>
            <w:tcW w:w="142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4, 2012</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8.60</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24, 2013</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3,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16, 2015</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26, 2016</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22.26</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February 25,2017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Mr. Thomas Lynch</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c>
          <w:tcPr>
            <w:tcW w:w="142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4, 2012</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8.60</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24, 2013</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3,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16, 2015</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26, 2016</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22.26</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February 25,2017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Mr. Edward Roberts</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16,004</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4, 2012</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8.60</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24, 2013</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3,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16, 2015</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26, 2016</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22.26</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February 25,2017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Dr. Bruce Given</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8.60</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24, 2013</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3,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16, 2015</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26, 2016</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22.26</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February 25,2017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Professor Dermot Kelleher</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36.04</w:t>
            </w:r>
          </w:p>
        </w:tc>
        <w:tc>
          <w:tcPr>
            <w:tcW w:w="1420" w:type="dxa"/>
            <w:vAlign w:val="bottom"/>
          </w:tcPr>
          <w:p>
            <w:pPr>
              <w:jc w:val="right"/>
              <w:spacing w:after="0"/>
              <w:rPr>
                <w:sz w:val="20"/>
                <w:szCs w:val="20"/>
                <w:color w:val="auto"/>
              </w:rPr>
            </w:pPr>
            <w:r>
              <w:rPr>
                <w:rFonts w:ascii="Arial" w:cs="Arial" w:eastAsia="Arial" w:hAnsi="Arial"/>
                <w:sz w:val="18"/>
                <w:szCs w:val="18"/>
                <w:color w:val="auto"/>
              </w:rPr>
              <w:t>May 27, 2016</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22.26</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February 25,2017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Dr. Anthony Murphy</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15.84</w:t>
            </w:r>
          </w:p>
        </w:tc>
        <w:tc>
          <w:tcPr>
            <w:tcW w:w="1420" w:type="dxa"/>
            <w:vAlign w:val="bottom"/>
          </w:tcPr>
          <w:p>
            <w:pPr>
              <w:jc w:val="right"/>
              <w:spacing w:after="0"/>
              <w:rPr>
                <w:sz w:val="20"/>
                <w:szCs w:val="20"/>
                <w:color w:val="auto"/>
              </w:rPr>
            </w:pPr>
            <w:r>
              <w:rPr>
                <w:rFonts w:ascii="Arial" w:cs="Arial" w:eastAsia="Arial" w:hAnsi="Arial"/>
                <w:sz w:val="18"/>
                <w:szCs w:val="18"/>
                <w:color w:val="auto"/>
              </w:rPr>
              <w:t>April 30, 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Mr. Ciaran Murray</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10.42</w:t>
            </w:r>
          </w:p>
        </w:tc>
        <w:tc>
          <w:tcPr>
            <w:tcW w:w="1420" w:type="dxa"/>
            <w:vAlign w:val="bottom"/>
          </w:tcPr>
          <w:p>
            <w:pPr>
              <w:jc w:val="right"/>
              <w:spacing w:after="0"/>
              <w:rPr>
                <w:sz w:val="20"/>
                <w:szCs w:val="20"/>
                <w:color w:val="auto"/>
              </w:rPr>
            </w:pPr>
            <w:r>
              <w:rPr>
                <w:rFonts w:ascii="Arial" w:cs="Arial" w:eastAsia="Arial" w:hAnsi="Arial"/>
                <w:sz w:val="18"/>
                <w:szCs w:val="18"/>
                <w:color w:val="auto"/>
              </w:rPr>
              <w:t>January 17,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jc w:val="right"/>
              <w:spacing w:after="0"/>
              <w:rPr>
                <w:sz w:val="20"/>
                <w:szCs w:val="20"/>
                <w:color w:val="auto"/>
              </w:rPr>
            </w:pPr>
            <w:r>
              <w:rPr>
                <w:rFonts w:ascii="Arial" w:cs="Arial" w:eastAsia="Arial" w:hAnsi="Arial"/>
                <w:sz w:val="18"/>
                <w:szCs w:val="18"/>
                <w:color w:val="auto"/>
              </w:rPr>
              <w:t>February 3, 2014</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16, 2015</w:t>
            </w:r>
          </w:p>
        </w:tc>
      </w:tr>
      <w:tr>
        <w:trPr>
          <w:trHeight w:val="216"/>
        </w:trPr>
        <w:tc>
          <w:tcPr>
            <w:tcW w:w="3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1420" w:type="dxa"/>
            <w:vAlign w:val="bottom"/>
          </w:tcPr>
          <w:p>
            <w:pPr>
              <w:jc w:val="right"/>
              <w:spacing w:after="0"/>
              <w:rPr>
                <w:sz w:val="20"/>
                <w:szCs w:val="20"/>
                <w:color w:val="auto"/>
              </w:rPr>
            </w:pPr>
            <w:r>
              <w:rPr>
                <w:rFonts w:ascii="Arial" w:cs="Arial" w:eastAsia="Arial" w:hAnsi="Arial"/>
                <w:sz w:val="18"/>
                <w:szCs w:val="18"/>
                <w:color w:val="auto"/>
                <w:w w:val="95"/>
              </w:rPr>
              <w:t>February 26, 2016</w:t>
            </w:r>
          </w:p>
        </w:tc>
      </w:tr>
      <w:tr>
        <w:trPr>
          <w:trHeight w:val="230"/>
        </w:trPr>
        <w:tc>
          <w:tcPr>
            <w:tcW w:w="3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22.26</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February 25,2017</w:t>
            </w:r>
          </w:p>
        </w:tc>
      </w:tr>
    </w:tbl>
    <w:p>
      <w:pPr>
        <w:spacing w:after="0" w:line="229" w:lineRule="exact"/>
        <w:rPr>
          <w:sz w:val="20"/>
          <w:szCs w:val="20"/>
          <w:color w:val="auto"/>
        </w:rPr>
      </w:pPr>
    </w:p>
    <w:p>
      <w:pPr>
        <w:jc w:val="both"/>
        <w:ind w:left="940" w:hanging="616"/>
        <w:spacing w:after="0" w:line="271"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ind w:left="940" w:hanging="61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securities covered by all of the above options are non-revenue qualified.</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Employee Share Option Schemes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Each grant of an option under the 2008 Option Plans will be evidenced by a Stock Option Agreement between the optionee and the Company. The exercise price will be specified in each Stock Option Agreement.</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Plan during any calendar year to any employee shall be 400,000 ordinary shares. There is no individual limit under the 2008 Consultants Plan. No options may be granted under the plans after July 21, 2018.</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21, 2008, the Company adopted the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Plan may be settled in cash or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and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Organization Committee of the Board may grant options to employees of the Company or its subsidiaries for the purchase of ordinary shares. Each option will be an employee stock option, or NSO. Each grant of an option under the 2003 Plan will be evidenced by a Stock Option Agreement between the optionee and the Company. The exercise price will be specified in each Stock Option Agreement.</w:t>
      </w:r>
    </w:p>
    <w:p>
      <w:pPr>
        <w:spacing w:after="0" w:line="2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No options can be granted after January 17, 2013.</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Compensation and Organization Committee (the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executive compensation program has three elements: base salary, a bonus plan and equity incentives in the form of stock related awards granted under the Company’s equity incentive plans. All elements of executive compensation are determined by the Committee based on the achievement of ICON’s objectives.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year ended December 31, 2009, the executive officers earned significant bonuses and the Company awarded them additional equity incentives in the form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 and Bonus Incentive</w:t>
      </w:r>
    </w:p>
    <w:p>
      <w:pPr>
        <w:spacing w:after="0" w:line="2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is up to 80% of base salary.</w:t>
      </w:r>
    </w:p>
    <w:p>
      <w:pPr>
        <w:spacing w:after="0" w:line="20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For fiscal 2009, based upon the Company’s income performance relative to the targets set by the Committee and individual objectives approved by the Committee, the Company’s named executive officers, excluding the Chief Executive Officer, earned an aggregate bonus of €558,575 ($777,760).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executives are eligible to receive equity incentives, including stock options and restricted share units, granted under the Company’s equity incentive plans. If executives receive equity incentive grants, they are normally approved annually at the first regularly scheduled meeting of the Committee in the fiscal year and awarded at the closing price on the second full day following the release of the Company’s prior year results.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 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in the form of share options, to executive officers in its fiscal years ended December 31, 2008 and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Compensation</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Committee uses the same factors in determining the compensation of the Chief Executive Officer as it does for the other participants. The Chief Executive Officer’s base salary for the year ended December 31, 2009, was €500,000 ($696,200).</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2009</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440" w:type="dxa"/>
            <w:vAlign w:val="bottom"/>
            <w:tcBorders>
              <w:top w:val="single" w:sz="8" w:color="auto"/>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w w:val="93"/>
              </w:rPr>
              <w:t>Name &amp; principal</w:t>
            </w:r>
          </w:p>
        </w:tc>
        <w:tc>
          <w:tcPr>
            <w:tcW w:w="54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9"/>
              </w:rPr>
              <w:t>Pension</w:t>
            </w:r>
          </w:p>
        </w:tc>
        <w:tc>
          <w:tcPr>
            <w:tcW w:w="1280" w:type="dxa"/>
            <w:vAlign w:val="bottom"/>
            <w:tcBorders>
              <w:top w:val="single" w:sz="8" w:color="auto"/>
              <w:right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rPr>
              <w:t>All other</w:t>
            </w:r>
          </w:p>
        </w:tc>
        <w:tc>
          <w:tcPr>
            <w:tcW w:w="112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6"/>
              </w:rPr>
              <w:t>Share-based</w:t>
            </w:r>
          </w:p>
        </w:tc>
        <w:tc>
          <w:tcPr>
            <w:tcW w:w="1240" w:type="dxa"/>
            <w:vAlign w:val="bottom"/>
            <w:tcBorders>
              <w:top w:val="single" w:sz="8" w:color="auto"/>
              <w:right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Total</w:t>
            </w:r>
          </w:p>
        </w:tc>
      </w:tr>
      <w:tr>
        <w:trPr>
          <w:trHeight w:val="241"/>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Year</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Salary</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Bonus</w:t>
            </w:r>
          </w:p>
        </w:tc>
        <w:tc>
          <w:tcPr>
            <w:tcW w:w="124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contribution</w:t>
            </w: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compensation</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2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1"/>
              </w:rPr>
              <w:t>compensation</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compensation</w:t>
            </w:r>
          </w:p>
        </w:tc>
      </w:tr>
      <w:tr>
        <w:trPr>
          <w:trHeight w:val="198"/>
        </w:trPr>
        <w:tc>
          <w:tcPr>
            <w:tcW w:w="1440" w:type="dxa"/>
            <w:vAlign w:val="bottom"/>
            <w:tcBorders>
              <w:left w:val="single" w:sz="8" w:color="auto"/>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104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1280" w:type="dxa"/>
            <w:vAlign w:val="bottom"/>
            <w:tcBorders>
              <w:right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Euro</w:t>
            </w:r>
          </w:p>
        </w:tc>
        <w:tc>
          <w:tcPr>
            <w:tcW w:w="112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114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USD</w:t>
            </w:r>
          </w:p>
        </w:tc>
        <w:tc>
          <w:tcPr>
            <w:tcW w:w="180" w:type="dxa"/>
            <w:vAlign w:val="bottom"/>
          </w:tcPr>
          <w:p>
            <w:pPr>
              <w:spacing w:after="0"/>
              <w:rPr>
                <w:sz w:val="17"/>
                <w:szCs w:val="17"/>
                <w:color w:val="auto"/>
              </w:rPr>
            </w:pPr>
          </w:p>
        </w:tc>
        <w:tc>
          <w:tcPr>
            <w:tcW w:w="1100" w:type="dxa"/>
            <w:vAlign w:val="bottom"/>
            <w:tcBorders>
              <w:right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USD</w:t>
            </w:r>
          </w:p>
        </w:tc>
        <w:tc>
          <w:tcPr>
            <w:tcW w:w="124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USD</w:t>
            </w:r>
          </w:p>
        </w:tc>
      </w:tr>
      <w:tr>
        <w:trPr>
          <w:trHeight w:val="241"/>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418"/>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Gray,</w:t>
            </w:r>
          </w:p>
        </w:tc>
        <w:tc>
          <w:tcPr>
            <w:tcW w:w="5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Executive</w:t>
            </w:r>
          </w:p>
        </w:tc>
        <w:tc>
          <w:tcPr>
            <w:tcW w:w="5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7"/>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2009</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387,500</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49,300</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38,302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975,102</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1,357,603</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112,455</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1,470,058</w:t>
            </w:r>
          </w:p>
        </w:tc>
      </w:tr>
      <w:tr>
        <w:trPr>
          <w:trHeight w:val="418"/>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Ciaran Murray,</w:t>
            </w:r>
          </w:p>
        </w:tc>
        <w:tc>
          <w:tcPr>
            <w:tcW w:w="5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Financial</w:t>
            </w:r>
          </w:p>
        </w:tc>
        <w:tc>
          <w:tcPr>
            <w:tcW w:w="5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7"/>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2009</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309,000</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208,575</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27,480</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18,332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563,387</w:t>
            </w:r>
          </w:p>
        </w:tc>
        <w:tc>
          <w:tcPr>
            <w:tcW w:w="11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785,250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118,468</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903,718</w:t>
            </w:r>
          </w:p>
        </w:tc>
      </w:tr>
      <w:tr>
        <w:trPr>
          <w:trHeight w:val="418"/>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Climax*,</w:t>
            </w:r>
          </w:p>
        </w:tc>
        <w:tc>
          <w:tcPr>
            <w:tcW w:w="5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r>
      <w:tr>
        <w:trPr>
          <w:trHeight w:val="237"/>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2009</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600,000</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350,000</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440,308</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954,492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2,344,800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3,352,110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527,351</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3,879,461</w:t>
            </w:r>
          </w:p>
        </w:tc>
      </w:tr>
      <w:tr>
        <w:trPr>
          <w:trHeight w:val="439"/>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2009</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€ 1,409,000</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€ 946,075</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517,088</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1,011,126</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€ 3,883,289</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$ 5,494,963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758,274</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6,253,237</w:t>
            </w:r>
          </w:p>
        </w:tc>
      </w:tr>
    </w:tbl>
    <w:p>
      <w:pPr>
        <w:spacing w:after="0"/>
        <w:rPr>
          <w:sz w:val="20"/>
          <w:szCs w:val="20"/>
          <w:color w:val="auto"/>
        </w:rPr>
      </w:pPr>
      <w:r>
        <w:rPr>
          <w:rFonts w:ascii="Arial" w:cs="Arial" w:eastAsia="Arial" w:hAnsi="Arial"/>
          <w:sz w:val="18"/>
          <w:szCs w:val="18"/>
          <w:color w:val="auto"/>
        </w:rPr>
        <w:t xml:space="preserve">* Further information is set out in the </w:t>
      </w:r>
      <w:r>
        <w:rPr>
          <w:rFonts w:ascii="Arial" w:cs="Arial" w:eastAsia="Arial" w:hAnsi="Arial"/>
          <w:sz w:val="18"/>
          <w:szCs w:val="18"/>
          <w:i w:val="1"/>
          <w:iCs w:val="1"/>
          <w:color w:val="auto"/>
        </w:rPr>
        <w:t>Disclosure of Compensation Agreements</w:t>
      </w:r>
      <w:r>
        <w:rPr>
          <w:rFonts w:ascii="Arial" w:cs="Arial" w:eastAsia="Arial" w:hAnsi="Arial"/>
          <w:sz w:val="18"/>
          <w:szCs w:val="18"/>
          <w:color w:val="auto"/>
        </w:rPr>
        <w:t xml:space="preserve"> section on page 43 of this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440" w:type="dxa"/>
            <w:vAlign w:val="bottom"/>
            <w:tcBorders>
              <w:top w:val="single" w:sz="8" w:color="auto"/>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w w:val="93"/>
              </w:rPr>
              <w:t>Name &amp; principal</w:t>
            </w:r>
          </w:p>
        </w:tc>
        <w:tc>
          <w:tcPr>
            <w:tcW w:w="50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Pension</w:t>
            </w: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All other</w:t>
            </w:r>
          </w:p>
        </w:tc>
        <w:tc>
          <w:tcPr>
            <w:tcW w:w="112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6"/>
              </w:rPr>
              <w:t>Share-based</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Total</w:t>
            </w:r>
          </w:p>
        </w:tc>
      </w:tr>
      <w:tr>
        <w:trPr>
          <w:trHeight w:val="241"/>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c>
          <w:tcPr>
            <w:tcW w:w="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Year</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Salary</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Bonus</w:t>
            </w:r>
          </w:p>
        </w:tc>
        <w:tc>
          <w:tcPr>
            <w:tcW w:w="122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contribution</w:t>
            </w:r>
          </w:p>
        </w:tc>
        <w:tc>
          <w:tcPr>
            <w:tcW w:w="126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compensation</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Subtotal</w:t>
            </w:r>
          </w:p>
        </w:tc>
        <w:tc>
          <w:tcPr>
            <w:tcW w:w="126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130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Compensation</w:t>
            </w:r>
          </w:p>
        </w:tc>
      </w:tr>
      <w:tr>
        <w:trPr>
          <w:trHeight w:val="198"/>
        </w:trPr>
        <w:tc>
          <w:tcPr>
            <w:tcW w:w="1440" w:type="dxa"/>
            <w:vAlign w:val="bottom"/>
            <w:tcBorders>
              <w:left w:val="single" w:sz="8" w:color="auto"/>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110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380" w:type="dxa"/>
            <w:vAlign w:val="bottom"/>
          </w:tcPr>
          <w:p>
            <w:pPr>
              <w:spacing w:after="0"/>
              <w:rPr>
                <w:sz w:val="17"/>
                <w:szCs w:val="17"/>
                <w:color w:val="auto"/>
              </w:rPr>
            </w:pPr>
          </w:p>
        </w:tc>
        <w:tc>
          <w:tcPr>
            <w:tcW w:w="84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Euro</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Euro</w:t>
            </w:r>
          </w:p>
        </w:tc>
        <w:tc>
          <w:tcPr>
            <w:tcW w:w="112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Euro</w:t>
            </w:r>
          </w:p>
        </w:tc>
        <w:tc>
          <w:tcPr>
            <w:tcW w:w="110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USD</w:t>
            </w:r>
          </w:p>
        </w:tc>
        <w:tc>
          <w:tcPr>
            <w:tcW w:w="180" w:type="dxa"/>
            <w:vAlign w:val="bottom"/>
          </w:tcPr>
          <w:p>
            <w:pPr>
              <w:spacing w:after="0"/>
              <w:rPr>
                <w:sz w:val="17"/>
                <w:szCs w:val="17"/>
                <w:color w:val="auto"/>
              </w:rPr>
            </w:pPr>
          </w:p>
        </w:tc>
        <w:tc>
          <w:tcPr>
            <w:tcW w:w="108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USD</w:t>
            </w:r>
          </w:p>
        </w:tc>
        <w:tc>
          <w:tcPr>
            <w:tcW w:w="320" w:type="dxa"/>
            <w:vAlign w:val="bottom"/>
          </w:tcPr>
          <w:p>
            <w:pPr>
              <w:spacing w:after="0"/>
              <w:rPr>
                <w:sz w:val="17"/>
                <w:szCs w:val="17"/>
                <w:color w:val="auto"/>
              </w:rPr>
            </w:pPr>
          </w:p>
        </w:tc>
        <w:tc>
          <w:tcPr>
            <w:tcW w:w="98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USD</w:t>
            </w:r>
          </w:p>
        </w:tc>
      </w:tr>
      <w:tr>
        <w:trPr>
          <w:trHeight w:val="241"/>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2"/>
        </w:trPr>
        <w:tc>
          <w:tcPr>
            <w:tcW w:w="14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Peter Gray,</w:t>
            </w:r>
          </w:p>
        </w:tc>
        <w:tc>
          <w:tcPr>
            <w:tcW w:w="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Executive</w:t>
            </w:r>
          </w:p>
        </w:tc>
        <w:tc>
          <w:tcPr>
            <w:tcW w:w="5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7"/>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2008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496,500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387,500</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49,300</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43,380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976,680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1,358,865</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80,330</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1,439,195</w:t>
            </w:r>
          </w:p>
        </w:tc>
      </w:tr>
      <w:tr>
        <w:trPr>
          <w:trHeight w:val="202"/>
        </w:trPr>
        <w:tc>
          <w:tcPr>
            <w:tcW w:w="14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Ciaran Murray,</w:t>
            </w:r>
          </w:p>
        </w:tc>
        <w:tc>
          <w:tcPr>
            <w:tcW w:w="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Financial</w:t>
            </w:r>
          </w:p>
        </w:tc>
        <w:tc>
          <w:tcPr>
            <w:tcW w:w="5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7"/>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2008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300,000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215,000</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26,400</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18,466</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559,866</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780,935</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175,135</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956,070</w:t>
            </w:r>
          </w:p>
        </w:tc>
      </w:tr>
      <w:tr>
        <w:trPr>
          <w:trHeight w:val="202"/>
        </w:trPr>
        <w:tc>
          <w:tcPr>
            <w:tcW w:w="14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John Climax,</w:t>
            </w:r>
          </w:p>
        </w:tc>
        <w:tc>
          <w:tcPr>
            <w:tcW w:w="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37"/>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Chairman</w:t>
            </w:r>
          </w:p>
        </w:tc>
        <w:tc>
          <w:tcPr>
            <w:tcW w:w="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2008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600,000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405,000</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62,280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1,117,280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1,558,240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71,717</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1,629,957</w:t>
            </w:r>
          </w:p>
        </w:tc>
      </w:tr>
      <w:tr>
        <w:trPr>
          <w:trHeight w:val="439"/>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9"/>
              </w:rPr>
              <w:t>2008</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€ 1,396,500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€ 1,007,500</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125,700</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124,126</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€ 2,653,826</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$ 3,698,040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327,182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4,025,222</w:t>
            </w:r>
          </w:p>
        </w:tc>
      </w:tr>
    </w:tbl>
    <w:p>
      <w:pPr>
        <w:spacing w:after="0"/>
        <w:rPr>
          <w:sz w:val="20"/>
          <w:szCs w:val="20"/>
          <w:color w:val="auto"/>
        </w:rPr>
      </w:pPr>
      <w:r>
        <w:rPr>
          <w:rFonts w:ascii="Arial" w:cs="Arial" w:eastAsia="Arial" w:hAnsi="Arial"/>
          <w:sz w:val="18"/>
          <w:szCs w:val="18"/>
          <w:i w:val="1"/>
          <w:iCs w:val="1"/>
          <w:color w:val="auto"/>
        </w:rPr>
        <w:t>Grant of Plan-Based Awards - Fiscal 2009</w:t>
      </w:r>
    </w:p>
    <w:p>
      <w:pPr>
        <w:spacing w:after="0" w:line="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With the exception of the bonus element of compensation mentioned above, there were no plan based awards for any of the named executive officers in fiscal 2009.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2009</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360" w:type="dxa"/>
            <w:vAlign w:val="bottom"/>
            <w:tcBorders>
              <w:top w:val="single" w:sz="8" w:color="auto"/>
              <w:left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5"/>
              </w:rPr>
              <w:t>Company</w:t>
            </w:r>
          </w:p>
        </w:tc>
        <w:tc>
          <w:tcPr>
            <w:tcW w:w="126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All other</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Share-based</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Director’s</w:t>
            </w:r>
          </w:p>
        </w:tc>
        <w:tc>
          <w:tcPr>
            <w:tcW w:w="340" w:type="dxa"/>
            <w:vAlign w:val="bottom"/>
          </w:tcPr>
          <w:p>
            <w:pPr>
              <w:spacing w:after="0"/>
              <w:rPr>
                <w:sz w:val="18"/>
                <w:szCs w:val="18"/>
                <w:color w:val="auto"/>
              </w:rPr>
            </w:pP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1"/>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Year</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Salary</w:t>
            </w:r>
          </w:p>
        </w:tc>
        <w:tc>
          <w:tcPr>
            <w:tcW w:w="120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contribution</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Subtotal</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Subtotal</w:t>
            </w:r>
          </w:p>
        </w:tc>
        <w:tc>
          <w:tcPr>
            <w:tcW w:w="126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fees</w:t>
            </w:r>
          </w:p>
        </w:tc>
        <w:tc>
          <w:tcPr>
            <w:tcW w:w="130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compensation</w:t>
            </w:r>
          </w:p>
        </w:tc>
      </w:tr>
      <w:tr>
        <w:trPr>
          <w:trHeight w:val="202"/>
        </w:trPr>
        <w:tc>
          <w:tcPr>
            <w:tcW w:w="13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Euro</w:t>
            </w:r>
          </w:p>
        </w:tc>
        <w:tc>
          <w:tcPr>
            <w:tcW w:w="260" w:type="dxa"/>
            <w:vAlign w:val="bottom"/>
          </w:tcPr>
          <w:p>
            <w:pPr>
              <w:spacing w:after="0"/>
              <w:rPr>
                <w:sz w:val="17"/>
                <w:szCs w:val="17"/>
                <w:color w:val="auto"/>
              </w:rPr>
            </w:pPr>
          </w:p>
        </w:tc>
        <w:tc>
          <w:tcPr>
            <w:tcW w:w="94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Euro</w:t>
            </w:r>
          </w:p>
        </w:tc>
        <w:tc>
          <w:tcPr>
            <w:tcW w:w="126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Euro</w:t>
            </w:r>
          </w:p>
        </w:tc>
        <w:tc>
          <w:tcPr>
            <w:tcW w:w="112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Euro</w:t>
            </w:r>
          </w:p>
        </w:tc>
        <w:tc>
          <w:tcPr>
            <w:tcW w:w="112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USD</w:t>
            </w:r>
          </w:p>
        </w:tc>
        <w:tc>
          <w:tcPr>
            <w:tcW w:w="180" w:type="dxa"/>
            <w:vAlign w:val="bottom"/>
          </w:tcPr>
          <w:p>
            <w:pPr>
              <w:spacing w:after="0"/>
              <w:rPr>
                <w:sz w:val="17"/>
                <w:szCs w:val="17"/>
                <w:color w:val="auto"/>
              </w:rPr>
            </w:pPr>
          </w:p>
        </w:tc>
        <w:tc>
          <w:tcPr>
            <w:tcW w:w="10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USD</w:t>
            </w:r>
          </w:p>
        </w:tc>
        <w:tc>
          <w:tcPr>
            <w:tcW w:w="200" w:type="dxa"/>
            <w:vAlign w:val="bottom"/>
          </w:tcPr>
          <w:p>
            <w:pPr>
              <w:spacing w:after="0"/>
              <w:rPr>
                <w:sz w:val="17"/>
                <w:szCs w:val="17"/>
                <w:color w:val="auto"/>
              </w:rPr>
            </w:pP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USD</w:t>
            </w:r>
          </w:p>
        </w:tc>
        <w:tc>
          <w:tcPr>
            <w:tcW w:w="340" w:type="dxa"/>
            <w:vAlign w:val="bottom"/>
          </w:tcPr>
          <w:p>
            <w:pPr>
              <w:spacing w:after="0"/>
              <w:rPr>
                <w:sz w:val="17"/>
                <w:szCs w:val="17"/>
                <w:color w:val="auto"/>
              </w:rPr>
            </w:pPr>
          </w:p>
        </w:tc>
        <w:tc>
          <w:tcPr>
            <w:tcW w:w="9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r>
      <w:tr>
        <w:trPr>
          <w:trHeight w:val="237"/>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Climax*</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440,308</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1,304,492</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2,344,800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3,352,110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527,351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3,879,461</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Gray</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49,300</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425,802</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975,102</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1,357,603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112,455</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1,470,058</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Ronan Lambe</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19,383</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67,383</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Thomas Lynch</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23,025</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78,000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101,025</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Edward Roberts</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23,025</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78,000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101,025</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Bruce Given</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22,611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88,611</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Dermot Kelleher</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21,691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51,750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73,441</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Anthony Murphy</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2,476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41,750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44,226</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Shuji Higuchi</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21,110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21,110</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€ 1,100,000</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489,608</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1,730,294</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€ 3,319,902</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$ 4,709,713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773,127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363,500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5,846,340</w:t>
            </w:r>
          </w:p>
        </w:tc>
      </w:tr>
    </w:tbl>
    <w:p>
      <w:pPr>
        <w:spacing w:after="0"/>
        <w:rPr>
          <w:sz w:val="20"/>
          <w:szCs w:val="20"/>
          <w:color w:val="auto"/>
        </w:rPr>
      </w:pPr>
      <w:r>
        <w:rPr>
          <w:rFonts w:ascii="Arial" w:cs="Arial" w:eastAsia="Arial" w:hAnsi="Arial"/>
          <w:sz w:val="18"/>
          <w:szCs w:val="18"/>
          <w:color w:val="auto"/>
        </w:rPr>
        <w:t xml:space="preserve">* Further information is set out in the </w:t>
      </w:r>
      <w:r>
        <w:rPr>
          <w:rFonts w:ascii="Arial" w:cs="Arial" w:eastAsia="Arial" w:hAnsi="Arial"/>
          <w:sz w:val="18"/>
          <w:szCs w:val="18"/>
          <w:i w:val="1"/>
          <w:iCs w:val="1"/>
          <w:color w:val="auto"/>
        </w:rPr>
        <w:t>Disclosure of Compensation Agreements</w:t>
      </w:r>
      <w:r>
        <w:rPr>
          <w:rFonts w:ascii="Arial" w:cs="Arial" w:eastAsia="Arial" w:hAnsi="Arial"/>
          <w:sz w:val="18"/>
          <w:szCs w:val="18"/>
          <w:color w:val="auto"/>
        </w:rPr>
        <w:t xml:space="preserve"> section on page 43 of this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360" w:type="dxa"/>
            <w:vAlign w:val="bottom"/>
            <w:tcBorders>
              <w:top w:val="single" w:sz="8" w:color="auto"/>
              <w:left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5"/>
              </w:rPr>
              <w:t>Company</w:t>
            </w: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320" w:type="dxa"/>
            <w:vAlign w:val="bottom"/>
          </w:tcPr>
          <w:p>
            <w:pPr>
              <w:spacing w:after="0"/>
              <w:rPr>
                <w:sz w:val="18"/>
                <w:szCs w:val="18"/>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All other</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Share-based</w:t>
            </w:r>
          </w:p>
        </w:tc>
        <w:tc>
          <w:tcPr>
            <w:tcW w:w="11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Director’s</w:t>
            </w:r>
          </w:p>
        </w:tc>
        <w:tc>
          <w:tcPr>
            <w:tcW w:w="340" w:type="dxa"/>
            <w:vAlign w:val="bottom"/>
          </w:tcPr>
          <w:p>
            <w:pPr>
              <w:spacing w:after="0"/>
              <w:rPr>
                <w:sz w:val="18"/>
                <w:szCs w:val="18"/>
                <w:color w:val="auto"/>
              </w:rPr>
            </w:pP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1"/>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Year</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Salary</w:t>
            </w:r>
          </w:p>
        </w:tc>
        <w:tc>
          <w:tcPr>
            <w:tcW w:w="120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contribution</w:t>
            </w:r>
          </w:p>
        </w:tc>
        <w:tc>
          <w:tcPr>
            <w:tcW w:w="126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Subtotal</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Subtotal</w:t>
            </w:r>
          </w:p>
        </w:tc>
        <w:tc>
          <w:tcPr>
            <w:tcW w:w="126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1"/>
              </w:rPr>
              <w:t>compensation</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fees</w:t>
            </w:r>
          </w:p>
        </w:tc>
        <w:tc>
          <w:tcPr>
            <w:tcW w:w="130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compensation</w:t>
            </w:r>
          </w:p>
        </w:tc>
      </w:tr>
      <w:tr>
        <w:trPr>
          <w:trHeight w:val="202"/>
        </w:trPr>
        <w:tc>
          <w:tcPr>
            <w:tcW w:w="13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Euro</w:t>
            </w:r>
          </w:p>
        </w:tc>
        <w:tc>
          <w:tcPr>
            <w:tcW w:w="260" w:type="dxa"/>
            <w:vAlign w:val="bottom"/>
          </w:tcPr>
          <w:p>
            <w:pPr>
              <w:spacing w:after="0"/>
              <w:rPr>
                <w:sz w:val="17"/>
                <w:szCs w:val="17"/>
                <w:color w:val="auto"/>
              </w:rPr>
            </w:pPr>
          </w:p>
        </w:tc>
        <w:tc>
          <w:tcPr>
            <w:tcW w:w="94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Euro</w:t>
            </w:r>
          </w:p>
        </w:tc>
        <w:tc>
          <w:tcPr>
            <w:tcW w:w="320" w:type="dxa"/>
            <w:vAlign w:val="bottom"/>
          </w:tcPr>
          <w:p>
            <w:pPr>
              <w:spacing w:after="0"/>
              <w:rPr>
                <w:sz w:val="17"/>
                <w:szCs w:val="17"/>
                <w:color w:val="auto"/>
              </w:rPr>
            </w:pPr>
          </w:p>
        </w:tc>
        <w:tc>
          <w:tcPr>
            <w:tcW w:w="94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Euro</w:t>
            </w:r>
          </w:p>
        </w:tc>
        <w:tc>
          <w:tcPr>
            <w:tcW w:w="112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Euro</w:t>
            </w:r>
          </w:p>
        </w:tc>
        <w:tc>
          <w:tcPr>
            <w:tcW w:w="112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USD</w:t>
            </w:r>
          </w:p>
        </w:tc>
        <w:tc>
          <w:tcPr>
            <w:tcW w:w="180" w:type="dxa"/>
            <w:vAlign w:val="bottom"/>
          </w:tcPr>
          <w:p>
            <w:pPr>
              <w:spacing w:after="0"/>
              <w:rPr>
                <w:sz w:val="17"/>
                <w:szCs w:val="17"/>
                <w:color w:val="auto"/>
              </w:rPr>
            </w:pPr>
          </w:p>
        </w:tc>
        <w:tc>
          <w:tcPr>
            <w:tcW w:w="10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USD</w:t>
            </w:r>
          </w:p>
        </w:tc>
        <w:tc>
          <w:tcPr>
            <w:tcW w:w="11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USD</w:t>
            </w:r>
          </w:p>
        </w:tc>
        <w:tc>
          <w:tcPr>
            <w:tcW w:w="340" w:type="dxa"/>
            <w:vAlign w:val="bottom"/>
          </w:tcPr>
          <w:p>
            <w:pPr>
              <w:spacing w:after="0"/>
              <w:rPr>
                <w:sz w:val="17"/>
                <w:szCs w:val="17"/>
                <w:color w:val="auto"/>
              </w:rPr>
            </w:pPr>
          </w:p>
        </w:tc>
        <w:tc>
          <w:tcPr>
            <w:tcW w:w="9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USD</w:t>
            </w:r>
          </w:p>
        </w:tc>
      </w:tr>
      <w:tr>
        <w:trPr>
          <w:trHeight w:val="237"/>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Climax</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467,280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1,117,280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1,558,240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71,717</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1,629,957</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Gray</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496,500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49,300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430,880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976,680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1,358,865</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80,330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1,439,195</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Ronan Lambe</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80,000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80,000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118,150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19,861</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178,011</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Thomas Lynch</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23,482</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78,482</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Edward Roberts</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23,503</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65,000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88,503</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Shuji Higuchi</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23,503</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63,503</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Bruce Given</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18,538</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63,538</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Dermot Kelleher</w:t>
            </w:r>
          </w:p>
        </w:tc>
        <w:tc>
          <w:tcPr>
            <w:tcW w:w="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10,779</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21,000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31,779</w:t>
            </w:r>
          </w:p>
        </w:tc>
      </w:tr>
      <w:tr>
        <w:trPr>
          <w:trHeight w:val="22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€ 1,096,500</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99,300</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978,160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€ 2,173,960</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$ 3,035,255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271,713</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266,000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3,572,968</w:t>
            </w:r>
          </w:p>
        </w:tc>
      </w:tr>
      <w:tr>
        <w:trPr>
          <w:trHeight w:val="608"/>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ind w:right="750"/>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1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Outstanding Equity Interests Received as Compensation</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Outstanding Equity Awards Table –</w:t>
      </w:r>
      <w:r>
        <w:rPr>
          <w:rFonts w:ascii="Arial" w:cs="Arial" w:eastAsia="Arial" w:hAnsi="Arial"/>
          <w:sz w:val="18"/>
          <w:szCs w:val="18"/>
          <w:color w:val="auto"/>
        </w:rPr>
        <w:t>The following table sets forth information concerning stock options held by the named Executive Officers at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Name</w:t>
            </w:r>
          </w:p>
        </w:tc>
        <w:tc>
          <w:tcPr>
            <w:tcW w:w="2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w w:val="94"/>
              </w:rPr>
              <w:t>Option awards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Equity incentive</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plan awards: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No. of securities</w:t>
            </w:r>
          </w:p>
        </w:tc>
        <w:tc>
          <w:tcPr>
            <w:tcW w:w="1360" w:type="dxa"/>
            <w:vAlign w:val="bottom"/>
          </w:tcPr>
          <w:p>
            <w:pPr>
              <w:jc w:val="right"/>
              <w:spacing w:after="0"/>
              <w:rPr>
                <w:sz w:val="20"/>
                <w:szCs w:val="20"/>
                <w:color w:val="auto"/>
              </w:rPr>
            </w:pPr>
            <w:r>
              <w:rPr>
                <w:rFonts w:ascii="Arial" w:cs="Arial" w:eastAsia="Arial" w:hAnsi="Arial"/>
                <w:sz w:val="18"/>
                <w:szCs w:val="18"/>
                <w:color w:val="auto"/>
                <w:w w:val="99"/>
              </w:rPr>
              <w:t>No. of securities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No. of securities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underlying</w:t>
            </w:r>
          </w:p>
        </w:tc>
        <w:tc>
          <w:tcPr>
            <w:tcW w:w="1360" w:type="dxa"/>
            <w:vAlign w:val="bottom"/>
          </w:tcPr>
          <w:p>
            <w:pPr>
              <w:jc w:val="right"/>
              <w:spacing w:after="0"/>
              <w:rPr>
                <w:sz w:val="20"/>
                <w:szCs w:val="20"/>
                <w:color w:val="auto"/>
              </w:rPr>
            </w:pPr>
            <w:r>
              <w:rPr>
                <w:rFonts w:ascii="Arial" w:cs="Arial" w:eastAsia="Arial" w:hAnsi="Arial"/>
                <w:sz w:val="18"/>
                <w:szCs w:val="18"/>
                <w:color w:val="auto"/>
              </w:rPr>
              <w:t>underlying</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underlying</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unexercised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unexercised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unexercised</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Option</w:t>
            </w:r>
          </w:p>
        </w:tc>
        <w:tc>
          <w:tcPr>
            <w:tcW w:w="12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options –</w:t>
            </w:r>
          </w:p>
        </w:tc>
        <w:tc>
          <w:tcPr>
            <w:tcW w:w="1360" w:type="dxa"/>
            <w:vAlign w:val="bottom"/>
          </w:tcPr>
          <w:p>
            <w:pPr>
              <w:jc w:val="right"/>
              <w:spacing w:after="0"/>
              <w:rPr>
                <w:sz w:val="20"/>
                <w:szCs w:val="20"/>
                <w:color w:val="auto"/>
              </w:rPr>
            </w:pPr>
            <w:r>
              <w:rPr>
                <w:rFonts w:ascii="Arial" w:cs="Arial" w:eastAsia="Arial" w:hAnsi="Arial"/>
                <w:sz w:val="18"/>
                <w:szCs w:val="18"/>
                <w:color w:val="auto"/>
              </w:rPr>
              <w:t>options –</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unearned</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exercise</w:t>
            </w:r>
          </w:p>
        </w:tc>
        <w:tc>
          <w:tcPr>
            <w:tcW w:w="1240" w:type="dxa"/>
            <w:vAlign w:val="bottom"/>
          </w:tcPr>
          <w:p>
            <w:pPr>
              <w:ind w:left="160"/>
              <w:spacing w:after="0"/>
              <w:rPr>
                <w:sz w:val="20"/>
                <w:szCs w:val="20"/>
                <w:color w:val="auto"/>
              </w:rPr>
            </w:pPr>
            <w:r>
              <w:rPr>
                <w:rFonts w:ascii="Arial" w:cs="Arial" w:eastAsia="Arial" w:hAnsi="Arial"/>
                <w:sz w:val="18"/>
                <w:szCs w:val="18"/>
                <w:color w:val="auto"/>
              </w:rPr>
              <w:t>Option</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exercisable</w:t>
            </w:r>
          </w:p>
        </w:tc>
        <w:tc>
          <w:tcPr>
            <w:tcW w:w="1360" w:type="dxa"/>
            <w:vAlign w:val="bottom"/>
          </w:tcPr>
          <w:p>
            <w:pPr>
              <w:jc w:val="right"/>
              <w:spacing w:after="0"/>
              <w:rPr>
                <w:sz w:val="20"/>
                <w:szCs w:val="20"/>
                <w:color w:val="auto"/>
              </w:rPr>
            </w:pPr>
            <w:r>
              <w:rPr>
                <w:rFonts w:ascii="Arial" w:cs="Arial" w:eastAsia="Arial" w:hAnsi="Arial"/>
                <w:sz w:val="18"/>
                <w:szCs w:val="18"/>
                <w:color w:val="auto"/>
              </w:rPr>
              <w:t>unexercisable</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options</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price ($)</w:t>
            </w:r>
          </w:p>
        </w:tc>
        <w:tc>
          <w:tcPr>
            <w:tcW w:w="1240" w:type="dxa"/>
            <w:vAlign w:val="bottom"/>
          </w:tcPr>
          <w:p>
            <w:pPr>
              <w:ind w:left="160"/>
              <w:spacing w:after="0"/>
              <w:rPr>
                <w:sz w:val="20"/>
                <w:szCs w:val="20"/>
                <w:color w:val="auto"/>
              </w:rPr>
            </w:pPr>
            <w:r>
              <w:rPr>
                <w:rFonts w:ascii="Arial" w:cs="Arial" w:eastAsia="Arial" w:hAnsi="Arial"/>
                <w:sz w:val="18"/>
                <w:szCs w:val="18"/>
                <w:color w:val="auto"/>
                <w:w w:val="89"/>
              </w:rPr>
              <w:t>expiration date</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Peter Gray</w:t>
            </w: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240" w:type="dxa"/>
            <w:vAlign w:val="bottom"/>
          </w:tcPr>
          <w:p>
            <w:pPr>
              <w:ind w:left="160"/>
              <w:spacing w:after="0"/>
              <w:rPr>
                <w:sz w:val="20"/>
                <w:szCs w:val="20"/>
                <w:color w:val="auto"/>
              </w:rPr>
            </w:pPr>
            <w:r>
              <w:rPr>
                <w:rFonts w:ascii="Arial" w:cs="Arial" w:eastAsia="Arial" w:hAnsi="Arial"/>
                <w:sz w:val="18"/>
                <w:szCs w:val="18"/>
                <w:color w:val="auto"/>
              </w:rPr>
              <w:t>Jan 21, 2011</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1240" w:type="dxa"/>
            <w:vAlign w:val="bottom"/>
          </w:tcPr>
          <w:p>
            <w:pPr>
              <w:ind w:left="160"/>
              <w:spacing w:after="0"/>
              <w:rPr>
                <w:sz w:val="20"/>
                <w:szCs w:val="20"/>
                <w:color w:val="auto"/>
              </w:rPr>
            </w:pPr>
            <w:r>
              <w:rPr>
                <w:rFonts w:ascii="Arial" w:cs="Arial" w:eastAsia="Arial" w:hAnsi="Arial"/>
                <w:sz w:val="18"/>
                <w:szCs w:val="18"/>
                <w:color w:val="auto"/>
              </w:rPr>
              <w:t>Feb 4, 2012</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7,200</w:t>
            </w:r>
          </w:p>
        </w:tc>
        <w:tc>
          <w:tcPr>
            <w:tcW w:w="1360" w:type="dxa"/>
            <w:vAlign w:val="bottom"/>
          </w:tcPr>
          <w:p>
            <w:pPr>
              <w:jc w:val="right"/>
              <w:spacing w:after="0"/>
              <w:rPr>
                <w:sz w:val="20"/>
                <w:szCs w:val="20"/>
                <w:color w:val="auto"/>
              </w:rPr>
            </w:pPr>
            <w:r>
              <w:rPr>
                <w:rFonts w:ascii="Arial" w:cs="Arial" w:eastAsia="Arial" w:hAnsi="Arial"/>
                <w:sz w:val="18"/>
                <w:szCs w:val="18"/>
                <w:color w:val="auto"/>
              </w:rPr>
              <w:t>4,800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11.00</w:t>
            </w:r>
          </w:p>
        </w:tc>
        <w:tc>
          <w:tcPr>
            <w:tcW w:w="1240" w:type="dxa"/>
            <w:vAlign w:val="bottom"/>
          </w:tcPr>
          <w:p>
            <w:pPr>
              <w:ind w:left="160"/>
              <w:spacing w:after="0"/>
              <w:rPr>
                <w:sz w:val="20"/>
                <w:szCs w:val="20"/>
                <w:color w:val="auto"/>
              </w:rPr>
            </w:pPr>
            <w:r>
              <w:rPr>
                <w:rFonts w:ascii="Arial" w:cs="Arial" w:eastAsia="Arial" w:hAnsi="Arial"/>
                <w:sz w:val="18"/>
                <w:szCs w:val="18"/>
                <w:color w:val="auto"/>
              </w:rPr>
              <w:t>Feb 3, 2014</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4,800</w:t>
            </w:r>
          </w:p>
        </w:tc>
        <w:tc>
          <w:tcPr>
            <w:tcW w:w="1360" w:type="dxa"/>
            <w:vAlign w:val="bottom"/>
          </w:tcPr>
          <w:p>
            <w:pPr>
              <w:jc w:val="right"/>
              <w:spacing w:after="0"/>
              <w:rPr>
                <w:sz w:val="20"/>
                <w:szCs w:val="20"/>
                <w:color w:val="auto"/>
              </w:rPr>
            </w:pPr>
            <w:r>
              <w:rPr>
                <w:rFonts w:ascii="Arial" w:cs="Arial" w:eastAsia="Arial" w:hAnsi="Arial"/>
                <w:sz w:val="18"/>
                <w:szCs w:val="18"/>
                <w:color w:val="auto"/>
              </w:rPr>
              <w:t>7,200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21.25</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16, 2015</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2,800</w:t>
            </w:r>
          </w:p>
        </w:tc>
        <w:tc>
          <w:tcPr>
            <w:tcW w:w="1360" w:type="dxa"/>
            <w:vAlign w:val="bottom"/>
          </w:tcPr>
          <w:p>
            <w:pPr>
              <w:jc w:val="right"/>
              <w:spacing w:after="0"/>
              <w:rPr>
                <w:sz w:val="20"/>
                <w:szCs w:val="20"/>
                <w:color w:val="auto"/>
              </w:rPr>
            </w:pPr>
            <w:r>
              <w:rPr>
                <w:rFonts w:ascii="Arial" w:cs="Arial" w:eastAsia="Arial" w:hAnsi="Arial"/>
                <w:sz w:val="18"/>
                <w:szCs w:val="18"/>
                <w:color w:val="auto"/>
              </w:rPr>
              <w:t>11,200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35.33</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26, 2016</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15.84</w:t>
            </w:r>
          </w:p>
        </w:tc>
        <w:tc>
          <w:tcPr>
            <w:tcW w:w="1240" w:type="dxa"/>
            <w:vAlign w:val="bottom"/>
          </w:tcPr>
          <w:p>
            <w:pPr>
              <w:ind w:left="160"/>
              <w:spacing w:after="0"/>
              <w:rPr>
                <w:sz w:val="20"/>
                <w:szCs w:val="20"/>
                <w:color w:val="auto"/>
              </w:rPr>
            </w:pPr>
            <w:r>
              <w:rPr>
                <w:rFonts w:ascii="Arial" w:cs="Arial" w:eastAsia="Arial" w:hAnsi="Arial"/>
                <w:sz w:val="18"/>
                <w:szCs w:val="18"/>
                <w:color w:val="auto"/>
              </w:rPr>
              <w:t>Apr 30, 2017</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Ciaran Murray</w:t>
            </w: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60,000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10.42</w:t>
            </w:r>
          </w:p>
        </w:tc>
        <w:tc>
          <w:tcPr>
            <w:tcW w:w="1240" w:type="dxa"/>
            <w:vAlign w:val="bottom"/>
          </w:tcPr>
          <w:p>
            <w:pPr>
              <w:ind w:left="160"/>
              <w:spacing w:after="0"/>
              <w:rPr>
                <w:sz w:val="20"/>
                <w:szCs w:val="20"/>
                <w:color w:val="auto"/>
              </w:rPr>
            </w:pPr>
            <w:r>
              <w:rPr>
                <w:rFonts w:ascii="Arial" w:cs="Arial" w:eastAsia="Arial" w:hAnsi="Arial"/>
                <w:sz w:val="18"/>
                <w:szCs w:val="18"/>
                <w:color w:val="auto"/>
              </w:rPr>
              <w:t>Jan 17, 2014</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10,800</w:t>
            </w:r>
          </w:p>
        </w:tc>
        <w:tc>
          <w:tcPr>
            <w:tcW w:w="1360" w:type="dxa"/>
            <w:vAlign w:val="bottom"/>
          </w:tcPr>
          <w:p>
            <w:pPr>
              <w:jc w:val="right"/>
              <w:spacing w:after="0"/>
              <w:rPr>
                <w:sz w:val="20"/>
                <w:szCs w:val="20"/>
                <w:color w:val="auto"/>
              </w:rPr>
            </w:pPr>
            <w:r>
              <w:rPr>
                <w:rFonts w:ascii="Arial" w:cs="Arial" w:eastAsia="Arial" w:hAnsi="Arial"/>
                <w:sz w:val="18"/>
                <w:szCs w:val="18"/>
                <w:color w:val="auto"/>
              </w:rPr>
              <w:t>7,200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11.00</w:t>
            </w:r>
          </w:p>
        </w:tc>
        <w:tc>
          <w:tcPr>
            <w:tcW w:w="1240" w:type="dxa"/>
            <w:vAlign w:val="bottom"/>
          </w:tcPr>
          <w:p>
            <w:pPr>
              <w:ind w:left="160"/>
              <w:spacing w:after="0"/>
              <w:rPr>
                <w:sz w:val="20"/>
                <w:szCs w:val="20"/>
                <w:color w:val="auto"/>
              </w:rPr>
            </w:pPr>
            <w:r>
              <w:rPr>
                <w:rFonts w:ascii="Arial" w:cs="Arial" w:eastAsia="Arial" w:hAnsi="Arial"/>
                <w:sz w:val="18"/>
                <w:szCs w:val="18"/>
                <w:color w:val="auto"/>
              </w:rPr>
              <w:t>Feb 3, 2014</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6,400</w:t>
            </w:r>
          </w:p>
        </w:tc>
        <w:tc>
          <w:tcPr>
            <w:tcW w:w="1360" w:type="dxa"/>
            <w:vAlign w:val="bottom"/>
          </w:tcPr>
          <w:p>
            <w:pPr>
              <w:jc w:val="right"/>
              <w:spacing w:after="0"/>
              <w:rPr>
                <w:sz w:val="20"/>
                <w:szCs w:val="20"/>
                <w:color w:val="auto"/>
              </w:rPr>
            </w:pPr>
            <w:r>
              <w:rPr>
                <w:rFonts w:ascii="Arial" w:cs="Arial" w:eastAsia="Arial" w:hAnsi="Arial"/>
                <w:sz w:val="18"/>
                <w:szCs w:val="18"/>
                <w:color w:val="auto"/>
              </w:rPr>
              <w:t>9,600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21.25</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16, 2015</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2,800</w:t>
            </w:r>
          </w:p>
        </w:tc>
        <w:tc>
          <w:tcPr>
            <w:tcW w:w="1360" w:type="dxa"/>
            <w:vAlign w:val="bottom"/>
          </w:tcPr>
          <w:p>
            <w:pPr>
              <w:jc w:val="right"/>
              <w:spacing w:after="0"/>
              <w:rPr>
                <w:sz w:val="20"/>
                <w:szCs w:val="20"/>
                <w:color w:val="auto"/>
              </w:rPr>
            </w:pPr>
            <w:r>
              <w:rPr>
                <w:rFonts w:ascii="Arial" w:cs="Arial" w:eastAsia="Arial" w:hAnsi="Arial"/>
                <w:sz w:val="18"/>
                <w:szCs w:val="18"/>
                <w:color w:val="auto"/>
              </w:rPr>
              <w:t>11,200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35.33</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26, 2016</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17,000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22.26</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25, 2017</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John Climax</w:t>
            </w: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240" w:type="dxa"/>
            <w:vAlign w:val="bottom"/>
          </w:tcPr>
          <w:p>
            <w:pPr>
              <w:ind w:left="160"/>
              <w:spacing w:after="0"/>
              <w:rPr>
                <w:sz w:val="20"/>
                <w:szCs w:val="20"/>
                <w:color w:val="auto"/>
              </w:rPr>
            </w:pPr>
            <w:r>
              <w:rPr>
                <w:rFonts w:ascii="Arial" w:cs="Arial" w:eastAsia="Arial" w:hAnsi="Arial"/>
                <w:sz w:val="18"/>
                <w:szCs w:val="18"/>
                <w:color w:val="auto"/>
              </w:rPr>
              <w:t>Jan 21, 2011</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1240" w:type="dxa"/>
            <w:vAlign w:val="bottom"/>
          </w:tcPr>
          <w:p>
            <w:pPr>
              <w:ind w:left="160"/>
              <w:spacing w:after="0"/>
              <w:rPr>
                <w:sz w:val="20"/>
                <w:szCs w:val="20"/>
                <w:color w:val="auto"/>
              </w:rPr>
            </w:pPr>
            <w:r>
              <w:rPr>
                <w:rFonts w:ascii="Arial" w:cs="Arial" w:eastAsia="Arial" w:hAnsi="Arial"/>
                <w:sz w:val="18"/>
                <w:szCs w:val="18"/>
                <w:color w:val="auto"/>
              </w:rPr>
              <w:t>Feb 4, 2012</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11.00</w:t>
            </w:r>
          </w:p>
        </w:tc>
        <w:tc>
          <w:tcPr>
            <w:tcW w:w="1240" w:type="dxa"/>
            <w:vAlign w:val="bottom"/>
          </w:tcPr>
          <w:p>
            <w:pPr>
              <w:ind w:left="160"/>
              <w:spacing w:after="0"/>
              <w:rPr>
                <w:sz w:val="20"/>
                <w:szCs w:val="20"/>
                <w:color w:val="auto"/>
              </w:rPr>
            </w:pPr>
            <w:r>
              <w:rPr>
                <w:rFonts w:ascii="Arial" w:cs="Arial" w:eastAsia="Arial" w:hAnsi="Arial"/>
                <w:sz w:val="18"/>
                <w:szCs w:val="18"/>
                <w:color w:val="auto"/>
              </w:rPr>
              <w:t>Feb 3, 2014</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21.25</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16, 2015</w:t>
            </w:r>
          </w:p>
        </w:tc>
      </w:tr>
      <w:tr>
        <w:trPr>
          <w:trHeight w:val="216"/>
        </w:trPr>
        <w:tc>
          <w:tcPr>
            <w:tcW w:w="2600" w:type="dxa"/>
            <w:vAlign w:val="bottom"/>
          </w:tcPr>
          <w:p>
            <w:pPr>
              <w:spacing w:after="0"/>
              <w:rPr>
                <w:sz w:val="18"/>
                <w:szCs w:val="18"/>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35.33</w:t>
            </w:r>
          </w:p>
        </w:tc>
        <w:tc>
          <w:tcPr>
            <w:tcW w:w="1240" w:type="dxa"/>
            <w:vAlign w:val="bottom"/>
          </w:tcPr>
          <w:p>
            <w:pPr>
              <w:ind w:left="160"/>
              <w:spacing w:after="0"/>
              <w:rPr>
                <w:sz w:val="20"/>
                <w:szCs w:val="20"/>
                <w:color w:val="auto"/>
              </w:rPr>
            </w:pPr>
            <w:r>
              <w:rPr>
                <w:rFonts w:ascii="Arial" w:cs="Arial" w:eastAsia="Arial" w:hAnsi="Arial"/>
                <w:sz w:val="18"/>
                <w:szCs w:val="18"/>
                <w:color w:val="auto"/>
                <w:w w:val="99"/>
              </w:rPr>
              <w:t>Feb 26, 2016</w:t>
            </w:r>
          </w:p>
        </w:tc>
      </w:tr>
      <w:tr>
        <w:trPr>
          <w:trHeight w:val="230"/>
        </w:trPr>
        <w:tc>
          <w:tcPr>
            <w:tcW w:w="2600" w:type="dxa"/>
            <w:vAlign w:val="bottom"/>
          </w:tcPr>
          <w:p>
            <w:pPr>
              <w:spacing w:after="0"/>
              <w:rPr>
                <w:sz w:val="20"/>
                <w:szCs w:val="20"/>
                <w:color w:val="auto"/>
              </w:rPr>
            </w:pP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15.84</w:t>
            </w:r>
          </w:p>
        </w:tc>
        <w:tc>
          <w:tcPr>
            <w:tcW w:w="1240" w:type="dxa"/>
            <w:vAlign w:val="bottom"/>
          </w:tcPr>
          <w:p>
            <w:pPr>
              <w:ind w:left="160"/>
              <w:spacing w:after="0"/>
              <w:rPr>
                <w:sz w:val="20"/>
                <w:szCs w:val="20"/>
                <w:color w:val="auto"/>
              </w:rPr>
            </w:pPr>
            <w:r>
              <w:rPr>
                <w:rFonts w:ascii="Arial" w:cs="Arial" w:eastAsia="Arial" w:hAnsi="Arial"/>
                <w:sz w:val="18"/>
                <w:szCs w:val="18"/>
                <w:color w:val="auto"/>
              </w:rPr>
              <w:t>Apr 30, 2017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information in this table relates to nonqualified stock options. The Company has not granted any stock appreciation rights (“SARs”) in fiscal year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options become exercisable in five equal installments each year beginning on the first anniversary of the grant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Exercised Table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stock options exercised by the named Directors for the year ended December 31,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No. of securities</w:t>
            </w:r>
          </w:p>
        </w:tc>
        <w:tc>
          <w:tcPr>
            <w:tcW w:w="19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underlying exercised</w:t>
            </w:r>
          </w:p>
        </w:tc>
        <w:tc>
          <w:tcPr>
            <w:tcW w:w="19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options</w:t>
            </w:r>
          </w:p>
        </w:tc>
        <w:tc>
          <w:tcPr>
            <w:tcW w:w="1960" w:type="dxa"/>
            <w:vAlign w:val="bottom"/>
          </w:tcPr>
          <w:p>
            <w:pPr>
              <w:jc w:val="right"/>
              <w:spacing w:after="0"/>
              <w:rPr>
                <w:sz w:val="20"/>
                <w:szCs w:val="20"/>
                <w:color w:val="auto"/>
              </w:rPr>
            </w:pPr>
            <w:r>
              <w:rPr>
                <w:rFonts w:ascii="Arial" w:cs="Arial" w:eastAsia="Arial" w:hAnsi="Arial"/>
                <w:sz w:val="18"/>
                <w:szCs w:val="18"/>
                <w:color w:val="auto"/>
                <w:w w:val="94"/>
              </w:rPr>
              <w:t>Option exercise price ($)</w:t>
            </w:r>
          </w:p>
        </w:tc>
        <w:tc>
          <w:tcPr>
            <w:tcW w:w="3300" w:type="dxa"/>
            <w:vAlign w:val="bottom"/>
          </w:tcPr>
          <w:p>
            <w:pPr>
              <w:jc w:val="right"/>
              <w:ind w:right="1510"/>
              <w:spacing w:after="0"/>
              <w:rPr>
                <w:sz w:val="20"/>
                <w:szCs w:val="20"/>
                <w:color w:val="auto"/>
              </w:rPr>
            </w:pPr>
            <w:r>
              <w:rPr>
                <w:rFonts w:ascii="Arial" w:cs="Arial" w:eastAsia="Arial" w:hAnsi="Arial"/>
                <w:sz w:val="18"/>
                <w:szCs w:val="18"/>
                <w:color w:val="auto"/>
                <w:w w:val="95"/>
              </w:rPr>
              <w:t>Option expiration date</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John Climax</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960" w:type="dxa"/>
            <w:vAlign w:val="bottom"/>
          </w:tcPr>
          <w:p>
            <w:pPr>
              <w:jc w:val="right"/>
              <w:spacing w:after="0"/>
              <w:rPr>
                <w:sz w:val="20"/>
                <w:szCs w:val="20"/>
                <w:color w:val="auto"/>
              </w:rPr>
            </w:pPr>
            <w:r>
              <w:rPr>
                <w:rFonts w:ascii="Arial" w:cs="Arial" w:eastAsia="Arial" w:hAnsi="Arial"/>
                <w:sz w:val="18"/>
                <w:szCs w:val="18"/>
                <w:color w:val="auto"/>
              </w:rPr>
              <w:t>$7.25</w:t>
            </w:r>
          </w:p>
        </w:tc>
        <w:tc>
          <w:tcPr>
            <w:tcW w:w="3300" w:type="dxa"/>
            <w:vAlign w:val="bottom"/>
          </w:tcPr>
          <w:p>
            <w:pPr>
              <w:jc w:val="right"/>
              <w:ind w:right="1510"/>
              <w:spacing w:after="0"/>
              <w:rPr>
                <w:sz w:val="20"/>
                <w:szCs w:val="20"/>
                <w:color w:val="auto"/>
              </w:rPr>
            </w:pPr>
            <w:r>
              <w:rPr>
                <w:rFonts w:ascii="Arial" w:cs="Arial" w:eastAsia="Arial" w:hAnsi="Arial"/>
                <w:sz w:val="18"/>
                <w:szCs w:val="18"/>
                <w:color w:val="auto"/>
              </w:rPr>
              <w:t>January 11, 2010</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Peter Gray</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960" w:type="dxa"/>
            <w:vAlign w:val="bottom"/>
          </w:tcPr>
          <w:p>
            <w:pPr>
              <w:jc w:val="right"/>
              <w:spacing w:after="0"/>
              <w:rPr>
                <w:sz w:val="20"/>
                <w:szCs w:val="20"/>
                <w:color w:val="auto"/>
              </w:rPr>
            </w:pPr>
            <w:r>
              <w:rPr>
                <w:rFonts w:ascii="Arial" w:cs="Arial" w:eastAsia="Arial" w:hAnsi="Arial"/>
                <w:sz w:val="18"/>
                <w:szCs w:val="18"/>
                <w:color w:val="auto"/>
              </w:rPr>
              <w:t>$7.25</w:t>
            </w:r>
          </w:p>
        </w:tc>
        <w:tc>
          <w:tcPr>
            <w:tcW w:w="3300" w:type="dxa"/>
            <w:vAlign w:val="bottom"/>
          </w:tcPr>
          <w:p>
            <w:pPr>
              <w:jc w:val="right"/>
              <w:ind w:right="1510"/>
              <w:spacing w:after="0"/>
              <w:rPr>
                <w:sz w:val="20"/>
                <w:szCs w:val="20"/>
                <w:color w:val="auto"/>
              </w:rPr>
            </w:pPr>
            <w:r>
              <w:rPr>
                <w:rFonts w:ascii="Arial" w:cs="Arial" w:eastAsia="Arial" w:hAnsi="Arial"/>
                <w:sz w:val="18"/>
                <w:szCs w:val="18"/>
                <w:color w:val="auto"/>
              </w:rPr>
              <w:t>January 11, 2010</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Ronan Lambe</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12,000</w:t>
            </w:r>
          </w:p>
        </w:tc>
        <w:tc>
          <w:tcPr>
            <w:tcW w:w="1960" w:type="dxa"/>
            <w:vAlign w:val="bottom"/>
          </w:tcPr>
          <w:p>
            <w:pPr>
              <w:jc w:val="right"/>
              <w:spacing w:after="0"/>
              <w:rPr>
                <w:sz w:val="20"/>
                <w:szCs w:val="20"/>
                <w:color w:val="auto"/>
              </w:rPr>
            </w:pPr>
            <w:r>
              <w:rPr>
                <w:rFonts w:ascii="Arial" w:cs="Arial" w:eastAsia="Arial" w:hAnsi="Arial"/>
                <w:sz w:val="18"/>
                <w:szCs w:val="18"/>
                <w:color w:val="auto"/>
              </w:rPr>
              <w:t>$7.25</w:t>
            </w:r>
          </w:p>
        </w:tc>
        <w:tc>
          <w:tcPr>
            <w:tcW w:w="3300" w:type="dxa"/>
            <w:vAlign w:val="bottom"/>
          </w:tcPr>
          <w:p>
            <w:pPr>
              <w:jc w:val="right"/>
              <w:ind w:right="1510"/>
              <w:spacing w:after="0"/>
              <w:rPr>
                <w:sz w:val="20"/>
                <w:szCs w:val="20"/>
                <w:color w:val="auto"/>
              </w:rPr>
            </w:pPr>
            <w:r>
              <w:rPr>
                <w:rFonts w:ascii="Arial" w:cs="Arial" w:eastAsia="Arial" w:hAnsi="Arial"/>
                <w:sz w:val="18"/>
                <w:szCs w:val="18"/>
                <w:color w:val="auto"/>
              </w:rPr>
              <w:t>January 11, 2010</w:t>
            </w:r>
          </w:p>
        </w:tc>
      </w:tr>
      <w:tr>
        <w:trPr>
          <w:trHeight w:val="702"/>
        </w:trPr>
        <w:tc>
          <w:tcPr>
            <w:tcW w:w="2800" w:type="dxa"/>
            <w:vAlign w:val="bottom"/>
          </w:tcPr>
          <w:p>
            <w:pPr>
              <w:spacing w:after="0"/>
              <w:rPr>
                <w:sz w:val="24"/>
                <w:szCs w:val="24"/>
                <w:color w:val="auto"/>
              </w:rPr>
            </w:pPr>
          </w:p>
        </w:tc>
        <w:tc>
          <w:tcPr>
            <w:tcW w:w="336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19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08"/>
        </w:trPr>
        <w:tc>
          <w:tcPr>
            <w:tcW w:w="280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Retirement Plans &amp; Other Post-Employment Payments &amp;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named executive officers are eligible to participate in a defined contribution pension plan (the “Plan”).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Operations. Total company contributions for the named executive officers for the year ended December 31, 2009, was €517,088 ($756,613).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retirement plans can be found in Note 9 to the Consolidated Financial Statements “Employee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Defined Contribution and Deferred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None of the named executive officers are involved in any non-qualified defined contribution plan or receives any nonqualified deferred compensation.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Termination or Change of Control Agreements with its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Peter Gray</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Peter Gray has served as the Chief Executive Officer since November 2002. He served as the Chief Operating Officer of the Company from June 2001 to November 2002 and as an Executive Director of the Company since June 1997. The service agreement with Mr. Gray is terminable on 12 months notice by either party. He is entitled to receive a bonus to be agreed by the Committee. He is also entitled to receive a pension contribution, company car and medical insurance cover for himself and his dependants. At February 23, 2010, Mr. Gray held 128,000 ordinary share options at exercise prices ranging from $7.00 to $35.33 per share. His service agreement requires him to devote his full time and attention to his duties for the Company excepting certain non-executive positions authorized by the Board. The agreement includes certain post termina tion clauses including non-disclosure, non-competition and non-solicitation provisions.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Mr. Ciaran Murray has served as the Chief Financial Officer since October 2005. The service agreement with Mr. Murray is terminable on 12 months notice by either party. He is entitled to receive a bonus to be agreed by the Committee. He is also entitled to receive a pension contribution, a company car and medical insurance cover for himself and his dependants. At February 23, 2010, Mr. Murray held 125,000 ordinary share options at exercise prices ranging from $10.42 to $35.33 per share. His service agreement requires him to devote his full time and attention to his duties for the Company excepting certain non-executive positions authorized by the Board. The agreement includes certain post-termination clauses including non-disclosure, non-competition and non-solicitation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3" w:lineRule="exact"/>
        <w:rPr>
          <w:sz w:val="20"/>
          <w:szCs w:val="20"/>
          <w:color w:val="auto"/>
        </w:rPr>
      </w:pPr>
    </w:p>
    <w:p>
      <w:pPr>
        <w:jc w:val="both"/>
        <w:ind w:right="300"/>
        <w:spacing w:after="0" w:line="273" w:lineRule="auto"/>
        <w:rPr>
          <w:sz w:val="20"/>
          <w:szCs w:val="20"/>
          <w:color w:val="auto"/>
        </w:rPr>
      </w:pPr>
      <w:r>
        <w:rPr>
          <w:rFonts w:ascii="Arial" w:cs="Arial" w:eastAsia="Arial" w:hAnsi="Arial"/>
          <w:sz w:val="17"/>
          <w:szCs w:val="17"/>
          <w:color w:val="auto"/>
        </w:rPr>
        <w:t>Dr. John Climax, one of the Company’s co-founders, served as Chairman of the Board of the Company from November 2002 to December 2009. He also served as Chief Executive Officer of the Company from June 1990 to October 2002 and as an Executive Director from June 1990 to December 2009. On December 31, 2009, Dr. Climax retired as Chairman of the Board of the Company and his service agreement with the Company (the “Dr. Climax Service Agreement”) ended. Since January 2010, he has held a position as an outside director of the Company.</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Dr. Climax Service Agreement provided for a bonus, a pension contribution, a twelve month notice period, two company cars and medical insurance cover for himself and his dependants. At February 23, 2010, Dr. Climax held 124,000 ordinary share options at exercise prices ranging from $7.00 to $35.33 per share.</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arrangements relating to Dr. Climax’s retirement were set out in an agreement entered into between the Company and Dr. Climax in December 2009 (the “December Agreement”). Pursuant to the December Agreement, Dr. Climax received, having regard to the Dr. Climax Service Agreement (which terminated pursuant to the December Agreement), a payment of €830,000 ($1,200,620) and a pension contribution of €170,000 ($252,620). In addition, and also pursuant to the December Agreement, he received an ex-gratia pension contribution for past service of €220,308 ($327,378), the acceleration of vesting of unvested share options and the transfer of two company cars. The payments and contributions set out in this paragraph are included in the amounts listed for Dr. Climax in the Summary Compensation Table – Year Ended 31 December, 2009 on pages 40 and 41.</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also entered a three year agreement with Rotrua Limited, a company controlled by Dr. Climax, for the provision of consultancy services at an agreed fee of €262,500 ($375,795) per annum. Pursuant to the consultancy agreement Dr. Climax also agreed to certain restrictions that will apply to him after the termination of the consultancy agreement including non-disclosure, non-competition and non-solicitation. The consultancy agreement provides that the Company will provide, during the term of the agreement, permanent disability and life insurance cover for Dr. Climax and medical insurance cover for himself and his dependants.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ICON’s ordinary shares (including ADSs) as of February 23, 2010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No. of Shares (1)</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 of Class</w:t>
            </w: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rPr>
              <w:t>Fidelity Group Companies (3)</w:t>
            </w:r>
          </w:p>
        </w:tc>
        <w:tc>
          <w:tcPr>
            <w:tcW w:w="424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5,817,137</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9.9%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Neurberger Berman LLC (3)</w:t>
            </w:r>
          </w:p>
        </w:tc>
        <w:tc>
          <w:tcPr>
            <w:tcW w:w="4240" w:type="dxa"/>
            <w:vAlign w:val="bottom"/>
          </w:tcPr>
          <w:p>
            <w:pPr>
              <w:jc w:val="right"/>
              <w:ind w:right="250"/>
              <w:spacing w:after="0"/>
              <w:rPr>
                <w:sz w:val="20"/>
                <w:szCs w:val="20"/>
                <w:color w:val="auto"/>
              </w:rPr>
            </w:pPr>
            <w:r>
              <w:rPr>
                <w:rFonts w:ascii="Arial" w:cs="Arial" w:eastAsia="Arial" w:hAnsi="Arial"/>
                <w:sz w:val="18"/>
                <w:szCs w:val="18"/>
                <w:color w:val="auto"/>
              </w:rPr>
              <w:t>4,695,578</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Dr. John Climax (2)</w:t>
            </w:r>
          </w:p>
        </w:tc>
        <w:tc>
          <w:tcPr>
            <w:tcW w:w="4240" w:type="dxa"/>
            <w:vAlign w:val="bottom"/>
          </w:tcPr>
          <w:p>
            <w:pPr>
              <w:jc w:val="right"/>
              <w:ind w:right="250"/>
              <w:spacing w:after="0"/>
              <w:rPr>
                <w:sz w:val="20"/>
                <w:szCs w:val="20"/>
                <w:color w:val="auto"/>
              </w:rPr>
            </w:pPr>
            <w:r>
              <w:rPr>
                <w:rFonts w:ascii="Arial" w:cs="Arial" w:eastAsia="Arial" w:hAnsi="Arial"/>
                <w:sz w:val="18"/>
                <w:szCs w:val="18"/>
                <w:color w:val="auto"/>
              </w:rPr>
              <w:t>3,231,568</w:t>
            </w:r>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All directors and officers as a group (4)</w:t>
            </w:r>
          </w:p>
        </w:tc>
        <w:tc>
          <w:tcPr>
            <w:tcW w:w="4240" w:type="dxa"/>
            <w:vAlign w:val="bottom"/>
          </w:tcPr>
          <w:p>
            <w:pPr>
              <w:jc w:val="right"/>
              <w:ind w:right="250"/>
              <w:spacing w:after="0"/>
              <w:rPr>
                <w:sz w:val="20"/>
                <w:szCs w:val="20"/>
                <w:color w:val="auto"/>
              </w:rPr>
            </w:pPr>
            <w:r>
              <w:rPr>
                <w:rFonts w:ascii="Arial" w:cs="Arial" w:eastAsia="Arial" w:hAnsi="Arial"/>
                <w:sz w:val="18"/>
                <w:szCs w:val="18"/>
                <w:color w:val="auto"/>
              </w:rPr>
              <w:t>4,039,444</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29" w:lineRule="exact"/>
        <w:rPr>
          <w:sz w:val="20"/>
          <w:szCs w:val="20"/>
          <w:color w:val="auto"/>
        </w:rPr>
      </w:pPr>
    </w:p>
    <w:p>
      <w:pPr>
        <w:jc w:val="both"/>
        <w:ind w:left="460" w:hanging="452"/>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 Note that all figures have been amended to reflect the Bonus Issues which took place with an effective date of October 13, 2006 and August 8, 2008.</w:t>
      </w:r>
    </w:p>
    <w:p>
      <w:pPr>
        <w:spacing w:after="0" w:line="198" w:lineRule="exact"/>
        <w:rPr>
          <w:rFonts w:ascii="Arial" w:cs="Arial" w:eastAsia="Arial" w:hAnsi="Arial"/>
          <w:sz w:val="17"/>
          <w:szCs w:val="17"/>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3,107,568 ADSs held by Poplar Limited, a Jersey company controlled by Dr. Climax, and options to purchase 124,000 ADSs.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465,200 ordinary shares issuable upon the exercise of stock options granted by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5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Given that certain of the ordinary shares and American Depositary Shares (“ADRs”) are held by brokers or other nominees, the number of holders of record or registered holders in the United States is not representative of the number of beneficial holders or of the residence of beneficial holders. Based on management’s review of relevant filings with the Securities and Exchange Commission and other publicly available information, the Company believes that the number of ordinary shares (including ADSs) held by holders of record that are residents of the United States is below 50% and may include , Fidelity Group Companies and Neurberger Berman LLC. The Company notes that of a total of 59,011,585 ordinary shares (including ADSs) of the Company which were issued and outstanding at February 23, 2010, 10,512,715 ordinary shares (including ADSs) were held by holders of record in the United States.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December 31, 2009, Dr. John Climax retired as Chairman of the Board of the Company. From January 2010 he has held the position as an outside director of the Company. The Company has entered into a three year agreement with Rotrua Limited, a company controlled by Dr. Climax, for the provision of consultancy services at an agreed fee of €262,500 ($375,795) per annum. The consultancy agreement provides that the Company will provide during the term of the agreement permanent disability and life insurance cover for Dr. Climax and medical insurance cover for himself and his dependants.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Edward Roberts has served as Chairman of Merz GmbH since 2003. Merz is an independent German pharmaceutical company focused on the development of drugs for the treatment of illnesses in the fields of neurology and psychiatry. ICON Clinical Research Limited, a wholly owned subsidiary of ICON has entered into a number of contracts with Merz, for the provision of consulting and clinical trial related activities. The total potential value of these contracts is $43.5 million. During the year ended December 31, 2009, ICON recognized a total of $9.8 million of revenue in relation to these activities. At December 31, 2009, $1.2 million was outstanding to be received from Merz GmbH.</w:t>
      </w:r>
    </w:p>
    <w:p>
      <w:pPr>
        <w:spacing w:after="0" w:line="21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year ended December 31, 2009, Dr. Bruce Given served as Acting Chief Medical Officer of Sembiosys Genetics Inc. (“Sembiosys”). Sembiosys is a plant biotechnology company specializing in the production of high-value pharmaceutical and non-pharmaceutical products. During the year ending December 31, 2008, Sembiosys engaged ICON Development Solutions a wholly owned subsidiary of ICON, in consulting and clinical trial related activities. The total potential value of this study was $0.8 million. During the year ending December 31, 2009, ICON recognized a total of $0.3 million of revenue in relation to these activities. There were no amounts outstanding as at December 31,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2008</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at December 31, 2008, Amarin Investment Holding Limited (a company controlled by Mr. Thomas Lynch), and Sunninghill Limited (a company controlled by Dr. John Climax) held 1.1 million and 1.5 million shares respectively in Amarin. These respective holdings equated to approximately 3.97% and 5.42% respectively, of Amarin’s issued share capital. Thomas Lynch also served as Chairman of Amarin from 2000 to 2009 and Chief Executive Officer from 2007 to 2009.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 ue of this study was $7 million. During the year ended December 31, 2008, the Company recognized $0.2 million of revenue relating to the Amarin contract. At December 31, 2008, $0.3 million was outstanding to be received from Amarin on this trial.</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at December 31, 2008, Dr. John Climax and Dr. Ronan Lambe held 3.05% and 2.94% respectively of the issued share capital of NuPathe Inc. (“NuPathe”). NuPathe is a specialty pharmaceutical company specializing in the acquisition and development of therapeutic products in the area of neuroscience. Prior to July 2008 Dr. Climax also served as a non-executive director and chairman of the compensation committee on the Board of NuPathe. During the year ending December 31, 2006, NuPathe engaged ICON Clinical Research Limited, a wholly owned subsidiary of ICON, in consulting and clinical trial related activities. During the year ended December 31, 2008, the Company recognized $0.1 million relating to the NuPathe contract. There were no amounts outstanding as at December 31, 2008.</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cash dividends on our ordinary shares and do not intend to pay cash dividends on our ordinary shares in the foreseeable future.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the Listing</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ICON’s ADSs are traded on the NASDAQ National Market under the symbol “ICLR”. Our Depository for the ADSs is The Bank of New York Mellon. ICON also has a secondary listing on the Official List of the Irish Stock Exchange. No securities of ICON are traded in any other market. The following table sets forth the trading price for the dates indicated for ICON plc’s ADSs as reported by NASDAQ.</w:t>
      </w:r>
    </w:p>
    <w:tbl>
      <w:tblPr>
        <w:tblLayout w:type="fixed"/>
        <w:tblInd w:w="0" w:type="dxa"/>
        <w:tblCellMar>
          <w:top w:w="0" w:type="dxa"/>
          <w:left w:w="0" w:type="dxa"/>
          <w:bottom w:w="0" w:type="dxa"/>
          <w:right w:w="0" w:type="dxa"/>
        </w:tblCellMar>
      </w:tblPr>
      <w:tr>
        <w:trPr>
          <w:trHeight w:val="198"/>
        </w:trPr>
        <w:tc>
          <w:tcPr>
            <w:tcW w:w="6000" w:type="dxa"/>
            <w:vAlign w:val="bottom"/>
          </w:tcPr>
          <w:p>
            <w:pPr>
              <w:spacing w:after="0"/>
              <w:rPr>
                <w:sz w:val="17"/>
                <w:szCs w:val="17"/>
                <w:color w:val="auto"/>
              </w:rPr>
            </w:pPr>
          </w:p>
        </w:tc>
        <w:tc>
          <w:tcPr>
            <w:tcW w:w="4000" w:type="dxa"/>
            <w:vAlign w:val="bottom"/>
            <w:gridSpan w:val="2"/>
          </w:tcPr>
          <w:p>
            <w:pPr>
              <w:ind w:left="2580"/>
              <w:spacing w:after="0" w:line="198" w:lineRule="exact"/>
              <w:rPr>
                <w:sz w:val="20"/>
                <w:szCs w:val="20"/>
                <w:color w:val="auto"/>
              </w:rPr>
            </w:pPr>
            <w:r>
              <w:rPr>
                <w:rFonts w:ascii="Arial" w:cs="Arial" w:eastAsia="Arial" w:hAnsi="Arial"/>
                <w:sz w:val="18"/>
                <w:szCs w:val="18"/>
                <w:b w:val="1"/>
                <w:bCs w:val="1"/>
                <w:color w:val="auto"/>
                <w:w w:val="99"/>
              </w:rPr>
              <w:t>High Sales Price</w:t>
            </w:r>
          </w:p>
        </w:tc>
        <w:tc>
          <w:tcPr>
            <w:tcW w:w="142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w w:val="90"/>
              </w:rPr>
              <w:t>Low Sales Price</w:t>
            </w:r>
          </w:p>
        </w:tc>
      </w:tr>
      <w:tr>
        <w:trPr>
          <w:trHeight w:val="24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w:t>
            </w:r>
          </w:p>
        </w:tc>
        <w:tc>
          <w:tcPr>
            <w:tcW w:w="4000" w:type="dxa"/>
            <w:vAlign w:val="bottom"/>
            <w:tcBorders>
              <w:bottom w:val="single" w:sz="8" w:color="auto"/>
            </w:tcBorders>
            <w:gridSpan w:val="2"/>
          </w:tcPr>
          <w:p>
            <w:pPr>
              <w:ind w:left="2640"/>
              <w:spacing w:after="0"/>
              <w:rPr>
                <w:sz w:val="20"/>
                <w:szCs w:val="20"/>
                <w:color w:val="auto"/>
              </w:rPr>
            </w:pPr>
            <w:r>
              <w:rPr>
                <w:rFonts w:ascii="Arial" w:cs="Arial" w:eastAsia="Arial" w:hAnsi="Arial"/>
                <w:sz w:val="18"/>
                <w:szCs w:val="18"/>
                <w:b w:val="1"/>
                <w:bCs w:val="1"/>
                <w:color w:val="auto"/>
              </w:rPr>
              <w:t>During Period</w:t>
            </w:r>
          </w:p>
        </w:tc>
        <w:tc>
          <w:tcPr>
            <w:tcW w:w="14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During Period</w:t>
            </w: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rPr>
              <w:t>May 31, 2005</w:t>
            </w:r>
          </w:p>
        </w:tc>
        <w:tc>
          <w:tcPr>
            <w:tcW w:w="3040" w:type="dxa"/>
            <w:vAlign w:val="bottom"/>
          </w:tcPr>
          <w:p>
            <w:pPr>
              <w:ind w:left="258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11.23</w:t>
            </w:r>
          </w:p>
        </w:tc>
        <w:tc>
          <w:tcPr>
            <w:tcW w:w="60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7.57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December 31, 2005 (7 month transition period)</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12.63</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December 31, 2006</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December 31, 2007</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32.40</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December 31, 2008</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44.78</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12"/>
        </w:trPr>
        <w:tc>
          <w:tcPr>
            <w:tcW w:w="6000" w:type="dxa"/>
            <w:vAlign w:val="bottom"/>
          </w:tcPr>
          <w:p>
            <w:pPr>
              <w:spacing w:after="0"/>
              <w:rPr>
                <w:sz w:val="20"/>
                <w:szCs w:val="20"/>
                <w:color w:val="auto"/>
              </w:rPr>
            </w:pPr>
            <w:r>
              <w:rPr>
                <w:rFonts w:ascii="Arial" w:cs="Arial" w:eastAsia="Arial" w:hAnsi="Arial"/>
                <w:sz w:val="18"/>
                <w:szCs w:val="18"/>
                <w:color w:val="auto"/>
              </w:rPr>
              <w:t>December 31,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26.85</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16"/>
        </w:trPr>
        <w:tc>
          <w:tcPr>
            <w:tcW w:w="6000" w:type="dxa"/>
            <w:vAlign w:val="bottom"/>
          </w:tcPr>
          <w:p>
            <w:pPr>
              <w:spacing w:after="0"/>
              <w:rPr>
                <w:sz w:val="18"/>
                <w:szCs w:val="18"/>
                <w:color w:val="auto"/>
              </w:rPr>
            </w:pPr>
          </w:p>
        </w:tc>
        <w:tc>
          <w:tcPr>
            <w:tcW w:w="4000" w:type="dxa"/>
            <w:vAlign w:val="bottom"/>
            <w:gridSpan w:val="2"/>
          </w:tcPr>
          <w:p>
            <w:pPr>
              <w:ind w:left="2580"/>
              <w:spacing w:after="0"/>
              <w:rPr>
                <w:sz w:val="20"/>
                <w:szCs w:val="20"/>
                <w:color w:val="auto"/>
              </w:rPr>
            </w:pPr>
            <w:r>
              <w:rPr>
                <w:rFonts w:ascii="Arial" w:cs="Arial" w:eastAsia="Arial" w:hAnsi="Arial"/>
                <w:sz w:val="18"/>
                <w:szCs w:val="18"/>
                <w:b w:val="1"/>
                <w:bCs w:val="1"/>
                <w:color w:val="auto"/>
                <w:w w:val="99"/>
              </w:rPr>
              <w:t>High Sales Price</w:t>
            </w: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Low Sales Price</w:t>
            </w:r>
          </w:p>
        </w:tc>
      </w:tr>
      <w:tr>
        <w:trPr>
          <w:trHeight w:val="24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Ending</w:t>
            </w:r>
          </w:p>
        </w:tc>
        <w:tc>
          <w:tcPr>
            <w:tcW w:w="4000" w:type="dxa"/>
            <w:vAlign w:val="bottom"/>
            <w:tcBorders>
              <w:bottom w:val="single" w:sz="8" w:color="auto"/>
            </w:tcBorders>
            <w:gridSpan w:val="2"/>
          </w:tcPr>
          <w:p>
            <w:pPr>
              <w:ind w:left="2640"/>
              <w:spacing w:after="0"/>
              <w:rPr>
                <w:sz w:val="20"/>
                <w:szCs w:val="20"/>
                <w:color w:val="auto"/>
              </w:rPr>
            </w:pPr>
            <w:r>
              <w:rPr>
                <w:rFonts w:ascii="Arial" w:cs="Arial" w:eastAsia="Arial" w:hAnsi="Arial"/>
                <w:sz w:val="18"/>
                <w:szCs w:val="18"/>
                <w:b w:val="1"/>
                <w:bCs w:val="1"/>
                <w:color w:val="auto"/>
              </w:rPr>
              <w:t>During Period</w:t>
            </w:r>
          </w:p>
        </w:tc>
        <w:tc>
          <w:tcPr>
            <w:tcW w:w="14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During Period</w:t>
            </w: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rPr>
              <w:t>March 31, 2008</w:t>
            </w:r>
          </w:p>
        </w:tc>
        <w:tc>
          <w:tcPr>
            <w:tcW w:w="3040" w:type="dxa"/>
            <w:vAlign w:val="bottom"/>
          </w:tcPr>
          <w:p>
            <w:pPr>
              <w:ind w:left="258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35.56</w:t>
            </w:r>
          </w:p>
        </w:tc>
        <w:tc>
          <w:tcPr>
            <w:tcW w:w="60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28.63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June 30, 2008</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39.12</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September 30, 2008</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44.78</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December 31, 2008</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39.66</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March 31,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24.77</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June 30,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22.46</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September 30,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25.35</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12"/>
        </w:trPr>
        <w:tc>
          <w:tcPr>
            <w:tcW w:w="6000" w:type="dxa"/>
            <w:vAlign w:val="bottom"/>
          </w:tcPr>
          <w:p>
            <w:pPr>
              <w:spacing w:after="0"/>
              <w:rPr>
                <w:sz w:val="20"/>
                <w:szCs w:val="20"/>
                <w:color w:val="auto"/>
              </w:rPr>
            </w:pPr>
            <w:r>
              <w:rPr>
                <w:rFonts w:ascii="Arial" w:cs="Arial" w:eastAsia="Arial" w:hAnsi="Arial"/>
                <w:sz w:val="18"/>
                <w:szCs w:val="18"/>
                <w:color w:val="auto"/>
              </w:rPr>
              <w:t>December 31,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26.85</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16"/>
        </w:trPr>
        <w:tc>
          <w:tcPr>
            <w:tcW w:w="6000" w:type="dxa"/>
            <w:vAlign w:val="bottom"/>
          </w:tcPr>
          <w:p>
            <w:pPr>
              <w:spacing w:after="0"/>
              <w:rPr>
                <w:sz w:val="18"/>
                <w:szCs w:val="18"/>
                <w:color w:val="auto"/>
              </w:rPr>
            </w:pPr>
          </w:p>
        </w:tc>
        <w:tc>
          <w:tcPr>
            <w:tcW w:w="4000" w:type="dxa"/>
            <w:vAlign w:val="bottom"/>
            <w:gridSpan w:val="2"/>
          </w:tcPr>
          <w:p>
            <w:pPr>
              <w:ind w:left="2580"/>
              <w:spacing w:after="0"/>
              <w:rPr>
                <w:sz w:val="20"/>
                <w:szCs w:val="20"/>
                <w:color w:val="auto"/>
              </w:rPr>
            </w:pPr>
            <w:r>
              <w:rPr>
                <w:rFonts w:ascii="Arial" w:cs="Arial" w:eastAsia="Arial" w:hAnsi="Arial"/>
                <w:sz w:val="18"/>
                <w:szCs w:val="18"/>
                <w:b w:val="1"/>
                <w:bCs w:val="1"/>
                <w:color w:val="auto"/>
                <w:w w:val="99"/>
              </w:rPr>
              <w:t>High Sales Price</w:t>
            </w: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Low Sales Price</w:t>
            </w:r>
          </w:p>
        </w:tc>
      </w:tr>
      <w:tr>
        <w:trPr>
          <w:trHeight w:val="24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 Ending</w:t>
            </w:r>
          </w:p>
        </w:tc>
        <w:tc>
          <w:tcPr>
            <w:tcW w:w="4000" w:type="dxa"/>
            <w:vAlign w:val="bottom"/>
            <w:tcBorders>
              <w:bottom w:val="single" w:sz="8" w:color="auto"/>
            </w:tcBorders>
            <w:gridSpan w:val="2"/>
          </w:tcPr>
          <w:p>
            <w:pPr>
              <w:ind w:left="2640"/>
              <w:spacing w:after="0"/>
              <w:rPr>
                <w:sz w:val="20"/>
                <w:szCs w:val="20"/>
                <w:color w:val="auto"/>
              </w:rPr>
            </w:pPr>
            <w:r>
              <w:rPr>
                <w:rFonts w:ascii="Arial" w:cs="Arial" w:eastAsia="Arial" w:hAnsi="Arial"/>
                <w:sz w:val="18"/>
                <w:szCs w:val="18"/>
                <w:b w:val="1"/>
                <w:bCs w:val="1"/>
                <w:color w:val="auto"/>
              </w:rPr>
              <w:t>During Period</w:t>
            </w:r>
          </w:p>
        </w:tc>
        <w:tc>
          <w:tcPr>
            <w:tcW w:w="14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During Period</w:t>
            </w: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rPr>
              <w:t>July 31, 2009</w:t>
            </w:r>
          </w:p>
        </w:tc>
        <w:tc>
          <w:tcPr>
            <w:tcW w:w="3040" w:type="dxa"/>
            <w:vAlign w:val="bottom"/>
          </w:tcPr>
          <w:p>
            <w:pPr>
              <w:ind w:left="258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23.85</w:t>
            </w:r>
          </w:p>
        </w:tc>
        <w:tc>
          <w:tcPr>
            <w:tcW w:w="60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20.25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August 31,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24.59</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September 30,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25.35</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October 31,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26.85</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November 30,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25.24</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22.15</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December 31, 2009</w:t>
            </w:r>
          </w:p>
        </w:tc>
        <w:tc>
          <w:tcPr>
            <w:tcW w:w="3040" w:type="dxa"/>
            <w:vAlign w:val="bottom"/>
          </w:tcPr>
          <w:p>
            <w:pPr>
              <w:ind w:left="2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23.41</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comparative figures above have been amended to reflect the Bonus Issues which took place with an effective date of August 8, 2008 and October 13,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 e in Iraq, certain persons indicted by the International Criminal Tribunal for the former Yugoslavia and certain associated persons, Zimbabwe, the Islamic Republic of Iran, the Democratic Peoples Republic of Korea, the Republic of Lebanon, the Taliban of Afghanistan, Osama bin Laden and Al-Qaeda, Liberia, Burma/Myanmar, Uzbekistan, Sudan, Somalia, Cote D’Ivoire, the Democratic Republic of Congo, President Lukashenko and certain other officials of Belarus, and countries that harbor certain terrorist groups, without the prior permission of the Central Bank of Ireland.</w:t>
      </w:r>
    </w:p>
    <w:p>
      <w:pPr>
        <w:spacing w:after="0" w:line="22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Sierra Leone, Sudan, Cote D’Ivoire, Democratic Republic of Congo, Liberia, individuals designated by the international independent investigation Commission or the Government of Lebanon, Democratic Peoples Republic of Korea, the Islamic Republic of Iran, Iraq, the Taliban of Afghanistan, Osama bin Laden and Al-Qaeda. There are no restrictions under the Company’s Articles of Associa tion, or under Irish Law that limit the right of non-residents or foreign owners to hold or vote the Company’s ordinary shares or ADSs.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hereby incorporate by reference the description of our Memorandum and Articles of Association located under the heading “Description of the Memorandum and Articles of Association of the Company” in our Form 6-K filed with the Securities Exchange Commission on December 5, 2008.</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21, 2008, at ICON’s Annual General Meeting, the Articles of Association of ICON plc were amended to increase the authorized share capital. The following amendments were made: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the authorized share capital of the Company be increased from €2,400,000 divided into 40,000,000 Ordinary Shares of €0.06 each, to €6,000,000 divided into 100,000,000 Ordinary Shares of €0.06 each.”</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21, 2008, at ICON’s Annual General Meeting, the Articles of Association of ICON plc were amended to authorise the chairman to have a casting vote. The following amendments were made: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“That Article 101(a) of the Company’s existing Articles of Association be deleted and replaced in its entirety with the following new Article 101(a):</w:t>
      </w:r>
    </w:p>
    <w:p>
      <w:pPr>
        <w:spacing w:after="0" w:line="264" w:lineRule="exact"/>
        <w:rPr>
          <w:sz w:val="20"/>
          <w:szCs w:val="20"/>
          <w:color w:val="auto"/>
        </w:rPr>
      </w:pPr>
    </w:p>
    <w:p>
      <w:pPr>
        <w:ind w:left="720" w:hanging="506"/>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Questions arising at any meeting of Directors shall be decided by a majority of votes. Where there is an equality of votes, the chairman of the meeting shall have a second or casting vote.”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Material Contracts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all but one of its facilities under operating leases. Certain of these leases are considered to be material. Details of the Company’s material contracts are set out on page 58.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 scribed below, possibly with retroactive effect.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REFERENCES TO THE ORDINARY SHARES SHALL INCLUDE ADSs REPRESENTING SUCH ORDINARY SHARES AND ADRs EVIDENCING OWNERSHIP OF SUCH ADSs.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is a public limited company incorporated and resident for tax purposes in Ireland.</w:t>
      </w:r>
    </w:p>
    <w:p>
      <w:pPr>
        <w:spacing w:after="0" w:line="23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Irish tax purposes, the residence of a company is generally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exemption from Irish corporation tax is available to Irish resident companies whose income is derived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an EEA State. Under Irish law, income from such qualifying patents is disregarded for taxation purposes. From January 1, 2008, there is an annual limit of 5 million Euro placed on qualifying patent income. To the extent that income arises above this threshold, it will, subject to certain exceptions, be liable to Irish corporation tax at 25%.</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3" w:name="page54"/>
    <w:bookmarkEnd w:id="53"/>
    <w:p>
      <w:pPr>
        <w:ind w:right="180"/>
        <w:spacing w:after="0" w:line="264" w:lineRule="auto"/>
        <w:rPr>
          <w:sz w:val="20"/>
          <w:szCs w:val="20"/>
          <w:color w:val="auto"/>
        </w:rPr>
      </w:pPr>
      <w:r>
        <w:rPr>
          <w:rFonts w:ascii="Arial" w:cs="Arial" w:eastAsia="Arial" w:hAnsi="Arial"/>
          <w:sz w:val="18"/>
          <w:szCs w:val="18"/>
          <w:color w:val="auto"/>
        </w:rPr>
        <w:t>A research and development tax credit is available in Ireland where an Irish resident company incurs qualifying expenditure on research and development activities and this expenditure exceeds the qualifying expenditure spent by the company in 2003. The qualifying excess expenditure results in a tax credit of 25% of that excess.</w:t>
      </w:r>
    </w:p>
    <w:p>
      <w:pPr>
        <w:spacing w:after="0" w:line="20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rates discussed above.</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Capital gains arising to an Irish resident company are liable to tax at 25% (22% for disposals made in 2009 on or before April 7, 2009). However, a capital gains tax exemption has been introduced in Ireland in respect of disposals of certain qualifying shareholdings.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197" w:lineRule="exact"/>
        <w:rPr>
          <w:sz w:val="20"/>
          <w:szCs w:val="20"/>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throughout the period of at least one year, within the two year period prior to disposal.</w:t>
      </w:r>
    </w:p>
    <w:p>
      <w:pPr>
        <w:spacing w:after="0" w:line="197"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73"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 Withholding Tax</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Relevant Territory, will be exempt from withholding tax provided he or she makes the requisite declaration.</w:t>
      </w:r>
    </w:p>
    <w:p>
      <w:pPr>
        <w:spacing w:after="0" w:line="19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 dividend withholding tax will apply on the payment of a dividend from an Irish resident company to its Irish resident 51% parent company. Where the Irish company receiving the dividend does not hold at least 51% of the shares of the paying company, the dividend will be exempt from withholding tax provided the Irish corporate shareholder makes the requisite declaration.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52" w:lineRule="exact"/>
        <w:rPr>
          <w:sz w:val="20"/>
          <w:szCs w:val="20"/>
          <w:color w:val="auto"/>
        </w:rPr>
      </w:pPr>
    </w:p>
    <w:p>
      <w:pPr>
        <w:ind w:left="1160" w:hanging="626"/>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252" w:lineRule="exact"/>
        <w:rPr>
          <w:rFonts w:ascii="Arial" w:cs="Arial" w:eastAsia="Arial" w:hAnsi="Arial"/>
          <w:sz w:val="18"/>
          <w:szCs w:val="18"/>
          <w:color w:val="auto"/>
        </w:rPr>
      </w:pPr>
    </w:p>
    <w:p>
      <w:pPr>
        <w:ind w:left="1160" w:hanging="626"/>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by Irish residents;</w:t>
      </w:r>
    </w:p>
    <w:p>
      <w:pPr>
        <w:spacing w:after="0" w:line="252" w:lineRule="exact"/>
        <w:rPr>
          <w:rFonts w:ascii="Arial" w:cs="Arial" w:eastAsia="Arial" w:hAnsi="Arial"/>
          <w:sz w:val="18"/>
          <w:szCs w:val="18"/>
          <w:color w:val="auto"/>
        </w:rPr>
      </w:pPr>
    </w:p>
    <w:p>
      <w:pPr>
        <w:ind w:left="1160" w:hanging="626"/>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spacing w:after="0" w:line="197" w:lineRule="exact"/>
        <w:rPr>
          <w:rFonts w:ascii="Arial" w:cs="Arial" w:eastAsia="Arial" w:hAnsi="Arial"/>
          <w:sz w:val="18"/>
          <w:szCs w:val="18"/>
          <w:color w:val="auto"/>
        </w:rPr>
      </w:pPr>
    </w:p>
    <w:p>
      <w:pPr>
        <w:ind w:left="1160" w:hanging="626"/>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on page 50, these documentation requirements do not apply in the case of ADSs.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4" w:name="page55"/>
    <w:bookmarkEnd w:id="54"/>
    <w:p>
      <w:pPr>
        <w:ind w:right="660"/>
        <w:spacing w:after="0" w:line="264" w:lineRule="auto"/>
        <w:rPr>
          <w:sz w:val="20"/>
          <w:szCs w:val="20"/>
          <w:color w:val="auto"/>
        </w:rPr>
      </w:pPr>
      <w:r>
        <w:rPr>
          <w:rFonts w:ascii="Arial" w:cs="Arial" w:eastAsia="Arial" w:hAnsi="Arial"/>
          <w:sz w:val="18"/>
          <w:szCs w:val="18"/>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208" w:lineRule="exact"/>
        <w:rPr>
          <w:sz w:val="20"/>
          <w:szCs w:val="20"/>
          <w:color w:val="auto"/>
        </w:rPr>
      </w:pPr>
    </w:p>
    <w:p>
      <w:pPr>
        <w:ind w:left="1160" w:hanging="671"/>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97" w:lineRule="exact"/>
        <w:rPr>
          <w:rFonts w:ascii="Arial" w:cs="Arial" w:eastAsia="Arial" w:hAnsi="Arial"/>
          <w:sz w:val="18"/>
          <w:szCs w:val="18"/>
          <w:color w:val="auto"/>
        </w:rPr>
      </w:pPr>
    </w:p>
    <w:p>
      <w:pPr>
        <w:ind w:left="1160" w:hanging="6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252" w:lineRule="exact"/>
        <w:rPr>
          <w:rFonts w:ascii="Arial" w:cs="Arial" w:eastAsia="Arial" w:hAnsi="Arial"/>
          <w:sz w:val="18"/>
          <w:szCs w:val="18"/>
          <w:color w:val="auto"/>
        </w:rPr>
      </w:pPr>
    </w:p>
    <w:p>
      <w:pPr>
        <w:ind w:left="1160" w:hanging="671"/>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 Income Tax</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Irish resident or ordinarily resident shareholders will generally be liable to Irish income tax on dividend income at their marginal rate of tax. This income may also be liable to pay related social insurance (PRSI), health and income levies.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health or income levies should apply in these circumstances.</w:t>
      </w:r>
    </w:p>
    <w:p>
      <w:pPr>
        <w:spacing w:after="0" w:line="2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97" w:lineRule="exact"/>
        <w:rPr>
          <w:sz w:val="20"/>
          <w:szCs w:val="20"/>
          <w:color w:val="auto"/>
        </w:rPr>
      </w:pPr>
    </w:p>
    <w:p>
      <w:pPr>
        <w:ind w:left="1160" w:hanging="6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252" w:lineRule="exact"/>
        <w:rPr>
          <w:rFonts w:ascii="Arial" w:cs="Arial" w:eastAsia="Arial" w:hAnsi="Arial"/>
          <w:sz w:val="18"/>
          <w:szCs w:val="18"/>
          <w:color w:val="auto"/>
        </w:rPr>
      </w:pPr>
    </w:p>
    <w:p>
      <w:pPr>
        <w:ind w:left="1160" w:hanging="6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w:t>
      </w:r>
    </w:p>
    <w:p>
      <w:pPr>
        <w:spacing w:after="0" w:line="252" w:lineRule="exact"/>
        <w:rPr>
          <w:rFonts w:ascii="Arial" w:cs="Arial" w:eastAsia="Arial" w:hAnsi="Arial"/>
          <w:sz w:val="18"/>
          <w:szCs w:val="18"/>
          <w:color w:val="auto"/>
        </w:rPr>
      </w:pPr>
    </w:p>
    <w:p>
      <w:pPr>
        <w:ind w:left="1160" w:hanging="671"/>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spacing w:after="0" w:line="197" w:lineRule="exact"/>
        <w:rPr>
          <w:rFonts w:ascii="Arial" w:cs="Arial" w:eastAsia="Arial" w:hAnsi="Arial"/>
          <w:sz w:val="18"/>
          <w:szCs w:val="18"/>
          <w:color w:val="auto"/>
        </w:rPr>
      </w:pPr>
    </w:p>
    <w:p>
      <w:pPr>
        <w:ind w:left="1160" w:hanging="671"/>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resident in another EU member state or in a Relevant Territory, which is not controlled directly or indirectly by Irish residents; or</w:t>
      </w:r>
    </w:p>
    <w:p>
      <w:pPr>
        <w:spacing w:after="0" w:line="197" w:lineRule="exact"/>
        <w:rPr>
          <w:rFonts w:ascii="Arial" w:cs="Arial" w:eastAsia="Arial" w:hAnsi="Arial"/>
          <w:sz w:val="18"/>
          <w:szCs w:val="18"/>
          <w:color w:val="auto"/>
        </w:rPr>
      </w:pPr>
    </w:p>
    <w:p>
      <w:pPr>
        <w:ind w:left="1160" w:hanging="671"/>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2010, certain non-Irish resident individuals that are either domiciled in Ireland or Irish nationals will be subject to an annual levy of €200,000 if their Irish-located capital exceeds €5,000,000 and their worldwide annual income exceeds €1,000,000.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Capital Gains</w:t>
      </w:r>
    </w:p>
    <w:p>
      <w:pPr>
        <w:spacing w:after="0" w:line="23"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Irish resident or ordinarily resident shareholders will be liable to capital gains tax at 25% on gains arising from the disposal or part diposal of their shareholding (22% for disposals made in 2009 on or before April 7, 2009).</w:t>
      </w:r>
    </w:p>
    <w:p>
      <w:pPr>
        <w:spacing w:after="0" w:line="21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 -:</w:t>
      </w:r>
    </w:p>
    <w:p>
      <w:pPr>
        <w:spacing w:after="0" w:line="197" w:lineRule="exact"/>
        <w:rPr>
          <w:sz w:val="20"/>
          <w:szCs w:val="20"/>
          <w:color w:val="auto"/>
        </w:rPr>
      </w:pPr>
    </w:p>
    <w:p>
      <w:pPr>
        <w:ind w:left="1160" w:hanging="62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52" w:lineRule="exact"/>
        <w:rPr>
          <w:rFonts w:ascii="Arial" w:cs="Arial" w:eastAsia="Arial" w:hAnsi="Arial"/>
          <w:sz w:val="18"/>
          <w:szCs w:val="18"/>
          <w:color w:val="auto"/>
        </w:rPr>
      </w:pPr>
    </w:p>
    <w:p>
      <w:pPr>
        <w:ind w:left="1160" w:hanging="62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252" w:lineRule="exact"/>
        <w:rPr>
          <w:rFonts w:ascii="Arial" w:cs="Arial" w:eastAsia="Arial" w:hAnsi="Arial"/>
          <w:sz w:val="18"/>
          <w:szCs w:val="18"/>
          <w:color w:val="auto"/>
        </w:rPr>
      </w:pPr>
    </w:p>
    <w:p>
      <w:pPr>
        <w:ind w:left="1160" w:hanging="626"/>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197" w:lineRule="exact"/>
        <w:rPr>
          <w:rFonts w:ascii="Arial" w:cs="Arial" w:eastAsia="Arial" w:hAnsi="Arial"/>
          <w:sz w:val="18"/>
          <w:szCs w:val="18"/>
          <w:color w:val="auto"/>
        </w:rPr>
      </w:pPr>
    </w:p>
    <w:p>
      <w:pPr>
        <w:ind w:left="1160" w:hanging="62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52" w:lineRule="exact"/>
        <w:rPr>
          <w:rFonts w:ascii="Arial" w:cs="Arial" w:eastAsia="Arial" w:hAnsi="Arial"/>
          <w:sz w:val="18"/>
          <w:szCs w:val="18"/>
          <w:color w:val="auto"/>
        </w:rPr>
      </w:pPr>
    </w:p>
    <w:p>
      <w:pPr>
        <w:ind w:left="1160" w:hanging="62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25% of the taxable gain.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 – free thresholds, gifts and inheritances are liable to tax at 25% (22% for acquisitions in 2009 on or before April 7,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3" w:lineRule="exact"/>
        <w:rPr>
          <w:sz w:val="20"/>
          <w:szCs w:val="20"/>
          <w:color w:val="auto"/>
        </w:rPr>
      </w:pPr>
    </w:p>
    <w:p>
      <w:pPr>
        <w:ind w:left="720" w:hanging="415"/>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20" w:lineRule="exact"/>
        <w:rPr>
          <w:rFonts w:ascii="Arial" w:cs="Arial" w:eastAsia="Arial" w:hAnsi="Arial"/>
          <w:sz w:val="17"/>
          <w:szCs w:val="17"/>
          <w:color w:val="auto"/>
        </w:rPr>
      </w:pPr>
    </w:p>
    <w:p>
      <w:pPr>
        <w:ind w:left="720" w:hanging="415"/>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720" w:hanging="415"/>
        <w:spacing w:after="0" w:line="265"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ind w:left="720" w:hanging="415"/>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the Republic of Ireland at the date of the gift or inheritance.</w:t>
      </w:r>
    </w:p>
    <w:p>
      <w:pPr>
        <w:spacing w:after="0" w:line="2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that apply with effect from 2010 are:</w:t>
      </w:r>
    </w:p>
    <w:p>
      <w:pPr>
        <w:spacing w:after="0" w:line="23" w:lineRule="exact"/>
        <w:rPr>
          <w:sz w:val="20"/>
          <w:szCs w:val="20"/>
          <w:color w:val="auto"/>
        </w:rPr>
      </w:pPr>
    </w:p>
    <w:p>
      <w:pPr>
        <w:ind w:left="720" w:hanging="41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€20,740 (2009: €27,127 pre April 8, 2009/€21,700 post April 2009) in the case of persons who are not related to one another;</w:t>
      </w:r>
    </w:p>
    <w:p>
      <w:pPr>
        <w:spacing w:after="0" w:line="9" w:lineRule="exact"/>
        <w:rPr>
          <w:rFonts w:ascii="Arial" w:cs="Arial" w:eastAsia="Arial" w:hAnsi="Arial"/>
          <w:sz w:val="18"/>
          <w:szCs w:val="18"/>
          <w:color w:val="auto"/>
        </w:rPr>
      </w:pPr>
    </w:p>
    <w:p>
      <w:pPr>
        <w:ind w:left="720" w:right="20" w:hanging="415"/>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€41,481 (2009: €54,254 pre April 8, 2009/€43,400 post April 8, 2009) in the case of gifts or inheritances received from inter alia a brother or sister or from a brother or sister of a parent or from a grandparent; and</w:t>
      </w:r>
    </w:p>
    <w:p>
      <w:pPr>
        <w:ind w:left="720" w:hanging="415"/>
        <w:spacing w:after="0" w:line="261"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€414,799 (2009: €542,544 pre April 8, 2009/€434,000 post April 8, 2009) in the case of gifts and inheritances received from a parent (or from a grandparent by a minor child of a deceased child) and specified inheritances received by a parent from a child.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6" w:name="page57"/>
    <w:bookmarkEnd w:id="56"/>
    <w:p>
      <w:pPr>
        <w:ind w:right="180"/>
        <w:spacing w:after="0" w:line="277"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Ordinary Shares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Irish stamp duty, which is a tax on certain documents,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 No stamp duty shall arise on the transfer of ordinary shares where the considerati 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1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ADSs Representing Ordinary Shares</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No stamp duty shall arise on the transfer of ADSs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ADSs would exceed €1,000.</w:t>
      </w:r>
    </w:p>
    <w:p>
      <w:pPr>
        <w:spacing w:after="0" w:line="2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19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file reports and other information with the SEC. You may read and copy any of our reports and other information at, and obtain copies upon payment of prescribed fees from, the Public Reference Room maintained by the SEC at 100F Street N.E., Washington, D.C. 20549.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As a foreign private issuer, we are exempt from the rules under the Exchange Act, prescribing the furnishing and content of proxy statements to shareholders.</w:t>
      </w: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Ciaran Murray, telephone number: (353) 1 291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ICON,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ICON’s Articles of Association require that only 3 me mbers be present at a shareholder meeting to constitute a quorum. This quorum requirement is in accordance with Irish law and generally accepted business practices in Ireland.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Qualitative Disclosure of Market Risk</w:t>
      </w:r>
      <w:r>
        <w:rPr>
          <w:rFonts w:ascii="Arial" w:cs="Arial" w:eastAsia="Arial" w:hAnsi="Arial"/>
          <w:sz w:val="18"/>
          <w:szCs w:val="18"/>
          <w:color w:val="auto"/>
        </w:rPr>
        <w:t>. The principal market risks (i.e. risk of loss arising from adverse changes in market rates and prices) to which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exposed are:</w:t>
      </w:r>
    </w:p>
    <w:p>
      <w:pPr>
        <w:spacing w:after="0" w:line="197" w:lineRule="exact"/>
        <w:rPr>
          <w:sz w:val="20"/>
          <w:szCs w:val="20"/>
          <w:color w:val="auto"/>
        </w:rPr>
      </w:pPr>
    </w:p>
    <w:p>
      <w:pPr>
        <w:ind w:left="720" w:hanging="41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 changes on short term investments (available for sale) in the form of floating rate notes and medium term minimum “A” rated corporate securities, and</w:t>
      </w:r>
    </w:p>
    <w:p>
      <w:pPr>
        <w:spacing w:after="0" w:line="197" w:lineRule="exact"/>
        <w:rPr>
          <w:rFonts w:ascii="Arial" w:cs="Arial" w:eastAsia="Arial" w:hAnsi="Arial"/>
          <w:sz w:val="18"/>
          <w:szCs w:val="18"/>
          <w:color w:val="auto"/>
        </w:rPr>
      </w:pPr>
    </w:p>
    <w:p>
      <w:pPr>
        <w:ind w:left="720" w:hanging="41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 risk on variable rate debt.</w:t>
      </w:r>
    </w:p>
    <w:p>
      <w:pPr>
        <w:spacing w:after="0" w:line="252" w:lineRule="exact"/>
        <w:rPr>
          <w:rFonts w:ascii="Arial" w:cs="Arial" w:eastAsia="Arial" w:hAnsi="Arial"/>
          <w:sz w:val="18"/>
          <w:szCs w:val="18"/>
          <w:color w:val="auto"/>
        </w:rPr>
      </w:pPr>
    </w:p>
    <w:p>
      <w:pPr>
        <w:ind w:left="720" w:hanging="41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risk on non-U.S. dollar denominated cash and non-U.S. dollar denominated 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financial instruments solely to hedge exposure to these market risks and we do not enter into these instruments for trading or speculative purposes. The Company had no interest rate instruments or derivatives as at December 31, 2009.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foreign currency exchange risk relates to movements in rates between the U.S. dollar, Sterling and the Euro. At December 31, 2009, we had cash denominated in non-U.S. dollar denominated currencies. In order to reduce the foreign currency exchange risk, we may enter into certain derivative instruments to reduce our exposure to adverse changes in exchange rates. We held no foreign exchange forward contracts during the year ended December 31, 2009.</w:t>
      </w:r>
    </w:p>
    <w:p>
      <w:pPr>
        <w:spacing w:after="0" w:line="21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Quantitative disclosure of Market Risk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analysis below presents the sensitivity of the market value, or fair value of our financial instruments to selected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market rates and prices. The changes chosen represent our view of changes that are reasonable over a one year period.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analysis below represents the hypothetical change in fair value based on an immediate 10% movement in the exchange rates.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40" w:type="dxa"/>
            <w:vAlign w:val="bottom"/>
            <w:gridSpan w:val="2"/>
          </w:tcPr>
          <w:p>
            <w:pPr>
              <w:ind w:left="420"/>
              <w:spacing w:after="0"/>
              <w:rPr>
                <w:sz w:val="20"/>
                <w:szCs w:val="20"/>
                <w:color w:val="auto"/>
              </w:rPr>
            </w:pPr>
            <w:r>
              <w:rPr>
                <w:rFonts w:ascii="Arial" w:cs="Arial" w:eastAsia="Arial" w:hAnsi="Arial"/>
                <w:sz w:val="18"/>
                <w:szCs w:val="18"/>
                <w:b w:val="1"/>
                <w:bCs w:val="1"/>
                <w:color w:val="auto"/>
              </w:rPr>
              <w:t>Fair value Change +10%</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 Change -10%</w:t>
            </w:r>
          </w:p>
        </w:tc>
      </w:tr>
      <w:tr>
        <w:trPr>
          <w:trHeight w:val="216"/>
        </w:trPr>
        <w:tc>
          <w:tcPr>
            <w:tcW w:w="3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 at</w:t>
            </w:r>
          </w:p>
        </w:tc>
        <w:tc>
          <w:tcPr>
            <w:tcW w:w="620" w:type="dxa"/>
            <w:vAlign w:val="bottom"/>
          </w:tcPr>
          <w:p>
            <w:pPr>
              <w:spacing w:after="0"/>
              <w:rPr>
                <w:sz w:val="18"/>
                <w:szCs w:val="18"/>
                <w:color w:val="auto"/>
              </w:rPr>
            </w:pP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movement in foreign</w:t>
            </w:r>
          </w:p>
        </w:tc>
        <w:tc>
          <w:tcPr>
            <w:tcW w:w="6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w w:val="92"/>
              </w:rPr>
              <w:t>movement in foreign</w:t>
            </w:r>
          </w:p>
        </w:tc>
      </w:tr>
      <w:tr>
        <w:trPr>
          <w:trHeight w:val="216"/>
        </w:trPr>
        <w:tc>
          <w:tcPr>
            <w:tcW w:w="3200" w:type="dxa"/>
            <w:vAlign w:val="bottom"/>
          </w:tcPr>
          <w:p>
            <w:pPr>
              <w:spacing w:after="0"/>
              <w:rPr>
                <w:sz w:val="18"/>
                <w:szCs w:val="18"/>
                <w:color w:val="auto"/>
              </w:rPr>
            </w:pPr>
          </w:p>
        </w:tc>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December 31, 2009</w:t>
            </w:r>
          </w:p>
        </w:tc>
        <w:tc>
          <w:tcPr>
            <w:tcW w:w="620" w:type="dxa"/>
            <w:vAlign w:val="bottom"/>
          </w:tcPr>
          <w:p>
            <w:pPr>
              <w:spacing w:after="0"/>
              <w:rPr>
                <w:sz w:val="18"/>
                <w:szCs w:val="18"/>
                <w:color w:val="auto"/>
              </w:rPr>
            </w:pP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rPr>
              <w:t>exchange rate</w:t>
            </w:r>
          </w:p>
        </w:tc>
        <w:tc>
          <w:tcPr>
            <w:tcW w:w="6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exchange rate</w:t>
            </w:r>
          </w:p>
        </w:tc>
      </w:tr>
      <w:tr>
        <w:trPr>
          <w:trHeight w:val="234"/>
        </w:trPr>
        <w:tc>
          <w:tcPr>
            <w:tcW w:w="3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(in thousands)</w:t>
            </w:r>
          </w:p>
        </w:tc>
        <w:tc>
          <w:tcPr>
            <w:tcW w:w="620" w:type="dxa"/>
            <w:vAlign w:val="bottom"/>
          </w:tcPr>
          <w:p>
            <w:pPr>
              <w:spacing w:after="0"/>
              <w:rPr>
                <w:sz w:val="20"/>
                <w:szCs w:val="20"/>
                <w:color w:val="auto"/>
              </w:rPr>
            </w:pP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Non-U.S. Dollar denominated cash</w:t>
            </w: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37,786</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310"/>
              <w:spacing w:after="0"/>
              <w:rPr>
                <w:sz w:val="20"/>
                <w:szCs w:val="20"/>
                <w:color w:val="auto"/>
              </w:rPr>
            </w:pPr>
            <w:r>
              <w:rPr>
                <w:rFonts w:ascii="Arial" w:cs="Arial" w:eastAsia="Arial" w:hAnsi="Arial"/>
                <w:sz w:val="18"/>
                <w:szCs w:val="18"/>
                <w:color w:val="auto"/>
              </w:rPr>
              <w:t>3,779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3,779)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sensitivity analysis below represents the hypothetical change in our interest income/(expense) based on an immediate 1% movement in market interest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b w:val="1"/>
                <w:bCs w:val="1"/>
                <w:color w:val="auto"/>
              </w:rPr>
              <w:t>Interest</w:t>
            </w:r>
          </w:p>
        </w:tc>
        <w:tc>
          <w:tcPr>
            <w:tcW w:w="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r>
      <w:tr>
        <w:trPr>
          <w:trHeight w:val="216"/>
        </w:trPr>
        <w:tc>
          <w:tcPr>
            <w:tcW w:w="2480" w:type="dxa"/>
            <w:vAlign w:val="bottom"/>
          </w:tcPr>
          <w:p>
            <w:pPr>
              <w:spacing w:after="0"/>
              <w:rPr>
                <w:sz w:val="18"/>
                <w:szCs w:val="18"/>
                <w:color w:val="auto"/>
              </w:rPr>
            </w:pPr>
          </w:p>
        </w:tc>
        <w:tc>
          <w:tcPr>
            <w:tcW w:w="32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Income/(Expense)</w:t>
            </w:r>
          </w:p>
        </w:tc>
        <w:tc>
          <w:tcPr>
            <w:tcW w:w="28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Interest Income/(Expense)</w:t>
            </w:r>
          </w:p>
        </w:tc>
        <w:tc>
          <w:tcPr>
            <w:tcW w:w="6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Income/(Expense)</w:t>
            </w:r>
          </w:p>
        </w:tc>
      </w:tr>
      <w:tr>
        <w:trPr>
          <w:trHeight w:val="216"/>
        </w:trPr>
        <w:tc>
          <w:tcPr>
            <w:tcW w:w="2480" w:type="dxa"/>
            <w:vAlign w:val="bottom"/>
          </w:tcPr>
          <w:p>
            <w:pPr>
              <w:spacing w:after="0"/>
              <w:rPr>
                <w:sz w:val="18"/>
                <w:szCs w:val="18"/>
                <w:color w:val="auto"/>
              </w:rPr>
            </w:pPr>
          </w:p>
        </w:tc>
        <w:tc>
          <w:tcPr>
            <w:tcW w:w="32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for the year ended</w:t>
            </w:r>
          </w:p>
        </w:tc>
        <w:tc>
          <w:tcPr>
            <w:tcW w:w="600" w:type="dxa"/>
            <w:vAlign w:val="bottom"/>
          </w:tcPr>
          <w:p>
            <w:pPr>
              <w:spacing w:after="0"/>
              <w:rPr>
                <w:sz w:val="18"/>
                <w:szCs w:val="18"/>
                <w:color w:val="auto"/>
              </w:rPr>
            </w:pPr>
          </w:p>
        </w:tc>
        <w:tc>
          <w:tcPr>
            <w:tcW w:w="2280" w:type="dxa"/>
            <w:vAlign w:val="bottom"/>
          </w:tcPr>
          <w:p>
            <w:pPr>
              <w:jc w:val="right"/>
              <w:ind w:right="370"/>
              <w:spacing w:after="0"/>
              <w:rPr>
                <w:sz w:val="20"/>
                <w:szCs w:val="20"/>
                <w:color w:val="auto"/>
              </w:rPr>
            </w:pPr>
            <w:r>
              <w:rPr>
                <w:rFonts w:ascii="Arial" w:cs="Arial" w:eastAsia="Arial" w:hAnsi="Arial"/>
                <w:sz w:val="18"/>
                <w:szCs w:val="18"/>
                <w:b w:val="1"/>
                <w:bCs w:val="1"/>
                <w:color w:val="auto"/>
                <w:w w:val="91"/>
              </w:rPr>
              <w:t>Change 1% increase in</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Change 1% decrease in</w:t>
            </w:r>
          </w:p>
        </w:tc>
      </w:tr>
      <w:tr>
        <w:trPr>
          <w:trHeight w:val="216"/>
        </w:trPr>
        <w:tc>
          <w:tcPr>
            <w:tcW w:w="2480" w:type="dxa"/>
            <w:vAlign w:val="bottom"/>
          </w:tcPr>
          <w:p>
            <w:pPr>
              <w:spacing w:after="0"/>
              <w:rPr>
                <w:sz w:val="18"/>
                <w:szCs w:val="18"/>
                <w:color w:val="auto"/>
              </w:rPr>
            </w:pPr>
          </w:p>
        </w:tc>
        <w:tc>
          <w:tcPr>
            <w:tcW w:w="32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December 31, 2009</w:t>
            </w:r>
          </w:p>
        </w:tc>
        <w:tc>
          <w:tcPr>
            <w:tcW w:w="600" w:type="dxa"/>
            <w:vAlign w:val="bottom"/>
          </w:tcPr>
          <w:p>
            <w:pPr>
              <w:spacing w:after="0"/>
              <w:rPr>
                <w:sz w:val="18"/>
                <w:szCs w:val="18"/>
                <w:color w:val="auto"/>
              </w:rPr>
            </w:pPr>
          </w:p>
        </w:tc>
        <w:tc>
          <w:tcPr>
            <w:tcW w:w="22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market interest rate</w:t>
            </w:r>
          </w:p>
        </w:tc>
        <w:tc>
          <w:tcPr>
            <w:tcW w:w="6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w w:val="93"/>
              </w:rPr>
              <w:t>market interest rate</w:t>
            </w:r>
          </w:p>
        </w:tc>
      </w:tr>
      <w:tr>
        <w:trPr>
          <w:trHeight w:val="234"/>
        </w:trPr>
        <w:tc>
          <w:tcPr>
            <w:tcW w:w="2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b w:val="1"/>
                <w:bCs w:val="1"/>
                <w:color w:val="auto"/>
                <w:w w:val="95"/>
              </w:rPr>
              <w:t>(in thousands)</w:t>
            </w:r>
          </w:p>
        </w:tc>
        <w:tc>
          <w:tcPr>
            <w:tcW w:w="600" w:type="dxa"/>
            <w:vAlign w:val="bottom"/>
          </w:tcPr>
          <w:p>
            <w:pPr>
              <w:spacing w:after="0"/>
              <w:rPr>
                <w:sz w:val="20"/>
                <w:szCs w:val="20"/>
                <w:color w:val="auto"/>
              </w:rPr>
            </w:pPr>
          </w:p>
        </w:tc>
        <w:tc>
          <w:tcPr>
            <w:tcW w:w="2280" w:type="dxa"/>
            <w:vAlign w:val="bottom"/>
          </w:tcPr>
          <w:p>
            <w:pPr>
              <w:jc w:val="right"/>
              <w:ind w:right="37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Interest Income</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750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ind w:left="1420"/>
              <w:spacing w:after="0"/>
              <w:rPr>
                <w:sz w:val="20"/>
                <w:szCs w:val="20"/>
                <w:color w:val="auto"/>
              </w:rPr>
            </w:pPr>
            <w:r>
              <w:rPr>
                <w:rFonts w:ascii="Arial" w:cs="Arial" w:eastAsia="Arial" w:hAnsi="Arial"/>
                <w:sz w:val="18"/>
                <w:szCs w:val="18"/>
                <w:color w:val="auto"/>
              </w:rPr>
              <w:t>2,692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3,530)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ind w:left="1420"/>
              <w:spacing w:after="0"/>
              <w:rPr>
                <w:sz w:val="20"/>
                <w:szCs w:val="20"/>
                <w:color w:val="auto"/>
              </w:rPr>
            </w:pPr>
            <w:r>
              <w:rPr>
                <w:rFonts w:ascii="Arial" w:cs="Arial" w:eastAsia="Arial" w:hAnsi="Arial"/>
                <w:sz w:val="18"/>
                <w:szCs w:val="18"/>
                <w:color w:val="auto"/>
              </w:rPr>
              <w:t>3,950)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3,110)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incorporate by reference the description of the amendment to our Memorandum and Articles of Association described under the heading “Memorandum and Articles of Association” from Item 10 of this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2009.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59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60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Thomas Lynch acts as the Audit Committee financial expert serving on our Audit Committee and Board of Directors. Mr. Lynch is an independent Board member and serves as one of our non-executive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Board of Directors adopted its code of ethics in 2003, which applies to the Chief Executive Officer, the Chief Financial Officer and any persons performing similar functions, if any,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modifications to, or waivers from, the provisions of such code, which are required to be disclosed.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http://www.iconplc.com</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2009 and December 31, 2008, were KPMG.</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2009, and December 31, 2008, and fees billed for other services rendered by KPMG.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920" w:type="dxa"/>
            <w:vAlign w:val="bottom"/>
            <w:gridSpan w:val="3"/>
          </w:tcPr>
          <w:p>
            <w:pPr>
              <w:ind w:left="2800"/>
              <w:spacing w:after="0"/>
              <w:rPr>
                <w:sz w:val="20"/>
                <w:szCs w:val="20"/>
                <w:color w:val="auto"/>
              </w:rPr>
            </w:pPr>
            <w:r>
              <w:rPr>
                <w:rFonts w:ascii="Arial" w:cs="Arial" w:eastAsia="Arial" w:hAnsi="Arial"/>
                <w:sz w:val="18"/>
                <w:szCs w:val="18"/>
                <w:b w:val="1"/>
                <w:bCs w:val="1"/>
                <w:color w:val="auto"/>
              </w:rPr>
              <w:t>12 month period ending</w:t>
            </w:r>
          </w:p>
        </w:tc>
        <w:tc>
          <w:tcPr>
            <w:tcW w:w="2140" w:type="dxa"/>
            <w:vAlign w:val="bottom"/>
            <w:gridSpan w:val="3"/>
          </w:tcPr>
          <w:p>
            <w:pPr>
              <w:ind w:left="180"/>
              <w:spacing w:after="0"/>
              <w:rPr>
                <w:sz w:val="20"/>
                <w:szCs w:val="20"/>
                <w:color w:val="auto"/>
              </w:rPr>
            </w:pPr>
            <w:r>
              <w:rPr>
                <w:rFonts w:ascii="Arial" w:cs="Arial" w:eastAsia="Arial" w:hAnsi="Arial"/>
                <w:sz w:val="18"/>
                <w:szCs w:val="18"/>
                <w:b w:val="1"/>
                <w:bCs w:val="1"/>
                <w:color w:val="auto"/>
                <w:w w:val="95"/>
              </w:rPr>
              <w:t>12 month period ending</w:t>
            </w:r>
          </w:p>
        </w:tc>
      </w:tr>
      <w:tr>
        <w:trPr>
          <w:trHeight w:val="216"/>
        </w:trPr>
        <w:tc>
          <w:tcPr>
            <w:tcW w:w="4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December 31, 2008</w:t>
            </w:r>
          </w:p>
        </w:tc>
        <w:tc>
          <w:tcPr>
            <w:tcW w:w="320" w:type="dxa"/>
            <w:vAlign w:val="bottom"/>
          </w:tcPr>
          <w:p>
            <w:pPr>
              <w:spacing w:after="0"/>
              <w:rPr>
                <w:sz w:val="18"/>
                <w:szCs w:val="18"/>
                <w:color w:val="auto"/>
              </w:rPr>
            </w:pPr>
          </w:p>
        </w:tc>
        <w:tc>
          <w:tcPr>
            <w:tcW w:w="18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0"/>
              </w:rPr>
              <w:t>December 31, 2009</w:t>
            </w:r>
          </w:p>
        </w:tc>
      </w:tr>
      <w:tr>
        <w:trPr>
          <w:trHeight w:val="220"/>
        </w:trPr>
        <w:tc>
          <w:tcPr>
            <w:tcW w:w="4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Audit fees (1)</w:t>
            </w:r>
          </w:p>
        </w:tc>
        <w:tc>
          <w:tcPr>
            <w:tcW w:w="2940" w:type="dxa"/>
            <w:vAlign w:val="bottom"/>
          </w:tcPr>
          <w:p>
            <w:pPr>
              <w:ind w:left="28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1,835</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1,735</w:t>
            </w: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Audit related fees (2)</w:t>
            </w:r>
          </w:p>
        </w:tc>
        <w:tc>
          <w:tcPr>
            <w:tcW w:w="294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403</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24</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fees (3)</w:t>
            </w:r>
          </w:p>
        </w:tc>
        <w:tc>
          <w:tcPr>
            <w:tcW w:w="29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1,171</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928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tcPr>
          <w:p>
            <w:pPr>
              <w:ind w:left="28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3,409</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100%</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2,687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r>
    </w:tbl>
    <w:p>
      <w:pPr>
        <w:spacing w:after="0" w:line="229"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include annual audit fees for ICON plc and its subsidiaries.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 related fees principally consisted of fees for financial due diligence services and fees for audit of financial statements of employee benefit plans.</w:t>
      </w:r>
    </w:p>
    <w:p>
      <w:pPr>
        <w:spacing w:after="0" w:line="275"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ICON plc by its auditors.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60 to 99 of this Form 20-F.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Financial statements of ICON plc and subsidiaries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Consolidated Balance Sheets as at December 31, 2008 and 2009</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Consolidated Statements of Operations for the years ended December 31, 2007, December 31, 2008 and December 31, 2009.</w:t>
      </w:r>
    </w:p>
    <w:p>
      <w:pPr>
        <w:spacing w:after="0" w:line="225"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2007, December 31, 2008 and December 31, 2009.</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Consolidated Statements of Cash Flows for the years ended December 31, 2007, December 31, 2008 and December 31, 2009.</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607" w:right="7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256"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Amended Memorandum and Articles of Association (incorporated by reference to Exhibits 3.1 and 3.2 to the Form 6-k (File No. 333-08704) filed on December 5, 2008).</w:t>
      </w:r>
    </w:p>
    <w:p>
      <w:pPr>
        <w:spacing w:after="0" w:line="170" w:lineRule="exact"/>
        <w:rPr>
          <w:sz w:val="20"/>
          <w:szCs w:val="20"/>
          <w:color w:val="auto"/>
        </w:rPr>
      </w:pPr>
    </w:p>
    <w:p>
      <w:pPr>
        <w:jc w:val="both"/>
        <w:ind w:left="600" w:right="200"/>
        <w:spacing w:after="0" w:line="342" w:lineRule="auto"/>
        <w:rPr>
          <w:sz w:val="20"/>
          <w:szCs w:val="20"/>
          <w:color w:val="auto"/>
        </w:rPr>
      </w:pPr>
      <w:r>
        <w:rPr>
          <w:rFonts w:ascii="Arial" w:cs="Arial" w:eastAsia="Arial" w:hAnsi="Arial"/>
          <w:sz w:val="16"/>
          <w:szCs w:val="16"/>
          <w:color w:val="auto"/>
        </w:rPr>
        <w:t>ICON plc Share Option Plan 2003, as updated on October 26, 2006, for the 2006 bonus issue, further updated on February 5, 2007 and updated on July 21, 2008, for the 2008 bonus issue (incorporated by reference to Exhibit 4.1 to the Form S-8 (File No. 333-152802) filed on August 6, 2008).</w:t>
      </w:r>
    </w:p>
    <w:p>
      <w:pPr>
        <w:spacing w:after="0" w:line="124" w:lineRule="exact"/>
        <w:rPr>
          <w:sz w:val="20"/>
          <w:szCs w:val="20"/>
          <w:color w:val="auto"/>
        </w:rPr>
      </w:pPr>
    </w:p>
    <w:p>
      <w:pPr>
        <w:ind w:left="600" w:right="200"/>
        <w:spacing w:after="0" w:line="277" w:lineRule="auto"/>
        <w:rPr>
          <w:sz w:val="20"/>
          <w:szCs w:val="20"/>
          <w:color w:val="auto"/>
        </w:rPr>
      </w:pPr>
      <w:r>
        <w:rPr>
          <w:rFonts w:ascii="Arial" w:cs="Arial" w:eastAsia="Arial" w:hAnsi="Arial"/>
          <w:sz w:val="18"/>
          <w:szCs w:val="18"/>
          <w:color w:val="auto"/>
        </w:rPr>
        <w:t>ICON plc Consultants Share Option Plan 2008 (incorporated by reference to Exhibit 4.2 to the Form S-8 (File No. 333-152802) filed on August 6, 2008).</w:t>
      </w:r>
    </w:p>
    <w:p>
      <w:pPr>
        <w:spacing w:after="0" w:line="170" w:lineRule="exact"/>
        <w:rPr>
          <w:sz w:val="20"/>
          <w:szCs w:val="20"/>
          <w:color w:val="auto"/>
        </w:rPr>
      </w:pPr>
    </w:p>
    <w:p>
      <w:pPr>
        <w:ind w:left="600" w:right="320"/>
        <w:spacing w:after="0" w:line="277" w:lineRule="auto"/>
        <w:rPr>
          <w:sz w:val="20"/>
          <w:szCs w:val="20"/>
          <w:color w:val="auto"/>
        </w:rPr>
      </w:pPr>
      <w:r>
        <w:rPr>
          <w:rFonts w:ascii="Arial" w:cs="Arial" w:eastAsia="Arial" w:hAnsi="Arial"/>
          <w:sz w:val="18"/>
          <w:szCs w:val="18"/>
          <w:color w:val="auto"/>
        </w:rPr>
        <w:t>ICON plc Employee Share Option Plan 2008 (incorporated by reference to Exhibit 4.3 to the Form S-8 (File No. 333-152802) filed on August 6, 2008).</w:t>
      </w:r>
    </w:p>
    <w:p>
      <w:pPr>
        <w:spacing w:after="0" w:line="170" w:lineRule="exact"/>
        <w:rPr>
          <w:sz w:val="20"/>
          <w:szCs w:val="20"/>
          <w:color w:val="auto"/>
        </w:rPr>
      </w:pPr>
    </w:p>
    <w:p>
      <w:pPr>
        <w:ind w:left="600" w:right="60"/>
        <w:spacing w:after="0" w:line="277" w:lineRule="auto"/>
        <w:rPr>
          <w:sz w:val="20"/>
          <w:szCs w:val="20"/>
          <w:color w:val="auto"/>
        </w:rPr>
      </w:pPr>
      <w:r>
        <w:rPr>
          <w:rFonts w:ascii="Arial" w:cs="Arial" w:eastAsia="Arial" w:hAnsi="Arial"/>
          <w:sz w:val="18"/>
          <w:szCs w:val="18"/>
          <w:color w:val="auto"/>
        </w:rPr>
        <w:t>ICON plc Employees Restricted Share Unit Plan (incorporated by reference to Exhibit 4.4 to the Form S-8 (File No. 333-152802) filed on August 6, 2008).</w:t>
      </w:r>
    </w:p>
    <w:p>
      <w:pPr>
        <w:spacing w:after="0" w:line="170" w:lineRule="exact"/>
        <w:rPr>
          <w:sz w:val="20"/>
          <w:szCs w:val="20"/>
          <w:color w:val="auto"/>
        </w:rPr>
      </w:pPr>
    </w:p>
    <w:p>
      <w:pPr>
        <w:ind w:left="600" w:right="560"/>
        <w:spacing w:after="0" w:line="277" w:lineRule="auto"/>
        <w:rPr>
          <w:sz w:val="20"/>
          <w:szCs w:val="20"/>
          <w:color w:val="auto"/>
        </w:rPr>
      </w:pPr>
      <w:r>
        <w:rPr>
          <w:rFonts w:ascii="Arial" w:cs="Arial" w:eastAsia="Arial" w:hAnsi="Arial"/>
          <w:sz w:val="18"/>
          <w:szCs w:val="18"/>
          <w:color w:val="auto"/>
        </w:rPr>
        <w:t>Office Space Lease, dated September 25, 1998, between ICON Clinical Research, Inc. and O’Neill Lansdale Properties, L.P. (incorporated by reference to Exhibit 10.1(a) to the Form 20-F (File No. 333-08704) filed on March 31, 2009).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Amended and Restated Office Space Lease, dated January 1, 2001, between ICON Clinical Research Inc, and 212 Church Associates, L.P.</w:t>
      </w:r>
    </w:p>
    <w:p>
      <w:pPr>
        <w:spacing w:after="0" w:line="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(incorporated by reference to Exhibit 10.1(b) to the Form 20-F (File No. 333-08704) filed on March 31, 2009).</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Amendment Number 1 to the Amended and Restated Office Space Lease, between ICON Clinical Research, Inc. and 212 C Associates, L.P.</w:t>
      </w:r>
    </w:p>
    <w:p>
      <w:pPr>
        <w:spacing w:after="0" w:line="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(incorporated by reference to Exhibit 10.1(c) to the Form 20-F (File No. 333-08704) filed on March31, 2009).</w:t>
      </w:r>
    </w:p>
    <w:p>
      <w:pPr>
        <w:spacing w:after="0" w:line="211" w:lineRule="exact"/>
        <w:rPr>
          <w:sz w:val="20"/>
          <w:szCs w:val="20"/>
          <w:color w:val="auto"/>
        </w:rPr>
      </w:pPr>
    </w:p>
    <w:p>
      <w:pPr>
        <w:ind w:left="600" w:right="60"/>
        <w:spacing w:after="0" w:line="308" w:lineRule="auto"/>
        <w:rPr>
          <w:sz w:val="20"/>
          <w:szCs w:val="20"/>
          <w:color w:val="auto"/>
        </w:rPr>
      </w:pPr>
      <w:r>
        <w:rPr>
          <w:rFonts w:ascii="Arial" w:cs="Arial" w:eastAsia="Arial" w:hAnsi="Arial"/>
          <w:sz w:val="17"/>
          <w:szCs w:val="17"/>
          <w:color w:val="auto"/>
        </w:rPr>
        <w:t>Amendment Number 2 to the Amended and Restated Office Space Lease, dated January 11, 2005, between ICON Clinical Research, Inc. and 212 C Associates, L.P. (incorporated by reference to Exhibit 10.1(d) to the Form 20-F (File No. 333-08704) filed on March 31, 2009).</w:t>
      </w:r>
    </w:p>
    <w:p>
      <w:pPr>
        <w:spacing w:after="0" w:line="147" w:lineRule="exact"/>
        <w:rPr>
          <w:sz w:val="20"/>
          <w:szCs w:val="20"/>
          <w:color w:val="auto"/>
        </w:rPr>
      </w:pPr>
    </w:p>
    <w:p>
      <w:pPr>
        <w:ind w:left="600" w:right="480"/>
        <w:spacing w:after="0" w:line="308" w:lineRule="auto"/>
        <w:rPr>
          <w:sz w:val="20"/>
          <w:szCs w:val="20"/>
          <w:color w:val="auto"/>
        </w:rPr>
      </w:pPr>
      <w:r>
        <w:rPr>
          <w:rFonts w:ascii="Arial" w:cs="Arial" w:eastAsia="Arial" w:hAnsi="Arial"/>
          <w:sz w:val="17"/>
          <w:szCs w:val="17"/>
          <w:color w:val="auto"/>
        </w:rPr>
        <w:t>Agreement of Lease, dated August 13, 2001, between ICON Clinical Research (UK) Limited, ICON plc and Capital Business Parks Globeside Limited (incorporated by reference to Exhibit 10.2 to the Form 20-F (File No. 333-08704) filed on March 31, 2009).</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Agreement of Lease, dated November 29, 2002, between ICON Laboratories, Inc. and MSM Reality Co. LLC, Davrick, LLC and Sholom Blau Co.</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LLC (together, the “Landlord”). (incorporated by reference to Exhibit 10.3 to the Form 20-F (File No. 333-08704) filed on March 31, 2009).</w:t>
      </w:r>
    </w:p>
    <w:p>
      <w:pPr>
        <w:spacing w:after="0" w:line="222" w:lineRule="exact"/>
        <w:rPr>
          <w:sz w:val="20"/>
          <w:szCs w:val="20"/>
          <w:color w:val="auto"/>
        </w:rPr>
      </w:pPr>
    </w:p>
    <w:p>
      <w:pPr>
        <w:ind w:left="600" w:right="300"/>
        <w:spacing w:after="0" w:line="277" w:lineRule="auto"/>
        <w:rPr>
          <w:sz w:val="20"/>
          <w:szCs w:val="20"/>
          <w:color w:val="auto"/>
        </w:rPr>
      </w:pPr>
      <w:r>
        <w:rPr>
          <w:rFonts w:ascii="Arial" w:cs="Arial" w:eastAsia="Arial" w:hAnsi="Arial"/>
          <w:sz w:val="18"/>
          <w:szCs w:val="18"/>
          <w:color w:val="auto"/>
        </w:rPr>
        <w:t>Highwoods Properties Office Lease, dated February 17, 2003, between ICON Clinical Research, Inc. and Highwoods Realty Limited Partnership (incorporated by reference to Exhibit 10.4 to the Form 20-F (File No. 333-08704) filed on March 31, 2009).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Section 302 certifications.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Section 906 certifications.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List of Subsidiaries (incorporated by reference to Item 4 of Form 20-F filed herewith).</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Consent of KPMG,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2009. In making this assessment,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used the criteria set forth by the Committee of Sponsoring Organizations of the Treadway Commission (COSO) in Internal Control – Integrated Framework.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assessment performed, we determined that, as of December 31, 2009, the Company’s internal control over financial reporting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In addition, there have been no changes in the Company’s internal control over financial reporting during 2009 that have materially affected, or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likely to affect materially, the Group’s internal control over financial reporting.</w:t>
      </w:r>
    </w:p>
    <w:p>
      <w:pPr>
        <w:spacing w:after="0" w:line="23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KPMG, which has audited the consolidated financial statements of the Company for the year ended December 31, 2009, has also audited the effectiveness of the Company’s internal control over financial reporting under Auditing Standard No. 5 of the Public Company Accounting Oversight Board (United States).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ICON plc and subsidiaries (“the Company”) as of December 31, 2009 and 2008 and the related consolidated statements of operations, shareholders’ equity and comprehensive income, and cash flows for each of the years in the three-year period ended December 31, 2009.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2009 and 2008 and the results of their operations and their cash flows for each of the years in the three-year period ended December 31, 2009, in conformity with U.S. generally accepted accounting principles.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adopted the provisions of FASB Interpretation No. 48 </w:t>
      </w:r>
      <w:r>
        <w:rPr>
          <w:rFonts w:ascii="Arial" w:cs="Arial" w:eastAsia="Arial" w:hAnsi="Arial"/>
          <w:sz w:val="18"/>
          <w:szCs w:val="18"/>
          <w:i w:val="1"/>
          <w:iCs w:val="1"/>
          <w:color w:val="auto"/>
        </w:rPr>
        <w:t>Accounting for Uncertain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(included in FASB ASC Topic 740,</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as of January 1, 2007.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ICON plc’s internal control over financial reporting as of December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23, 2010,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ICON plc’s internal control over financial reporting as of December 31, 2009,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ICON plc’s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 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our opinion, ICON plc maintained, in all material respects, effective internal control over financial reporting as of December 31, 2009,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ICON plc and subsidiaries as of December 31, 2009 and 2008 and the related consolidated statements of operations, shareholders’ equity and comprehensive income, and cash flows for each of the years in the three-year period ended December 31, 2009 and our report dated February 23, 2010 expressed an unqualified opinion on those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5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December 31,</w:t>
            </w:r>
          </w:p>
        </w:tc>
        <w:tc>
          <w:tcPr>
            <w:tcW w:w="1380" w:type="dxa"/>
            <w:vAlign w:val="bottom"/>
            <w:tcBorders>
              <w:top w:val="single" w:sz="8" w:color="auto"/>
            </w:tcBorders>
            <w:gridSpan w:val="2"/>
          </w:tcPr>
          <w:p>
            <w:pPr>
              <w:ind w:left="22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2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9"/>
                <w:szCs w:val="19"/>
                <w:color w:val="auto"/>
              </w:rPr>
            </w:pPr>
          </w:p>
        </w:tc>
        <w:tc>
          <w:tcPr>
            <w:tcW w:w="1600" w:type="dxa"/>
            <w:vAlign w:val="bottom"/>
            <w:gridSpan w:val="2"/>
          </w:tcPr>
          <w:p>
            <w:pPr>
              <w:ind w:left="440"/>
              <w:spacing w:after="0"/>
              <w:rPr>
                <w:sz w:val="20"/>
                <w:szCs w:val="20"/>
                <w:color w:val="auto"/>
              </w:rPr>
            </w:pPr>
            <w:r>
              <w:rPr>
                <w:rFonts w:ascii="Arial" w:cs="Arial" w:eastAsia="Arial" w:hAnsi="Arial"/>
                <w:sz w:val="18"/>
                <w:szCs w:val="18"/>
                <w:b w:val="1"/>
                <w:bCs w:val="1"/>
                <w:color w:val="auto"/>
                <w:w w:val="91"/>
              </w:rPr>
              <w:t>(in thousands)</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58,378</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144,801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Short term investments - available for sale (Note 3)</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42,726</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210,535</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191,924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Unbilled revenue</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141,727</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Other receivables</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11,196</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Deferred tax asset (Note 13)</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5,609</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Prepayments and other current assets</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24,332</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20,126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Income taxes receivable (Note 13)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5,776</w:t>
            </w: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460"/>
              <w:spacing w:after="0" w:line="201" w:lineRule="exact"/>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7"/>
                <w:szCs w:val="17"/>
                <w:color w:val="auto"/>
              </w:rPr>
            </w:pP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500,279</w:t>
            </w:r>
          </w:p>
        </w:tc>
        <w:tc>
          <w:tcPr>
            <w:tcW w:w="620" w:type="dxa"/>
            <w:vAlign w:val="bottom"/>
          </w:tcPr>
          <w:p>
            <w:pPr>
              <w:spacing w:after="0"/>
              <w:rPr>
                <w:sz w:val="17"/>
                <w:szCs w:val="17"/>
                <w:color w:val="auto"/>
              </w:rPr>
            </w:pPr>
          </w:p>
        </w:tc>
        <w:tc>
          <w:tcPr>
            <w:tcW w:w="76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8"/>
              </w:rPr>
              <w:t>535,426</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Property, plant and equipment, net (Note 6)</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171,748</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Goodwill (Note 4)</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169,344</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other assets</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2,179</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income taxes receivable (Note 13)</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4,840</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deferred tax asset (Note 13)</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8,271</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Intangible assets (Note 5)</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10,624</w:t>
            </w: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867,285</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908,398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580" w:type="dxa"/>
            <w:vAlign w:val="bottom"/>
          </w:tcPr>
          <w:p>
            <w:pPr>
              <w:spacing w:after="0" w:line="195" w:lineRule="exact"/>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17,505</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Payments on account</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121,935</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165,198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Other liabilities (Note 7)</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130,223</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119,666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Deferred tax liability (Note 13)</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1,356</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Bank credit lines and loan facilities (Note 8)</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40,193</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Income taxes payable (Note 13)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3,110</w:t>
            </w: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460"/>
              <w:spacing w:after="0" w:line="201" w:lineRule="exact"/>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7"/>
                <w:szCs w:val="17"/>
                <w:color w:val="auto"/>
              </w:rPr>
            </w:pP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314,322</w:t>
            </w:r>
          </w:p>
        </w:tc>
        <w:tc>
          <w:tcPr>
            <w:tcW w:w="620" w:type="dxa"/>
            <w:vAlign w:val="bottom"/>
          </w:tcPr>
          <w:p>
            <w:pPr>
              <w:spacing w:after="0"/>
              <w:rPr>
                <w:sz w:val="17"/>
                <w:szCs w:val="17"/>
                <w:color w:val="auto"/>
              </w:rPr>
            </w:pPr>
          </w:p>
        </w:tc>
        <w:tc>
          <w:tcPr>
            <w:tcW w:w="76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8"/>
              </w:rPr>
              <w:t>299,520</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other liabilities</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1,880</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government grants (Note 11)</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1,386</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income taxes payable (Note 13)</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15,949</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deferred tax liability (Note 13)</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12,196</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Non-current bank credit lines and facilities (Note 8)</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65,186</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Ordinary shares, par value 6 euro cents per share;</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100,000,000 shares authorized, (Note 12)</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w w:val="89"/>
              </w:rPr>
              <w:t>58,518,195 shares issued and outstanding at December 31, 2008 and 59,007,565 shares issued and outstanding</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at December 31, 2009*.</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4,921</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162,057</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6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3,178</w:t>
            </w:r>
          </w:p>
        </w:tc>
        <w:tc>
          <w:tcPr>
            <w:tcW w:w="6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286,210</w:t>
            </w: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380,509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456,366</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572,246</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867,285</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908,398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*Comparative figures have been amended to reflect the Bonus Issues (Stock Splits) which took place with an effective date of August 8, 2008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8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280"/>
              <w:spacing w:after="0" w:line="191" w:lineRule="exact"/>
              <w:rPr>
                <w:sz w:val="20"/>
                <w:szCs w:val="20"/>
                <w:color w:val="auto"/>
              </w:rPr>
            </w:pPr>
            <w:r>
              <w:rPr>
                <w:rFonts w:ascii="Arial" w:cs="Arial" w:eastAsia="Arial" w:hAnsi="Arial"/>
                <w:sz w:val="18"/>
                <w:szCs w:val="18"/>
                <w:b w:val="1"/>
                <w:bCs w:val="1"/>
                <w:color w:val="auto"/>
              </w:rPr>
              <w:t>Year Ended</w:t>
            </w: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8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392"/>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0" w:type="dxa"/>
            <w:vAlign w:val="bottom"/>
          </w:tcPr>
          <w:p>
            <w:pPr>
              <w:spacing w:after="0"/>
              <w:rPr>
                <w:sz w:val="1"/>
                <w:szCs w:val="1"/>
                <w:color w:val="auto"/>
              </w:rPr>
            </w:pPr>
          </w:p>
        </w:tc>
      </w:tr>
      <w:tr>
        <w:trPr>
          <w:trHeight w:val="222"/>
        </w:trPr>
        <w:tc>
          <w:tcPr>
            <w:tcW w:w="68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60"/>
              <w:spacing w:after="0"/>
              <w:rPr>
                <w:sz w:val="20"/>
                <w:szCs w:val="20"/>
                <w:color w:val="auto"/>
              </w:rPr>
            </w:pPr>
            <w:r>
              <w:rPr>
                <w:rFonts w:ascii="Arial" w:cs="Arial" w:eastAsia="Arial" w:hAnsi="Arial"/>
                <w:sz w:val="18"/>
                <w:szCs w:val="18"/>
                <w:color w:val="auto"/>
              </w:rPr>
              <w:t>Gross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867,473</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1,209,451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1,258,227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Reimbursable expenses</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(236,751)</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(344,203)</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(370,615)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tcPr>
          <w:p>
            <w:pPr>
              <w:ind w:left="460"/>
              <w:spacing w:after="0"/>
              <w:rPr>
                <w:sz w:val="20"/>
                <w:szCs w:val="20"/>
                <w:color w:val="auto"/>
              </w:rPr>
            </w:pPr>
            <w:r>
              <w:rPr>
                <w:rFonts w:ascii="Arial" w:cs="Arial" w:eastAsia="Arial" w:hAnsi="Arial"/>
                <w:sz w:val="18"/>
                <w:szCs w:val="18"/>
                <w:color w:val="auto"/>
              </w:rPr>
              <w:t>Net revenue</w:t>
            </w:r>
          </w:p>
        </w:tc>
        <w:tc>
          <w:tcPr>
            <w:tcW w:w="640" w:type="dxa"/>
            <w:vAlign w:val="bottom"/>
          </w:tcPr>
          <w:p>
            <w:pPr>
              <w:spacing w:after="0"/>
              <w:rPr>
                <w:sz w:val="19"/>
                <w:szCs w:val="19"/>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630,722</w:t>
            </w:r>
          </w:p>
        </w:tc>
        <w:tc>
          <w:tcPr>
            <w:tcW w:w="38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865,248</w:t>
            </w: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887,612</w:t>
            </w:r>
          </w:p>
        </w:tc>
        <w:tc>
          <w:tcPr>
            <w:tcW w:w="0" w:type="dxa"/>
            <w:vAlign w:val="bottom"/>
          </w:tcPr>
          <w:p>
            <w:pPr>
              <w:spacing w:after="0"/>
              <w:rPr>
                <w:sz w:val="1"/>
                <w:szCs w:val="1"/>
                <w:color w:val="auto"/>
              </w:rPr>
            </w:pPr>
          </w:p>
        </w:tc>
      </w:tr>
      <w:tr>
        <w:trPr>
          <w:trHeight w:val="404"/>
        </w:trPr>
        <w:tc>
          <w:tcPr>
            <w:tcW w:w="68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60"/>
              <w:spacing w:after="0"/>
              <w:rPr>
                <w:sz w:val="20"/>
                <w:szCs w:val="20"/>
                <w:color w:val="auto"/>
              </w:rPr>
            </w:pPr>
            <w:r>
              <w:rPr>
                <w:rFonts w:ascii="Arial" w:cs="Arial" w:eastAsia="Arial" w:hAnsi="Arial"/>
                <w:sz w:val="18"/>
                <w:szCs w:val="18"/>
                <w:color w:val="auto"/>
              </w:rPr>
              <w:t>Direct costs</w:t>
            </w:r>
          </w:p>
        </w:tc>
        <w:tc>
          <w:tcPr>
            <w:tcW w:w="64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354,479</w:t>
            </w:r>
          </w:p>
        </w:tc>
        <w:tc>
          <w:tcPr>
            <w:tcW w:w="3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489,238</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6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187,993</w:t>
            </w:r>
          </w:p>
        </w:tc>
        <w:tc>
          <w:tcPr>
            <w:tcW w:w="3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248,778</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19,008</w:t>
            </w:r>
          </w:p>
        </w:tc>
        <w:tc>
          <w:tcPr>
            <w:tcW w:w="3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27,728</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One-time net charges (Note 14)</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561,480</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765,744</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780,160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640" w:type="dxa"/>
            <w:vAlign w:val="bottom"/>
          </w:tcPr>
          <w:p>
            <w:pPr>
              <w:spacing w:after="0"/>
              <w:rPr>
                <w:sz w:val="24"/>
                <w:szCs w:val="24"/>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69,242</w:t>
            </w:r>
          </w:p>
        </w:tc>
        <w:tc>
          <w:tcPr>
            <w:tcW w:w="380" w:type="dxa"/>
            <w:vAlign w:val="bottom"/>
          </w:tcPr>
          <w:p>
            <w:pPr>
              <w:spacing w:after="0"/>
              <w:rPr>
                <w:sz w:val="24"/>
                <w:szCs w:val="24"/>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99,504</w:t>
            </w:r>
          </w:p>
        </w:tc>
        <w:tc>
          <w:tcPr>
            <w:tcW w:w="3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107,452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4,141</w:t>
            </w:r>
          </w:p>
        </w:tc>
        <w:tc>
          <w:tcPr>
            <w:tcW w:w="3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2,881</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(1,403)</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(4,105)</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418"/>
        </w:trPr>
        <w:tc>
          <w:tcPr>
            <w:tcW w:w="684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640" w:type="dxa"/>
            <w:vAlign w:val="bottom"/>
          </w:tcPr>
          <w:p>
            <w:pPr>
              <w:spacing w:after="0"/>
              <w:rPr>
                <w:sz w:val="24"/>
                <w:szCs w:val="24"/>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71,980</w:t>
            </w:r>
          </w:p>
        </w:tc>
        <w:tc>
          <w:tcPr>
            <w:tcW w:w="380" w:type="dxa"/>
            <w:vAlign w:val="bottom"/>
          </w:tcPr>
          <w:p>
            <w:pPr>
              <w:spacing w:after="0"/>
              <w:rPr>
                <w:sz w:val="24"/>
                <w:szCs w:val="24"/>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98,280</w:t>
            </w:r>
          </w:p>
        </w:tc>
        <w:tc>
          <w:tcPr>
            <w:tcW w:w="3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104,674</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Provision for income taxes (Note 13)</w:t>
            </w:r>
          </w:p>
        </w:tc>
        <w:tc>
          <w:tcPr>
            <w:tcW w:w="6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(15,830)</w:t>
            </w:r>
          </w:p>
        </w:tc>
        <w:tc>
          <w:tcPr>
            <w:tcW w:w="38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(19,967)</w:t>
            </w:r>
          </w:p>
        </w:tc>
        <w:tc>
          <w:tcPr>
            <w:tcW w:w="3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 - controlling interests</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(187)</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(193)</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55,963</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78,120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94,299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840" w:type="dxa"/>
            <w:vAlign w:val="bottom"/>
            <w:gridSpan w:val="2"/>
          </w:tcPr>
          <w:p>
            <w:pPr>
              <w:spacing w:after="0"/>
              <w:rPr>
                <w:sz w:val="20"/>
                <w:szCs w:val="20"/>
                <w:color w:val="auto"/>
              </w:rPr>
            </w:pPr>
            <w:r>
              <w:rPr>
                <w:rFonts w:ascii="Arial" w:cs="Arial" w:eastAsia="Arial" w:hAnsi="Arial"/>
                <w:sz w:val="18"/>
                <w:szCs w:val="18"/>
                <w:color w:val="auto"/>
              </w:rPr>
              <w:t>Net income per ordinary share:</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0.97</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0.94</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84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Basic (Note 2)</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0"/>
              </w:rPr>
              <w:t>57,410,544</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58,245,240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0"/>
              </w:rPr>
              <w:t>58,636,878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(Note 2)</w:t>
            </w: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0"/>
              </w:rPr>
              <w:t>59,495,928</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60,221,587</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0"/>
              </w:rPr>
              <w:t>59,900,504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840" w:type="dxa"/>
            <w:vAlign w:val="bottom"/>
            <w:gridSpan w:val="2"/>
          </w:tcPr>
          <w:p>
            <w:pPr>
              <w:spacing w:after="0"/>
              <w:rPr>
                <w:sz w:val="20"/>
                <w:szCs w:val="20"/>
                <w:color w:val="auto"/>
              </w:rPr>
            </w:pPr>
            <w:r>
              <w:rPr>
                <w:rFonts w:ascii="Arial" w:cs="Arial" w:eastAsia="Arial" w:hAnsi="Arial"/>
                <w:sz w:val="18"/>
                <w:szCs w:val="18"/>
                <w:color w:val="auto"/>
                <w:w w:val="97"/>
              </w:rPr>
              <w:t>The accompanying notes are an integral part of these consolidated financial statements.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*Comparative figures have been amended to reflect the Bonus Issue (Stock Split) which took place with an effective date of August 8, 2008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ICON plc</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9"/>
          </w:tcPr>
          <w:p>
            <w:pPr>
              <w:jc w:val="right"/>
              <w:ind w:right="61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6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(in thousands, except share and per share data)</w:t>
            </w:r>
          </w:p>
        </w:tc>
        <w:tc>
          <w:tcPr>
            <w:tcW w:w="300" w:type="dxa"/>
            <w:vAlign w:val="bottom"/>
          </w:tcPr>
          <w:p>
            <w:pPr>
              <w:spacing w:after="0"/>
              <w:rPr>
                <w:sz w:val="20"/>
                <w:szCs w:val="20"/>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Accumulated</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Additional</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Paid-in</w:t>
            </w: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Comprehensive</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3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Income</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19"/>
                <w:szCs w:val="19"/>
                <w:color w:val="auto"/>
              </w:rPr>
            </w:pPr>
          </w:p>
        </w:tc>
        <w:tc>
          <w:tcPr>
            <w:tcW w:w="1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2006*</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57,035,704</w:t>
            </w: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4,789</w:t>
            </w:r>
          </w:p>
        </w:tc>
        <w:tc>
          <w:tcPr>
            <w:tcW w:w="3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131,307</w:t>
            </w:r>
          </w:p>
        </w:tc>
        <w:tc>
          <w:tcPr>
            <w:tcW w:w="3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14,515</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$ 152,127</w:t>
            </w:r>
          </w:p>
        </w:tc>
        <w:tc>
          <w:tcPr>
            <w:tcW w:w="10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$ 302,738</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Comprehensive Income:</w:t>
            </w:r>
          </w:p>
        </w:tc>
        <w:tc>
          <w:tcPr>
            <w:tcW w:w="1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55,963</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55,963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7"/>
              </w:rPr>
              <w:t>Currency translation adjustment (net of tax)</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11,893</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2"/>
              </w:rPr>
              <w:t>Actuarial gain on defined benefit pension plan</w:t>
            </w:r>
          </w:p>
        </w:tc>
        <w:tc>
          <w:tcPr>
            <w:tcW w:w="1900" w:type="dxa"/>
            <w:vAlign w:val="bottom"/>
          </w:tcPr>
          <w:p>
            <w:pPr>
              <w:jc w:val="right"/>
              <w:ind w:right="1270"/>
              <w:spacing w:after="0"/>
              <w:rPr>
                <w:sz w:val="20"/>
                <w:szCs w:val="20"/>
                <w:color w:val="auto"/>
              </w:rPr>
            </w:pPr>
            <w:r>
              <w:rPr>
                <w:rFonts w:ascii="Arial" w:cs="Arial" w:eastAsia="Arial" w:hAnsi="Arial"/>
                <w:sz w:val="18"/>
                <w:szCs w:val="18"/>
                <w:color w:val="auto"/>
              </w:rPr>
              <w:t>(net of</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color w:val="auto"/>
              </w:rPr>
              <w:t>nil taxation)</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5,420</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Total comprehensive income</w:t>
            </w:r>
          </w:p>
        </w:tc>
        <w:tc>
          <w:tcPr>
            <w:tcW w:w="1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73,276</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900" w:type="dxa"/>
            <w:vAlign w:val="bottom"/>
          </w:tcPr>
          <w:p>
            <w:pPr>
              <w:jc w:val="right"/>
              <w:spacing w:after="0"/>
              <w:rPr>
                <w:sz w:val="20"/>
                <w:szCs w:val="20"/>
                <w:color w:val="auto"/>
              </w:rPr>
            </w:pPr>
            <w:r>
              <w:rPr>
                <w:rFonts w:ascii="Arial" w:cs="Arial" w:eastAsia="Arial" w:hAnsi="Arial"/>
                <w:sz w:val="18"/>
                <w:szCs w:val="18"/>
                <w:color w:val="auto"/>
              </w:rPr>
              <w:t>634,784</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5,244</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Share based compensation expense</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5,748</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Share issue costs</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Tax benefit on exercise of options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1,466</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December 31, 2007*</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57,670,488</w:t>
            </w: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4,843</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143,639</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31,828</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$ 208,090</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$ 388,400</w:t>
            </w:r>
          </w:p>
        </w:tc>
        <w:tc>
          <w:tcPr>
            <w:tcW w:w="0" w:type="dxa"/>
            <w:vAlign w:val="bottom"/>
          </w:tcPr>
          <w:p>
            <w:pPr>
              <w:spacing w:after="0"/>
              <w:rPr>
                <w:sz w:val="1"/>
                <w:szCs w:val="1"/>
                <w:color w:val="auto"/>
              </w:rPr>
            </w:pPr>
          </w:p>
        </w:tc>
      </w:tr>
      <w:tr>
        <w:trPr>
          <w:trHeight w:val="418"/>
        </w:trPr>
        <w:tc>
          <w:tcPr>
            <w:tcW w:w="33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78,120</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78,120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7"/>
              </w:rPr>
              <w:t>Currency translation adjustment (net of tax)</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(27,606)</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(27,606)</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2"/>
              </w:rPr>
              <w:t>Actuarial loss on defined benefit pension plan</w:t>
            </w:r>
          </w:p>
        </w:tc>
        <w:tc>
          <w:tcPr>
            <w:tcW w:w="1900" w:type="dxa"/>
            <w:vAlign w:val="bottom"/>
          </w:tcPr>
          <w:p>
            <w:pPr>
              <w:jc w:val="right"/>
              <w:ind w:right="1310"/>
              <w:spacing w:after="0"/>
              <w:rPr>
                <w:sz w:val="20"/>
                <w:szCs w:val="20"/>
                <w:color w:val="auto"/>
              </w:rPr>
            </w:pPr>
            <w:r>
              <w:rPr>
                <w:rFonts w:ascii="Arial" w:cs="Arial" w:eastAsia="Arial" w:hAnsi="Arial"/>
                <w:sz w:val="18"/>
                <w:szCs w:val="18"/>
                <w:color w:val="auto"/>
                <w:w w:val="93"/>
              </w:rPr>
              <w:t>(net of</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color w:val="auto"/>
              </w:rPr>
              <w:t>nil taxation)</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(1,044)</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Total comprehensive income</w:t>
            </w:r>
          </w:p>
        </w:tc>
        <w:tc>
          <w:tcPr>
            <w:tcW w:w="1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900" w:type="dxa"/>
            <w:vAlign w:val="bottom"/>
          </w:tcPr>
          <w:p>
            <w:pPr>
              <w:jc w:val="right"/>
              <w:spacing w:after="0"/>
              <w:rPr>
                <w:sz w:val="20"/>
                <w:szCs w:val="20"/>
                <w:color w:val="auto"/>
              </w:rPr>
            </w:pPr>
            <w:r>
              <w:rPr>
                <w:rFonts w:ascii="Arial" w:cs="Arial" w:eastAsia="Arial" w:hAnsi="Arial"/>
                <w:sz w:val="18"/>
                <w:szCs w:val="18"/>
                <w:color w:val="auto"/>
              </w:rPr>
              <w:t>847,707</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8,438</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Share based compensation expense</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6,058</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Share issue costs</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Tax benefit on exercise of options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4,060</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2008*</w:t>
            </w:r>
          </w:p>
        </w:tc>
        <w:tc>
          <w:tcPr>
            <w:tcW w:w="1900" w:type="dxa"/>
            <w:vAlign w:val="bottom"/>
          </w:tcPr>
          <w:p>
            <w:pPr>
              <w:jc w:val="right"/>
              <w:spacing w:after="0"/>
              <w:rPr>
                <w:sz w:val="20"/>
                <w:szCs w:val="20"/>
                <w:color w:val="auto"/>
              </w:rPr>
            </w:pPr>
            <w:r>
              <w:rPr>
                <w:rFonts w:ascii="Arial" w:cs="Arial" w:eastAsia="Arial" w:hAnsi="Arial"/>
                <w:sz w:val="18"/>
                <w:szCs w:val="18"/>
                <w:color w:val="auto"/>
              </w:rPr>
              <w:t>58,518,195</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4,921</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162,057</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3,178</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$ 286,210</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$ 456,366</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64</w:t>
            </w: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7"/>
              </w:rPr>
              <w:t>ICON plc</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9"/>
          </w:tcPr>
          <w:p>
            <w:pPr>
              <w:jc w:val="center"/>
              <w:ind w:left="93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38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00" w:type="dxa"/>
            <w:vAlign w:val="bottom"/>
          </w:tcPr>
          <w:p>
            <w:pPr>
              <w:spacing w:after="0"/>
              <w:rPr>
                <w:sz w:val="20"/>
                <w:szCs w:val="20"/>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Accumulated</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Additional</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Paid-in</w:t>
            </w: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Comprehensive</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Income</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2008*</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58,518,195</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4,921</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162,057</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3,178</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$ 286,210</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$ 456,366</w:t>
            </w:r>
          </w:p>
        </w:tc>
        <w:tc>
          <w:tcPr>
            <w:tcW w:w="0" w:type="dxa"/>
            <w:vAlign w:val="bottom"/>
          </w:tcPr>
          <w:p>
            <w:pPr>
              <w:spacing w:after="0"/>
              <w:rPr>
                <w:sz w:val="1"/>
                <w:szCs w:val="1"/>
                <w:color w:val="auto"/>
              </w:rPr>
            </w:pPr>
          </w:p>
        </w:tc>
      </w:tr>
      <w:tr>
        <w:trPr>
          <w:trHeight w:val="418"/>
        </w:trPr>
        <w:tc>
          <w:tcPr>
            <w:tcW w:w="33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94,299</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94,299</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w w:val="96"/>
              </w:rPr>
              <w:t>Currency translation adjustment (net of tax)</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10,048</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w w:val="92"/>
              </w:rPr>
              <w:t>Actuarial loss on defined benefit pension plan</w:t>
            </w:r>
          </w:p>
        </w:tc>
        <w:tc>
          <w:tcPr>
            <w:tcW w:w="1920" w:type="dxa"/>
            <w:vAlign w:val="bottom"/>
          </w:tcPr>
          <w:p>
            <w:pPr>
              <w:jc w:val="right"/>
              <w:ind w:right="1310"/>
              <w:spacing w:after="0"/>
              <w:rPr>
                <w:sz w:val="20"/>
                <w:szCs w:val="20"/>
                <w:color w:val="auto"/>
              </w:rPr>
            </w:pPr>
            <w:r>
              <w:rPr>
                <w:rFonts w:ascii="Arial" w:cs="Arial" w:eastAsia="Arial" w:hAnsi="Arial"/>
                <w:sz w:val="18"/>
                <w:szCs w:val="18"/>
                <w:color w:val="auto"/>
                <w:w w:val="97"/>
              </w:rPr>
              <w:t>(net of</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nil taxation)</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(642)</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2"/>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Total comprehensive income</w:t>
            </w:r>
          </w:p>
        </w:tc>
        <w:tc>
          <w:tcPr>
            <w:tcW w:w="1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103,705</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489,370</w:t>
            </w:r>
          </w:p>
        </w:tc>
        <w:tc>
          <w:tcPr>
            <w:tcW w:w="5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4,375</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Share based compensation expense</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7,353</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Share issue costs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Tax benefit on exercise of options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487</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December 31, 2009*</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59,007,565</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4,965</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174,188</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12,584</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$ 380,509</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$ 572,246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*Comparative figures have been amended to reflect the Bonus Issue (Stock Split) which took place with an effective date of August 8, 2008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7"/>
              </w:rPr>
              <w:t>ICON plc</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jc w:val="center"/>
              <w:ind w:left="26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620" w:type="dxa"/>
            <w:vAlign w:val="bottom"/>
            <w:gridSpan w:val="2"/>
          </w:tcPr>
          <w:p>
            <w:pPr>
              <w:ind w:left="2340"/>
              <w:spacing w:after="0"/>
              <w:rPr>
                <w:sz w:val="20"/>
                <w:szCs w:val="20"/>
                <w:color w:val="auto"/>
              </w:rPr>
            </w:pPr>
            <w:r>
              <w:rPr>
                <w:rFonts w:ascii="Arial" w:cs="Arial" w:eastAsia="Arial" w:hAnsi="Arial"/>
                <w:sz w:val="18"/>
                <w:szCs w:val="18"/>
                <w:b w:val="1"/>
                <w:bCs w:val="1"/>
                <w:color w:val="auto"/>
              </w:rPr>
              <w:t>December 31,</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December 31</w:t>
            </w:r>
          </w:p>
        </w:tc>
        <w:tc>
          <w:tcPr>
            <w:tcW w:w="0" w:type="dxa"/>
            <w:vAlign w:val="bottom"/>
          </w:tcPr>
          <w:p>
            <w:pPr>
              <w:spacing w:after="0"/>
              <w:rPr>
                <w:sz w:val="1"/>
                <w:szCs w:val="1"/>
                <w:color w:val="auto"/>
              </w:rPr>
            </w:pPr>
          </w:p>
        </w:tc>
      </w:tr>
      <w:tr>
        <w:trPr>
          <w:trHeight w:val="234"/>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2"/>
        </w:trPr>
        <w:tc>
          <w:tcPr>
            <w:tcW w:w="5060" w:type="dxa"/>
            <w:vAlign w:val="bottom"/>
            <w:gridSpan w:val="2"/>
            <w:vMerge w:val="continue"/>
          </w:tcPr>
          <w:p>
            <w:pPr>
              <w:spacing w:after="0"/>
              <w:rPr>
                <w:sz w:val="17"/>
                <w:szCs w:val="17"/>
                <w:color w:val="auto"/>
              </w:rPr>
            </w:pPr>
          </w:p>
        </w:tc>
        <w:tc>
          <w:tcPr>
            <w:tcW w:w="2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60" w:type="dxa"/>
            <w:vAlign w:val="bottom"/>
          </w:tcPr>
          <w:p>
            <w:pPr>
              <w:ind w:left="23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55,963</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78,120</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94,299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w:t>
            </w:r>
          </w:p>
        </w:tc>
        <w:tc>
          <w:tcPr>
            <w:tcW w:w="2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provided by operating activities:</w:t>
            </w:r>
          </w:p>
        </w:tc>
        <w:tc>
          <w:tcPr>
            <w:tcW w:w="2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Loss on disposal of property, plant and equipment</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19,008</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27,728</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Amortization of government grants</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Stock compensation expense</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5,748</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6,058</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Deferred taxes</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2,909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Minority interest</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2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(Increase)/decrease in accounts receivable</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(11,390)</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(83,816)</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(Increase)/decrease in unbilled revenue</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(52,231)</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2,168</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Decrease/(increase) in other receivables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2,275</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(10,175)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w w:val="93"/>
              </w:rPr>
              <w:t>Decrease/(increase) in prepayments and other current assets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502</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(9,444)</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Increase in other non current assets</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(2,140)</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Increase in payments on account</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4,220</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26,404</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Increase in other current liabilities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14,403</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41,849</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Increase in other non current liabilities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Increase/(decrease) in income taxes payable</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3,582</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(3,968)</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Increase/(decrease) in accounts payable</w:t>
            </w:r>
          </w:p>
        </w:tc>
        <w:tc>
          <w:tcPr>
            <w:tcW w:w="2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2,343</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3,150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Arial" w:cs="Arial" w:eastAsia="Arial" w:hAnsi="Arial"/>
                <w:sz w:val="18"/>
                <w:szCs w:val="18"/>
                <w:color w:val="auto"/>
              </w:rPr>
              <w:t>Net cash provided by operating activities</w:t>
            </w:r>
          </w:p>
        </w:tc>
        <w:tc>
          <w:tcPr>
            <w:tcW w:w="2460" w:type="dxa"/>
            <w:vAlign w:val="bottom"/>
          </w:tcPr>
          <w:p>
            <w:pPr>
              <w:spacing w:after="0"/>
              <w:rPr>
                <w:sz w:val="17"/>
                <w:szCs w:val="17"/>
                <w:color w:val="auto"/>
              </w:rPr>
            </w:pPr>
          </w:p>
        </w:tc>
        <w:tc>
          <w:tcPr>
            <w:tcW w:w="1160" w:type="dxa"/>
            <w:vAlign w:val="bottom"/>
          </w:tcPr>
          <w:p>
            <w:pPr>
              <w:jc w:val="right"/>
              <w:ind w:right="150"/>
              <w:spacing w:after="0" w:line="198" w:lineRule="exact"/>
              <w:rPr>
                <w:sz w:val="20"/>
                <w:szCs w:val="20"/>
                <w:color w:val="auto"/>
              </w:rPr>
            </w:pPr>
            <w:r>
              <w:rPr>
                <w:rFonts w:ascii="Arial" w:cs="Arial" w:eastAsia="Arial" w:hAnsi="Arial"/>
                <w:sz w:val="18"/>
                <w:szCs w:val="18"/>
                <w:color w:val="auto"/>
              </w:rPr>
              <w:t>42,966</w:t>
            </w:r>
          </w:p>
        </w:tc>
        <w:tc>
          <w:tcPr>
            <w:tcW w:w="300" w:type="dxa"/>
            <w:vAlign w:val="bottom"/>
          </w:tcPr>
          <w:p>
            <w:pPr>
              <w:spacing w:after="0"/>
              <w:rPr>
                <w:sz w:val="17"/>
                <w:szCs w:val="17"/>
                <w:color w:val="auto"/>
              </w:rPr>
            </w:pPr>
          </w:p>
        </w:tc>
        <w:tc>
          <w:tcPr>
            <w:tcW w:w="1160" w:type="dxa"/>
            <w:vAlign w:val="bottom"/>
          </w:tcPr>
          <w:p>
            <w:pPr>
              <w:jc w:val="right"/>
              <w:ind w:right="150"/>
              <w:spacing w:after="0" w:line="198" w:lineRule="exact"/>
              <w:rPr>
                <w:sz w:val="20"/>
                <w:szCs w:val="20"/>
                <w:color w:val="auto"/>
              </w:rPr>
            </w:pPr>
            <w:r>
              <w:rPr>
                <w:rFonts w:ascii="Arial" w:cs="Arial" w:eastAsia="Arial" w:hAnsi="Arial"/>
                <w:sz w:val="18"/>
                <w:szCs w:val="18"/>
                <w:color w:val="auto"/>
              </w:rPr>
              <w:t>81,282</w:t>
            </w:r>
          </w:p>
        </w:tc>
        <w:tc>
          <w:tcPr>
            <w:tcW w:w="260" w:type="dxa"/>
            <w:vAlign w:val="bottom"/>
          </w:tcPr>
          <w:p>
            <w:pPr>
              <w:spacing w:after="0"/>
              <w:rPr>
                <w:sz w:val="17"/>
                <w:szCs w:val="17"/>
                <w:color w:val="auto"/>
              </w:rPr>
            </w:pPr>
          </w:p>
        </w:tc>
        <w:tc>
          <w:tcPr>
            <w:tcW w:w="1020" w:type="dxa"/>
            <w:vAlign w:val="bottom"/>
          </w:tcPr>
          <w:p>
            <w:pPr>
              <w:jc w:val="right"/>
              <w:ind w:right="10"/>
              <w:spacing w:after="0" w:line="198" w:lineRule="exact"/>
              <w:rPr>
                <w:sz w:val="20"/>
                <w:szCs w:val="20"/>
                <w:color w:val="auto"/>
              </w:rPr>
            </w:pPr>
            <w:r>
              <w:rPr>
                <w:rFonts w:ascii="Arial" w:cs="Arial" w:eastAsia="Arial" w:hAnsi="Arial"/>
                <w:sz w:val="18"/>
                <w:szCs w:val="18"/>
                <w:color w:val="auto"/>
              </w:rPr>
              <w:t>255,070</w:t>
            </w:r>
          </w:p>
        </w:tc>
        <w:tc>
          <w:tcPr>
            <w:tcW w:w="0" w:type="dxa"/>
            <w:vAlign w:val="bottom"/>
          </w:tcPr>
          <w:p>
            <w:pPr>
              <w:spacing w:after="0"/>
              <w:rPr>
                <w:sz w:val="1"/>
                <w:szCs w:val="1"/>
                <w:color w:val="auto"/>
              </w:rPr>
            </w:pPr>
          </w:p>
        </w:tc>
      </w:tr>
      <w:tr>
        <w:trPr>
          <w:trHeight w:val="22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Purchase of property, plant and equipment</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(75,391)</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(67,882)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w w:val="98"/>
              </w:rPr>
              <w:t>Purchase of subsidiary undertakings and acquisition costs</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(41,150)</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(49,540)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Cash acquired with subsidiary undertaking</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Grant received</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Sale of short term investments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14,824</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14,026</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Purchase of short term investments</w:t>
            </w:r>
          </w:p>
        </w:tc>
        <w:tc>
          <w:tcPr>
            <w:tcW w:w="2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(16,753)</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(15,000)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Arial" w:cs="Arial" w:eastAsia="Arial" w:hAnsi="Arial"/>
                <w:sz w:val="18"/>
                <w:szCs w:val="18"/>
                <w:color w:val="auto"/>
              </w:rPr>
              <w:t>Net cash used in investing activities</w:t>
            </w:r>
          </w:p>
        </w:tc>
        <w:tc>
          <w:tcPr>
            <w:tcW w:w="2460" w:type="dxa"/>
            <w:vAlign w:val="bottom"/>
          </w:tcPr>
          <w:p>
            <w:pPr>
              <w:spacing w:after="0"/>
              <w:rPr>
                <w:sz w:val="17"/>
                <w:szCs w:val="17"/>
                <w:color w:val="auto"/>
              </w:rPr>
            </w:pPr>
          </w:p>
        </w:tc>
        <w:tc>
          <w:tcPr>
            <w:tcW w:w="1160" w:type="dxa"/>
            <w:vAlign w:val="bottom"/>
          </w:tcPr>
          <w:p>
            <w:pPr>
              <w:jc w:val="right"/>
              <w:ind w:right="90"/>
              <w:spacing w:after="0" w:line="198" w:lineRule="exact"/>
              <w:rPr>
                <w:sz w:val="20"/>
                <w:szCs w:val="20"/>
                <w:color w:val="auto"/>
              </w:rPr>
            </w:pPr>
            <w:r>
              <w:rPr>
                <w:rFonts w:ascii="Arial" w:cs="Arial" w:eastAsia="Arial" w:hAnsi="Arial"/>
                <w:sz w:val="18"/>
                <w:szCs w:val="18"/>
                <w:color w:val="auto"/>
              </w:rPr>
              <w:t>(118,470)</w:t>
            </w:r>
          </w:p>
        </w:tc>
        <w:tc>
          <w:tcPr>
            <w:tcW w:w="300" w:type="dxa"/>
            <w:vAlign w:val="bottom"/>
          </w:tcPr>
          <w:p>
            <w:pPr>
              <w:spacing w:after="0"/>
              <w:rPr>
                <w:sz w:val="17"/>
                <w:szCs w:val="17"/>
                <w:color w:val="auto"/>
              </w:rPr>
            </w:pPr>
          </w:p>
        </w:tc>
        <w:tc>
          <w:tcPr>
            <w:tcW w:w="1160" w:type="dxa"/>
            <w:vAlign w:val="bottom"/>
          </w:tcPr>
          <w:p>
            <w:pPr>
              <w:jc w:val="right"/>
              <w:ind w:right="90"/>
              <w:spacing w:after="0" w:line="198" w:lineRule="exact"/>
              <w:rPr>
                <w:sz w:val="20"/>
                <w:szCs w:val="20"/>
                <w:color w:val="auto"/>
              </w:rPr>
            </w:pPr>
            <w:r>
              <w:rPr>
                <w:rFonts w:ascii="Arial" w:cs="Arial" w:eastAsia="Arial" w:hAnsi="Arial"/>
                <w:sz w:val="18"/>
                <w:szCs w:val="18"/>
                <w:color w:val="auto"/>
              </w:rPr>
              <w:t>(117,447)</w:t>
            </w:r>
          </w:p>
        </w:tc>
        <w:tc>
          <w:tcPr>
            <w:tcW w:w="26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(65,692)</w:t>
            </w:r>
          </w:p>
        </w:tc>
        <w:tc>
          <w:tcPr>
            <w:tcW w:w="0" w:type="dxa"/>
            <w:vAlign w:val="bottom"/>
          </w:tcPr>
          <w:p>
            <w:pPr>
              <w:spacing w:after="0"/>
              <w:rPr>
                <w:sz w:val="1"/>
                <w:szCs w:val="1"/>
                <w:color w:val="auto"/>
              </w:rPr>
            </w:pPr>
          </w:p>
        </w:tc>
      </w:tr>
      <w:tr>
        <w:trPr>
          <w:trHeight w:val="22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Drawdown of credit lines and facilities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94,829</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58,925</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Repayment of credit lines and facilities</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(48,927)</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Proceeds from the exercise of share options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5,298</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8,516</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Share issuance costs</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Tax benefit from the exercise of share options</w:t>
            </w:r>
          </w:p>
        </w:tc>
        <w:tc>
          <w:tcPr>
            <w:tcW w:w="246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1,466</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4,060</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Bank overdraft acquired with subsidiary undertakings</w:t>
            </w:r>
          </w:p>
        </w:tc>
        <w:tc>
          <w:tcPr>
            <w:tcW w:w="24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7"/>
              </w:rPr>
              <w:t>Repayment of other liabilities and finance lease obligations</w:t>
            </w:r>
          </w:p>
        </w:tc>
        <w:tc>
          <w:tcPr>
            <w:tcW w:w="2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Net cash provided by/(used in) financing activities</w:t>
            </w:r>
          </w:p>
        </w:tc>
        <w:tc>
          <w:tcPr>
            <w:tcW w:w="2460" w:type="dxa"/>
            <w:vAlign w:val="bottom"/>
          </w:tcPr>
          <w:p>
            <w:pPr>
              <w:spacing w:after="0"/>
              <w:rPr>
                <w:sz w:val="17"/>
                <w:szCs w:val="17"/>
                <w:color w:val="auto"/>
              </w:rPr>
            </w:pPr>
          </w:p>
        </w:tc>
        <w:tc>
          <w:tcPr>
            <w:tcW w:w="11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93,958</w:t>
            </w:r>
          </w:p>
        </w:tc>
        <w:tc>
          <w:tcPr>
            <w:tcW w:w="300" w:type="dxa"/>
            <w:vAlign w:val="bottom"/>
          </w:tcPr>
          <w:p>
            <w:pPr>
              <w:spacing w:after="0"/>
              <w:rPr>
                <w:sz w:val="17"/>
                <w:szCs w:val="17"/>
                <w:color w:val="auto"/>
              </w:rPr>
            </w:pPr>
          </w:p>
        </w:tc>
        <w:tc>
          <w:tcPr>
            <w:tcW w:w="11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22,337</w:t>
            </w:r>
          </w:p>
        </w:tc>
        <w:tc>
          <w:tcPr>
            <w:tcW w:w="2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(105,058)</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movements on cash</w:t>
            </w:r>
          </w:p>
        </w:tc>
        <w:tc>
          <w:tcPr>
            <w:tcW w:w="2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(4,612)</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(4,675)</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02"/>
        </w:trPr>
        <w:tc>
          <w:tcPr>
            <w:tcW w:w="50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Net increase/(decrease) in cash and cash equivalents</w:t>
            </w:r>
          </w:p>
        </w:tc>
        <w:tc>
          <w:tcPr>
            <w:tcW w:w="2460" w:type="dxa"/>
            <w:vAlign w:val="bottom"/>
          </w:tcPr>
          <w:p>
            <w:pPr>
              <w:spacing w:after="0"/>
              <w:rPr>
                <w:sz w:val="17"/>
                <w:szCs w:val="17"/>
                <w:color w:val="auto"/>
              </w:rPr>
            </w:pPr>
          </w:p>
        </w:tc>
        <w:tc>
          <w:tcPr>
            <w:tcW w:w="11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13,842</w:t>
            </w:r>
          </w:p>
        </w:tc>
        <w:tc>
          <w:tcPr>
            <w:tcW w:w="300" w:type="dxa"/>
            <w:vAlign w:val="bottom"/>
          </w:tcPr>
          <w:p>
            <w:pPr>
              <w:spacing w:after="0"/>
              <w:rPr>
                <w:sz w:val="17"/>
                <w:szCs w:val="17"/>
                <w:color w:val="auto"/>
              </w:rPr>
            </w:pPr>
          </w:p>
        </w:tc>
        <w:tc>
          <w:tcPr>
            <w:tcW w:w="11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(18,503)</w:t>
            </w:r>
          </w:p>
        </w:tc>
        <w:tc>
          <w:tcPr>
            <w:tcW w:w="26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86,423</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63,039</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76,881</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60" w:type="dxa"/>
            <w:vAlign w:val="bottom"/>
          </w:tcPr>
          <w:p>
            <w:pPr>
              <w:ind w:left="23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76,881</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58,378</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144,801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4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jc w:val="center"/>
              <w:ind w:right="1070"/>
              <w:spacing w:after="0"/>
              <w:rPr>
                <w:sz w:val="20"/>
                <w:szCs w:val="20"/>
                <w:color w:val="auto"/>
              </w:rPr>
            </w:pPr>
            <w:r>
              <w:rPr>
                <w:rFonts w:ascii="Arial" w:cs="Arial" w:eastAsia="Arial" w:hAnsi="Arial"/>
                <w:sz w:val="18"/>
                <w:szCs w:val="18"/>
                <w:color w:val="auto"/>
                <w:w w:val="89"/>
              </w:rPr>
              <w:t>66</w:t>
            </w: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ICON plc and its subsidiaries (“the Company” or “ICON”) is a contract research organization (“CRO”), providing outsourced development services on a global basis to the pharmaceutical, biotechnology and medical device industries. The Company specializes in the strategic development, management and analysis of programs that support Clinical Development - from compound selection to Phase I-IV clinical studies.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primary approach is to use dedicated teams to achieve optimum results, but the Company can implement a range of resourcing models to suit client requirements.</w:t>
      </w:r>
    </w:p>
    <w:p>
      <w:pPr>
        <w:spacing w:after="0" w:line="19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 highly fragmented industry, we are one of a select group of companies with the capability and expertise to conduct clinical trials in all major therapeutic areas on a global basis. At December 31, 2009, the Company had 7,170 employees, in 68 locations, in 38 countries, providing Phase I - IV Clinical Trial Management, Drug Development Support Services, Data Management, Biostatistics, Central Laboratory, Imaging and Staff Contracting services. The Company has the operational flexibility to provide development services on a stand-alone basis or as part of an integrated “full service” solution.</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For the year ended December 31, 2009, we derived approximately 46.0%, 45.4 % and 8.6 % of our net revenue in the United States, Europe and Rest of World, respectively.</w:t>
      </w:r>
    </w:p>
    <w:p>
      <w:pPr>
        <w:spacing w:after="0" w:line="2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2009, the Financial Accounting Standards Board (“FASB”) issued the FASB Accounting Standards Codification (the “ASC”). The ASC has become the single source of non-governmental accounting principles generally accepted in the United States (“GAAP”) recognized by the FASB in the preparation of financial statements. The ASC does not supersede the rules or regulations of the Securities and Exchange Commission (“SEC”), therefore, the rules and interpretive releases of the SEC continue to be additional sources of GAAP for the Company. The Company adopted the ASC as of July 1, 2009. The ASC does not change GAAP and did not have an effect on the Company’s financial position, results of operations or cash flows.</w:t>
      </w:r>
    </w:p>
    <w:p>
      <w:pPr>
        <w:spacing w:after="0" w:line="200" w:lineRule="exact"/>
        <w:rPr>
          <w:sz w:val="20"/>
          <w:szCs w:val="20"/>
          <w:color w:val="auto"/>
        </w:rPr>
      </w:pPr>
    </w:p>
    <w:p>
      <w:pPr>
        <w:ind w:left="700" w:hanging="69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2" w:name="page73"/>
    <w:bookmarkEnd w:id="72"/>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requires management to make estimates and judgements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93" w:lineRule="exact"/>
        <w:rPr>
          <w:sz w:val="20"/>
          <w:szCs w:val="20"/>
          <w:color w:val="auto"/>
        </w:rPr>
      </w:pPr>
    </w:p>
    <w:p>
      <w:pPr>
        <w:ind w:left="700" w:hanging="69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primarily earns revenues by providing a number of different services to its customers. These services include clinical trials management, biometric activities, consulting, imaging, laboratory and contract staffing services. Contracts range in duration from a number of months to several years.</w:t>
      </w:r>
    </w:p>
    <w:p>
      <w:pPr>
        <w:spacing w:after="0" w:line="15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Revenue for services, as rendered, is recognized only after persuasive evidence of an arrangement exists, the sales price is fixed or determinable and collectibility is reasonably assured.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trials management revenue is recognized on a proportional performance method. Depending on the contractual terms revenue is either recognised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recognised on the unit of delivery method, the basis applied is the number of units completed as a percentage to the total number of contractual units.</w:t>
      </w:r>
    </w:p>
    <w:p>
      <w:pPr>
        <w:spacing w:after="0" w:line="2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Biometrics revenue is recognised on a fee-for-service method as each unit of data is prepared on the basis of the number of units completed in a period as a percentage of the total number of contracted units. Imaging revenue is recognised on a fee-for-service basis recognizing revenue for each image completed. Consulting revenue is recognised on a fee-for-service basis as each hour of the related service is performed. Contract staffing revenue is recognized on a fee-for-service basis, over the time the related service is performed, or in the case of permanent placement, once the candidate has been placed with the</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client. Laboratory service revenue is recognised on a fee-for-service basis. The Company accounts for laboratory service contracts as multip 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recognised as revenue by revision to the total contract value arising as a result of an authorised customer change order.</w:t>
      </w:r>
    </w:p>
    <w:p>
      <w:pPr>
        <w:spacing w:after="0" w:line="2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balance sheet as unbilled revenue. Normally, amounts become billable upon the achievement of certain milestones, for example, target patient enrolment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ensure that the Company is paid for all work performed to the termination date.</w:t>
      </w:r>
    </w:p>
    <w:p>
      <w:pPr>
        <w:spacing w:after="0" w:line="197"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Reimbursable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215" w:lineRule="exact"/>
        <w:rPr>
          <w:sz w:val="20"/>
          <w:szCs w:val="20"/>
          <w:color w:val="auto"/>
        </w:rPr>
      </w:pPr>
    </w:p>
    <w:p>
      <w:pPr>
        <w:ind w:left="700" w:hanging="69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costs consist of compensation and associated employee benefits for project-related employees, other direct project-related costs and share based compensation.</w:t>
      </w:r>
    </w:p>
    <w:p>
      <w:pPr>
        <w:spacing w:after="0" w:line="197"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costs associated with advertising and promotion are expensed as incurred. The advertising and promotion expense was U.S.$3,612,000 and US$3,467,000 for the years ended December 31, 2007 and 2008 respectively. For the year ended December 31, 2009, these costs amounted to U.S.$2,548,000.</w:t>
      </w:r>
    </w:p>
    <w:p>
      <w:pPr>
        <w:spacing w:after="0" w:line="151"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For the year ended December 31, 2007 the amounts charged to income amounted to U.S.$6,266,000 and for the year ended December 31, 2008 the amounts credited to income amounted to U.S. $2,255,000. For the year ended December 31, 2009, amounts charged to income amounted to U.S. $1,639,000.</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income statement. Translation gains and losses arising are reported as a movement on accumulated other comprehensive income.</w:t>
      </w:r>
    </w:p>
    <w:p>
      <w:pPr>
        <w:spacing w:after="0" w:line="174"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have carrying amounts that approximate fair value due to the short term maturities of these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other liabilities carrying amounts approximate fair value based on net present value of estimated future cash flows.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4" w:name="page75"/>
    <w:bookmarkEnd w:id="74"/>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5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 l exceeds the implied goodwill. No impairment was recognized as a result of the impairment testing carried out as at December 31, 2007, December 31, 2008 and December 31, 2009.</w:t>
      </w:r>
    </w:p>
    <w:p>
      <w:pPr>
        <w:spacing w:after="0" w:line="205"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5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97"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classified short-term investments as available for sale in accordance with the terms of FASB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Realized gains and losses are determined using specific identification. The investments are reported at fair value, with unrealized gains 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 separate component of shareholders’ equity. Any differences between the cost and fair value of the investments are represented by accrued interest.</w:t>
      </w:r>
    </w:p>
    <w:p>
      <w:pPr>
        <w:spacing w:after="0" w:line="214" w:lineRule="exact"/>
        <w:rPr>
          <w:sz w:val="20"/>
          <w:szCs w:val="20"/>
          <w:color w:val="auto"/>
        </w:rPr>
      </w:pPr>
    </w:p>
    <w:p>
      <w:pPr>
        <w:ind w:left="680" w:hanging="627"/>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of raw materials comprises the purchase price and attributable costs, less trade discounts. As at the year ended December 31, 2009, the carrying value of inventory, included within prepayments and other current assets on the balance sheet, was U.S.$3.6 million (2008: U.S.$3.4 million).</w:t>
      </w:r>
    </w:p>
    <w:p>
      <w:pPr>
        <w:spacing w:after="0" w:line="20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958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Years</w:t>
            </w:r>
          </w:p>
        </w:tc>
      </w:tr>
      <w:tr>
        <w:trPr>
          <w:trHeight w:val="418"/>
        </w:trPr>
        <w:tc>
          <w:tcPr>
            <w:tcW w:w="9580" w:type="dxa"/>
            <w:vAlign w:val="bottom"/>
          </w:tcPr>
          <w:p>
            <w:pPr>
              <w:spacing w:after="0"/>
              <w:rPr>
                <w:sz w:val="20"/>
                <w:szCs w:val="20"/>
                <w:color w:val="auto"/>
              </w:rPr>
            </w:pPr>
            <w:r>
              <w:rPr>
                <w:rFonts w:ascii="Arial" w:cs="Arial" w:eastAsia="Arial" w:hAnsi="Arial"/>
                <w:sz w:val="18"/>
                <w:szCs w:val="18"/>
                <w:color w:val="auto"/>
              </w:rPr>
              <w:t>Building</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Laboratory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Motor vehicles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5" w:name="page76"/>
    <w:bookmarkEnd w:id="75"/>
    <w:p>
      <w:pPr>
        <w:ind w:left="720" w:hanging="71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08" w:lineRule="exact"/>
        <w:rPr>
          <w:sz w:val="20"/>
          <w:szCs w:val="20"/>
          <w:color w:val="auto"/>
        </w:rPr>
      </w:pPr>
    </w:p>
    <w:p>
      <w:pPr>
        <w:ind w:left="720" w:hanging="7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applies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which requires the asset and liability method of accounting for income taxes. Under the asset and liability method of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 ome in the period that includes the enactment date. The Company adopted the provisions of FASB Interpretation No. 48 </w:t>
      </w:r>
      <w:r>
        <w:rPr>
          <w:rFonts w:ascii="Arial" w:cs="Arial" w:eastAsia="Arial" w:hAnsi="Arial"/>
          <w:sz w:val="17"/>
          <w:szCs w:val="17"/>
          <w:i w:val="1"/>
          <w:iCs w:val="1"/>
          <w:color w:val="auto"/>
        </w:rPr>
        <w:t>Accounting for Uncertain Income Taxes</w:t>
      </w:r>
      <w:r>
        <w:rPr>
          <w:rFonts w:ascii="Arial" w:cs="Arial" w:eastAsia="Arial" w:hAnsi="Arial"/>
          <w:sz w:val="17"/>
          <w:szCs w:val="17"/>
          <w:color w:val="auto"/>
        </w:rPr>
        <w:t xml:space="preserve"> (“FIN 48”)</w:t>
      </w:r>
      <w:r>
        <w:rPr>
          <w:rFonts w:ascii="Arial" w:cs="Arial" w:eastAsia="Arial" w:hAnsi="Arial"/>
          <w:sz w:val="17"/>
          <w:szCs w:val="17"/>
          <w:i w:val="1"/>
          <w:iCs w:val="1"/>
          <w:color w:val="auto"/>
        </w:rPr>
        <w:t>,</w:t>
      </w:r>
      <w:r>
        <w:rPr>
          <w:rFonts w:ascii="Arial" w:cs="Arial" w:eastAsia="Arial" w:hAnsi="Arial"/>
          <w:sz w:val="17"/>
          <w:szCs w:val="17"/>
          <w:color w:val="auto"/>
        </w:rPr>
        <w:t xml:space="preserve"> (included in FASB ASC Topic 740, Income Taxes), as of January 1, 2007. FIN 48 requires that the Company recognizes the largest amount of tax benefit that is greater than 50% likely of being realized upon ultimate settlement when considering uncertain tax positions.</w:t>
      </w:r>
    </w:p>
    <w:p>
      <w:pPr>
        <w:spacing w:after="0" w:line="206"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Government grants received relating to capital expenditure are shown as deferred income and credited to income on a basis consistent with the depreciation policy of the relevant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Grants relating to categories of operating expenditures are credited to income in the period in which the expenditure to which they relate is charged.</w:t>
      </w: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recognized any loss contingency having assessed as remote the likelihood of these events arising.</w:t>
      </w:r>
    </w:p>
    <w:p>
      <w:pPr>
        <w:spacing w:after="0" w:line="252" w:lineRule="exact"/>
        <w:rPr>
          <w:sz w:val="20"/>
          <w:szCs w:val="20"/>
          <w:color w:val="auto"/>
        </w:rPr>
      </w:pPr>
    </w:p>
    <w:p>
      <w:pPr>
        <w:ind w:left="680" w:hanging="672"/>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Research and development credits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credits that are provided under the income tax law of the jurisdictions in which the Company operates generally are recognised as a reduction of income tax expense. However, certain tax jurisdictions provide refundable credits that are not dependent on the Company’s ongoing tax status or tax position. In these circumstances the benefit of these credits is not recorded as a reduction to income tax expense, but rather as a reduction of the operating expenditure to which the credits relate.</w:t>
      </w:r>
    </w:p>
    <w:p>
      <w:pPr>
        <w:spacing w:after="0" w:line="21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received refundable and non-refundable research and development credits in the current year relating to the current period and prior periods. Non-refundable research and development credits are recorded as a reduction to income tax expense in the current period. Current year refundable research and development credits are recorded as a reduction of the operating expenditure to which they relate. The Company has also recognized a credit for refundable research and development incentives relating to a prior period in one time net charges in the income statement.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6" w:name="page77"/>
    <w:bookmarkEnd w:id="76"/>
    <w:p>
      <w:pPr>
        <w:ind w:left="700" w:hanging="69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operates, through a subsidiary, a defined benefit plan for certain of its United Kingdom employees. The Company accounts for the costs of this plan using actuarial models required by FASB ASC 715-30 and the plan is presented in accordance with the requirements of FASB ASC 715-60 </w:t>
      </w:r>
      <w:r>
        <w:rPr>
          <w:rFonts w:ascii="Arial" w:cs="Arial" w:eastAsia="Arial" w:hAnsi="Arial"/>
          <w:sz w:val="18"/>
          <w:szCs w:val="18"/>
          <w:i w:val="1"/>
          <w:iCs w:val="1"/>
          <w:color w:val="auto"/>
        </w:rPr>
        <w:t>Defined</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 – Other Postretirement</w:t>
      </w:r>
      <w:r>
        <w:rPr>
          <w:rFonts w:ascii="Arial" w:cs="Arial" w:eastAsia="Arial" w:hAnsi="Arial"/>
          <w:sz w:val="18"/>
          <w:szCs w:val="18"/>
          <w:color w:val="auto"/>
        </w:rPr>
        <w:t>.</w:t>
      </w:r>
    </w:p>
    <w:p>
      <w:pPr>
        <w:spacing w:after="0" w:line="208" w:lineRule="exact"/>
        <w:rPr>
          <w:sz w:val="20"/>
          <w:szCs w:val="20"/>
          <w:color w:val="auto"/>
        </w:rPr>
      </w:pPr>
    </w:p>
    <w:p>
      <w:pPr>
        <w:ind w:left="720" w:hanging="667"/>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w w:val="95"/>
              </w:rPr>
              <w:t>Weighted average number of ordinary shares outstanding for basic net income per ordinary share</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57,410,544</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58,245,240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58,636,878</w:t>
            </w:r>
          </w:p>
        </w:tc>
      </w:tr>
      <w:tr>
        <w:trPr>
          <w:trHeight w:val="439"/>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dilutive share options outstanding</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2,085,384</w:t>
            </w: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1,976,347</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1,263,626</w:t>
            </w:r>
          </w:p>
        </w:tc>
      </w:tr>
      <w:tr>
        <w:trPr>
          <w:trHeight w:val="216"/>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Weighted average number of ordinary shares outstanding for diluted net income per ordinary share</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59,495,928</w:t>
            </w: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60,221,587</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59,900,504</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(u)</w:t>
            </w:r>
          </w:p>
        </w:tc>
        <w:tc>
          <w:tcPr>
            <w:tcW w:w="69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Company accounts for its share options in accordance with the provisions of FASB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requires that all share based payments to employees, including stock options granted, be recognized in the financial statements, over the requisite service period, based on their grant date fair values. The Company uses the Black-Scholes method of valuation to calculate the fair value of options granted.</w:t>
      </w:r>
    </w:p>
    <w:p>
      <w:pPr>
        <w:spacing w:after="0" w:line="174" w:lineRule="exact"/>
        <w:rPr>
          <w:sz w:val="20"/>
          <w:szCs w:val="20"/>
          <w:color w:val="auto"/>
        </w:rPr>
      </w:pPr>
    </w:p>
    <w:p>
      <w:pPr>
        <w:ind w:left="720" w:hanging="71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215"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3. Short term investments - available for sale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its entire investment portfolio comprising floating rate and medium term minimum “A” rated corporate securities, as available for sale. The investments are reported at fair value, with unrealized gains or losses reported in a separate component of shareholders’ equity. In the years ended December 31, 2007, December 31, 2008 and December 31, 2009, no unrealized gains or losses arose. Any differences between the cost and fair value of the investments are represented by accrued interest.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4. Goodwill</w:t>
            </w:r>
          </w:p>
        </w:tc>
        <w:tc>
          <w:tcPr>
            <w:tcW w:w="3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1"/>
        </w:trPr>
        <w:tc>
          <w:tcPr>
            <w:tcW w:w="5440" w:type="dxa"/>
            <w:vAlign w:val="bottom"/>
          </w:tcPr>
          <w:p>
            <w:pPr>
              <w:spacing w:after="0"/>
              <w:rPr>
                <w:sz w:val="24"/>
                <w:szCs w:val="24"/>
                <w:color w:val="auto"/>
              </w:rPr>
            </w:pPr>
          </w:p>
        </w:tc>
        <w:tc>
          <w:tcPr>
            <w:tcW w:w="4640" w:type="dxa"/>
            <w:vAlign w:val="bottom"/>
            <w:gridSpan w:val="2"/>
          </w:tcPr>
          <w:p>
            <w:pPr>
              <w:ind w:left="334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5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5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54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00" w:type="dxa"/>
            <w:vAlign w:val="bottom"/>
            <w:gridSpan w:val="2"/>
          </w:tcPr>
          <w:p>
            <w:pPr>
              <w:ind w:left="440"/>
              <w:spacing w:after="0"/>
              <w:rPr>
                <w:sz w:val="20"/>
                <w:szCs w:val="20"/>
                <w:color w:val="auto"/>
              </w:rPr>
            </w:pPr>
            <w:r>
              <w:rPr>
                <w:rFonts w:ascii="Arial" w:cs="Arial" w:eastAsia="Arial" w:hAnsi="Arial"/>
                <w:sz w:val="18"/>
                <w:szCs w:val="18"/>
                <w:b w:val="1"/>
                <w:bCs w:val="1"/>
                <w:color w:val="auto"/>
                <w:w w:val="91"/>
              </w:rPr>
              <w:t>(in thousands)</w:t>
            </w:r>
          </w:p>
        </w:tc>
        <w:tc>
          <w:tcPr>
            <w:tcW w:w="760" w:type="dxa"/>
            <w:vAlign w:val="bottom"/>
          </w:tcPr>
          <w:p>
            <w:pPr>
              <w:spacing w:after="0"/>
              <w:rPr>
                <w:sz w:val="19"/>
                <w:szCs w:val="19"/>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Opening Goodwill</w:t>
            </w:r>
          </w:p>
        </w:tc>
        <w:tc>
          <w:tcPr>
            <w:tcW w:w="3620" w:type="dxa"/>
            <w:vAlign w:val="bottom"/>
          </w:tcPr>
          <w:p>
            <w:pPr>
              <w:ind w:left="3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123,879</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169,344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36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55,674</w:t>
            </w:r>
          </w:p>
        </w:tc>
        <w:tc>
          <w:tcPr>
            <w:tcW w:w="5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1,584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Prior period acquisitions</w:t>
            </w:r>
          </w:p>
        </w:tc>
        <w:tc>
          <w:tcPr>
            <w:tcW w:w="36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3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(10,209)</w:t>
            </w: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3,476</w:t>
            </w:r>
          </w:p>
        </w:tc>
      </w:tr>
      <w:tr>
        <w:trPr>
          <w:trHeight w:val="432"/>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Goodwill</w:t>
            </w:r>
          </w:p>
        </w:tc>
        <w:tc>
          <w:tcPr>
            <w:tcW w:w="362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169,344</w:t>
            </w: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173,568</w:t>
            </w:r>
          </w:p>
        </w:tc>
      </w:tr>
      <w:tr>
        <w:trPr>
          <w:trHeight w:val="21"/>
        </w:trPr>
        <w:tc>
          <w:tcPr>
            <w:tcW w:w="54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Goodwill represents the excess of the cost of acquired entities over the net amounts assigned to assets acquired and liabilities assumed. Goodwill primarily comprises acquired workforce in place which does not qualify for recognition as a separate intangible asset. The Company tests goodwill annually for any impairments or whenever events occur which may indicate impairment. The results of the Company’s goodwill impairment testing during the year ended December 31, 2009, indicated the existence of sufficient headroom such that a reasonably possible change to the key assumptions used would be unlikely to result in an impairment of the related goodwill.</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(a) Acquisition of Qualia Clinical Services Inc. and Veeda Laboratories Ltd.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2009, the Company completed the acquisitions of Qualia Clinical Services, Inc., a Phase 1 facility located in Omaha, Nebraska and Veeda Laboratories Limited, a specialist provider of biomarker laboratory services to the global pharmaceutical and biotechnology industries, located in Oxford, United Kingdom, neither of which are considered individually significant. In aggregate, the total purchase price for these acquisitions was approximately $2.2 million. The excess of the consideration paid over the carrying value of the assets acquired of $0.6 million, has been recorded as goodwill of $1.6 million.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acquisitions of Qualia Clinical Services Inc. and Veeda Laboratories Ltd. have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which is effective for all acquisitions which have taken place since January 1, 2009</w:t>
      </w:r>
      <w:r>
        <w:rPr>
          <w:rFonts w:ascii="Arial" w:cs="Arial" w:eastAsia="Arial" w:hAnsi="Arial"/>
          <w:sz w:val="18"/>
          <w:szCs w:val="18"/>
          <w:i w:val="1"/>
          <w:iCs w:val="1"/>
          <w:color w:val="auto"/>
        </w:rPr>
        <w:t>.</w:t>
      </w:r>
      <w:r>
        <w:rPr>
          <w:rFonts w:ascii="Arial" w:cs="Arial" w:eastAsia="Arial" w:hAnsi="Arial"/>
          <w:sz w:val="18"/>
          <w:szCs w:val="18"/>
          <w:color w:val="auto"/>
        </w:rPr>
        <w:t xml:space="preserve"> The following table summarises the fair values of the assets acquired and the liabilities assumed.</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1,584</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Cash</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7"/>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 current liabilities</w:t>
            </w:r>
          </w:p>
        </w:tc>
        <w:tc>
          <w:tcPr>
            <w:tcW w:w="2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Purchase price</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2,214</w:t>
            </w:r>
          </w:p>
        </w:tc>
      </w:tr>
      <w:tr>
        <w:trPr>
          <w:trHeight w:val="21"/>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8" w:name="page79"/>
    <w:bookmarkEnd w:id="78"/>
    <w:p>
      <w:pPr>
        <w:ind w:right="40"/>
        <w:spacing w:after="0" w:line="277" w:lineRule="auto"/>
        <w:rPr>
          <w:sz w:val="20"/>
          <w:szCs w:val="20"/>
          <w:color w:val="auto"/>
        </w:rPr>
      </w:pPr>
      <w:r>
        <w:rPr>
          <w:rFonts w:ascii="Arial" w:cs="Arial" w:eastAsia="Arial" w:hAnsi="Arial"/>
          <w:sz w:val="18"/>
          <w:szCs w:val="18"/>
          <w:color w:val="auto"/>
        </w:rPr>
        <w:t>The proforma effect of the Qualia Clinical Services Inc. and Veeda Laboratories Ltd. acquisitions if completed on January 1, 2008, would have resulted in net revenue, net income and earnings per share for the fiscal years ended December 31, 2008 and 2009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0"/>
              </w:rPr>
              <w:t>Year Ended</w:t>
            </w:r>
          </w:p>
        </w:tc>
        <w:tc>
          <w:tcPr>
            <w:tcW w:w="7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0"/>
              </w:rPr>
              <w:t>December 31,</w:t>
            </w:r>
          </w:p>
        </w:tc>
        <w:tc>
          <w:tcPr>
            <w:tcW w:w="7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5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37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(in thousands)</w:t>
            </w:r>
          </w:p>
        </w:tc>
        <w:tc>
          <w:tcPr>
            <w:tcW w:w="700" w:type="dxa"/>
            <w:vAlign w:val="bottom"/>
          </w:tcPr>
          <w:p>
            <w:pPr>
              <w:spacing w:after="0"/>
              <w:rPr>
                <w:sz w:val="19"/>
                <w:szCs w:val="19"/>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Net revenue</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866,763</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888,048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Net income</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77,839</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93,887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3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1.29</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 of remaining 30% interest in Beacon Biosciences Inc.</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were achieved during the year ended December 31, 2009. At December 31, 2009, no amounts have been accrued in respect of the additional consideration paya ble as these milestones have not been achieved.</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acquisition of Beacon has been accounted for as a business combination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The following table summarizes the fair values of the assets acquired and the liabilities assumed at the date of acquisition.</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r>
      <w:tr>
        <w:trPr>
          <w:trHeight w:val="216"/>
        </w:trPr>
        <w:tc>
          <w:tcPr>
            <w:tcW w:w="4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20"/>
        </w:trPr>
        <w:tc>
          <w:tcPr>
            <w:tcW w:w="4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(in thousands)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Intangible assets</w:t>
            </w:r>
          </w:p>
        </w:tc>
        <w:tc>
          <w:tcPr>
            <w:tcW w:w="2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14,569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w:t>
            </w:r>
          </w:p>
        </w:tc>
        <w:tc>
          <w:tcPr>
            <w:tcW w:w="2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current assets</w:t>
            </w:r>
          </w:p>
        </w:tc>
        <w:tc>
          <w:tcPr>
            <w:tcW w:w="2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(1,689)</w:t>
            </w:r>
          </w:p>
        </w:tc>
      </w:tr>
      <w:tr>
        <w:trPr>
          <w:trHeight w:val="237"/>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w:t>
            </w:r>
          </w:p>
        </w:tc>
        <w:tc>
          <w:tcPr>
            <w:tcW w:w="2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17,780</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proforma effect of the Beacon acquisition, if completed on January 1, 2007, would have had no impact on net revenue. The profoma effect on net income and earnings per share for the fiscal years ended December 31, 2007 and 2008 would have been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Year Ended</w:t>
            </w: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8"/>
              </w:rPr>
              <w:t>December 31,</w:t>
            </w: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6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2400" w:type="dxa"/>
            <w:vAlign w:val="bottom"/>
          </w:tcPr>
          <w:p>
            <w:pPr>
              <w:spacing w:after="0"/>
              <w:rPr>
                <w:sz w:val="18"/>
                <w:szCs w:val="18"/>
                <w:color w:val="auto"/>
              </w:rPr>
            </w:pPr>
          </w:p>
        </w:tc>
      </w:tr>
      <w:tr>
        <w:trPr>
          <w:trHeight w:val="220"/>
        </w:trPr>
        <w:tc>
          <w:tcPr>
            <w:tcW w:w="37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5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7"/>
              </w:rPr>
              <w:t>(in thousands)</w:t>
            </w: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3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56,150</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78,313</w:t>
            </w:r>
          </w:p>
        </w:tc>
        <w:tc>
          <w:tcPr>
            <w:tcW w:w="240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0.98</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2400" w:type="dxa"/>
            <w:vAlign w:val="bottom"/>
          </w:tcPr>
          <w:p>
            <w:pPr>
              <w:spacing w:after="0"/>
              <w:rPr>
                <w:sz w:val="18"/>
                <w:szCs w:val="18"/>
                <w:color w:val="auto"/>
              </w:rPr>
            </w:pPr>
          </w:p>
        </w:tc>
      </w:tr>
      <w:tr>
        <w:trPr>
          <w:trHeight w:val="237"/>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0.94</w:t>
            </w: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2400" w:type="dxa"/>
            <w:vAlign w:val="bottom"/>
          </w:tcPr>
          <w:p>
            <w:pPr>
              <w:spacing w:after="0"/>
              <w:rPr>
                <w:sz w:val="20"/>
                <w:szCs w:val="20"/>
                <w:color w:val="auto"/>
              </w:rPr>
            </w:pPr>
          </w:p>
        </w:tc>
      </w:tr>
      <w:tr>
        <w:trPr>
          <w:trHeight w:val="675"/>
        </w:trPr>
        <w:tc>
          <w:tcPr>
            <w:tcW w:w="3760" w:type="dxa"/>
            <w:vAlign w:val="bottom"/>
          </w:tcPr>
          <w:p>
            <w:pPr>
              <w:spacing w:after="0"/>
              <w:rPr>
                <w:sz w:val="24"/>
                <w:szCs w:val="24"/>
                <w:color w:val="auto"/>
              </w:rPr>
            </w:pPr>
          </w:p>
        </w:tc>
        <w:tc>
          <w:tcPr>
            <w:tcW w:w="3120" w:type="dxa"/>
            <w:vAlign w:val="bottom"/>
          </w:tcPr>
          <w:p>
            <w:pPr>
              <w:jc w:val="right"/>
              <w:ind w:right="990"/>
              <w:spacing w:after="0"/>
              <w:rPr>
                <w:sz w:val="20"/>
                <w:szCs w:val="20"/>
                <w:color w:val="auto"/>
              </w:rPr>
            </w:pPr>
            <w:r>
              <w:rPr>
                <w:rFonts w:ascii="Arial" w:cs="Arial" w:eastAsia="Arial" w:hAnsi="Arial"/>
                <w:sz w:val="18"/>
                <w:szCs w:val="18"/>
                <w:color w:val="auto"/>
              </w:rPr>
              <w:t>74</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08"/>
        </w:trPr>
        <w:tc>
          <w:tcPr>
            <w:tcW w:w="376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61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(c) Acquisition of Prevalere Life Sciences Inc.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14, 2008, the Company acquired 100% of the common stock of Prevalere Life Sciences Inc. (“Prevalere”), for an initial cash consideration of $37.6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were achieved during the years ended December 31, 2008 and 2009. On April 30, 2009, $5.0 million was paid in respect of the milestones for the year ended December 31, 2008. At December 31, 2009, no amounts have been accrued in respect of the potential additional consideration, as the milestones have not been achieved.</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acquisition of Prevalere has been accounted for as a business combination in accordance with FASB Statement No. 141. The following table summarises the fair values of the assets acquired and the liabilities assumed at the date of acquisition.</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Novemeber 14,</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2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(in thousands)</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2,614</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9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7,375</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29,244</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Cash</w:t>
            </w:r>
          </w:p>
        </w:tc>
        <w:tc>
          <w:tcPr>
            <w:tcW w:w="29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9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6,504</w:t>
            </w:r>
          </w:p>
        </w:tc>
      </w:tr>
      <w:tr>
        <w:trPr>
          <w:trHeight w:val="23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r>
      <w:tr>
        <w:trPr>
          <w:trHeight w:val="216"/>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Purchase price</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43,430</w:t>
            </w:r>
          </w:p>
        </w:tc>
      </w:tr>
      <w:tr>
        <w:trPr>
          <w:trHeight w:val="21"/>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bioanalytical and immunoassay services to pharmaceutical and biotechnology companies and allows ICON to participate in a growing market for these services.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proforma effect of the Prevalere acquisition if completed on January 1, 2007, would have resulted in net revenue, net income and earnings per share for the fiscal years ended December 31, 2007 and 2008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0"/>
              </w:rPr>
              <w:t>Year Ended</w:t>
            </w:r>
          </w:p>
        </w:tc>
        <w:tc>
          <w:tcPr>
            <w:tcW w:w="7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0"/>
              </w:rPr>
              <w:t>December 31,</w:t>
            </w:r>
          </w:p>
        </w:tc>
        <w:tc>
          <w:tcPr>
            <w:tcW w:w="7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5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r>
      <w:tr>
        <w:trPr>
          <w:trHeight w:val="220"/>
        </w:trPr>
        <w:tc>
          <w:tcPr>
            <w:tcW w:w="4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(in thousands)</w:t>
            </w:r>
          </w:p>
        </w:tc>
        <w:tc>
          <w:tcPr>
            <w:tcW w:w="700" w:type="dxa"/>
            <w:vAlign w:val="bottom"/>
          </w:tcPr>
          <w:p>
            <w:pPr>
              <w:spacing w:after="0"/>
              <w:rPr>
                <w:sz w:val="19"/>
                <w:szCs w:val="19"/>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revenue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641,116</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879,940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57,894</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83,919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0.97</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Acquisition of Healthcare Discoveries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amounts were accrued at December 31, 2008, as the milestones were not achieved.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The acquisition of Healthcare Discoveries has been accounted for as a business combination in accordance with FASB Statement No. 141. The following table summarizes the fair values of the assets acquired and the liabilities assumed at the date of acquisition.</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 11</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2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2,890</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9,995</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Cash</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9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37"/>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2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r>
      <w:tr>
        <w:trPr>
          <w:trHeight w:val="216"/>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Purchase price</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11,841</w:t>
            </w:r>
          </w:p>
        </w:tc>
      </w:tr>
      <w:tr>
        <w:trPr>
          <w:trHeight w:val="21"/>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proforma effect of the Healthcare Discoveries acquisition if completed on January 1, 2007, would have resulted in net revenue, net income and earnings per share for the fiscal years ended December 31, 2007 and 2008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0"/>
              </w:rPr>
              <w:t>Year Ended</w:t>
            </w:r>
          </w:p>
        </w:tc>
        <w:tc>
          <w:tcPr>
            <w:tcW w:w="7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0"/>
              </w:rPr>
              <w:t>December 31,</w:t>
            </w:r>
          </w:p>
        </w:tc>
        <w:tc>
          <w:tcPr>
            <w:tcW w:w="7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5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r>
      <w:tr>
        <w:trPr>
          <w:trHeight w:val="220"/>
        </w:trPr>
        <w:tc>
          <w:tcPr>
            <w:tcW w:w="4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(in thousands)</w:t>
            </w:r>
          </w:p>
        </w:tc>
        <w:tc>
          <w:tcPr>
            <w:tcW w:w="700" w:type="dxa"/>
            <w:vAlign w:val="bottom"/>
          </w:tcPr>
          <w:p>
            <w:pPr>
              <w:spacing w:after="0"/>
              <w:rPr>
                <w:sz w:val="19"/>
                <w:szCs w:val="19"/>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revenue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638,706</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865,723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55,375</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77,508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0.96</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1.33</w:t>
            </w: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0.93</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5. Intangible Assets</w:t>
            </w:r>
          </w:p>
        </w:tc>
        <w:tc>
          <w:tcPr>
            <w:tcW w:w="3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540" w:type="dxa"/>
            <w:vAlign w:val="bottom"/>
          </w:tcPr>
          <w:p>
            <w:pPr>
              <w:spacing w:after="0"/>
              <w:rPr>
                <w:sz w:val="24"/>
                <w:szCs w:val="24"/>
                <w:color w:val="auto"/>
              </w:rPr>
            </w:pPr>
          </w:p>
        </w:tc>
        <w:tc>
          <w:tcPr>
            <w:tcW w:w="4500" w:type="dxa"/>
            <w:vAlign w:val="bottom"/>
            <w:gridSpan w:val="2"/>
          </w:tcPr>
          <w:p>
            <w:pPr>
              <w:ind w:left="320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6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3520" w:type="dxa"/>
            <w:vAlign w:val="bottom"/>
          </w:tcPr>
          <w:p>
            <w:pPr>
              <w:spacing w:after="0"/>
              <w:rPr>
                <w:sz w:val="20"/>
                <w:szCs w:val="20"/>
                <w:color w:val="auto"/>
              </w:rPr>
            </w:pPr>
          </w:p>
        </w:tc>
        <w:tc>
          <w:tcPr>
            <w:tcW w:w="1640" w:type="dxa"/>
            <w:vAlign w:val="bottom"/>
            <w:gridSpan w:val="2"/>
          </w:tcPr>
          <w:p>
            <w:pPr>
              <w:ind w:left="420"/>
              <w:spacing w:after="0"/>
              <w:rPr>
                <w:sz w:val="20"/>
                <w:szCs w:val="20"/>
                <w:color w:val="auto"/>
              </w:rPr>
            </w:pPr>
            <w:r>
              <w:rPr>
                <w:rFonts w:ascii="Arial" w:cs="Arial" w:eastAsia="Arial" w:hAnsi="Arial"/>
                <w:sz w:val="18"/>
                <w:szCs w:val="18"/>
                <w:b w:val="1"/>
                <w:bCs w:val="1"/>
                <w:color w:val="auto"/>
                <w:w w:val="96"/>
              </w:rPr>
              <w:t>(in thousands)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Customer relationships acquired</w:t>
            </w:r>
          </w:p>
        </w:tc>
        <w:tc>
          <w:tcPr>
            <w:tcW w:w="3520" w:type="dxa"/>
            <w:vAlign w:val="bottom"/>
          </w:tcPr>
          <w:p>
            <w:pPr>
              <w:ind w:left="3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11,095</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Volunteer list acquired</w:t>
            </w:r>
          </w:p>
        </w:tc>
        <w:tc>
          <w:tcPr>
            <w:tcW w:w="35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1,325</w:t>
            </w:r>
          </w:p>
        </w:tc>
        <w:tc>
          <w:tcPr>
            <w:tcW w:w="6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Order backlog</w:t>
            </w:r>
          </w:p>
        </w:tc>
        <w:tc>
          <w:tcPr>
            <w:tcW w:w="35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(90)</w:t>
            </w: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5540" w:type="dxa"/>
            <w:vAlign w:val="bottom"/>
          </w:tcPr>
          <w:p>
            <w:pPr>
              <w:spacing w:after="0" w:line="201" w:lineRule="exact"/>
              <w:rPr>
                <w:sz w:val="20"/>
                <w:szCs w:val="20"/>
                <w:color w:val="auto"/>
              </w:rPr>
            </w:pPr>
            <w:r>
              <w:rPr>
                <w:rFonts w:ascii="Arial" w:cs="Arial" w:eastAsia="Arial" w:hAnsi="Arial"/>
                <w:sz w:val="18"/>
                <w:szCs w:val="18"/>
                <w:color w:val="auto"/>
              </w:rPr>
              <w:t>Total cost</w:t>
            </w:r>
          </w:p>
        </w:tc>
        <w:tc>
          <w:tcPr>
            <w:tcW w:w="3520" w:type="dxa"/>
            <w:vAlign w:val="bottom"/>
          </w:tcPr>
          <w:p>
            <w:pPr>
              <w:spacing w:after="0"/>
              <w:rPr>
                <w:sz w:val="17"/>
                <w:szCs w:val="17"/>
                <w:color w:val="auto"/>
              </w:rPr>
            </w:pPr>
          </w:p>
        </w:tc>
        <w:tc>
          <w:tcPr>
            <w:tcW w:w="9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12,330</w:t>
            </w:r>
          </w:p>
        </w:tc>
        <w:tc>
          <w:tcPr>
            <w:tcW w:w="660" w:type="dxa"/>
            <w:vAlign w:val="bottom"/>
          </w:tcPr>
          <w:p>
            <w:pPr>
              <w:spacing w:after="0"/>
              <w:rPr>
                <w:sz w:val="17"/>
                <w:szCs w:val="17"/>
                <w:color w:val="auto"/>
              </w:rPr>
            </w:pPr>
          </w:p>
        </w:tc>
        <w:tc>
          <w:tcPr>
            <w:tcW w:w="7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14,438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5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(1,770)</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64</w:t>
            </w: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w:t>
            </w:r>
          </w:p>
        </w:tc>
        <w:tc>
          <w:tcPr>
            <w:tcW w:w="352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10,624</w:t>
            </w: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2009, the Company completed the acquisitions of Qualia Clinical Services, Inc., a Phase 1 facility located in Omaha, Nebraska and Veeda Laboratories Limited, a specialist provider of biomarker laboratory services to the global pharmaceutical and biotechnology industries, located in Oxford, United Kingdom, neither of which are considered individually significant. The value of certain client relationships identified of U.S.$0.35 million are being amortized over approximately 3 years, the estimated period of benefit. U.S. $90,000 has been amortized in the period since the date of acquisition.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18"/>
          <w:szCs w:val="18"/>
          <w:color w:val="auto"/>
        </w:rPr>
        <w:t>On July 1, 2004, the Company acquired 70% of the common stock of Beacon Biosciences Inc. (“Beacon”), a leading specialist CRO, which provides a range of medical imaging services to the pharmaceutical, biotechnology and medical device industries. On December 31, 2008, the remaining 30% of the common stock was acquired by the Company. The value of certain customer relationships and order backlog identified of U.S.$0.2 million and U.S.$1.5 million respectively are being amortized over approximately 3 years, the estimated period of benefit. U.S. $576,000 has been amortized in the period since the date of acquisition.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11, 2008, the Company acquired 100% of the common stock of Healthcare Discoveries, a US based organization engaged in the provision of Phase I clinical trial management activities. The value of certain client relationships identified of U.S.$1.6 million are being amortized over periods ranging from approximately 2 to 9 years, the estimated periods of benefit. The value of certain volunteer lists identified of U.S.$1.3 million are being amortized over approximately 6 years, the estimated period of benefit. U.S. $1,068,000 has been amortized in the periods since the date of acquisition.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2008, the Company acquired 100% of the common stock of Prevalere Life Sciences, a US based organization engaged in the provision of bioanalytical and immunoassay services to pharmaceutical and biotechnology companies. The value of certain customer relationships identified of U.S.$7.4 million are being amortized over periods ranging from approximately 7 to 11 years, the estimated period of the benefit. U.S. $902,000 has been amortized in the periods since the date of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12, 2007, the Company acquired 100% of the common stock of DOCS International (“DOCS”), a European based clinical research staffing organization. The value of certain customer relationships identified is being amortized over approximately 3 years, the estimated period of the benefit. U.S.$1,933,000 has been amortized in the periods since the date of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Future intangible asset amortization expense for the years ended December 31, 2010 to December 31, 2014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0"/>
        </w:trPr>
        <w:tc>
          <w:tcPr>
            <w:tcW w:w="61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2010</w:t>
            </w:r>
          </w:p>
        </w:tc>
        <w:tc>
          <w:tcPr>
            <w:tcW w:w="2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2011</w:t>
            </w:r>
          </w:p>
        </w:tc>
        <w:tc>
          <w:tcPr>
            <w:tcW w:w="2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2012</w:t>
            </w:r>
          </w:p>
        </w:tc>
        <w:tc>
          <w:tcPr>
            <w:tcW w:w="2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2013</w:t>
            </w:r>
          </w:p>
        </w:tc>
        <w:tc>
          <w:tcPr>
            <w:tcW w:w="2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2014</w:t>
            </w:r>
          </w:p>
        </w:tc>
        <w:tc>
          <w:tcPr>
            <w:tcW w:w="2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459"/>
        </w:trPr>
        <w:tc>
          <w:tcPr>
            <w:tcW w:w="618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2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180" w:type="dxa"/>
            <w:vAlign w:val="bottom"/>
          </w:tcPr>
          <w:p>
            <w:pPr>
              <w:spacing w:after="0"/>
              <w:rPr>
                <w:sz w:val="24"/>
                <w:szCs w:val="24"/>
                <w:color w:val="auto"/>
              </w:rPr>
            </w:pPr>
          </w:p>
        </w:tc>
        <w:tc>
          <w:tcPr>
            <w:tcW w:w="3880" w:type="dxa"/>
            <w:vAlign w:val="bottom"/>
            <w:gridSpan w:val="2"/>
          </w:tcPr>
          <w:p>
            <w:pPr>
              <w:ind w:left="260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2860" w:type="dxa"/>
            <w:vAlign w:val="bottom"/>
          </w:tcPr>
          <w:p>
            <w:pPr>
              <w:spacing w:after="0"/>
              <w:rPr>
                <w:sz w:val="20"/>
                <w:szCs w:val="20"/>
                <w:color w:val="auto"/>
              </w:rPr>
            </w:pPr>
          </w:p>
        </w:tc>
        <w:tc>
          <w:tcPr>
            <w:tcW w:w="23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Land</w:t>
            </w:r>
          </w:p>
        </w:tc>
        <w:tc>
          <w:tcPr>
            <w:tcW w:w="2860" w:type="dxa"/>
            <w:vAlign w:val="bottom"/>
          </w:tcPr>
          <w:p>
            <w:pPr>
              <w:ind w:left="26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3,963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Building</w:t>
            </w:r>
          </w:p>
        </w:tc>
        <w:tc>
          <w:tcPr>
            <w:tcW w:w="28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85,099</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100,758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117,278</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138,570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28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53,775</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57,866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Laboratory equipment</w:t>
            </w:r>
          </w:p>
        </w:tc>
        <w:tc>
          <w:tcPr>
            <w:tcW w:w="28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24,822</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29,769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5,983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Motor vehicles</w:t>
            </w:r>
          </w:p>
        </w:tc>
        <w:tc>
          <w:tcPr>
            <w:tcW w:w="2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61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290,995</w:t>
            </w:r>
          </w:p>
        </w:tc>
        <w:tc>
          <w:tcPr>
            <w:tcW w:w="34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336,658</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 and asset write off</w:t>
            </w:r>
          </w:p>
        </w:tc>
        <w:tc>
          <w:tcPr>
            <w:tcW w:w="2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(119,247)</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(157,669)</w:t>
            </w:r>
          </w:p>
        </w:tc>
        <w:tc>
          <w:tcPr>
            <w:tcW w:w="0" w:type="dxa"/>
            <w:vAlign w:val="bottom"/>
          </w:tcPr>
          <w:p>
            <w:pPr>
              <w:spacing w:after="0"/>
              <w:rPr>
                <w:sz w:val="1"/>
                <w:szCs w:val="1"/>
                <w:color w:val="auto"/>
              </w:rPr>
            </w:pPr>
          </w:p>
        </w:tc>
      </w:tr>
      <w:tr>
        <w:trPr>
          <w:trHeight w:val="439"/>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28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171,748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178,989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Total cost at December 31, 2009, includes U.S.$907,000 (2008: U.S.$1,054,000), which relates to assets held under capital finance leases.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amounted to U.S. $357,000 (2008: U.S$303,000, 2007: U.S$869,000).</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7. Other Liabilities</w:t>
            </w:r>
          </w:p>
        </w:tc>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600" w:type="dxa"/>
            <w:vAlign w:val="bottom"/>
            <w:gridSpan w:val="2"/>
          </w:tcPr>
          <w:p>
            <w:pPr>
              <w:ind w:left="234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December 31,</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20"/>
        </w:trPr>
        <w:tc>
          <w:tcPr>
            <w:tcW w:w="5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20" w:type="dxa"/>
            <w:vAlign w:val="bottom"/>
            <w:gridSpan w:val="2"/>
          </w:tcPr>
          <w:p>
            <w:pPr>
              <w:ind w:left="460"/>
              <w:spacing w:after="0"/>
              <w:rPr>
                <w:sz w:val="20"/>
                <w:szCs w:val="20"/>
                <w:color w:val="auto"/>
              </w:rPr>
            </w:pPr>
            <w:r>
              <w:rPr>
                <w:rFonts w:ascii="Arial" w:cs="Arial" w:eastAsia="Arial" w:hAnsi="Arial"/>
                <w:sz w:val="18"/>
                <w:szCs w:val="18"/>
                <w:b w:val="1"/>
                <w:bCs w:val="1"/>
                <w:color w:val="auto"/>
                <w:w w:val="91"/>
              </w:rPr>
              <w:t>(in thousands)</w:t>
            </w:r>
          </w:p>
        </w:tc>
        <w:tc>
          <w:tcPr>
            <w:tcW w:w="78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tcPr>
          <w:p>
            <w:pPr>
              <w:ind w:left="2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44,440</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60,981</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Accrued salary and bonuses</w:t>
            </w: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51,647</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46,575</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Accrued social welfare costs</w:t>
            </w: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8,757</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7,757</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Lease accruals</w:t>
            </w: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2,508</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360</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Short term government grants</w:t>
            </w: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144</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Short term finance leases (note 16)</w:t>
            </w: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327</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325</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Defined benefit pension obligations, net (note 9)</w:t>
            </w: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16"/>
        </w:trPr>
        <w:tc>
          <w:tcPr>
            <w:tcW w:w="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Restructuring provisions (note 14)</w:t>
            </w:r>
          </w:p>
        </w:tc>
        <w:tc>
          <w:tcPr>
            <w:tcW w:w="26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3,396</w:t>
            </w:r>
          </w:p>
        </w:tc>
      </w:tr>
      <w:tr>
        <w:trPr>
          <w:trHeight w:val="237"/>
        </w:trPr>
        <w:tc>
          <w:tcPr>
            <w:tcW w:w="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consideration payable</w:t>
            </w:r>
          </w:p>
        </w:tc>
        <w:tc>
          <w:tcPr>
            <w:tcW w:w="2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22,400</w:t>
            </w: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432"/>
        </w:trPr>
        <w:tc>
          <w:tcPr>
            <w:tcW w:w="58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130,223</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119,666</w:t>
            </w:r>
          </w:p>
        </w:tc>
      </w:tr>
      <w:tr>
        <w:trPr>
          <w:trHeight w:val="21"/>
        </w:trPr>
        <w:tc>
          <w:tcPr>
            <w:tcW w:w="58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8. Bank Credit Lines and Loan Facilities</w:t>
            </w:r>
          </w:p>
        </w:tc>
        <w:tc>
          <w:tcPr>
            <w:tcW w:w="1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1"/>
        </w:trPr>
        <w:tc>
          <w:tcPr>
            <w:tcW w:w="6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6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6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70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800" w:type="dxa"/>
            <w:vAlign w:val="bottom"/>
            <w:gridSpan w:val="2"/>
          </w:tcPr>
          <w:p>
            <w:pPr>
              <w:ind w:left="640"/>
              <w:spacing w:after="0"/>
              <w:rPr>
                <w:sz w:val="20"/>
                <w:szCs w:val="20"/>
                <w:color w:val="auto"/>
              </w:rPr>
            </w:pPr>
            <w:r>
              <w:rPr>
                <w:rFonts w:ascii="Arial" w:cs="Arial" w:eastAsia="Arial" w:hAnsi="Arial"/>
                <w:sz w:val="18"/>
                <w:szCs w:val="18"/>
                <w:color w:val="auto"/>
              </w:rPr>
              <w:t>Current maturities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40,193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00" w:type="dxa"/>
            <w:vAlign w:val="bottom"/>
            <w:gridSpan w:val="2"/>
          </w:tcPr>
          <w:p>
            <w:pPr>
              <w:ind w:left="640"/>
              <w:spacing w:after="0"/>
              <w:rPr>
                <w:sz w:val="20"/>
                <w:szCs w:val="20"/>
                <w:color w:val="auto"/>
              </w:rPr>
            </w:pPr>
            <w:r>
              <w:rPr>
                <w:rFonts w:ascii="Arial" w:cs="Arial" w:eastAsia="Arial" w:hAnsi="Arial"/>
                <w:sz w:val="18"/>
                <w:szCs w:val="18"/>
                <w:color w:val="auto"/>
              </w:rPr>
              <w:t>Non- current maturities</w:t>
            </w:r>
          </w:p>
        </w:tc>
        <w:tc>
          <w:tcPr>
            <w:tcW w:w="17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65,186</w:t>
            </w:r>
          </w:p>
        </w:tc>
        <w:tc>
          <w:tcPr>
            <w:tcW w:w="2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640" w:type="dxa"/>
            <w:vAlign w:val="bottom"/>
          </w:tcPr>
          <w:p>
            <w:pPr>
              <w:spacing w:after="0"/>
              <w:rPr>
                <w:sz w:val="24"/>
                <w:szCs w:val="24"/>
                <w:color w:val="auto"/>
              </w:rPr>
            </w:pPr>
          </w:p>
        </w:tc>
        <w:tc>
          <w:tcPr>
            <w:tcW w:w="416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105,379</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64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($50.1 million) with Bank of Ireland. The facility bears interest at an annual rate equal to EURIBOR plus a margin and is secured by certain composite guarantees, indemnities and pledges in favor of the bank. At December 31, 2009, €26.2 million ($37.5million), was available to be drawn under this facility.</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22, 2008, a committed credit facility was negotiated with Allied Irish Bank plc. The facility comprised a one year Euro facility of €20 million ($28.6 million). The facility bore interest at EURIBOR plus a margin and was secured by certain composite guarantees and pledges in favor of the bank.</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The facility bears interest at LIBOR plus a margin and is secured by certain composite guarantees and pledges in favor of the bank. At December 31, 2009, $50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2009, an additional four year committed credit facility was negotiated with Bank of Ireland for $25 million. The facility bears interest at LIBOR plus a margin and is secured by certain composite guarantees, indemnities and pledges in favor of the bank. At December 31, 2009, $25 million was available to be drawn under this facility.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favor of the banks. At December 31, 2009, $50 million was available to be drawn under these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balances drawn at December 31, 2009 was zero (2008:1.70 per cent).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9. Employee Benefits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this plan are recorded, as an expense in the Consolidated Statement of Operations. Contributions for the years ended December 31, 2007, December 31, 2008 and December 31, 2009, were U.S.$7,306,000, U.S.$10,372,000 and U.S.$14,241,000 respectively.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2007, December 31, 2008 and December 31, 2009, were U.S.$4,488,000, U.S.$4,499,000 and U.S.$5,189,000 respectively.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One of the Company’s subsidiaries which was acquired during the 2003 fiscal year, ICON Development Solutions Limited, operates a defined benefit pension plan in the United Kingdom for its employees. The plan has been closed to new entrants with effect from July 1, 2003. The plan is managed externally and the related pension costs and liabilities are assessed in accordance with the advice of a professionally qualified actuary. Plan assets at December 31, 2007, December 31, 2008 and December 31, 2009,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 &lt; /font&gt;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14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4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20"/>
        </w:trPr>
        <w:tc>
          <w:tcPr>
            <w:tcW w:w="4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6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15,216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10,114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Service cost</w:t>
            </w:r>
          </w:p>
        </w:tc>
        <w:tc>
          <w:tcPr>
            <w:tcW w:w="14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cost</w:t>
            </w:r>
          </w:p>
        </w:tc>
        <w:tc>
          <w:tcPr>
            <w:tcW w:w="14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673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4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Benefits paid</w:t>
            </w:r>
          </w:p>
        </w:tc>
        <w:tc>
          <w:tcPr>
            <w:tcW w:w="14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Actuarial (gain)/loss</w:t>
            </w:r>
          </w:p>
        </w:tc>
        <w:tc>
          <w:tcPr>
            <w:tcW w:w="14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(1,968)</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2,079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Plan curtailments</w:t>
            </w:r>
          </w:p>
        </w:tc>
        <w:tc>
          <w:tcPr>
            <w:tcW w:w="14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(871)</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Plan amendments</w:t>
            </w:r>
          </w:p>
        </w:tc>
        <w:tc>
          <w:tcPr>
            <w:tcW w:w="14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3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1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(3,686)</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1,149</w:t>
            </w:r>
          </w:p>
        </w:tc>
      </w:tr>
      <w:tr>
        <w:trPr>
          <w:trHeight w:val="216"/>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Projected benefit obligation at end of year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13,686</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accumulated benefit obligation for the deferred benefit pension plan was U.S.$13.3 million at December 31, 2009 and U.S.$7.8 million at December 31,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16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4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20"/>
        </w:trPr>
        <w:tc>
          <w:tcPr>
            <w:tcW w:w="4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76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15,470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10,392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6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(1,858)</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6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6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Benefits paid</w:t>
            </w:r>
          </w:p>
        </w:tc>
        <w:tc>
          <w:tcPr>
            <w:tcW w:w="16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37"/>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1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(3,780)</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1,163</w:t>
            </w: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10,392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13,573</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the assets above do not include any of the Company’s own financial instruments, property occupied by, or other assets used by,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Funded status</w:t>
            </w:r>
          </w:p>
        </w:tc>
        <w:tc>
          <w:tcPr>
            <w:tcW w:w="3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4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20"/>
        </w:trPr>
        <w:tc>
          <w:tcPr>
            <w:tcW w:w="41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8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2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(10,114)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(13,686)</w:t>
            </w:r>
          </w:p>
        </w:tc>
      </w:tr>
      <w:tr>
        <w:trPr>
          <w:trHeight w:val="237"/>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2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10,392</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13,573</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Funded status</w:t>
            </w:r>
          </w:p>
        </w:tc>
        <w:tc>
          <w:tcPr>
            <w:tcW w:w="25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278</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(113)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Unrecognized net loss</w:t>
            </w:r>
          </w:p>
        </w:tc>
        <w:tc>
          <w:tcPr>
            <w:tcW w:w="25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Current asset</w:t>
            </w:r>
          </w:p>
        </w:tc>
        <w:tc>
          <w:tcPr>
            <w:tcW w:w="25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Components of net periodic benefit cost/(credit)</w:t>
            </w:r>
          </w:p>
        </w:tc>
        <w:tc>
          <w:tcPr>
            <w:tcW w:w="19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4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5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4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Service cost</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766</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930</w:t>
            </w:r>
          </w:p>
        </w:tc>
        <w:tc>
          <w:tcPr>
            <w:tcW w:w="5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854</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(928)</w:t>
            </w:r>
          </w:p>
        </w:tc>
        <w:tc>
          <w:tcPr>
            <w:tcW w:w="58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Plan curtailments</w:t>
            </w:r>
          </w:p>
        </w:tc>
        <w:tc>
          <w:tcPr>
            <w:tcW w:w="10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(871)</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0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loss/(gain)</w:t>
            </w: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periodic benefit cost/(credit)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812</w:t>
            </w: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determining the net periodic pension benefit cost/ (credit):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20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4500" w:type="dxa"/>
            <w:vAlign w:val="bottom"/>
          </w:tcPr>
          <w:p>
            <w:pPr>
              <w:spacing w:after="0"/>
              <w:rPr>
                <w:sz w:val="19"/>
                <w:szCs w:val="19"/>
                <w:color w:val="auto"/>
              </w:rPr>
            </w:pPr>
          </w:p>
        </w:tc>
        <w:tc>
          <w:tcPr>
            <w:tcW w:w="3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2009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Discount rate</w:t>
            </w:r>
          </w:p>
        </w:tc>
        <w:tc>
          <w:tcPr>
            <w:tcW w:w="320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320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320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4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Actuarial (gain)/loss</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(5,376)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3"/>
              </w:rPr>
              <w:t>Prior service costs recognized in other comprehensive income</w:t>
            </w:r>
          </w:p>
        </w:tc>
        <w:tc>
          <w:tcPr>
            <w:tcW w:w="5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9"/>
              </w:rPr>
              <w:t>Less actuarial (gain)/loss recognized in net periodic benefit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cost</w:t>
            </w:r>
          </w:p>
        </w:tc>
        <w:tc>
          <w:tcPr>
            <w:tcW w:w="5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costs recognized in net periodic benefit cost</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w:t>
            </w: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U.S.$nil million and U.S.$nil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income that have not yet been recognized as components of net periodic benefit/cost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3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c>
          <w:tcPr>
            <w:tcW w:w="22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2280" w:type="dxa"/>
            <w:vAlign w:val="bottom"/>
          </w:tcPr>
          <w:p>
            <w:pPr>
              <w:spacing w:after="0"/>
              <w:rPr>
                <w:sz w:val="18"/>
                <w:szCs w:val="18"/>
                <w:color w:val="auto"/>
              </w:rPr>
            </w:pPr>
          </w:p>
        </w:tc>
      </w:tr>
      <w:tr>
        <w:trPr>
          <w:trHeight w:val="220"/>
        </w:trPr>
        <w:tc>
          <w:tcPr>
            <w:tcW w:w="30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actuarial gain</w:t>
            </w:r>
          </w:p>
        </w:tc>
        <w:tc>
          <w:tcPr>
            <w:tcW w:w="2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280" w:type="dxa"/>
            <w:vAlign w:val="bottom"/>
          </w:tcPr>
          <w:p>
            <w:pPr>
              <w:spacing w:after="0"/>
              <w:rPr>
                <w:sz w:val="20"/>
                <w:szCs w:val="20"/>
                <w:color w:val="auto"/>
              </w:rPr>
            </w:pPr>
          </w:p>
        </w:tc>
      </w:tr>
      <w:tr>
        <w:trPr>
          <w:trHeight w:val="216"/>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280" w:type="dxa"/>
            <w:vAlign w:val="bottom"/>
          </w:tcPr>
          <w:p>
            <w:pPr>
              <w:spacing w:after="0"/>
              <w:rPr>
                <w:sz w:val="18"/>
                <w:szCs w:val="18"/>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42"/>
        </w:trPr>
        <w:tc>
          <w:tcPr>
            <w:tcW w:w="3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5"/>
        </w:trPr>
        <w:tc>
          <w:tcPr>
            <w:tcW w:w="306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553"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Projected Benefit Obligation</w:t>
            </w: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w w:val="92"/>
              </w:rPr>
              <w:t>The following assumptions were used in determining the projected benefit obligation:</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6240" w:type="dxa"/>
            <w:vAlign w:val="bottom"/>
          </w:tcPr>
          <w:p>
            <w:pPr>
              <w:spacing w:after="0"/>
              <w:rPr>
                <w:sz w:val="24"/>
                <w:szCs w:val="24"/>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w w:val="90"/>
              </w:rPr>
              <w:t>December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624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2009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Discount rate</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AA 15 year plus return.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assets of the scheme are invested in the Legal and General Global Equity and Fixed Index Fund. The aim of this fund is to capture the returns on UK and overseas equity markets with a more even investment in UK and overseas equities than would be provided by reference to market capitalization or consensus weights. Although market fluctuations of investment return are smoothed through the declaration of annual bonuses, the investment objective is to provide payments which reflect the actual investment returns achieved by the scheme over the long run.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expected long-term rate of return on assets of 7.4% was calculated as the value of the fund after application of a market value reduction factor.</w:t>
      </w:r>
    </w:p>
    <w:p>
      <w:pPr>
        <w:spacing w:after="0" w:line="23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December 31, 2009, UK gilts were yielding around 4.5%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3.1% per annum has been assumed, this being the expected long-term out-performance of equities over UK gilts. The long-term expected return on bonds is determined by reference to UK long dated government and corporate bond yields at the balance sheet date. This is represented by the iboxx AA 15 year plus return.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expected long term rates of return on different asset classes over the long term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40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Expected long-term</w:t>
            </w:r>
          </w:p>
        </w:tc>
      </w:tr>
      <w:tr>
        <w:trPr>
          <w:trHeight w:val="220"/>
        </w:trPr>
        <w:tc>
          <w:tcPr>
            <w:tcW w:w="50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return per annum</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w:t>
            </w:r>
          </w:p>
        </w:tc>
        <w:tc>
          <w:tcPr>
            <w:tcW w:w="2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2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4"/>
        </w:trPr>
        <w:tc>
          <w:tcPr>
            <w:tcW w:w="508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244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5080" w:type="dxa"/>
            <w:vAlign w:val="bottom"/>
          </w:tcPr>
          <w:p>
            <w:pPr>
              <w:spacing w:after="0"/>
              <w:rPr>
                <w:sz w:val="19"/>
                <w:szCs w:val="19"/>
                <w:color w:val="auto"/>
              </w:rPr>
            </w:pPr>
          </w:p>
        </w:tc>
        <w:tc>
          <w:tcPr>
            <w:tcW w:w="24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2009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w:t>
            </w:r>
          </w:p>
        </w:tc>
        <w:tc>
          <w:tcPr>
            <w:tcW w:w="2440" w:type="dxa"/>
            <w:vAlign w:val="bottom"/>
          </w:tcPr>
          <w:p>
            <w:pPr>
              <w:jc w:val="right"/>
              <w:spacing w:after="0"/>
              <w:rPr>
                <w:sz w:val="20"/>
                <w:szCs w:val="20"/>
                <w:color w:val="auto"/>
              </w:rPr>
            </w:pPr>
            <w:r>
              <w:rPr>
                <w:rFonts w:ascii="Arial" w:cs="Arial" w:eastAsia="Arial" w:hAnsi="Arial"/>
                <w:sz w:val="18"/>
                <w:szCs w:val="18"/>
                <w:color w:val="auto"/>
              </w:rPr>
              <w:t>90%</w:t>
            </w:r>
          </w:p>
        </w:tc>
        <w:tc>
          <w:tcPr>
            <w:tcW w:w="1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Applying the above expected long term rates of return to the asset distribution at December 31, 2009, gives rise to an expected overall rate of return of scheme assets of approximately 7.4% per annum.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Plan Asset Fair Value Measurements</w:t>
            </w:r>
          </w:p>
        </w:tc>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Quoted Prices in Active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Markets for Identical</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0" w:type="dxa"/>
            <w:vAlign w:val="bottom"/>
          </w:tcPr>
          <w:p>
            <w:pPr>
              <w:spacing w:after="0"/>
              <w:rPr>
                <w:sz w:val="1"/>
                <w:szCs w:val="1"/>
                <w:color w:val="auto"/>
              </w:rPr>
            </w:pPr>
          </w:p>
        </w:tc>
      </w:tr>
      <w:tr>
        <w:trPr>
          <w:trHeight w:val="234"/>
        </w:trPr>
        <w:tc>
          <w:tcPr>
            <w:tcW w:w="5680" w:type="dxa"/>
            <w:vAlign w:val="bottom"/>
            <w:gridSpan w:val="3"/>
            <w:vMerge w:val="restart"/>
          </w:tcPr>
          <w:p>
            <w:pPr>
              <w:spacing w:after="0"/>
              <w:rPr>
                <w:sz w:val="20"/>
                <w:szCs w:val="20"/>
                <w:color w:val="auto"/>
              </w:rPr>
            </w:pPr>
            <w:r>
              <w:rPr>
                <w:rFonts w:ascii="Arial" w:cs="Arial" w:eastAsia="Arial" w:hAnsi="Arial"/>
                <w:sz w:val="18"/>
                <w:szCs w:val="18"/>
                <w:color w:val="auto"/>
              </w:rPr>
              <w:t>Equity Securities</w:t>
            </w:r>
          </w:p>
        </w:tc>
        <w:tc>
          <w:tcPr>
            <w:tcW w:w="164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76"/>
        </w:trPr>
        <w:tc>
          <w:tcPr>
            <w:tcW w:w="568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3"/>
          </w:tcPr>
          <w:p>
            <w:pPr>
              <w:spacing w:after="0"/>
              <w:rPr>
                <w:sz w:val="20"/>
                <w:szCs w:val="20"/>
                <w:color w:val="auto"/>
              </w:rPr>
            </w:pPr>
            <w:r>
              <w:rPr>
                <w:rFonts w:ascii="Arial" w:cs="Arial" w:eastAsia="Arial" w:hAnsi="Arial"/>
                <w:sz w:val="18"/>
                <w:szCs w:val="18"/>
                <w:color w:val="auto"/>
              </w:rPr>
              <w:t>Legal and General UK Equity Index</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Legal and General North America Equity Index</w:t>
            </w:r>
          </w:p>
        </w:tc>
        <w:tc>
          <w:tcPr>
            <w:tcW w:w="16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Legal and General Europe (ex UK) Equity Index</w:t>
            </w:r>
          </w:p>
        </w:tc>
        <w:tc>
          <w:tcPr>
            <w:tcW w:w="16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Legal and General Japan Equity Index</w:t>
            </w:r>
          </w:p>
        </w:tc>
        <w:tc>
          <w:tcPr>
            <w:tcW w:w="16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Arial" w:cs="Arial" w:eastAsia="Arial" w:hAnsi="Arial"/>
                <w:sz w:val="18"/>
                <w:szCs w:val="18"/>
                <w:color w:val="auto"/>
              </w:rPr>
              <w:t>Legal and General Asia Pac (ex Japan) Equity Index</w:t>
            </w:r>
          </w:p>
        </w:tc>
        <w:tc>
          <w:tcPr>
            <w:tcW w:w="164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392"/>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Fixed Income Securities</w:t>
            </w:r>
          </w:p>
        </w:tc>
        <w:tc>
          <w:tcPr>
            <w:tcW w:w="3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gridSpan w:val="3"/>
          </w:tcPr>
          <w:p>
            <w:pPr>
              <w:spacing w:after="0"/>
              <w:rPr>
                <w:sz w:val="20"/>
                <w:szCs w:val="20"/>
                <w:color w:val="auto"/>
              </w:rPr>
            </w:pPr>
            <w:r>
              <w:rPr>
                <w:rFonts w:ascii="Arial" w:cs="Arial" w:eastAsia="Arial" w:hAnsi="Arial"/>
                <w:sz w:val="18"/>
                <w:szCs w:val="18"/>
                <w:color w:val="auto"/>
              </w:rPr>
              <w:t>Legal and General over 15 year Gilts Index</w:t>
            </w:r>
          </w:p>
        </w:tc>
        <w:tc>
          <w:tcPr>
            <w:tcW w:w="164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Legal and General AAA-AA-A Bonds Over 15 year Index</w:t>
            </w:r>
          </w:p>
        </w:tc>
        <w:tc>
          <w:tcPr>
            <w:tcW w:w="16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Legal and General over 5 year Index-Linked Gilts Index</w:t>
            </w:r>
          </w:p>
        </w:tc>
        <w:tc>
          <w:tcPr>
            <w:tcW w:w="16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13,573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$0.4 million to its pension fund in the year ending December 31,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annual benefit payments, which reflect expected future service, as appropriate, are expected to be paid.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0"/>
              </w:rPr>
              <w:t>(in thousands)</w:t>
            </w: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2010</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2011</w:t>
            </w:r>
          </w:p>
        </w:tc>
        <w:tc>
          <w:tcPr>
            <w:tcW w:w="3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2012</w:t>
            </w:r>
          </w:p>
        </w:tc>
        <w:tc>
          <w:tcPr>
            <w:tcW w:w="3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2013</w:t>
            </w:r>
          </w:p>
        </w:tc>
        <w:tc>
          <w:tcPr>
            <w:tcW w:w="3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2014</w:t>
            </w:r>
          </w:p>
        </w:tc>
        <w:tc>
          <w:tcPr>
            <w:tcW w:w="3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Years 2015 - 2019</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404</w:t>
            </w: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10. Share Options and Stock Compensation Charges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Employees Plan or the 2008 Consultants Plan (together the “2008 Option Plans”) will be an employee stock option, or NSO, as described in Section 422 or 423 of the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and Organization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No options can be granted after January 17, 2013.</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2009, is eight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2007, December 31, 2008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w w:val="98"/>
              </w:rPr>
              <w:t>Average Grant</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8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Options Granted</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4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Date Fair</w:t>
            </w:r>
          </w:p>
        </w:tc>
      </w:tr>
      <w:tr>
        <w:trPr>
          <w:trHeight w:val="241"/>
        </w:trPr>
        <w:tc>
          <w:tcPr>
            <w:tcW w:w="2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Under Plans *</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 *</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Exercise Price *</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Value *</w:t>
            </w:r>
          </w:p>
        </w:tc>
      </w:tr>
      <w:tr>
        <w:trPr>
          <w:trHeight w:val="223"/>
        </w:trPr>
        <w:tc>
          <w:tcPr>
            <w:tcW w:w="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December 31, 2006</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4,643,704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4,643,704</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9.31</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Granted</w:t>
            </w:r>
          </w:p>
        </w:tc>
        <w:tc>
          <w:tcPr>
            <w:tcW w:w="26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1,251,430</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1,251,430</w:t>
            </w:r>
          </w:p>
        </w:tc>
        <w:tc>
          <w:tcPr>
            <w:tcW w:w="48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21.26</w:t>
            </w:r>
          </w:p>
        </w:tc>
        <w:tc>
          <w:tcPr>
            <w:tcW w:w="440" w:type="dxa"/>
            <w:vAlign w:val="bottom"/>
          </w:tcPr>
          <w:p>
            <w:pPr>
              <w:ind w:left="20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8.89</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2680" w:type="dxa"/>
            <w:vAlign w:val="bottom"/>
          </w:tcPr>
          <w:p>
            <w:pPr>
              <w:jc w:val="right"/>
              <w:ind w:right="130"/>
              <w:spacing w:after="0"/>
              <w:rPr>
                <w:sz w:val="20"/>
                <w:szCs w:val="20"/>
                <w:color w:val="auto"/>
              </w:rPr>
            </w:pPr>
            <w:r>
              <w:rPr>
                <w:rFonts w:ascii="Arial" w:cs="Arial" w:eastAsia="Arial" w:hAnsi="Arial"/>
                <w:sz w:val="18"/>
                <w:szCs w:val="18"/>
                <w:color w:val="auto"/>
              </w:rPr>
              <w:t>(634,784)</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(634,784)</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8.35</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37"/>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Cancelled</w:t>
            </w:r>
          </w:p>
        </w:tc>
        <w:tc>
          <w:tcPr>
            <w:tcW w:w="2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(284,224)</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(284,224)</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12.27</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w:t>
            </w:r>
          </w:p>
        </w:tc>
      </w:tr>
      <w:tr>
        <w:trPr>
          <w:trHeight w:val="223"/>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December 31, 2007</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4,976,126</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4,976,126</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12.27</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Granted</w:t>
            </w:r>
          </w:p>
        </w:tc>
        <w:tc>
          <w:tcPr>
            <w:tcW w:w="26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1,282,190</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1,282,190</w:t>
            </w:r>
          </w:p>
        </w:tc>
        <w:tc>
          <w:tcPr>
            <w:tcW w:w="48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35.25</w:t>
            </w:r>
          </w:p>
        </w:tc>
        <w:tc>
          <w:tcPr>
            <w:tcW w:w="440" w:type="dxa"/>
            <w:vAlign w:val="bottom"/>
          </w:tcPr>
          <w:p>
            <w:pPr>
              <w:ind w:left="20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12.85</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2680" w:type="dxa"/>
            <w:vAlign w:val="bottom"/>
          </w:tcPr>
          <w:p>
            <w:pPr>
              <w:jc w:val="right"/>
              <w:ind w:right="130"/>
              <w:spacing w:after="0"/>
              <w:rPr>
                <w:sz w:val="20"/>
                <w:szCs w:val="20"/>
                <w:color w:val="auto"/>
              </w:rPr>
            </w:pPr>
            <w:r>
              <w:rPr>
                <w:rFonts w:ascii="Arial" w:cs="Arial" w:eastAsia="Arial" w:hAnsi="Arial"/>
                <w:sz w:val="18"/>
                <w:szCs w:val="18"/>
                <w:color w:val="auto"/>
              </w:rPr>
              <w:t>(847,707)</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(847,707)</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10.05</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37"/>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Cancelled</w:t>
            </w:r>
          </w:p>
        </w:tc>
        <w:tc>
          <w:tcPr>
            <w:tcW w:w="2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(188,346)</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(188,346)</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20.45</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23"/>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December 31, 2008</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5,222,263</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5,222,263</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17.98</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Granted</w:t>
            </w:r>
          </w:p>
        </w:tc>
        <w:tc>
          <w:tcPr>
            <w:tcW w:w="26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932,133</w:t>
            </w:r>
          </w:p>
        </w:tc>
        <w:tc>
          <w:tcPr>
            <w:tcW w:w="12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932,133</w:t>
            </w:r>
          </w:p>
        </w:tc>
        <w:tc>
          <w:tcPr>
            <w:tcW w:w="48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21.54</w:t>
            </w:r>
          </w:p>
        </w:tc>
        <w:tc>
          <w:tcPr>
            <w:tcW w:w="440" w:type="dxa"/>
            <w:vAlign w:val="bottom"/>
          </w:tcPr>
          <w:p>
            <w:pPr>
              <w:ind w:left="20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8.47</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2680" w:type="dxa"/>
            <w:vAlign w:val="bottom"/>
          </w:tcPr>
          <w:p>
            <w:pPr>
              <w:jc w:val="right"/>
              <w:ind w:right="130"/>
              <w:spacing w:after="0"/>
              <w:rPr>
                <w:sz w:val="20"/>
                <w:szCs w:val="20"/>
                <w:color w:val="auto"/>
              </w:rPr>
            </w:pPr>
            <w:r>
              <w:rPr>
                <w:rFonts w:ascii="Arial" w:cs="Arial" w:eastAsia="Arial" w:hAnsi="Arial"/>
                <w:sz w:val="18"/>
                <w:szCs w:val="18"/>
                <w:color w:val="auto"/>
              </w:rPr>
              <w:t>(489,370)</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(489,370)</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9.03</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37"/>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Cancelled</w:t>
            </w:r>
          </w:p>
        </w:tc>
        <w:tc>
          <w:tcPr>
            <w:tcW w:w="2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(256,804)</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(256,804)</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26.60</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w:t>
            </w:r>
          </w:p>
        </w:tc>
      </w:tr>
      <w:tr>
        <w:trPr>
          <w:trHeight w:val="223"/>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December 31, 2009</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5,408,222</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5,408,222</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18.99</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r>
      <w:tr>
        <w:trPr>
          <w:trHeight w:val="439"/>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Vested and exercisable at December 31, 2009</w:t>
            </w:r>
          </w:p>
        </w:tc>
        <w:tc>
          <w:tcPr>
            <w:tcW w:w="2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2,503,535</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2,503,535</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13.64</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Comparative figures have been amended to reflect the Bonus Issue, (Stock Split) which took place with an effective date August 8, 2008.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2009, was 4.84 years and 3.66 years respectively. 1,196,814 options are expected to vest during the year ended December 31, 2010.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options exercised during the year ended December 31, 2009 amounted to U.S.$6.2 million. The intrinsic value of options outstanding and options exercisable at December 31, 2009, amounted to U.S.$30.2 million and U.S.$23.3 million respectively. Intrinsic value is calculated based on the market value of the Company’s shares at December 31,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Non vested shares outstanding as at December 31, 2009,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Options Outstanding</w:t>
            </w:r>
          </w:p>
        </w:tc>
        <w:tc>
          <w:tcPr>
            <w:tcW w:w="19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Weighted Average</w:t>
            </w: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w w:val="95"/>
              </w:rPr>
              <w:t>Weighted Average</w:t>
            </w:r>
          </w:p>
        </w:tc>
      </w:tr>
      <w:tr>
        <w:trPr>
          <w:trHeight w:val="234"/>
        </w:trPr>
        <w:tc>
          <w:tcPr>
            <w:tcW w:w="4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5"/>
              </w:rPr>
              <w:t>Number of Shares</w:t>
            </w:r>
          </w:p>
        </w:tc>
        <w:tc>
          <w:tcPr>
            <w:tcW w:w="380" w:type="dxa"/>
            <w:vAlign w:val="bottom"/>
          </w:tcPr>
          <w:p>
            <w:pPr>
              <w:spacing w:after="0"/>
              <w:rPr>
                <w:sz w:val="20"/>
                <w:szCs w:val="20"/>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Exercise Price</w:t>
            </w:r>
          </w:p>
        </w:tc>
        <w:tc>
          <w:tcPr>
            <w:tcW w:w="46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439"/>
        </w:trPr>
        <w:tc>
          <w:tcPr>
            <w:tcW w:w="4520" w:type="dxa"/>
            <w:vAlign w:val="bottom"/>
          </w:tcPr>
          <w:p>
            <w:pPr>
              <w:spacing w:after="0"/>
              <w:rPr>
                <w:sz w:val="20"/>
                <w:szCs w:val="20"/>
                <w:color w:val="auto"/>
              </w:rPr>
            </w:pPr>
            <w:r>
              <w:rPr>
                <w:rFonts w:ascii="Arial" w:cs="Arial" w:eastAsia="Arial" w:hAnsi="Arial"/>
                <w:sz w:val="18"/>
                <w:szCs w:val="18"/>
                <w:color w:val="auto"/>
              </w:rPr>
              <w:t>Non vested outstanding at December 31, 2008</w:t>
            </w:r>
          </w:p>
        </w:tc>
        <w:tc>
          <w:tcPr>
            <w:tcW w:w="1260" w:type="dxa"/>
            <w:vAlign w:val="bottom"/>
          </w:tcPr>
          <w:p>
            <w:pPr>
              <w:spacing w:after="0"/>
              <w:rPr>
                <w:sz w:val="24"/>
                <w:szCs w:val="24"/>
                <w:color w:val="auto"/>
              </w:rPr>
            </w:pPr>
          </w:p>
        </w:tc>
        <w:tc>
          <w:tcPr>
            <w:tcW w:w="1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3,760,750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20.69</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w:t>
            </w:r>
          </w:p>
        </w:tc>
      </w:tr>
      <w:tr>
        <w:trPr>
          <w:trHeight w:val="418"/>
        </w:trPr>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3180" w:type="dxa"/>
            <w:vAlign w:val="bottom"/>
            <w:gridSpan w:val="2"/>
          </w:tcPr>
          <w:p>
            <w:pPr>
              <w:jc w:val="right"/>
              <w:ind w:right="210"/>
              <w:spacing w:after="0"/>
              <w:rPr>
                <w:sz w:val="20"/>
                <w:szCs w:val="20"/>
                <w:color w:val="auto"/>
              </w:rPr>
            </w:pPr>
            <w:r>
              <w:rPr>
                <w:rFonts w:ascii="Arial" w:cs="Arial" w:eastAsia="Arial" w:hAnsi="Arial"/>
                <w:sz w:val="18"/>
                <w:szCs w:val="18"/>
                <w:color w:val="auto"/>
              </w:rPr>
              <w:t>932,133</w:t>
            </w:r>
          </w:p>
        </w:tc>
        <w:tc>
          <w:tcPr>
            <w:tcW w:w="380" w:type="dxa"/>
            <w:vAlign w:val="bottom"/>
          </w:tcPr>
          <w:p>
            <w:pPr>
              <w:spacing w:after="0"/>
              <w:rPr>
                <w:sz w:val="24"/>
                <w:szCs w:val="24"/>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21.54</w:t>
            </w:r>
          </w:p>
        </w:tc>
        <w:tc>
          <w:tcPr>
            <w:tcW w:w="4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Vested</w:t>
            </w:r>
          </w:p>
        </w:tc>
        <w:tc>
          <w:tcPr>
            <w:tcW w:w="3180" w:type="dxa"/>
            <w:vAlign w:val="bottom"/>
            <w:gridSpan w:val="2"/>
          </w:tcPr>
          <w:p>
            <w:pPr>
              <w:jc w:val="right"/>
              <w:ind w:right="150"/>
              <w:spacing w:after="0"/>
              <w:rPr>
                <w:sz w:val="20"/>
                <w:szCs w:val="20"/>
                <w:color w:val="auto"/>
              </w:rPr>
            </w:pPr>
            <w:r>
              <w:rPr>
                <w:rFonts w:ascii="Arial" w:cs="Arial" w:eastAsia="Arial" w:hAnsi="Arial"/>
                <w:sz w:val="18"/>
                <w:szCs w:val="18"/>
                <w:color w:val="auto"/>
              </w:rPr>
              <w:t>(1,569,239)</w:t>
            </w:r>
          </w:p>
        </w:tc>
        <w:tc>
          <w:tcPr>
            <w:tcW w:w="3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14.93</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tcPr>
          <w:p>
            <w:pPr>
              <w:spacing w:after="0"/>
              <w:rPr>
                <w:sz w:val="20"/>
                <w:szCs w:val="20"/>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(218,957)</w:t>
            </w:r>
          </w:p>
        </w:tc>
        <w:tc>
          <w:tcPr>
            <w:tcW w:w="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26.95</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Non vested outstanding at December 31, 2009</w:t>
            </w:r>
          </w:p>
        </w:tc>
        <w:tc>
          <w:tcPr>
            <w:tcW w:w="1260" w:type="dxa"/>
            <w:vAlign w:val="bottom"/>
          </w:tcPr>
          <w:p>
            <w:pPr>
              <w:spacing w:after="0"/>
              <w:rPr>
                <w:sz w:val="24"/>
                <w:szCs w:val="24"/>
                <w:color w:val="auto"/>
              </w:rPr>
            </w:pPr>
          </w:p>
        </w:tc>
        <w:tc>
          <w:tcPr>
            <w:tcW w:w="1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2,904,687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23.60</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r>
      <w:tr>
        <w:trPr>
          <w:trHeight w:val="21"/>
        </w:trPr>
        <w:tc>
          <w:tcPr>
            <w:tcW w:w="4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42"/>
        </w:trPr>
        <w:tc>
          <w:tcPr>
            <w:tcW w:w="4520" w:type="dxa"/>
            <w:vAlign w:val="bottom"/>
          </w:tcPr>
          <w:p>
            <w:pPr>
              <w:spacing w:after="0"/>
              <w:rPr>
                <w:sz w:val="24"/>
                <w:szCs w:val="24"/>
                <w:color w:val="auto"/>
              </w:rPr>
            </w:pPr>
          </w:p>
        </w:tc>
        <w:tc>
          <w:tcPr>
            <w:tcW w:w="3180" w:type="dxa"/>
            <w:vAlign w:val="bottom"/>
            <w:gridSpan w:val="2"/>
          </w:tcPr>
          <w:p>
            <w:pPr>
              <w:jc w:val="right"/>
              <w:ind w:right="1810"/>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95"/>
        </w:trPr>
        <w:tc>
          <w:tcPr>
            <w:tcW w:w="45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55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Outstanding and exercisable share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60" w:type="dxa"/>
            <w:vAlign w:val="bottom"/>
            <w:gridSpan w:val="2"/>
          </w:tcPr>
          <w:p>
            <w:pPr>
              <w:jc w:val="right"/>
              <w:ind w:right="1210"/>
              <w:spacing w:after="0"/>
              <w:rPr>
                <w:sz w:val="20"/>
                <w:szCs w:val="20"/>
                <w:color w:val="auto"/>
              </w:rPr>
            </w:pPr>
            <w:r>
              <w:rPr>
                <w:rFonts w:ascii="Arial" w:cs="Arial" w:eastAsia="Arial" w:hAnsi="Arial"/>
                <w:sz w:val="18"/>
                <w:szCs w:val="18"/>
                <w:b w:val="1"/>
                <w:bCs w:val="1"/>
                <w:color w:val="auto"/>
              </w:rPr>
              <w:t>Options Outstanding</w:t>
            </w: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Options Exercisable</w:t>
            </w:r>
          </w:p>
        </w:tc>
        <w:tc>
          <w:tcPr>
            <w:tcW w:w="9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rPr>
              <w:t>Weighted</w:t>
            </w: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Range</w:t>
            </w:r>
          </w:p>
        </w:tc>
        <w:tc>
          <w:tcPr>
            <w:tcW w:w="1640" w:type="dxa"/>
            <w:vAlign w:val="bottom"/>
          </w:tcPr>
          <w:p>
            <w:pPr>
              <w:spacing w:after="0"/>
              <w:rPr>
                <w:sz w:val="18"/>
                <w:szCs w:val="18"/>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rPr>
              <w:t>Average</w:t>
            </w:r>
          </w:p>
        </w:tc>
        <w:tc>
          <w:tcPr>
            <w:tcW w:w="68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w w:val="98"/>
              </w:rPr>
              <w:t>Weighted</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Weighted</w:t>
            </w:r>
          </w:p>
        </w:tc>
      </w:tr>
      <w:tr>
        <w:trPr>
          <w:trHeight w:val="216"/>
        </w:trPr>
        <w:tc>
          <w:tcPr>
            <w:tcW w:w="880" w:type="dxa"/>
            <w:vAlign w:val="bottom"/>
          </w:tcPr>
          <w:p>
            <w:pPr>
              <w:spacing w:after="0"/>
              <w:rPr>
                <w:sz w:val="18"/>
                <w:szCs w:val="18"/>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Exercise</w:t>
            </w:r>
          </w:p>
        </w:tc>
        <w:tc>
          <w:tcPr>
            <w:tcW w:w="164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rPr>
              <w:t>Remaining</w:t>
            </w:r>
          </w:p>
        </w:tc>
        <w:tc>
          <w:tcPr>
            <w:tcW w:w="68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Average</w:t>
            </w:r>
          </w:p>
        </w:tc>
        <w:tc>
          <w:tcPr>
            <w:tcW w:w="178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7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20"/>
        </w:trPr>
        <w:tc>
          <w:tcPr>
            <w:tcW w:w="880" w:type="dxa"/>
            <w:vAlign w:val="bottom"/>
          </w:tcPr>
          <w:p>
            <w:pPr>
              <w:spacing w:after="0"/>
              <w:rPr>
                <w:sz w:val="19"/>
                <w:szCs w:val="19"/>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16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rPr>
              <w:t>Contractual Life</w:t>
            </w:r>
          </w:p>
        </w:tc>
        <w:tc>
          <w:tcPr>
            <w:tcW w:w="20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Exercise Price</w:t>
            </w:r>
          </w:p>
        </w:tc>
        <w:tc>
          <w:tcPr>
            <w:tcW w:w="178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7.00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191,730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1.08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7.00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191,730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7.25</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1,200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0.08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7.25</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1,200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8.60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838,650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3.17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8.60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697,266</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8.88</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410,659</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2.17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8.88</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410,659</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8.88</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10.42</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60,000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4.08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10.42</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60,000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10.42</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11.00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821,399</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4.17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11.00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454,671</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15.47</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900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7.33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15.47</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15.84</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103,000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7.33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15.84</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15.84</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17.30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24,000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4.67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17.30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14,400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18.00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90,000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4.08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18.00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50,000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18.00</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18.98</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9,000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6.92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18.98</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1,800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18.98</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19.94</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2,000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7.17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19.94</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19.94</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21.25</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960,180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5.17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21.25</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396,144</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21.25</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21.76</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2,450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5.33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21.76</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980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21.76</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22.10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11,000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7.58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22.10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22.10</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22.26</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779,398</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7.17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22.26</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22.26</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22.60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2,000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5.67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22.60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800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22.60</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26.27</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6,000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6.83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26.27</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1,200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26.27</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35.33</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1,085,656</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6.17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35.33</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220,585</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35.33</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36.05</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6,000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6.42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36.05</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1,500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36.05</w:t>
            </w: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36.20</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2,000</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6.33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36.20</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400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36.20</w:t>
            </w:r>
          </w:p>
        </w:tc>
      </w:tr>
      <w:tr>
        <w:trPr>
          <w:trHeight w:val="237"/>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41.25</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1,000</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6.67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41.25</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41.25</w:t>
            </w:r>
          </w:p>
        </w:tc>
      </w:tr>
      <w:tr>
        <w:trPr>
          <w:trHeight w:val="439"/>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8"/>
              </w:rPr>
              <w:t>7.00 - $41.25</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5,408,222</w:t>
            </w: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4.84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18.99</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2,503,535</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granted at exercise prices from $7.00 to $7.25 have fully vested at December 31, 2009. Substantially all options vest over a five year period from the date of grant.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Fair value of Stock Options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years ended December 31, 2007, December 31, 2008 and December 31, 2009 was calculated using the Black-Scholes option pricing model. The weighted average fair values and assumptions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December</w:t>
            </w:r>
          </w:p>
        </w:tc>
        <w:tc>
          <w:tcPr>
            <w:tcW w:w="28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December</w:t>
            </w:r>
          </w:p>
        </w:tc>
        <w:tc>
          <w:tcPr>
            <w:tcW w:w="28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1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2009</w:t>
            </w:r>
          </w:p>
        </w:tc>
      </w:tr>
      <w:tr>
        <w:trPr>
          <w:trHeight w:val="439"/>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Weighted average fair value</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8.47</w:t>
            </w:r>
          </w:p>
        </w:tc>
      </w:tr>
      <w:tr>
        <w:trPr>
          <w:trHeight w:val="392"/>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Assumptions:</w:t>
            </w:r>
          </w:p>
        </w:tc>
        <w:tc>
          <w:tcPr>
            <w:tcW w:w="3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8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8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8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2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0"/>
              </w:rPr>
              <w:t>5.11 years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2"/>
              </w:rPr>
              <w:t>5.11 years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5.11 years</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7, 2008, the Company issued 6,280 restricted share units to certain employees of the Group. These shares are exercisable over periods ranging from February 26, 2009, to February 26, 2011. The market value of the Company’s shares on date of issue was $41.95.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w:t>
      </w:r>
    </w:p>
    <w:p>
      <w:pPr>
        <w:spacing w:after="0" w:line="225" w:lineRule="exact"/>
        <w:rPr>
          <w:sz w:val="20"/>
          <w:szCs w:val="20"/>
          <w:color w:val="auto"/>
        </w:rPr>
      </w:pPr>
    </w:p>
    <w:p>
      <w:pPr>
        <w:ind w:right="900"/>
        <w:spacing w:after="0" w:line="264" w:lineRule="auto"/>
        <w:rPr>
          <w:sz w:val="20"/>
          <w:szCs w:val="20"/>
          <w:color w:val="auto"/>
        </w:rPr>
      </w:pPr>
      <w:r>
        <w:rPr>
          <w:rFonts w:ascii="Arial" w:cs="Arial" w:eastAsia="Arial" w:hAnsi="Arial"/>
          <w:sz w:val="18"/>
          <w:szCs w:val="18"/>
          <w:color w:val="auto"/>
        </w:rPr>
        <w:t>Income from operations for the year ended December 31, 2009, is stated after charging $7.4 million in respect of non-cash stock compensation expense. Non-cash stock compensation expense for the year ended December 31, 2009, has been allocated to direct costs and selling, general and administrative expenses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5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5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Direct costs</w:t>
            </w:r>
          </w:p>
        </w:tc>
        <w:tc>
          <w:tcPr>
            <w:tcW w:w="26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3,167</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3,338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3,776</w:t>
            </w:r>
          </w:p>
        </w:tc>
      </w:tr>
      <w:tr>
        <w:trPr>
          <w:trHeight w:val="23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2,581</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2,720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3,577</w:t>
            </w:r>
          </w:p>
        </w:tc>
      </w:tr>
      <w:tr>
        <w:trPr>
          <w:trHeight w:val="223"/>
        </w:trPr>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compensation costs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5,748</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6,058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7,353</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December 31, 2009, amounted to U.S.$16.7 million. The weighted average period over which this is expected to be recognized is 2.06 years. Total tax benefit recognized in additional paid in capital related to the non-cash compensation expense amounted to U.S. $0.5 million for the year ended December 31, 2009 (2008: U.S.$4.1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11. Government Grants</w:t>
            </w:r>
          </w:p>
        </w:tc>
        <w:tc>
          <w:tcPr>
            <w:tcW w:w="1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11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11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74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760" w:type="dxa"/>
            <w:vAlign w:val="bottom"/>
            <w:gridSpan w:val="2"/>
          </w:tcPr>
          <w:p>
            <w:pPr>
              <w:ind w:left="1140"/>
              <w:spacing w:after="0"/>
              <w:rPr>
                <w:sz w:val="20"/>
                <w:szCs w:val="20"/>
                <w:color w:val="auto"/>
              </w:rPr>
            </w:pPr>
            <w:r>
              <w:rPr>
                <w:rFonts w:ascii="Arial" w:cs="Arial" w:eastAsia="Arial" w:hAnsi="Arial"/>
                <w:sz w:val="18"/>
                <w:szCs w:val="18"/>
                <w:color w:val="auto"/>
              </w:rPr>
              <w:t>Received</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2,625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3,126</w:t>
            </w:r>
          </w:p>
        </w:tc>
      </w:tr>
      <w:tr>
        <w:trPr>
          <w:trHeight w:val="216"/>
        </w:trPr>
        <w:tc>
          <w:tcPr>
            <w:tcW w:w="5760" w:type="dxa"/>
            <w:vAlign w:val="bottom"/>
            <w:gridSpan w:val="2"/>
          </w:tcPr>
          <w:p>
            <w:pPr>
              <w:ind w:left="1140"/>
              <w:spacing w:after="0"/>
              <w:rPr>
                <w:sz w:val="20"/>
                <w:szCs w:val="20"/>
                <w:color w:val="auto"/>
              </w:rPr>
            </w:pPr>
            <w:r>
              <w:rPr>
                <w:rFonts w:ascii="Arial" w:cs="Arial" w:eastAsia="Arial" w:hAnsi="Arial"/>
                <w:sz w:val="18"/>
                <w:szCs w:val="18"/>
                <w:color w:val="auto"/>
              </w:rPr>
              <w:t>Less accumulated amortization</w:t>
            </w:r>
          </w:p>
        </w:tc>
        <w:tc>
          <w:tcPr>
            <w:tcW w:w="178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(1,510)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(1,659)</w:t>
            </w:r>
          </w:p>
        </w:tc>
      </w:tr>
      <w:tr>
        <w:trPr>
          <w:trHeight w:val="237"/>
        </w:trPr>
        <w:tc>
          <w:tcPr>
            <w:tcW w:w="5760" w:type="dxa"/>
            <w:vAlign w:val="bottom"/>
            <w:gridSpan w:val="2"/>
          </w:tcPr>
          <w:p>
            <w:pPr>
              <w:ind w:left="1140"/>
              <w:spacing w:after="0"/>
              <w:rPr>
                <w:sz w:val="20"/>
                <w:szCs w:val="20"/>
                <w:color w:val="auto"/>
              </w:rPr>
            </w:pPr>
            <w:r>
              <w:rPr>
                <w:rFonts w:ascii="Arial" w:cs="Arial" w:eastAsia="Arial" w:hAnsi="Arial"/>
                <w:sz w:val="18"/>
                <w:szCs w:val="18"/>
                <w:color w:val="auto"/>
              </w:rPr>
              <w:t>Foreign exchange translation adjustment</w:t>
            </w:r>
          </w:p>
        </w:tc>
        <w:tc>
          <w:tcPr>
            <w:tcW w:w="17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02"/>
        </w:trPr>
        <w:tc>
          <w:tcPr>
            <w:tcW w:w="1160" w:type="dxa"/>
            <w:vAlign w:val="bottom"/>
          </w:tcPr>
          <w:p>
            <w:pPr>
              <w:spacing w:after="0"/>
              <w:rPr>
                <w:sz w:val="17"/>
                <w:szCs w:val="17"/>
                <w:color w:val="auto"/>
              </w:rPr>
            </w:pPr>
          </w:p>
        </w:tc>
        <w:tc>
          <w:tcPr>
            <w:tcW w:w="46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1,530</w:t>
            </w: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1,909</w:t>
            </w:r>
          </w:p>
        </w:tc>
      </w:tr>
      <w:tr>
        <w:trPr>
          <w:trHeight w:val="237"/>
        </w:trPr>
        <w:tc>
          <w:tcPr>
            <w:tcW w:w="5760" w:type="dxa"/>
            <w:vAlign w:val="bottom"/>
            <w:gridSpan w:val="2"/>
          </w:tcPr>
          <w:p>
            <w:pPr>
              <w:ind w:left="1140"/>
              <w:spacing w:after="0"/>
              <w:rPr>
                <w:sz w:val="20"/>
                <w:szCs w:val="20"/>
                <w:color w:val="auto"/>
              </w:rPr>
            </w:pPr>
            <w:r>
              <w:rPr>
                <w:rFonts w:ascii="Arial" w:cs="Arial" w:eastAsia="Arial" w:hAnsi="Arial"/>
                <w:sz w:val="18"/>
                <w:szCs w:val="18"/>
                <w:color w:val="auto"/>
              </w:rPr>
              <w:t>Less current portion</w:t>
            </w:r>
          </w:p>
        </w:tc>
        <w:tc>
          <w:tcPr>
            <w:tcW w:w="178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1160" w:type="dxa"/>
            <w:vAlign w:val="bottom"/>
          </w:tcPr>
          <w:p>
            <w:pPr>
              <w:spacing w:after="0"/>
              <w:rPr>
                <w:sz w:val="19"/>
                <w:szCs w:val="19"/>
                <w:color w:val="auto"/>
              </w:rPr>
            </w:pPr>
          </w:p>
        </w:tc>
        <w:tc>
          <w:tcPr>
            <w:tcW w:w="46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1,386</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grants amortized to the profit and loss account amounted to U.S.$126,000 and U.S.$149,000 for the years ended December 31, 2008 and December 31, 2009 respectively. As at December 31, 2009, the Company had $1.35 million in restricted retained earnings, pursuant to the terms of grant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Capital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year ended December 31, 2007, 634,784 options were exercised by employees at an average exercise price of U.S.$8.35 per share for total proceeds of U.S.$5.3 million.</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year ended December 31, 2008, 847,707 options were exercised by employees at an average exercise price of U.S.$10.05 per share for total proceeds of U.S.$8.5 million.</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year ended December 31, 2009, 489,370 options were exercised by employees at an average exercise price of U.S.$9.03 per share for total proceeds of U.S.$4.4 million.</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were adjusted on NASDAQ to effect the Bonus Issue prior to the opening of trading on August 13, 2008. All outstanding ordinary share amounts referenced in the consolidated financial statement s and the notes thereto have been retrospectively restated to give effect to the Bonus Issue as if it had occurred as of the date referenced.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December</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(in thousands)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8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39,063</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59,720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51,783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8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16,818</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23,305</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16,099</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15,255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39,894</w:t>
            </w:r>
          </w:p>
        </w:tc>
        <w:tc>
          <w:tcPr>
            <w:tcW w:w="0" w:type="dxa"/>
            <w:vAlign w:val="bottom"/>
          </w:tcPr>
          <w:p>
            <w:pPr>
              <w:spacing w:after="0"/>
              <w:rPr>
                <w:sz w:val="1"/>
                <w:szCs w:val="1"/>
                <w:color w:val="auto"/>
              </w:rPr>
            </w:pPr>
          </w:p>
        </w:tc>
      </w:tr>
      <w:tr>
        <w:trPr>
          <w:trHeight w:val="439"/>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71,980</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98,280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104,674</w:t>
            </w: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The components of total income tax expense are as follows:</w:t>
            </w: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December</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2000" w:type="dxa"/>
            <w:vAlign w:val="bottom"/>
            <w:vMerge w:val="restart"/>
          </w:tcPr>
          <w:p>
            <w:pPr>
              <w:spacing w:after="0"/>
              <w:rPr>
                <w:sz w:val="20"/>
                <w:szCs w:val="20"/>
                <w:color w:val="auto"/>
              </w:rPr>
            </w:pPr>
            <w:r>
              <w:rPr>
                <w:rFonts w:ascii="Arial" w:cs="Arial" w:eastAsia="Arial" w:hAnsi="Arial"/>
                <w:sz w:val="18"/>
                <w:szCs w:val="18"/>
                <w:color w:val="auto"/>
                <w:w w:val="91"/>
              </w:rPr>
              <w:t>Provision for income taxes:</w:t>
            </w:r>
          </w:p>
        </w:tc>
        <w:tc>
          <w:tcPr>
            <w:tcW w:w="2980" w:type="dxa"/>
            <w:vAlign w:val="bottom"/>
            <w:vMerge w:val="restart"/>
          </w:tcPr>
          <w:p>
            <w:pPr>
              <w:spacing w:after="0"/>
              <w:rPr>
                <w:sz w:val="20"/>
                <w:szCs w:val="20"/>
                <w:color w:val="auto"/>
              </w:rPr>
            </w:pPr>
          </w:p>
        </w:tc>
        <w:tc>
          <w:tcPr>
            <w:tcW w:w="2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(in thousands)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8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4,073</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6,508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8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6,909</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6,674</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6,171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4,021</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Total current tax</w:t>
            </w:r>
          </w:p>
        </w:tc>
        <w:tc>
          <w:tcPr>
            <w:tcW w:w="28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17,153</w:t>
            </w:r>
          </w:p>
        </w:tc>
        <w:tc>
          <w:tcPr>
            <w:tcW w:w="360" w:type="dxa"/>
            <w:vAlign w:val="bottom"/>
          </w:tcPr>
          <w:p>
            <w:pPr>
              <w:spacing w:after="0"/>
              <w:rPr>
                <w:sz w:val="24"/>
                <w:szCs w:val="24"/>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17,203</w:t>
            </w:r>
          </w:p>
        </w:tc>
        <w:tc>
          <w:tcPr>
            <w:tcW w:w="3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13,728</w:t>
            </w:r>
          </w:p>
        </w:tc>
        <w:tc>
          <w:tcPr>
            <w:tcW w:w="0" w:type="dxa"/>
            <w:vAlign w:val="bottom"/>
          </w:tcPr>
          <w:p>
            <w:pPr>
              <w:spacing w:after="0"/>
              <w:rPr>
                <w:sz w:val="1"/>
                <w:szCs w:val="1"/>
                <w:color w:val="auto"/>
              </w:rPr>
            </w:pPr>
          </w:p>
        </w:tc>
      </w:tr>
      <w:tr>
        <w:trPr>
          <w:trHeight w:val="418"/>
        </w:trPr>
        <w:tc>
          <w:tcPr>
            <w:tcW w:w="4980" w:type="dxa"/>
            <w:vAlign w:val="bottom"/>
            <w:gridSpan w:val="2"/>
          </w:tcPr>
          <w:p>
            <w:pPr>
              <w:spacing w:after="0"/>
              <w:rPr>
                <w:sz w:val="20"/>
                <w:szCs w:val="20"/>
                <w:color w:val="auto"/>
              </w:rPr>
            </w:pPr>
            <w:r>
              <w:rPr>
                <w:rFonts w:ascii="Arial" w:cs="Arial" w:eastAsia="Arial" w:hAnsi="Arial"/>
                <w:sz w:val="18"/>
                <w:szCs w:val="18"/>
                <w:color w:val="auto"/>
              </w:rPr>
              <w:t>Deferred expense/(benefit):</w:t>
            </w: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8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(908)</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569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8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2,549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439"/>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deferred tax (benefit)/expense</w:t>
            </w:r>
          </w:p>
        </w:tc>
        <w:tc>
          <w:tcPr>
            <w:tcW w:w="2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(1,323)</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2,764</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439"/>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2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15,830</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19,967</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418"/>
        </w:trPr>
        <w:tc>
          <w:tcPr>
            <w:tcW w:w="4980" w:type="dxa"/>
            <w:vAlign w:val="bottom"/>
            <w:gridSpan w:val="2"/>
          </w:tcPr>
          <w:p>
            <w:pPr>
              <w:spacing w:after="0"/>
              <w:rPr>
                <w:sz w:val="20"/>
                <w:szCs w:val="20"/>
                <w:color w:val="auto"/>
              </w:rPr>
            </w:pPr>
            <w:r>
              <w:rPr>
                <w:rFonts w:ascii="Arial" w:cs="Arial" w:eastAsia="Arial" w:hAnsi="Arial"/>
                <w:sz w:val="18"/>
                <w:szCs w:val="18"/>
                <w:color w:val="auto"/>
              </w:rPr>
              <w:t>Impact on shareholders equity of the tax consequence of :</w:t>
            </w: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Stock compensation expense</w:t>
            </w:r>
          </w:p>
        </w:tc>
        <w:tc>
          <w:tcPr>
            <w:tcW w:w="28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(1,466)</w:t>
            </w:r>
          </w:p>
        </w:tc>
        <w:tc>
          <w:tcPr>
            <w:tcW w:w="3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(4,062)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impact of long term funding</w:t>
            </w:r>
          </w:p>
        </w:tc>
        <w:tc>
          <w:tcPr>
            <w:tcW w:w="2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(1,954)</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(632)</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439"/>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12,410</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15,273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648"/>
        </w:trPr>
        <w:tc>
          <w:tcPr>
            <w:tcW w:w="2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0" w:type="dxa"/>
            <w:vAlign w:val="bottom"/>
          </w:tcPr>
          <w:p>
            <w:pPr>
              <w:jc w:val="right"/>
              <w:ind w:right="1890"/>
              <w:spacing w:after="0"/>
              <w:rPr>
                <w:sz w:val="20"/>
                <w:szCs w:val="20"/>
                <w:color w:val="auto"/>
              </w:rPr>
            </w:pPr>
            <w:r>
              <w:rPr>
                <w:rFonts w:ascii="Arial" w:cs="Arial" w:eastAsia="Arial" w:hAnsi="Arial"/>
                <w:sz w:val="18"/>
                <w:szCs w:val="18"/>
                <w:color w:val="auto"/>
              </w:rPr>
              <w:t>88</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0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Ireland’s statutory income tax rate is 12.5%. The Company’s consolidated effective tax rate differed from the statutory rate as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December</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December</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5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20"/>
        </w:trPr>
        <w:tc>
          <w:tcPr>
            <w:tcW w:w="5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Taxes at Irish statutory rate of 12.5% (2008:12.5%; 2007: 12.5%)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8,998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12,285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13,084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Foreign and other income taxed at (reduced)/higher rates</w:t>
            </w:r>
          </w:p>
        </w:tc>
        <w:tc>
          <w:tcPr>
            <w:tcW w:w="10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6,496</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5,249</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9,319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&amp; Development Tax Incentives</w:t>
            </w:r>
          </w:p>
        </w:tc>
        <w:tc>
          <w:tcPr>
            <w:tcW w:w="10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(15,872)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10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1,494</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4,027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Prior year under/(over) provision in respect of foreign taxes</w:t>
            </w:r>
          </w:p>
        </w:tc>
        <w:tc>
          <w:tcPr>
            <w:tcW w:w="10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Effects of permanent items</w:t>
            </w:r>
          </w:p>
        </w:tc>
        <w:tc>
          <w:tcPr>
            <w:tcW w:w="10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3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r>
      <w:tr>
        <w:trPr>
          <w:trHeight w:val="223"/>
        </w:trPr>
        <w:tc>
          <w:tcPr>
            <w:tcW w:w="5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15,830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19,967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10,375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December</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December</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4"/>
        </w:trPr>
        <w:tc>
          <w:tcPr>
            <w:tcW w:w="486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6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1,253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5,764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4,274</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5,112</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1,219</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Accruals</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1,008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Total deferred tax liabilities recognized</w:t>
            </w:r>
          </w:p>
        </w:tc>
        <w:tc>
          <w:tcPr>
            <w:tcW w:w="178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6,364</w:t>
            </w:r>
          </w:p>
        </w:tc>
        <w:tc>
          <w:tcPr>
            <w:tcW w:w="36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13,649</w:t>
            </w:r>
          </w:p>
        </w:tc>
        <w:tc>
          <w:tcPr>
            <w:tcW w:w="2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6,931</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9,690</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6,007</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6,746</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Stock options</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1,556</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2,426</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compensation expense</w:t>
            </w:r>
          </w:p>
        </w:tc>
        <w:tc>
          <w:tcPr>
            <w:tcW w:w="17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471</w:t>
            </w:r>
          </w:p>
        </w:tc>
        <w:tc>
          <w:tcPr>
            <w:tcW w:w="3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Total deferred tax assets</w:t>
            </w:r>
          </w:p>
        </w:tc>
        <w:tc>
          <w:tcPr>
            <w:tcW w:w="1780" w:type="dxa"/>
            <w:vAlign w:val="bottom"/>
          </w:tcPr>
          <w:p>
            <w:pPr>
              <w:spacing w:after="0"/>
              <w:rPr>
                <w:sz w:val="17"/>
                <w:szCs w:val="17"/>
                <w:color w:val="auto"/>
              </w:rPr>
            </w:pPr>
          </w:p>
        </w:tc>
        <w:tc>
          <w:tcPr>
            <w:tcW w:w="10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15,579</w:t>
            </w:r>
          </w:p>
        </w:tc>
        <w:tc>
          <w:tcPr>
            <w:tcW w:w="360" w:type="dxa"/>
            <w:vAlign w:val="bottom"/>
          </w:tcPr>
          <w:p>
            <w:pPr>
              <w:spacing w:after="0"/>
              <w:rPr>
                <w:sz w:val="17"/>
                <w:szCs w:val="17"/>
                <w:color w:val="auto"/>
              </w:rPr>
            </w:pPr>
          </w:p>
        </w:tc>
        <w:tc>
          <w:tcPr>
            <w:tcW w:w="10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19,880</w:t>
            </w:r>
          </w:p>
        </w:tc>
        <w:tc>
          <w:tcPr>
            <w:tcW w:w="280" w:type="dxa"/>
            <w:vAlign w:val="bottom"/>
          </w:tcPr>
          <w:p>
            <w:pPr>
              <w:spacing w:after="0"/>
              <w:rPr>
                <w:sz w:val="17"/>
                <w:szCs w:val="17"/>
                <w:color w:val="auto"/>
              </w:rPr>
            </w:pP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27,962</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Valuation allowance for deferred tax assets</w:t>
            </w:r>
          </w:p>
        </w:tc>
        <w:tc>
          <w:tcPr>
            <w:tcW w:w="1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(4,957)</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(5,903)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439"/>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 recognized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10,622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13,977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439"/>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4,258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U.S.$6.9 million, (2008:U.S.$8.3 million) of the deferred tax asset of U.S.$17.6 million, (2008:U.S.$14.0 million) above is non-current. U.S.$12.7 million, (2008:U.S.$12.1 million) of the deferred tax liability of U.S.$14.5 million, (2008:U.S.$13.7 million) is non-current.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4" w:name="page95"/>
    <w:bookmarkEnd w:id="94"/>
    <w:p>
      <w:pPr>
        <w:jc w:val="both"/>
        <w:spacing w:after="0" w:line="277" w:lineRule="auto"/>
        <w:rPr>
          <w:sz w:val="20"/>
          <w:szCs w:val="20"/>
          <w:color w:val="auto"/>
        </w:rPr>
      </w:pPr>
      <w:r>
        <w:rPr>
          <w:rFonts w:ascii="Arial" w:cs="Arial" w:eastAsia="Arial" w:hAnsi="Arial"/>
          <w:sz w:val="18"/>
          <w:szCs w:val="18"/>
          <w:color w:val="auto"/>
        </w:rPr>
        <w:t>At December 31, 2009, non-U.S subsidiaries had operating loss carry forwards for income tax purposes that may be carried forward indefinitely, available to offset against future taxable income, if any, of approximately U.S.$ 34.8 million (2008: U.S.$ 21.5 million).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December 31, 2009, ICON Central Laboratories Inc., a U.S. subsidiary, had U.S. Federal and State net operating loss carry forwards of approximately U.S.$6.7 million and U.S.$5.3 million, respectively. These net operating losses are available for offset against future taxable income and expire between 2010 and 2029. Of the U.S. $6.7 million U.S. Federal and U.S. $5.3 million State net operating losses, approximately U.S.$5.5 million and U.S.$4.0 million are currently available for offset against future U.S. Federal and State taxable income respectively. The subsidiary’s ability to use the remaining U.S. Federal and State net operating loss (“NOL”) carry forwards of U.S.$1.2 million and U.S.$1.2 mil lion respectively, is limited to U.S. $113,000 per year due to the subsidiary experiencing a change of ownership in 2000, as defined by Section 382 of the Internal Revenue Code of 1986, as amended.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Federal</w:t>
            </w:r>
          </w:p>
        </w:tc>
        <w:tc>
          <w:tcPr>
            <w:tcW w:w="62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State</w:t>
            </w:r>
          </w:p>
        </w:tc>
      </w:tr>
      <w:tr>
        <w:trPr>
          <w:trHeight w:val="216"/>
        </w:trPr>
        <w:tc>
          <w:tcPr>
            <w:tcW w:w="5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NOL’s</w:t>
            </w:r>
          </w:p>
        </w:tc>
        <w:tc>
          <w:tcPr>
            <w:tcW w:w="6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NOL’s</w:t>
            </w:r>
          </w:p>
        </w:tc>
      </w:tr>
      <w:tr>
        <w:trPr>
          <w:trHeight w:val="234"/>
        </w:trPr>
        <w:tc>
          <w:tcPr>
            <w:tcW w:w="5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0"/>
                <w:szCs w:val="20"/>
                <w:color w:val="auto"/>
              </w:rPr>
            </w:pPr>
          </w:p>
        </w:tc>
      </w:tr>
      <w:tr>
        <w:trPr>
          <w:trHeight w:val="418"/>
        </w:trPr>
        <w:tc>
          <w:tcPr>
            <w:tcW w:w="5400" w:type="dxa"/>
            <w:vAlign w:val="bottom"/>
          </w:tcPr>
          <w:p>
            <w:pPr>
              <w:spacing w:after="0"/>
              <w:rPr>
                <w:sz w:val="20"/>
                <w:szCs w:val="20"/>
                <w:color w:val="auto"/>
              </w:rPr>
            </w:pPr>
            <w:r>
              <w:rPr>
                <w:rFonts w:ascii="Arial" w:cs="Arial" w:eastAsia="Arial" w:hAnsi="Arial"/>
                <w:sz w:val="18"/>
                <w:szCs w:val="18"/>
                <w:color w:val="auto"/>
              </w:rPr>
              <w:t>2010 - 2012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339</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339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2013 - 2017</w:t>
            </w:r>
          </w:p>
        </w:tc>
        <w:tc>
          <w:tcPr>
            <w:tcW w:w="15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113</w:t>
            </w:r>
          </w:p>
        </w:tc>
        <w:tc>
          <w:tcPr>
            <w:tcW w:w="6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37"/>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2018 - 2029</w:t>
            </w: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6,244</w:t>
            </w: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4,801</w:t>
            </w:r>
          </w:p>
        </w:tc>
      </w:tr>
      <w:tr>
        <w:trPr>
          <w:trHeight w:val="432"/>
        </w:trPr>
        <w:tc>
          <w:tcPr>
            <w:tcW w:w="5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6,696</w:t>
            </w: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5,253</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ICON Central Laboratories Inc has alternative minimum tax credit carry forwards of approximately U.S.$0.2 million that are available to reduce future U.S. federal regular income taxes, over an indefinite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2009, ICON Clinical Research Inc. and its U.S. subsidiaries had combined U.S. State net operating loss carry forwards of approximately U.S.$6.3 million. These net operating losses are available for offset against future, or in some cases prior, taxable income in the relevant state and generally expire between 2019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1540" w:type="dxa"/>
            <w:vAlign w:val="bottom"/>
          </w:tcPr>
          <w:p>
            <w:pPr>
              <w:spacing w:after="0"/>
              <w:rPr>
                <w:sz w:val="20"/>
                <w:szCs w:val="20"/>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Federal</w:t>
            </w:r>
          </w:p>
        </w:tc>
        <w:tc>
          <w:tcPr>
            <w:tcW w:w="620" w:type="dxa"/>
            <w:vAlign w:val="bottom"/>
          </w:tcPr>
          <w:p>
            <w:pPr>
              <w:spacing w:after="0"/>
              <w:rPr>
                <w:sz w:val="20"/>
                <w:szCs w:val="20"/>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State</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NOL’s</w:t>
            </w:r>
          </w:p>
        </w:tc>
        <w:tc>
          <w:tcPr>
            <w:tcW w:w="6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NOL’s</w:t>
            </w:r>
          </w:p>
        </w:tc>
        <w:tc>
          <w:tcPr>
            <w:tcW w:w="0" w:type="dxa"/>
            <w:vAlign w:val="bottom"/>
          </w:tcPr>
          <w:p>
            <w:pPr>
              <w:spacing w:after="0"/>
              <w:rPr>
                <w:sz w:val="1"/>
                <w:szCs w:val="1"/>
                <w:color w:val="auto"/>
              </w:rPr>
            </w:pPr>
          </w:p>
        </w:tc>
      </w:tr>
      <w:tr>
        <w:trPr>
          <w:trHeight w:val="220"/>
        </w:trPr>
        <w:tc>
          <w:tcPr>
            <w:tcW w:w="5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2010 - 2012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2013 - 2017</w:t>
            </w:r>
          </w:p>
        </w:tc>
        <w:tc>
          <w:tcPr>
            <w:tcW w:w="15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2018 - 2029</w:t>
            </w: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ICON Clinical Research Limited has tax credit carry forwards of approximately U.S $0.1 million that are available to reduce future income taxes, if 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These begin to expire in 2012. The utilization of some of these credits is subject to an annual limitation that will prevent full utilization before expiration.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jc w:val="both"/>
        <w:spacing w:after="0" w:line="264" w:lineRule="auto"/>
        <w:rPr>
          <w:sz w:val="20"/>
          <w:szCs w:val="20"/>
          <w:color w:val="auto"/>
        </w:rPr>
      </w:pPr>
      <w:r>
        <w:rPr>
          <w:rFonts w:ascii="Arial" w:cs="Arial" w:eastAsia="Arial" w:hAnsi="Arial"/>
          <w:sz w:val="18"/>
          <w:szCs w:val="18"/>
          <w:color w:val="auto"/>
        </w:rPr>
        <w:t>The valuation allowance at December 31, 2009, was approximately U.S. $10.4 million. The valuation allowance for deferred tax assets as of December 31, 2008 and December 31, 2007 was U.S.$5.9 million and U.S.$5.0 million respectively. The net change in the total valuation allowance was an increase of U.S.$4.5 million during 2009 and an increase of U.S.$0.9 million during 2008.</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valuation allowances at December 31, 2009 and December 31, 2008 were primarily related to tax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recognized a deferred tax liability for the undistributed earnings of foreign subsidiaries that arose in 2009 and prior years as the Company considers these earnings to be indefinitely reinvested.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adopted the provisions of FIN 48 on January 1, 2007. This did not result in any change to the opening liability for unrecognized tax benefits. A reconciliation of the beginning and ending amount of total unrecognized tax benefits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December 31,</w:t>
            </w: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5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5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5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Gross amount of unrecognized tax benefits at start of year</w:t>
            </w:r>
          </w:p>
        </w:tc>
        <w:tc>
          <w:tcPr>
            <w:tcW w:w="1900" w:type="dxa"/>
            <w:vAlign w:val="bottom"/>
          </w:tcPr>
          <w:p>
            <w:pPr>
              <w:ind w:left="15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11,759</w:t>
            </w: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12,878</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13,643</w:t>
            </w: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190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285</w:t>
            </w:r>
          </w:p>
        </w:tc>
        <w:tc>
          <w:tcPr>
            <w:tcW w:w="52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190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(1,343)</w:t>
            </w:r>
          </w:p>
        </w:tc>
        <w:tc>
          <w:tcPr>
            <w:tcW w:w="5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190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2,161</w:t>
            </w:r>
          </w:p>
        </w:tc>
        <w:tc>
          <w:tcPr>
            <w:tcW w:w="5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2,760</w:t>
            </w:r>
          </w:p>
        </w:tc>
        <w:tc>
          <w:tcPr>
            <w:tcW w:w="5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Settlements</w:t>
            </w:r>
          </w:p>
        </w:tc>
        <w:tc>
          <w:tcPr>
            <w:tcW w:w="190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(906)</w:t>
            </w:r>
          </w:p>
        </w:tc>
        <w:tc>
          <w:tcPr>
            <w:tcW w:w="5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(529)</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Lapse of statute of limitations</w:t>
            </w:r>
          </w:p>
        </w:tc>
        <w:tc>
          <w:tcPr>
            <w:tcW w:w="19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(292)</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(123)</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r>
      <w:tr>
        <w:trPr>
          <w:trHeight w:val="432"/>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amount of unrecognized tax benefits at end of year</w:t>
            </w:r>
          </w:p>
        </w:tc>
        <w:tc>
          <w:tcPr>
            <w:tcW w:w="19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12,878</w:t>
            </w: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13,643</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15,855</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anticipate that the amount of unrecognized tax benefits at December 31, 2009, will significantly change in the coming year.</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balance of total unrecognized tax benefits at December 31, 2009, are net potential benefits of U.S.$15.4 million, which if recognized, would affect the effective rate on income tax from continuing operations.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Interest and penalties recognized as an expense during the year ended December 31, 2009, amounted to U.S.$1.2 million (2008: US$1.3 million) and are included within the provision for income taxes. Total accrued interest and penalties as of December 31, 2009 and December 31, 2008, were US$3.5 million and US$2.3 million respectively and are included in the closing income tax liabilities at those dates.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major tax jurisdictions are the United States and Ireland. We may potentially be subjected to tax audits in our major jurisdictions. In the United States tax periods open to audit include the years ended December 31, 2006, December 31, 2007, December 31, 2008 and December 31, 2009. In Ireland tax periods open to audit include the years ended May 31, 2005, the seven month transition period ended December 31, 2005, and the years ended December 31, 2006, December 31, 2007, December 31, 2008 and December 31, 2009. During such audits, local tax authorities may challenge the positions taken by us.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14. One-time net charges</w:t>
            </w:r>
          </w:p>
        </w:tc>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920" w:type="dxa"/>
            <w:vAlign w:val="bottom"/>
          </w:tcPr>
          <w:p>
            <w:pPr>
              <w:spacing w:after="0"/>
              <w:rPr>
                <w:sz w:val="20"/>
                <w:szCs w:val="20"/>
                <w:color w:val="auto"/>
              </w:rPr>
            </w:pPr>
            <w:r>
              <w:rPr>
                <w:rFonts w:ascii="Arial" w:cs="Arial" w:eastAsia="Arial" w:hAnsi="Arial"/>
                <w:sz w:val="18"/>
                <w:szCs w:val="18"/>
                <w:color w:val="auto"/>
                <w:w w:val="98"/>
              </w:rPr>
              <w:t>One-time net charges recognized during the year ended December 31, 2009, comprise:</w:t>
            </w: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6920" w:type="dxa"/>
            <w:vAlign w:val="bottom"/>
          </w:tcPr>
          <w:p>
            <w:pPr>
              <w:spacing w:after="0"/>
              <w:rPr>
                <w:sz w:val="24"/>
                <w:szCs w:val="24"/>
                <w:color w:val="auto"/>
              </w:rPr>
            </w:pPr>
          </w:p>
        </w:tc>
        <w:tc>
          <w:tcPr>
            <w:tcW w:w="26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24"/>
                <w:szCs w:val="24"/>
                <w:color w:val="auto"/>
              </w:rPr>
            </w:pPr>
          </w:p>
        </w:tc>
      </w:tr>
      <w:tr>
        <w:trPr>
          <w:trHeight w:val="216"/>
        </w:trPr>
        <w:tc>
          <w:tcPr>
            <w:tcW w:w="6920" w:type="dxa"/>
            <w:vAlign w:val="bottom"/>
          </w:tcPr>
          <w:p>
            <w:pPr>
              <w:spacing w:after="0"/>
              <w:rPr>
                <w:sz w:val="18"/>
                <w:szCs w:val="18"/>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920" w:type="dxa"/>
            <w:vAlign w:val="bottom"/>
          </w:tcPr>
          <w:p>
            <w:pPr>
              <w:spacing w:after="0"/>
              <w:rPr>
                <w:sz w:val="18"/>
                <w:szCs w:val="18"/>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7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20"/>
        </w:trPr>
        <w:tc>
          <w:tcPr>
            <w:tcW w:w="6920" w:type="dxa"/>
            <w:vAlign w:val="bottom"/>
          </w:tcPr>
          <w:p>
            <w:pPr>
              <w:spacing w:after="0"/>
              <w:rPr>
                <w:sz w:val="19"/>
                <w:szCs w:val="19"/>
                <w:color w:val="auto"/>
              </w:rPr>
            </w:pPr>
          </w:p>
        </w:tc>
        <w:tc>
          <w:tcPr>
            <w:tcW w:w="2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19"/>
                <w:szCs w:val="19"/>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Restructuring charge</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13,301</w:t>
            </w:r>
          </w:p>
        </w:tc>
      </w:tr>
      <w:tr>
        <w:trPr>
          <w:trHeight w:val="237"/>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Research and development incentives</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r>
      <w:tr>
        <w:trPr>
          <w:trHeight w:val="216"/>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charge</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8,808</w:t>
            </w:r>
          </w:p>
        </w:tc>
      </w:tr>
      <w:tr>
        <w:trPr>
          <w:trHeight w:val="21"/>
        </w:trPr>
        <w:tc>
          <w:tcPr>
            <w:tcW w:w="69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globalization of clinical studies and its attendant impact on resources in existing and emerging markets, the Company conducted a review of its existing infrastructure during the three months ended June 30, 2009, to better align its resources with the needs of its clients. On conclusion, a program of restructuring activities was initiated which resulted in resource rationalizations in certain more mature markets in which the Company operates and the recognition of an initial restructuring charge of $13.4 million. It is anticipated that activities associated with the restructuring program will be completed during the year ended December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recognized during the year ended December 31, 2009,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Workforce</w:t>
            </w:r>
          </w:p>
        </w:tc>
        <w:tc>
          <w:tcPr>
            <w:tcW w:w="58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Office</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Reductions</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Consolidations</w:t>
            </w:r>
          </w:p>
        </w:tc>
        <w:tc>
          <w:tcPr>
            <w:tcW w:w="4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34"/>
        </w:trPr>
        <w:tc>
          <w:tcPr>
            <w:tcW w:w="4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Initial provision recognised</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4,886</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8,548</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13,434</w:t>
            </w:r>
          </w:p>
        </w:tc>
      </w:tr>
      <w:tr>
        <w:trPr>
          <w:trHeight w:val="23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w:t>
            </w:r>
          </w:p>
        </w:tc>
        <w:tc>
          <w:tcPr>
            <w:tcW w:w="1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(133)</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provision recognised</w:t>
            </w:r>
          </w:p>
        </w:tc>
        <w:tc>
          <w:tcPr>
            <w:tcW w:w="18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4,886</w:t>
            </w:r>
          </w:p>
        </w:tc>
        <w:tc>
          <w:tcPr>
            <w:tcW w:w="5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8,415</w:t>
            </w:r>
          </w:p>
        </w:tc>
        <w:tc>
          <w:tcPr>
            <w:tcW w:w="4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13,301</w:t>
            </w:r>
          </w:p>
        </w:tc>
      </w:tr>
      <w:tr>
        <w:trPr>
          <w:trHeight w:val="404"/>
        </w:trPr>
        <w:tc>
          <w:tcPr>
            <w:tcW w:w="4580" w:type="dxa"/>
            <w:vAlign w:val="bottom"/>
          </w:tcPr>
          <w:p>
            <w:pPr>
              <w:spacing w:after="0"/>
              <w:rPr>
                <w:sz w:val="20"/>
                <w:szCs w:val="20"/>
                <w:color w:val="auto"/>
              </w:rPr>
            </w:pPr>
            <w:r>
              <w:rPr>
                <w:rFonts w:ascii="Arial" w:cs="Arial" w:eastAsia="Arial" w:hAnsi="Arial"/>
                <w:sz w:val="18"/>
                <w:szCs w:val="18"/>
                <w:color w:val="auto"/>
              </w:rPr>
              <w:t>Cash payments</w:t>
            </w:r>
          </w:p>
        </w:tc>
        <w:tc>
          <w:tcPr>
            <w:tcW w:w="182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(4,392)</w:t>
            </w:r>
          </w:p>
        </w:tc>
        <w:tc>
          <w:tcPr>
            <w:tcW w:w="58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(4,105)</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(8,497)</w:t>
            </w:r>
          </w:p>
        </w:tc>
      </w:tr>
      <w:tr>
        <w:trPr>
          <w:trHeight w:val="23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write-off</w:t>
            </w:r>
          </w:p>
        </w:tc>
        <w:tc>
          <w:tcPr>
            <w:tcW w:w="1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(1,408)</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provision (note 7)</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494</w:t>
            </w: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2,902</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3,396</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year ended December 31, 2009, the Company received research and development incentives in certain European Union jurisdictions in which it operates. Income of $4.5 million has been recognized within one-time net charges for the year ended December 31, 2009, in respect of these incentives.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Significant Concentrations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business with most major international pharmaceutical companies. As at December 31, 2008, the Company’s provision for doubtful debts was $7.5 million. During the year ended December 31, 2009, $2.1 million of this provision was used and $0.2 million released. As at December 31, 2009, the Company’s provision for doubtful debts was $5.2 million. During the year ended December 31, 2008, an additional reserve of $7.4 million had been created and $0.2 million released.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U.S.$35,760,000, U.S.$45,638,000 and U.S.$45,166,000 in rental expense for the fiscal years ended December 31, 2007, December 31, 2008, and December 31, 2009. Future minimum rental commitments for operating leases with non-cancelable terms in excess of one year are as follows:</w:t>
      </w:r>
    </w:p>
    <w:p>
      <w:pPr>
        <w:spacing w:after="0" w:line="16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660" w:type="dxa"/>
            <w:vAlign w:val="bottom"/>
            <w:gridSpan w:val="2"/>
          </w:tcPr>
          <w:p>
            <w:pPr>
              <w:ind w:left="2560"/>
              <w:spacing w:after="0"/>
              <w:rPr>
                <w:sz w:val="20"/>
                <w:szCs w:val="20"/>
                <w:color w:val="auto"/>
              </w:rPr>
            </w:pPr>
            <w:r>
              <w:rPr>
                <w:rFonts w:ascii="Arial" w:cs="Arial" w:eastAsia="Arial" w:hAnsi="Arial"/>
                <w:sz w:val="18"/>
                <w:szCs w:val="18"/>
                <w:b w:val="1"/>
                <w:bCs w:val="1"/>
                <w:color w:val="auto"/>
                <w:w w:val="93"/>
              </w:rPr>
              <w:t>Minimum rental payments</w:t>
            </w:r>
          </w:p>
        </w:tc>
      </w:tr>
      <w:tr>
        <w:trPr>
          <w:trHeight w:val="220"/>
        </w:trPr>
        <w:tc>
          <w:tcPr>
            <w:tcW w:w="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2010</w:t>
            </w:r>
          </w:p>
        </w:tc>
        <w:tc>
          <w:tcPr>
            <w:tcW w:w="3080" w:type="dxa"/>
            <w:vAlign w:val="bottom"/>
          </w:tcPr>
          <w:p>
            <w:pPr>
              <w:ind w:left="25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38,192</w:t>
            </w:r>
          </w:p>
        </w:tc>
      </w:tr>
      <w:tr>
        <w:trPr>
          <w:trHeight w:val="216"/>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2011</w:t>
            </w:r>
          </w:p>
        </w:tc>
        <w:tc>
          <w:tcPr>
            <w:tcW w:w="30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31,015</w:t>
            </w:r>
          </w:p>
        </w:tc>
      </w:tr>
      <w:tr>
        <w:trPr>
          <w:trHeight w:val="216"/>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2012</w:t>
            </w:r>
          </w:p>
        </w:tc>
        <w:tc>
          <w:tcPr>
            <w:tcW w:w="30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26,009</w:t>
            </w:r>
          </w:p>
        </w:tc>
      </w:tr>
      <w:tr>
        <w:trPr>
          <w:trHeight w:val="216"/>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2013</w:t>
            </w:r>
          </w:p>
        </w:tc>
        <w:tc>
          <w:tcPr>
            <w:tcW w:w="30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23,074</w:t>
            </w:r>
          </w:p>
        </w:tc>
      </w:tr>
      <w:tr>
        <w:trPr>
          <w:trHeight w:val="216"/>
        </w:trPr>
        <w:tc>
          <w:tcPr>
            <w:tcW w:w="3360" w:type="dxa"/>
            <w:vAlign w:val="bottom"/>
            <w:gridSpan w:val="2"/>
          </w:tcPr>
          <w:p>
            <w:pPr>
              <w:jc w:val="right"/>
              <w:ind w:right="2910"/>
              <w:spacing w:after="0"/>
              <w:rPr>
                <w:sz w:val="20"/>
                <w:szCs w:val="20"/>
                <w:color w:val="auto"/>
              </w:rPr>
            </w:pPr>
            <w:r>
              <w:rPr>
                <w:rFonts w:ascii="Arial" w:cs="Arial" w:eastAsia="Arial" w:hAnsi="Arial"/>
                <w:sz w:val="18"/>
                <w:szCs w:val="18"/>
                <w:color w:val="auto"/>
                <w:w w:val="84"/>
              </w:rPr>
              <w:t>2014</w:t>
            </w:r>
          </w:p>
        </w:tc>
        <w:tc>
          <w:tcPr>
            <w:tcW w:w="30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20,137</w:t>
            </w:r>
          </w:p>
        </w:tc>
      </w:tr>
      <w:tr>
        <w:trPr>
          <w:trHeight w:val="237"/>
        </w:trPr>
        <w:tc>
          <w:tcPr>
            <w:tcW w:w="4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39,285</w:t>
            </w:r>
          </w:p>
        </w:tc>
      </w:tr>
      <w:tr>
        <w:trPr>
          <w:trHeight w:val="216"/>
        </w:trPr>
        <w:tc>
          <w:tcPr>
            <w:tcW w:w="4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177,712</w:t>
            </w:r>
          </w:p>
        </w:tc>
      </w:tr>
      <w:tr>
        <w:trPr>
          <w:trHeight w:val="21"/>
        </w:trPr>
        <w:tc>
          <w:tcPr>
            <w:tcW w:w="4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number of capital leases, primarily over furniture and equipment, which expire over the next five years. Future commitments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95"/>
              </w:rPr>
              <w:t>Lease payments</w:t>
            </w:r>
          </w:p>
        </w:tc>
      </w:tr>
      <w:tr>
        <w:trPr>
          <w:trHeight w:val="220"/>
        </w:trPr>
        <w:tc>
          <w:tcPr>
            <w:tcW w:w="4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2010</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2011</w:t>
            </w:r>
          </w:p>
        </w:tc>
        <w:tc>
          <w:tcPr>
            <w:tcW w:w="2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2012</w:t>
            </w:r>
          </w:p>
        </w:tc>
        <w:tc>
          <w:tcPr>
            <w:tcW w:w="2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2013</w:t>
            </w:r>
          </w:p>
        </w:tc>
        <w:tc>
          <w:tcPr>
            <w:tcW w:w="2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2014</w:t>
            </w:r>
          </w:p>
        </w:tc>
        <w:tc>
          <w:tcPr>
            <w:tcW w:w="2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Thereafter</w:t>
            </w:r>
          </w:p>
        </w:tc>
        <w:tc>
          <w:tcPr>
            <w:tcW w:w="2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future finance charges</w:t>
            </w:r>
          </w:p>
        </w:tc>
        <w:tc>
          <w:tcPr>
            <w:tcW w:w="2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were achieved during the year ended December 31, 2009. At December 31, 2009, no amounts have been accrued in respect of the potential add itional consideration as these milestones have not been achieved.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2008, the Company acquired 100% of the common stock of Prevalere Life Sciences Inc. (“Prevalere”), for an initial cash consideration of $37.6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were achieved during the years ended December 31, 2008 and 2009. On April 30, 2009, $5.0 million was paid in respect of the milestones for the year ended December 31, 2008. At December 31, 2009, no amounts have been accrued in respect of the remaining potential additional cons ideration as these milestones have not been achieved.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17. Business Segment Information</w:t>
      </w:r>
    </w:p>
    <w:p>
      <w:pPr>
        <w:spacing w:after="0" w:line="22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Historically, the Group organized, operated and assessed its business in two segments, the clinical research segment and the central laboratory segment. The central laboratory segment results were based on the results of the central laboratory in New York, USA, together with laboratory services based in Ireland, India and Singapore. For the years ended December 31, 2007 and December 31, 2008, the central laboratory division did not reach the thresholds of net revenue, income from operations and total assets as a requirement for being reported as a separate segment; however, it continued to be reported as such. Management have determined that its clinical research and central laboratory businesses operate in the same clinical research market, have a similar customer profile, are subject to the same regul atory environment, support the development of new clinical therapies and are so economically similar that, reporting their results on an aggregated basis would be more useful to users of the Company’s financial statements. Accordingly, in 2009 we have consolidated and reclassified the results of the former central laboratory segment into the clinical research segment for the years ended December 31, 2009, December 31, 2008 and December 31, 2007.</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areas of operation outside of Ireland principally include the United States, United Kingdom, France, Germany, Italy, Spain, The Netherlands, Denmark, Sweden, Finland, Poland, Czech Republic, Lithuania, Latvia, Russia, Ukraine, Hungary, Israel, Romania, Canada, Mexico, Brazil, Colombia, Argentina, Chile, Peru, India, China, Hong Kong, South Korea, Japan, Thailand, Taiwan, Singapore, Australia, New Zealand and South Africa. Segment information as at December 31, 2009 and December 31, 2008 and for the years ended December 31, 2007, December 31, 2008 and December 31, 2009,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6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6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6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Ireland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134,268</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158,958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151,618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Rest of Europe</w:t>
            </w: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144,586</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254,706</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251,104</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316,049</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379,140</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408,561</w:t>
            </w:r>
          </w:p>
        </w:tc>
      </w:tr>
      <w:tr>
        <w:trPr>
          <w:trHeight w:val="237"/>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35,819</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72,444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76,329</w:t>
            </w:r>
          </w:p>
        </w:tc>
      </w:tr>
      <w:tr>
        <w:trPr>
          <w:trHeight w:val="432"/>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630,722</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865,248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887,612</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6840" w:type="dxa"/>
            <w:vAlign w:val="bottom"/>
          </w:tcPr>
          <w:p>
            <w:pPr>
              <w:spacing w:after="0"/>
              <w:rPr>
                <w:sz w:val="20"/>
                <w:szCs w:val="20"/>
                <w:color w:val="auto"/>
              </w:rPr>
            </w:pPr>
            <w:r>
              <w:rPr>
                <w:rFonts w:ascii="Arial" w:cs="Arial" w:eastAsia="Arial" w:hAnsi="Arial"/>
                <w:sz w:val="18"/>
                <w:szCs w:val="18"/>
                <w:color w:val="auto"/>
              </w:rPr>
              <w:t>b) The distribution of income from operations by geographical area was as follows: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30"/>
        </w:trPr>
        <w:tc>
          <w:tcPr>
            <w:tcW w:w="6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6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6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Ireland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40,592</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67,264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54,083</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Rest of Europe</w:t>
            </w: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7,234</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7,960</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23,945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19,166</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20,547</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24,991</w:t>
            </w:r>
          </w:p>
        </w:tc>
      </w:tr>
      <w:tr>
        <w:trPr>
          <w:trHeight w:val="237"/>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2,250</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3,733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4,433</w:t>
            </w:r>
          </w:p>
        </w:tc>
      </w:tr>
      <w:tr>
        <w:trPr>
          <w:trHeight w:val="432"/>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69,242</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99,504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107,452</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42"/>
        </w:trPr>
        <w:tc>
          <w:tcPr>
            <w:tcW w:w="6840" w:type="dxa"/>
            <w:vAlign w:val="bottom"/>
          </w:tcPr>
          <w:p>
            <w:pPr>
              <w:ind w:left="5620"/>
              <w:spacing w:after="0"/>
              <w:rPr>
                <w:sz w:val="20"/>
                <w:szCs w:val="20"/>
                <w:color w:val="auto"/>
              </w:rPr>
            </w:pPr>
            <w:r>
              <w:rPr>
                <w:rFonts w:ascii="Arial" w:cs="Arial" w:eastAsia="Arial" w:hAnsi="Arial"/>
                <w:sz w:val="18"/>
                <w:szCs w:val="18"/>
                <w:color w:val="auto"/>
              </w:rPr>
              <w:t>94</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5"/>
        </w:trPr>
        <w:tc>
          <w:tcPr>
            <w:tcW w:w="6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553"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8"/>
                <w:szCs w:val="18"/>
                <w:color w:val="auto"/>
                <w:w w:val="96"/>
              </w:rPr>
              <w:t>c) The distribution of property, plant and equipment, net, by geographical area was as follows: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30"/>
        </w:trPr>
        <w:tc>
          <w:tcPr>
            <w:tcW w:w="7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7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Ireland</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w w:val="98"/>
              </w:rPr>
              <w:t>101,715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107,049</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 of Europe</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18,071</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16,673</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43,976</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45,194</w:t>
            </w:r>
          </w:p>
        </w:tc>
      </w:tr>
      <w:tr>
        <w:trPr>
          <w:trHeight w:val="237"/>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7,986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10,073</w:t>
            </w:r>
          </w:p>
        </w:tc>
      </w:tr>
      <w:tr>
        <w:trPr>
          <w:trHeight w:val="432"/>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171,748</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178,989</w:t>
            </w:r>
          </w:p>
        </w:tc>
      </w:tr>
      <w:tr>
        <w:trPr>
          <w:trHeight w:val="21"/>
        </w:trPr>
        <w:tc>
          <w:tcPr>
            <w:tcW w:w="7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7240" w:type="dxa"/>
            <w:vAlign w:val="bottom"/>
          </w:tcPr>
          <w:p>
            <w:pPr>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30"/>
        </w:trPr>
        <w:tc>
          <w:tcPr>
            <w:tcW w:w="7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December</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December</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7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Ireland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5,972</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8,684</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9,459</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 of Europe</w:t>
            </w: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3,738</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6,162</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5,960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7,761</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10,393</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13,945</w:t>
            </w:r>
          </w:p>
        </w:tc>
      </w:tr>
      <w:tr>
        <w:trPr>
          <w:trHeight w:val="237"/>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1,537</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2,489</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3,295</w:t>
            </w:r>
          </w:p>
        </w:tc>
      </w:tr>
      <w:tr>
        <w:trPr>
          <w:trHeight w:val="432"/>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19,008</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27,728</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32,659</w:t>
            </w:r>
          </w:p>
        </w:tc>
      </w:tr>
      <w:tr>
        <w:trPr>
          <w:trHeight w:val="21"/>
        </w:trPr>
        <w:tc>
          <w:tcPr>
            <w:tcW w:w="7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7240" w:type="dxa"/>
            <w:vAlign w:val="bottom"/>
          </w:tcPr>
          <w:p>
            <w:pPr>
              <w:spacing w:after="0"/>
              <w:rPr>
                <w:sz w:val="20"/>
                <w:szCs w:val="20"/>
                <w:color w:val="auto"/>
              </w:rPr>
            </w:pPr>
            <w:r>
              <w:rPr>
                <w:rFonts w:ascii="Arial" w:cs="Arial" w:eastAsia="Arial" w:hAnsi="Arial"/>
                <w:sz w:val="18"/>
                <w:szCs w:val="18"/>
                <w:color w:val="auto"/>
              </w:rPr>
              <w:t>e) The distribution of total assets by geographical area was as follows: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30"/>
        </w:trPr>
        <w:tc>
          <w:tcPr>
            <w:tcW w:w="7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7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Ireland</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w w:val="98"/>
              </w:rPr>
              <w:t>234,159</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319,528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 of Europe</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w w:val="98"/>
              </w:rPr>
              <w:t>165,624</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184,630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w w:val="98"/>
              </w:rPr>
              <w:t>442,351</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375,682</w:t>
            </w:r>
          </w:p>
        </w:tc>
      </w:tr>
      <w:tr>
        <w:trPr>
          <w:trHeight w:val="237"/>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25,151</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28,558</w:t>
            </w:r>
          </w:p>
        </w:tc>
      </w:tr>
      <w:tr>
        <w:trPr>
          <w:trHeight w:val="432"/>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867,285</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908,398</w:t>
            </w:r>
          </w:p>
        </w:tc>
      </w:tr>
      <w:tr>
        <w:trPr>
          <w:trHeight w:val="21"/>
        </w:trPr>
        <w:tc>
          <w:tcPr>
            <w:tcW w:w="7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7240" w:type="dxa"/>
            <w:vAlign w:val="bottom"/>
          </w:tcPr>
          <w:p>
            <w:pPr>
              <w:spacing w:after="0"/>
              <w:rPr>
                <w:sz w:val="20"/>
                <w:szCs w:val="20"/>
                <w:color w:val="auto"/>
              </w:rPr>
            </w:pPr>
            <w:r>
              <w:rPr>
                <w:rFonts w:ascii="Arial" w:cs="Arial" w:eastAsia="Arial" w:hAnsi="Arial"/>
                <w:sz w:val="18"/>
                <w:szCs w:val="18"/>
                <w:color w:val="auto"/>
              </w:rPr>
              <w:t>f) The distribution of capital expenditures by geographical area was as follows: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7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December</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December</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7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Ireland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46,765</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34,429</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11,988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 of Europe</w:t>
            </w: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8,346</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10,736</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3,444</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15,727</w:t>
            </w:r>
          </w:p>
        </w:tc>
        <w:tc>
          <w:tcPr>
            <w:tcW w:w="4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21,774</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14,730</w:t>
            </w:r>
          </w:p>
        </w:tc>
      </w:tr>
      <w:tr>
        <w:trPr>
          <w:trHeight w:val="237"/>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5,185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4,652</w:t>
            </w:r>
          </w:p>
        </w:tc>
      </w:tr>
      <w:tr>
        <w:trPr>
          <w:trHeight w:val="432"/>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75,650</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72,124</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34,814</w:t>
            </w:r>
          </w:p>
        </w:tc>
      </w:tr>
      <w:tr>
        <w:trPr>
          <w:trHeight w:val="21"/>
        </w:trPr>
        <w:tc>
          <w:tcPr>
            <w:tcW w:w="7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42"/>
        </w:trPr>
        <w:tc>
          <w:tcPr>
            <w:tcW w:w="7240" w:type="dxa"/>
            <w:vAlign w:val="bottom"/>
          </w:tcPr>
          <w:p>
            <w:pPr>
              <w:ind w:left="5620"/>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5"/>
        </w:trPr>
        <w:tc>
          <w:tcPr>
            <w:tcW w:w="7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55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g) The following table sets forth the clients which represented 10% or more of the Company’s net revenue in each of the periods set out below.</w:t>
      </w:r>
    </w:p>
    <w:p>
      <w:pPr>
        <w:spacing w:after="0" w:line="221"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both"/>
        <w:ind w:left="7820"/>
        <w:spacing w:after="0"/>
        <w:tabs>
          <w:tab w:leader="none" w:pos="9160" w:val="left"/>
          <w:tab w:leader="none" w:pos="10520" w:val="left"/>
        </w:tabs>
        <w:rPr>
          <w:sz w:val="20"/>
          <w:szCs w:val="20"/>
          <w:color w:val="auto"/>
        </w:rPr>
      </w:pP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6"/>
          <w:szCs w:val="16"/>
          <w:b w:val="1"/>
          <w:bCs w:val="1"/>
          <w:color w:val="auto"/>
        </w:rPr>
        <w:t>December</w:t>
      </w:r>
    </w:p>
    <w:p>
      <w:pPr>
        <w:spacing w:after="0" w:line="9" w:lineRule="exact"/>
        <w:rPr>
          <w:sz w:val="20"/>
          <w:szCs w:val="20"/>
          <w:color w:val="auto"/>
        </w:rPr>
      </w:pPr>
    </w:p>
    <w:p>
      <w:pPr>
        <w:jc w:val="both"/>
        <w:ind w:left="8240"/>
        <w:spacing w:after="0"/>
        <w:tabs>
          <w:tab w:leader="none" w:pos="9580" w:val="left"/>
          <w:tab w:leader="none" w:pos="10940" w:val="left"/>
        </w:tabs>
        <w:rPr>
          <w:sz w:val="20"/>
          <w:szCs w:val="20"/>
          <w:color w:val="auto"/>
        </w:rPr>
      </w:pP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b w:val="1"/>
          <w:bCs w:val="1"/>
          <w:color w:val="auto"/>
        </w:rPr>
        <w:t>2009</w:t>
      </w:r>
    </w:p>
    <w:p>
      <w:pPr>
        <w:spacing w:after="0" w:line="211" w:lineRule="exact"/>
        <w:rPr>
          <w:sz w:val="20"/>
          <w:szCs w:val="20"/>
          <w:color w:val="auto"/>
        </w:rPr>
      </w:pPr>
    </w:p>
    <w:p>
      <w:pPr>
        <w:spacing w:after="0"/>
        <w:tabs>
          <w:tab w:leader="none" w:pos="8480" w:val="left"/>
          <w:tab w:leader="none" w:pos="9860" w:val="left"/>
          <w:tab w:leader="none" w:pos="11200" w:val="left"/>
        </w:tabs>
        <w:rPr>
          <w:sz w:val="20"/>
          <w:szCs w:val="20"/>
          <w:color w:val="auto"/>
        </w:rPr>
      </w:pPr>
      <w:r>
        <w:rPr>
          <w:rFonts w:ascii="Arial" w:cs="Arial" w:eastAsia="Arial" w:hAnsi="Arial"/>
          <w:sz w:val="18"/>
          <w:szCs w:val="18"/>
          <w:color w:val="auto"/>
        </w:rPr>
        <w:t>Client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760" w:hanging="473"/>
        <w:spacing w:after="0"/>
        <w:tabs>
          <w:tab w:leader="none" w:pos="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Net revenue did not exceed 10%.</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of interest income by geographical area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5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5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Ireland</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 of Europe</w:t>
            </w: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2,819</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1,637</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w:t>
            </w: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1,232</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988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3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432"/>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4,141</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2,881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w:t>
            </w:r>
          </w:p>
        </w:tc>
      </w:tr>
      <w:tr>
        <w:trPr>
          <w:trHeight w:val="21"/>
        </w:trPr>
        <w:tc>
          <w:tcPr>
            <w:tcW w:w="5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5440" w:type="dxa"/>
            <w:vAlign w:val="bottom"/>
          </w:tcPr>
          <w:p>
            <w:pPr>
              <w:spacing w:after="0"/>
              <w:rPr>
                <w:sz w:val="20"/>
                <w:szCs w:val="20"/>
                <w:color w:val="auto"/>
              </w:rPr>
            </w:pPr>
            <w:r>
              <w:rPr>
                <w:rFonts w:ascii="Arial" w:cs="Arial" w:eastAsia="Arial" w:hAnsi="Arial"/>
                <w:sz w:val="18"/>
                <w:szCs w:val="18"/>
                <w:color w:val="auto"/>
                <w:w w:val="94"/>
              </w:rPr>
              <w:t>i) The distribution of the tax charge by geographical area was as follows:</w:t>
            </w: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5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5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5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20"/>
        </w:trPr>
        <w:tc>
          <w:tcPr>
            <w:tcW w:w="5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Ireland</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3,165</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7,078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 of Europe</w:t>
            </w: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4,512</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1,722</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4,202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w:t>
            </w: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6,755</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9,224</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7,820</w:t>
            </w:r>
          </w:p>
        </w:tc>
      </w:tr>
      <w:tr>
        <w:trPr>
          <w:trHeight w:val="23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1,398</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1,943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r>
      <w:tr>
        <w:trPr>
          <w:trHeight w:val="432"/>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15,830</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19,967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10,375</w:t>
            </w:r>
          </w:p>
        </w:tc>
      </w:tr>
      <w:tr>
        <w:trPr>
          <w:trHeight w:val="21"/>
        </w:trPr>
        <w:tc>
          <w:tcPr>
            <w:tcW w:w="5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5440" w:type="dxa"/>
            <w:vAlign w:val="bottom"/>
          </w:tcPr>
          <w:p>
            <w:pPr>
              <w:spacing w:after="0"/>
              <w:rPr>
                <w:sz w:val="20"/>
                <w:szCs w:val="20"/>
                <w:color w:val="auto"/>
              </w:rPr>
            </w:pPr>
            <w:r>
              <w:rPr>
                <w:rFonts w:ascii="Arial" w:cs="Arial" w:eastAsia="Arial" w:hAnsi="Arial"/>
                <w:sz w:val="18"/>
                <w:szCs w:val="18"/>
                <w:b w:val="1"/>
                <w:bCs w:val="1"/>
                <w:color w:val="auto"/>
              </w:rPr>
              <w:t>18. Supplemental Disclosure of Cash Flow Information</w:t>
            </w: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5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5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5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5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54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1,491</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4,963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3,642</w:t>
            </w:r>
          </w:p>
        </w:tc>
      </w:tr>
      <w:tr>
        <w:trPr>
          <w:trHeight w:val="223"/>
        </w:trPr>
        <w:tc>
          <w:tcPr>
            <w:tcW w:w="54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432"/>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for income taxes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13,632</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19,543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12,977</w:t>
            </w:r>
          </w:p>
        </w:tc>
      </w:tr>
      <w:tr>
        <w:trPr>
          <w:trHeight w:val="21"/>
        </w:trPr>
        <w:tc>
          <w:tcPr>
            <w:tcW w:w="5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42"/>
        </w:trPr>
        <w:tc>
          <w:tcPr>
            <w:tcW w:w="5440" w:type="dxa"/>
            <w:vAlign w:val="bottom"/>
          </w:tcPr>
          <w:p>
            <w:pPr>
              <w:spacing w:after="0"/>
              <w:rPr>
                <w:sz w:val="24"/>
                <w:szCs w:val="24"/>
                <w:color w:val="auto"/>
              </w:rPr>
            </w:pPr>
          </w:p>
        </w:tc>
        <w:tc>
          <w:tcPr>
            <w:tcW w:w="2340" w:type="dxa"/>
            <w:vAlign w:val="bottom"/>
          </w:tcPr>
          <w:p>
            <w:pPr>
              <w:jc w:val="right"/>
              <w:ind w:right="1890"/>
              <w:spacing w:after="0"/>
              <w:rPr>
                <w:sz w:val="20"/>
                <w:szCs w:val="20"/>
                <w:color w:val="auto"/>
              </w:rPr>
            </w:pPr>
            <w:r>
              <w:rPr>
                <w:rFonts w:ascii="Arial" w:cs="Arial" w:eastAsia="Arial" w:hAnsi="Arial"/>
                <w:sz w:val="18"/>
                <w:szCs w:val="18"/>
                <w:color w:val="auto"/>
              </w:rPr>
              <w:t>96</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5"/>
        </w:trPr>
        <w:tc>
          <w:tcPr>
            <w:tcW w:w="544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55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19. Impact of New Accounting Pronouncements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December 2009, the Financial Accounting Standards Board (“FASB”) issued Accounting Standards Update (“ASU”) No. 2009-16,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Transfers of Financial Assets </w:t>
      </w:r>
      <w:r>
        <w:rPr>
          <w:rFonts w:ascii="Arial" w:cs="Arial" w:eastAsia="Arial" w:hAnsi="Arial"/>
          <w:sz w:val="17"/>
          <w:szCs w:val="17"/>
          <w:color w:val="auto"/>
        </w:rPr>
        <w:t>(formerly FASB Statement No. 166). ASU 2009-16 eliminates the qualifying special purpose entity concept, creates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conditions for reporting a transfer of a portion of a financial asset as a sale, clarifies the derecognition criteria, revises how retained interests are initially measured, and removes the guaranteed mortgage securitization recharacterization provisions. ASU 2009-16 is effective as of the beginning of January 1, 2010. The Company does not expect the adoption of ASU 2009-16 to have a material impact on the financial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2009, the FASB issued ASU No. 2009-14 Software (Topic 985): </w:t>
      </w:r>
      <w:r>
        <w:rPr>
          <w:rFonts w:ascii="Arial" w:cs="Arial" w:eastAsia="Arial" w:hAnsi="Arial"/>
          <w:sz w:val="18"/>
          <w:szCs w:val="18"/>
          <w:i w:val="1"/>
          <w:iCs w:val="1"/>
          <w:color w:val="auto"/>
        </w:rPr>
        <w:t>Certain Revenue Arrangements That Include Software Elements</w:t>
      </w:r>
      <w:r>
        <w:rPr>
          <w:rFonts w:ascii="Arial" w:cs="Arial" w:eastAsia="Arial" w:hAnsi="Arial"/>
          <w:sz w:val="18"/>
          <w:szCs w:val="18"/>
          <w:color w:val="auto"/>
        </w:rPr>
        <w:t>, a consensus of the FASB Emerging Issues Task Force (“EITF”)” (formerly EITF 09-3). ASU 2009-14 revises FASB ASC 985-605 to drop from its scope all tangible products containing both software and non-software components that operate together to deliver the products’ functions. ASU 2009-14 is effective prospectively for revenue arrangements entered into or materially modified in fiscal years beginning on or after June 15, 2010. The C ompany does not expect the adoption of ASU 2009-14 to have a material impact on the financial statements.</w:t>
      </w: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2009, the FASB issued ASU No. 2009-13 Revenue Recognition (Topic 605):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xml:space="preserve"> – a consensus of the FASB Emerging Issues Task Force” (formerly EITF 08-1), which amends the revenue recognition guidance for arrangements with multiple deliverables. The amendments to FASB ASC 605-25 allow vendors to account for products and services separately rather than as a combined unit. ASU 2009-13 is effective prospectively for revenue arrangements entered into or materially modified in fiscal years beginning on or after June 15, 2010. The Company does not expect the adoption of ASU 2009-13 to have a material impact on the financial statements.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October 2008, the FASB issued FSP 157-3, </w:t>
      </w:r>
      <w:r>
        <w:rPr>
          <w:rFonts w:ascii="Arial" w:cs="Arial" w:eastAsia="Arial" w:hAnsi="Arial"/>
          <w:sz w:val="17"/>
          <w:szCs w:val="17"/>
          <w:i w:val="1"/>
          <w:iCs w:val="1"/>
          <w:color w:val="auto"/>
        </w:rPr>
        <w:t>Determining the Fair Value of a Financial Asset When the Market for That Asset Is Not Active</w:t>
      </w:r>
      <w:r>
        <w:rPr>
          <w:rFonts w:ascii="Arial" w:cs="Arial" w:eastAsia="Arial" w:hAnsi="Arial"/>
          <w:sz w:val="17"/>
          <w:szCs w:val="17"/>
          <w:color w:val="auto"/>
        </w:rPr>
        <w:t xml:space="preserve"> (FSP 157-3). FSP 157-3 clarifies the application of FASB ASC 820 – Fair Value Measurements and Disclosures in a market that is not active and addresses application issues such as the use of internal assumptions when relevant observable data does not exist, the use of observable information when the market is not active and the use of market quotes when assessing the relevance of observable and unobservable data. FSP 157-3 is effective for all periods presented in accordance with ASC 820. The adoption of FSP 157-3 did not have a material impact on the financial statements of the Company.</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April 2008, the FASB issued FSP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142-3). FSP 142-3 amends the factors an entity should consider in developing renewal or extension assumptions used in determining the useful life of recognized intangible assets under FASB ASC 350 </w:t>
      </w:r>
      <w:r>
        <w:rPr>
          <w:rFonts w:ascii="Arial" w:cs="Arial" w:eastAsia="Arial" w:hAnsi="Arial"/>
          <w:sz w:val="16"/>
          <w:szCs w:val="16"/>
          <w:i w:val="1"/>
          <w:iCs w:val="1"/>
          <w:color w:val="auto"/>
        </w:rPr>
        <w:t>Intangibles</w:t>
      </w:r>
    </w:p>
    <w:p>
      <w:pPr>
        <w:ind w:firstLine="8"/>
        <w:spacing w:after="0" w:line="290" w:lineRule="auto"/>
        <w:tabs>
          <w:tab w:leader="none" w:pos="127"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Goodwill and Other</w:t>
      </w:r>
      <w:r>
        <w:rPr>
          <w:rFonts w:ascii="Arial" w:cs="Arial" w:eastAsia="Arial" w:hAnsi="Arial"/>
          <w:sz w:val="17"/>
          <w:szCs w:val="17"/>
          <w:color w:val="auto"/>
        </w:rPr>
        <w:t>. FSP 142-3 applies prospectively to intangible assets that are acquired individually or with a group of other assets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or asset acquisition. The adoption of FSP 142-3 did not have a material impact on the financial statements of the Company.</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2007, the FASB issued 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and FASB Statement No. 160, </w:t>
      </w:r>
      <w:r>
        <w:rPr>
          <w:rFonts w:ascii="Arial" w:cs="Arial" w:eastAsia="Arial" w:hAnsi="Arial"/>
          <w:sz w:val="17"/>
          <w:szCs w:val="17"/>
          <w:i w:val="1"/>
          <w:iCs w:val="1"/>
          <w:color w:val="auto"/>
        </w:rPr>
        <w:t>Noncontrolling Interests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Consolidated Financial Statements– an amendment to ARB No. 51 </w:t>
      </w:r>
      <w:r>
        <w:rPr>
          <w:rFonts w:ascii="Arial" w:cs="Arial" w:eastAsia="Arial" w:hAnsi="Arial"/>
          <w:sz w:val="17"/>
          <w:szCs w:val="17"/>
          <w:color w:val="auto"/>
        </w:rPr>
        <w:t>(ASC Subtopic 810-10</w:t>
      </w:r>
      <w:r>
        <w:rPr>
          <w:rFonts w:ascii="Arial" w:cs="Arial" w:eastAsia="Arial" w:hAnsi="Arial"/>
          <w:sz w:val="17"/>
          <w:szCs w:val="17"/>
          <w:i w:val="1"/>
          <w:iCs w:val="1"/>
          <w:color w:val="auto"/>
        </w:rPr>
        <w:t xml:space="preserve"> Consolidation Overall</w:t>
      </w:r>
      <w:r>
        <w:rPr>
          <w:rFonts w:ascii="Arial" w:cs="Arial" w:eastAsia="Arial" w:hAnsi="Arial"/>
          <w:sz w:val="17"/>
          <w:szCs w:val="17"/>
          <w:color w:val="auto"/>
        </w:rPr>
        <w:t>). ASC 805 and ASC 810-10 require most</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identifiable assets, liabilities, noncontrolling interests, and goodwill acquired in a business combination to be recorded at “full fair value” and require noncontrolling interests (previously referred to as minority interests) to be repor ted as a component of equity, which changes the accounting for transactions with noncontrolling interest holders. Both Statements were effective for periods beginning on or after December 15, 2008, and earlier adoption was prohibited. The adoption of ASC 805 and ASC 810-10 have not had a material impact on the financial statements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20.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ending December 31, 2009</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31, 2009, Dr. John Climax retired as Chairman of the Board of the Company. From January 2010 he has held the position as an outside director of the Company. The Company has entered into a three year agreement with Dr. Climax for the provision of consultancy services at an agreed fee of €262,500 ($375,795) per annum. The consultancy agreement provides that the Company will provide during the term of the agreement permanent disability and life insurance cover for Dr. Climax and medical insurance cover for himself and his dependants.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Edward Roberts has served as Chairman of Merz GmbH since 2003. Merz is an independent German pharmaceutical company focused on the development of drugs for the treatment of illnesses in the fields of neurology and psychiatry. ICON Clinical Research Limited, a wholly owned subsidiary of ICON, has entered into a number of contracts with Merz, for the provision of consulting and clinical trial related activities. The total potential value of these contracts is $43.5 million. During the year ended December 31, 2009, ICON recognized a total of $9.8 million of revenue in relation to these activities. At December 31, 2009, $1.2 million was outstanding to be received from Merz GmbH.</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year ended December 31, 2009, Dr. Bruce Given served as Acting Chief Medical Officer of Sembiosys Genetics Inc. (“Sembiosys”). Sembiosys is a plant biotechnology company specializing in the production of high-value pharmaceutical and non-pharmaceutical products. During the year ending December 31, 2008, Sembiosys engaged ICON Development Solutions, a wholly owned subsidiary of ICON, in consulting and clinical trial related activities. The total potential value of this study was $0.8 million. During the year ending December 31, 2009, ICON recognized a total of $0.3 million of revenue in relation to these activities. There were no amounts outstanding as at December 31,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ending December 31, 2008</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at December 31, 2008, Amarin Investment Holding Limited (a company controlled by Mr. Thomas Lynch), and Sunninghill Limited (a company controlled by Dr. John Climax) held 1.1 million and 1.5 million shares respectively in Amarin. These respective holdings equated to approximately 3.97% and 5.42% respectively, of Amarin’s issued share capital. Thomas Lynch also served as Chairman of Amarin from 2000 to 2009 and Chief Executive Officer from 2007 to 2009.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 e of this study was $7 million. During the year ended December 31, 2008, the Company recognized $0.2 million of revenue relating to the Amarin contract. At December 31, 2008, $0.3 million was outstanding to be received from Amarin on this trial.</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at December 31, 2008, Dr. John Climax and Dr. Ronan Lambe held 3.05% and 2.94% respectively of the issued share capital of NuPathe Inc. (“NuPathe”). NuPathe is a specialty pharmaceutical company specializing in the acquisition and development of therapeutic products in the area of neuroscience. Prior to July 2008 Dr. Climax also served as a non-executive director and chairman of the compensation committee on the Board of NuPathe. During the year ending December 31, 2006, NuPathe engaged ICON Clinical Research Limited, a wholly owned subsidiary of ICON, in consulting and clinical trial related activities. During the year ended December 31, 2008, the Company recognized $0.1 million relating to the NuPathe contract. There were no amounts outstanding as at December 31, 2008.</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certifies that it meets all of the US requirements for filing on Form 20-F and has duly caused and authorized this annual report to be signed on its behalf.</w:t>
      </w:r>
    </w:p>
    <w:p>
      <w:pPr>
        <w:spacing w:after="0" w:line="16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ICON plc</w:t>
      </w:r>
    </w:p>
    <w:p>
      <w:pPr>
        <w:spacing w:after="0" w:line="229"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Date February 23, 2010</w:t>
      </w:r>
      <w:r>
        <w:rPr>
          <w:sz w:val="20"/>
          <w:szCs w:val="20"/>
          <w:color w:val="auto"/>
        </w:rPr>
        <w:tab/>
      </w:r>
      <w:r>
        <w:rPr>
          <w:rFonts w:ascii="Arial" w:cs="Arial" w:eastAsia="Arial" w:hAnsi="Arial"/>
          <w:sz w:val="16"/>
          <w:szCs w:val="16"/>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17411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10.1(b)</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10.1(c)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10.1(d)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br w:type="column"/>
      </w:r>
    </w:p>
    <w:p>
      <w:pPr>
        <w:ind w:left="294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Amended Memorandum and Articles of Association (incorporated by reference to Exhibits 3.1 and 3.2 to the Form 6-K (File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333-08704) filed on December 5, 2008).</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ICON plc Share Option Plan 2003, as updated on October 26, 2006, for the 2006 bonus issue, further updated on February 5, 2007 and updated on July 21, 2008, for the 2008 bonus issue (incorporated by reference to Exhibit 4.1 to the Form S-8 (File No. 333-152802) filed on August 6, 2008).</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ICON plc Consultants Share Option Plan 2008 (incorporated by reference to Exhibit 4.2 to the Form S-8 (File No. 333-152802) filed on August 6, 2008).</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ICON plc Employee Share Option Plan 2008 (incorporated by reference to Exhibit 4.3 to the Form S-8 (File No. 333-152802) filed on August 6, 2008).</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ICON plc Employees Restricted Share Unit Plan (incorporated by reference to Exhibit 4.4 to the Form S-8 (File No. 333-152802) filed on August 6, 2008).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Office Space Lease, dated September 25, 1998, between ICON Clinical Research, Inc. and O’Neill Lansdale Properties,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10.1(a) to the Form 20-F (File No. 333-08704) filed on March 1, 2009).</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Amended and Restated Office Space Lease, dated January 1, 2001, between ICON Clinical Research and 212 Church Associates, L.P. (incorporated by reference to Exhibit 10.1(b) to the Form 20-F (File No. 333-08704) filed on March 31, 2009).</w:t>
      </w:r>
    </w:p>
    <w:p>
      <w:pPr>
        <w:spacing w:after="0" w:line="12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Amendment Number 1 to the Amended and Restated Office Space Lease, between ICON Clinical Research, Inc. and 212 C Associates, L.P. (incorporated by reference to Exhibit 10.1(c) to the Form 20-F (File No. 333-08704) filed on March 31, 2009).</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Amendment Number 2 to the Amended and Restated Office Space Lease, dated January 11, 2005, between ICON Clinical Research, Inc. and 212 C Associates, L.P. (incorporated by reference to Exhibit 10.1(d) to the Form 20-F (File No. 333-08704) filed on March 31, 2009).</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Agreement of Lease, dated August 13, 2001, between ICON Clinical Research (UK) Limited, ICON plc and Capital Business Parks Globeside Limited (incorporated by reference to Exhibit 10.2 to the Form 20-F (File No. 333-08704) filed on March 31, 2009).</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Agreement of Lease, dated November 29, 2002, between ICON Laboratories, Inc. and MSM Reality Co. LLC, Davrick, LLC and Sholom Blau Co. LLC (together, the “Landlord”). (incorporated by reference to Exhibit 10.3 to the Form 20-F (File No. 333-08704) filed on March 31, 2009).</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Highwoods Properties Office Lease, dated February 17, 2003, between ICON Clinical Research, Inc. and Highwoods Realty Limited Partnership (incorporated by reference to Exhibit 10.4 to the Form 20-F (File No. 333-08704) filed on March 31,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302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906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(incorporated by reference to Item 4 of Form 20-F filed herewith).</w:t>
      </w:r>
    </w:p>
    <w:p>
      <w:pPr>
        <w:spacing w:after="0" w:line="200" w:lineRule="exact"/>
        <w:rPr>
          <w:sz w:val="20"/>
          <w:szCs w:val="20"/>
          <w:color w:val="auto"/>
        </w:rPr>
      </w:pPr>
    </w:p>
    <w:p>
      <w:pPr>
        <w:spacing w:after="0" w:line="24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74930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160" w:space="720"/>
            <w:col w:w="9520"/>
          </w:cols>
          <w:pgMar w:left="240" w:top="553" w:right="259" w:bottom="1440" w:gutter="0" w:footer="0" w:header="0"/>
        </w:sectPr>
      </w:pPr>
    </w:p>
    <w:bookmarkStart w:id="105" w:name="page106"/>
    <w:bookmarkEnd w:id="105"/>
    <w:p>
      <w:pPr>
        <w:ind w:left="272"/>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72"/>
        <w:spacing w:after="0"/>
        <w:tabs>
          <w:tab w:leader="none" w:pos="2132"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Title</w:t>
      </w:r>
    </w:p>
    <w:p>
      <w:pPr>
        <w:spacing w:after="0" w:line="211" w:lineRule="exact"/>
        <w:rPr>
          <w:sz w:val="20"/>
          <w:szCs w:val="20"/>
          <w:color w:val="auto"/>
        </w:rPr>
      </w:pPr>
    </w:p>
    <w:p>
      <w:pPr>
        <w:ind w:left="252"/>
        <w:spacing w:after="0"/>
        <w:tabs>
          <w:tab w:leader="none" w:pos="185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Independent Registered Public Accounting Firm</w:t>
      </w:r>
    </w:p>
    <w:p>
      <w:pPr>
        <w:spacing w:after="0" w:line="225" w:lineRule="exact"/>
        <w:rPr>
          <w:sz w:val="20"/>
          <w:szCs w:val="20"/>
          <w:color w:val="auto"/>
        </w:rPr>
      </w:pPr>
    </w:p>
    <w:p>
      <w:pPr>
        <w:ind w:left="592" w:hanging="592"/>
        <w:spacing w:after="0"/>
        <w:tabs>
          <w:tab w:leader="none" w:pos="5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211"/>
          </w:cols>
          <w:pgMar w:left="248" w:top="557"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Gray,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260" w:firstLine="4"/>
        <w:spacing w:after="0" w:line="264" w:lineRule="auto"/>
        <w:tabs>
          <w:tab w:leader="none" w:pos="9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firstLine="4"/>
        <w:spacing w:after="0" w:line="264" w:lineRule="auto"/>
        <w:tabs>
          <w:tab w:leader="none" w:pos="9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60" w:right="760" w:firstLine="4"/>
        <w:spacing w:after="0" w:line="342" w:lineRule="auto"/>
        <w:tabs>
          <w:tab w:leader="none" w:pos="945"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right="360" w:firstLine="4"/>
        <w:spacing w:after="0" w:line="342" w:lineRule="auto"/>
        <w:tabs>
          <w:tab w:leader="none" w:pos="955"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23" w:lineRule="exact"/>
        <w:rPr>
          <w:rFonts w:ascii="Arial" w:cs="Arial" w:eastAsia="Arial" w:hAnsi="Arial"/>
          <w:sz w:val="16"/>
          <w:szCs w:val="16"/>
          <w:color w:val="auto"/>
        </w:rPr>
      </w:pPr>
    </w:p>
    <w:p>
      <w:pPr>
        <w:ind w:right="64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6649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66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25"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25"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240" w:firstLine="4"/>
        <w:spacing w:after="0" w:line="264" w:lineRule="auto"/>
        <w:tabs>
          <w:tab w:leader="none" w:pos="9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20" w:firstLine="4"/>
        <w:spacing w:after="0" w:line="264" w:lineRule="auto"/>
        <w:tabs>
          <w:tab w:leader="none" w:pos="9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60" w:right="740" w:firstLine="4"/>
        <w:spacing w:after="0" w:line="342" w:lineRule="auto"/>
        <w:tabs>
          <w:tab w:leader="none" w:pos="94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right="340" w:firstLine="4"/>
        <w:spacing w:after="0" w:line="342" w:lineRule="auto"/>
        <w:tabs>
          <w:tab w:leader="none" w:pos="955"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23" w:lineRule="exact"/>
        <w:rPr>
          <w:rFonts w:ascii="Arial" w:cs="Arial" w:eastAsia="Arial" w:hAnsi="Arial"/>
          <w:sz w:val="16"/>
          <w:szCs w:val="16"/>
          <w:color w:val="auto"/>
        </w:rPr>
      </w:pPr>
    </w:p>
    <w:p>
      <w:pPr>
        <w:ind w:right="620" w:firstLine="8"/>
        <w:spacing w:after="0" w:line="308"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60" w:firstLine="8"/>
        <w:spacing w:after="0" w:line="277" w:lineRule="auto"/>
        <w:tabs>
          <w:tab w:leader="none" w:pos="1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350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337" w:right="259" w:bottom="1440" w:gutter="0" w:footer="0" w:header="0"/>
        </w:sectPr>
      </w:pPr>
    </w:p>
    <w:bookmarkStart w:id="108" w:name="page109"/>
    <w:bookmarkEnd w:id="108"/>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2009, as filed with the Securities and Exchange Commission on the date hereof (the “Report”), I, Peter Gray, Chief Executive Officer of the Company, certify, pursuant to 18 U.S.C. § 1350, as adopted pursuant to §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265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2009, as filed with the Securities and Exchange Commission on the date hereof (the “Report”), I, Ciaran Murray, Chief Financial Officer of the Company, certify, pursuant to 18 U.S.C. § 1350, as adopted pursuant to §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265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229" w:right="239" w:bottom="1440" w:gutter="0" w:footer="0" w:header="0"/>
        </w:sectPr>
      </w:pPr>
    </w:p>
    <w:bookmarkStart w:id="109" w:name="page110"/>
    <w:bookmarkEnd w:id="109"/>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(No. 333-152802) of ICON plc of our reports dated February 23, 2010, with respect to the consolidated balance sheets of ICON plc as of December 31, 2009 and 2008 and the related consolidated statements of operations, shareholders’ equity and comprehensive income, and cash flows for each of the years in the three-year period ended December 31, 2009, and the effectiveness of internal control over financial reporting as of December 31, 2009, which report appears in the December 31, 2009 Annual Report on Form 20-F of ICON plc.</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Our report on the consolidated financial statements refers to the Company’s adoption of FASB Interpretation No. 48, </w:t>
      </w:r>
      <w:r>
        <w:rPr>
          <w:rFonts w:ascii="Arial" w:cs="Arial" w:eastAsia="Arial" w:hAnsi="Arial"/>
          <w:sz w:val="18"/>
          <w:szCs w:val="18"/>
          <w:i w:val="1"/>
          <w:iCs w:val="1"/>
          <w:color w:val="auto"/>
        </w:rPr>
        <w:t>Accounting for Uncertain Income Taxes</w:t>
      </w:r>
      <w:r>
        <w:rPr>
          <w:rFonts w:ascii="Arial" w:cs="Arial" w:eastAsia="Arial" w:hAnsi="Arial"/>
          <w:sz w:val="18"/>
          <w:szCs w:val="18"/>
          <w:color w:val="auto"/>
        </w:rPr>
        <w:t xml:space="preserve">, (included in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of January 1,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2010</w:t>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o"/>
      <w:numFmt w:val="bullet"/>
      <w:start w:val="1"/>
    </w:lvl>
  </w:abstractNum>
  <w:abstractNum w:abstractNumId="1">
    <w:nsid w:val="2CA88611"/>
    <w:multiLevelType w:val="hybridMultilevel"/>
    <w:lvl w:ilvl="0">
      <w:lvlJc w:val="left"/>
      <w:lvlText w:val="x"/>
      <w:numFmt w:val="bullet"/>
      <w:start w:val="1"/>
    </w:lvl>
  </w:abstractNum>
  <w:abstractNum w:abstractNumId="2">
    <w:nsid w:val="836C40E"/>
    <w:multiLevelType w:val="hybridMultilevel"/>
    <w:lvl w:ilvl="0">
      <w:lvlJc w:val="left"/>
      <w:lvlText w:val="o"/>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o"/>
      <w:numFmt w:val="bullet"/>
      <w:start w:val="1"/>
    </w:lvl>
  </w:abstractNum>
  <w:abstractNum w:abstractNumId="8">
    <w:nsid w:val="737B8DDC"/>
    <w:multiLevelType w:val="hybridMultilevel"/>
    <w:lvl w:ilvl="0">
      <w:lvlJc w:val="left"/>
      <w:lvlText w:val="o"/>
      <w:numFmt w:val="bullet"/>
      <w:start w:val="1"/>
    </w:lvl>
  </w:abstractNum>
  <w:abstractNum w:abstractNumId="9">
    <w:nsid w:val="6CEAF087"/>
    <w:multiLevelType w:val="hybridMultilevel"/>
    <w:lvl w:ilvl="0">
      <w:lvlJc w:val="left"/>
      <w:lvlText w:val="o"/>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2"/>
    </w:lvl>
  </w:abstractNum>
  <w:abstractNum w:abstractNumId="25">
    <w:nsid w:val="2D517796"/>
    <w:multiLevelType w:val="hybridMultilevel"/>
    <w:lvl w:ilvl="0">
      <w:lvlJc w:val="left"/>
      <w:lvlText w:val="(%1)"/>
      <w:numFmt w:val="lowerLetter"/>
      <w:start w:val="3"/>
    </w:lvl>
  </w:abstractNum>
  <w:abstractNum w:abstractNumId="26">
    <w:nsid w:val="580BD78F"/>
    <w:multiLevelType w:val="hybridMultilevel"/>
    <w:lvl w:ilvl="0">
      <w:lvlJc w:val="left"/>
      <w:lvlText w:val="(%1)"/>
      <w:numFmt w:val="lowerLetter"/>
      <w:start w:val="4"/>
    </w:lvl>
  </w:abstractNum>
  <w:abstractNum w:abstractNumId="27">
    <w:nsid w:val="153EA438"/>
    <w:multiLevelType w:val="hybridMultilevel"/>
    <w:lvl w:ilvl="0">
      <w:lvlJc w:val="left"/>
      <w:lvlText w:val="(%1)"/>
      <w:numFmt w:val="lowerLetter"/>
      <w:start w:val="5"/>
    </w:lvl>
  </w:abstractNum>
  <w:abstractNum w:abstractNumId="28">
    <w:nsid w:val="3855585C"/>
    <w:multiLevelType w:val="hybridMultilevel"/>
    <w:lvl w:ilvl="0">
      <w:lvlJc w:val="left"/>
      <w:lvlText w:val="(%1)"/>
      <w:numFmt w:val="lowerLetter"/>
      <w:start w:val="6"/>
    </w:lvl>
  </w:abstractNum>
  <w:abstractNum w:abstractNumId="29">
    <w:nsid w:val="70A64E2A"/>
    <w:multiLevelType w:val="hybridMultilevel"/>
    <w:lvl w:ilvl="0">
      <w:lvlJc w:val="left"/>
      <w:lvlText w:val="(%1)"/>
      <w:numFmt w:val="lowerLetter"/>
      <w:start w:val="7"/>
    </w:lvl>
  </w:abstractNum>
  <w:abstractNum w:abstractNumId="30">
    <w:nsid w:val="6A2342EC"/>
    <w:multiLevelType w:val="hybridMultilevel"/>
    <w:lvl w:ilvl="0">
      <w:lvlJc w:val="left"/>
      <w:lvlText w:val="(%1)"/>
      <w:numFmt w:val="lowerLetter"/>
      <w:start w:val="8"/>
    </w:lvl>
  </w:abstractNum>
  <w:abstractNum w:abstractNumId="31">
    <w:nsid w:val="2A487CB0"/>
    <w:multiLevelType w:val="hybridMultilevel"/>
    <w:lvl w:ilvl="0">
      <w:lvlJc w:val="left"/>
      <w:lvlText w:val="(%1)"/>
      <w:numFmt w:val="lowerRoman"/>
      <w:start w:val="1"/>
    </w:lvl>
  </w:abstractNum>
  <w:abstractNum w:abstractNumId="32">
    <w:nsid w:val="1D4ED43B"/>
    <w:multiLevelType w:val="hybridMultilevel"/>
    <w:lvl w:ilvl="0">
      <w:lvlJc w:val="left"/>
      <w:lvlText w:val="(%1)"/>
      <w:numFmt w:val="lowerLetter"/>
      <w:start w:val="10"/>
    </w:lvl>
  </w:abstractNum>
  <w:abstractNum w:abstractNumId="33">
    <w:nsid w:val="725A06FB"/>
    <w:multiLevelType w:val="hybridMultilevel"/>
    <w:lvl w:ilvl="0">
      <w:lvlJc w:val="left"/>
      <w:lvlText w:val="(%1)"/>
      <w:numFmt w:val="lowerLetter"/>
      <w:start w:val="11"/>
    </w:lvl>
  </w:abstractNum>
  <w:abstractNum w:abstractNumId="34">
    <w:nsid w:val="2CD89A32"/>
    <w:multiLevelType w:val="hybridMultilevel"/>
    <w:lvl w:ilvl="0">
      <w:lvlJc w:val="left"/>
      <w:lvlText w:val="(%1)"/>
      <w:numFmt w:val="lowerLetter"/>
      <w:start w:val="12"/>
    </w:lvl>
  </w:abstractNum>
  <w:abstractNum w:abstractNumId="35">
    <w:nsid w:val="57E4CCAF"/>
    <w:multiLevelType w:val="hybridMultilevel"/>
    <w:lvl w:ilvl="0">
      <w:lvlJc w:val="left"/>
      <w:lvlText w:val="(%1)"/>
      <w:numFmt w:val="lowerLetter"/>
      <w:start w:val="13"/>
    </w:lvl>
  </w:abstractNum>
  <w:abstractNum w:abstractNumId="36">
    <w:nsid w:val="7A6D8D3C"/>
    <w:multiLevelType w:val="hybridMultilevel"/>
    <w:lvl w:ilvl="0">
      <w:lvlJc w:val="left"/>
      <w:lvlText w:val="(%1)"/>
      <w:numFmt w:val="lowerLetter"/>
      <w:start w:val="14"/>
    </w:lvl>
  </w:abstractNum>
  <w:abstractNum w:abstractNumId="37">
    <w:nsid w:val="4B588F54"/>
    <w:multiLevelType w:val="hybridMultilevel"/>
    <w:lvl w:ilvl="0">
      <w:lvlJc w:val="left"/>
      <w:lvlText w:val="(%1)"/>
      <w:numFmt w:val="lowerLetter"/>
      <w:start w:val="15"/>
    </w:lvl>
  </w:abstractNum>
  <w:abstractNum w:abstractNumId="38">
    <w:nsid w:val="542289EC"/>
    <w:multiLevelType w:val="hybridMultilevel"/>
    <w:lvl w:ilvl="0">
      <w:lvlJc w:val="left"/>
      <w:lvlText w:val="(%1)"/>
      <w:numFmt w:val="lowerLetter"/>
      <w:start w:val="16"/>
    </w:lvl>
  </w:abstractNum>
  <w:abstractNum w:abstractNumId="39">
    <w:nsid w:val="6DE91B18"/>
    <w:multiLevelType w:val="hybridMultilevel"/>
    <w:lvl w:ilvl="0">
      <w:lvlJc w:val="left"/>
      <w:lvlText w:val="(%1)"/>
      <w:numFmt w:val="lowerLetter"/>
      <w:start w:val="17"/>
    </w:lvl>
  </w:abstractNum>
  <w:abstractNum w:abstractNumId="40">
    <w:nsid w:val="38437FDB"/>
    <w:multiLevelType w:val="hybridMultilevel"/>
    <w:lvl w:ilvl="0">
      <w:lvlJc w:val="left"/>
      <w:lvlText w:val="(%1)"/>
      <w:numFmt w:val="lowerLetter"/>
      <w:start w:val="18"/>
    </w:lvl>
  </w:abstractNum>
  <w:abstractNum w:abstractNumId="41">
    <w:nsid w:val="7644A45C"/>
    <w:multiLevelType w:val="hybridMultilevel"/>
    <w:lvl w:ilvl="0">
      <w:lvlJc w:val="left"/>
      <w:lvlText w:val="(%1)"/>
      <w:numFmt w:val="lowerLetter"/>
      <w:start w:val="19"/>
    </w:lvl>
  </w:abstractNum>
  <w:abstractNum w:abstractNumId="42">
    <w:nsid w:val="32FFF902"/>
    <w:multiLevelType w:val="hybridMultilevel"/>
    <w:lvl w:ilvl="0">
      <w:lvlJc w:val="left"/>
      <w:lvlText w:val="(%1)"/>
      <w:numFmt w:val="lowerLetter"/>
      <w:start w:val="20"/>
    </w:lvl>
  </w:abstractNum>
  <w:abstractNum w:abstractNumId="43">
    <w:nsid w:val="684A481A"/>
    <w:multiLevelType w:val="hybridMultilevel"/>
    <w:lvl w:ilvl="0">
      <w:lvlJc w:val="left"/>
      <w:lvlText w:val="(%1)"/>
      <w:numFmt w:val="lowerRoman"/>
      <w:start w:val="5"/>
    </w:lvl>
  </w:abstractNum>
  <w:abstractNum w:abstractNumId="44">
    <w:nsid w:val="579478FE"/>
    <w:multiLevelType w:val="hybridMultilevel"/>
    <w:lvl w:ilvl="0">
      <w:lvlJc w:val="left"/>
      <w:lvlText w:val="(%1)"/>
      <w:numFmt w:val="lowerLetter"/>
      <w:start w:val="23"/>
    </w:lvl>
  </w:abstractNum>
  <w:abstractNum w:abstractNumId="45">
    <w:nsid w:val="749ABB43"/>
    <w:multiLevelType w:val="hybridMultilevel"/>
    <w:lvl w:ilvl="0">
      <w:lvlJc w:val="left"/>
      <w:lvlText w:val="%1)"/>
      <w:numFmt w:val="lowerLetter"/>
      <w:start w:val="7"/>
    </w:lvl>
    <w:lvl w:ilvl="1">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2019-12-10T16:36:23Z</dcterms:created>
  <dcterms:modified xsi:type="dcterms:W3CDTF">2019-12-10T16:36:23Z</dcterms:modified>
</cp:coreProperties>
</file>