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No._6_)</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ICON plc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G4705A100</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9/30/2017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19" w:firstLine="8"/>
        <w:spacing w:after="0" w:line="473"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G4705A100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EARNEST Partners, LLC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4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4"/>
              </w:rPr>
              <w:t>1,849,175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VOTING POWER</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13,860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SOLE DISPOSITIVE POWER  2,627,524</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60" w:type="dxa"/>
            <w:vAlign w:val="bottom"/>
          </w:tcPr>
          <w:p>
            <w:pPr>
              <w:spacing w:after="0"/>
              <w:rPr>
                <w:sz w:val="17"/>
                <w:szCs w:val="17"/>
                <w:color w:val="auto"/>
              </w:rPr>
            </w:pPr>
          </w:p>
        </w:tc>
      </w:tr>
    </w:tbl>
    <w:p>
      <w:pPr>
        <w:ind w:left="2000" w:hanging="517"/>
        <w:spacing w:after="0" w:line="238" w:lineRule="auto"/>
        <w:tabs>
          <w:tab w:leader="none" w:pos="20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  AGGREGATE AMOUNT BENEFICIALLY OWNED BY EACH REPORTING PERSON  2,627,524</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right="261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  4.9%</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 (SEE INSTRUCTIONS)</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ICON plc</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South County Business Park, Leopardstown, Dublin, 18, Ireland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2939" w:hanging="531"/>
        <w:spacing w:after="0" w:line="290"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G4705A100</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13d-1(b) or 13d-2(b) or (c), check whether the person filing is a:</w:t>
      </w:r>
    </w:p>
    <w:p>
      <w:pPr>
        <w:spacing w:after="0" w:line="203" w:lineRule="exact"/>
        <w:rPr>
          <w:sz w:val="20"/>
          <w:szCs w:val="20"/>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9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31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9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1051"/>
        <w:spacing w:after="0" w:line="236"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2,627,524</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4.9%</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1,849,175</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13,860</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2,627,524</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EARNEST Partners, LLC is filing as an investment adviser in accordance with</w:t>
      </w:r>
    </w:p>
    <w:p>
      <w:pPr>
        <w:sectPr>
          <w:pgSz w:w="11900" w:h="16838" w:orient="portrait"/>
          <w:cols w:equalWidth="0" w:num="1">
            <w:col w:w="10219"/>
          </w:cols>
          <w:pgMar w:left="240" w:top="541" w:right="1440" w:bottom="0" w:gutter="0" w:footer="0" w:header="0"/>
        </w:sectPr>
      </w:pPr>
    </w:p>
    <w:bookmarkStart w:id="2" w:name="page3"/>
    <w:bookmarkEnd w:id="2"/>
    <w:p>
      <w:pPr>
        <w:ind w:right="2099"/>
        <w:spacing w:after="0" w:line="235" w:lineRule="auto"/>
        <w:rPr>
          <w:sz w:val="20"/>
          <w:szCs w:val="20"/>
          <w:color w:val="auto"/>
        </w:rPr>
      </w:pPr>
      <w:r>
        <w:rPr>
          <w:rFonts w:ascii="Courier New" w:cs="Courier New" w:eastAsia="Courier New" w:hAnsi="Courier New"/>
          <w:sz w:val="18"/>
          <w:szCs w:val="18"/>
          <w:color w:val="auto"/>
        </w:rPr>
        <w:t>240.13d-1(b)(1)(ii)(E). No client interest relates to more than five percent of the class.</w:t>
      </w:r>
    </w:p>
    <w:p>
      <w:pPr>
        <w:spacing w:after="0" w:line="208"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firstLine="535"/>
        <w:spacing w:after="0" w:line="235"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2319" w:firstLine="535"/>
        <w:spacing w:after="0" w:line="235"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October 10, 2017</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8"/>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lvl w:ilvl="1">
      <w:lvlJc w:val="left"/>
      <w:lvlText w:val="(%2)"/>
      <w:numFmt w:val="lowerRoman"/>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2019-12-06T09:45:48Z</dcterms:created>
  <dcterms:modified xsi:type="dcterms:W3CDTF">2019-12-06T09:45:48Z</dcterms:modified>
</cp:coreProperties>
</file>