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For the month ended April,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April 22, 2020 - ICON Reports First Quarter 2020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Date: April 22, 2020</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First Quarter 2020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business wins in the quarter of $867 million; a book to bill of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closing backlog of $8.7 billion, an increase of 10.4%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right="560"/>
        <w:spacing w:after="0" w:line="256" w:lineRule="auto"/>
        <w:rPr>
          <w:sz w:val="20"/>
          <w:szCs w:val="20"/>
          <w:color w:val="auto"/>
        </w:rPr>
      </w:pPr>
      <w:r>
        <w:rPr>
          <w:rFonts w:ascii="Arial" w:cs="Arial" w:eastAsia="Arial" w:hAnsi="Arial"/>
          <w:sz w:val="22"/>
          <w:szCs w:val="22"/>
          <w:b w:val="1"/>
          <w:bCs w:val="1"/>
          <w:color w:val="auto"/>
        </w:rPr>
        <w:t>Quarter 1 reported revenue of $715.1 million representing a 6.0% year on year increase or 6.5%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Adjusted earnings per share attributable to the Group for the quarter of $1.70, an increase of 4.3% over Quarter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$175.0 million worth of stock repurchased at an average price of $141.68.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COVID-19 expected to negatively impact operational and financial performance during FY20.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right="300"/>
        <w:spacing w:after="0" w:line="256" w:lineRule="auto"/>
        <w:rPr>
          <w:sz w:val="20"/>
          <w:szCs w:val="20"/>
          <w:color w:val="auto"/>
        </w:rPr>
      </w:pPr>
      <w:r>
        <w:rPr>
          <w:rFonts w:ascii="Arial" w:cs="Arial" w:eastAsia="Arial" w:hAnsi="Arial"/>
          <w:sz w:val="22"/>
          <w:szCs w:val="22"/>
          <w:b w:val="1"/>
          <w:bCs w:val="1"/>
          <w:color w:val="auto"/>
        </w:rPr>
        <w:t>FY20 financial guidance withdrawn due to the level of current uncertainty. Further details regarding ICON’s Q2 financial outlook will be provided on its first quarter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Cost containment plan being actively implemented across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Strong balance sheet and liquidity position remains with net cash of $134.4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1"/>
          <w:szCs w:val="21"/>
          <w:color w:val="auto"/>
        </w:rPr>
        <w:t>DUBLIN--(BUSINESS WIRE)--April 22, 2020--</w:t>
      </w:r>
      <w:r>
        <w:rPr>
          <w:rFonts w:ascii="Arial" w:cs="Arial" w:eastAsia="Arial" w:hAnsi="Arial"/>
          <w:sz w:val="21"/>
          <w:szCs w:val="21"/>
          <w:b w:val="1"/>
          <w:bCs w:val="1"/>
          <w:color w:val="auto"/>
        </w:rPr>
        <w:t>ICONplc (NASDAQ: ICLR),</w:t>
      </w:r>
      <w:r>
        <w:rPr>
          <w:rFonts w:ascii="Arial" w:cs="Arial" w:eastAsia="Arial" w:hAnsi="Arial"/>
          <w:sz w:val="21"/>
          <w:szCs w:val="21"/>
          <w:color w:val="auto"/>
        </w:rPr>
        <w:t xml:space="preserve"> a global provider of outsourced drug and device development and commercialisation services to pharmaceutical, biotechnology, medical device and government and public health organisations, today reported its financial results for the first quarter ended March 31, 2020.</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“Despite the operational challenges presented by COVID -19 during Quarter 1 I’m very</w:t>
      </w:r>
      <w:r>
        <w:rPr>
          <w:rFonts w:ascii="Arial" w:cs="Arial" w:eastAsia="Arial" w:hAnsi="Arial"/>
          <w:sz w:val="19"/>
          <w:szCs w:val="19"/>
          <w:color w:val="auto"/>
        </w:rPr>
        <w:t xml:space="preserve"> </w:t>
      </w:r>
      <w:r>
        <w:rPr>
          <w:rFonts w:ascii="Arial" w:cs="Arial" w:eastAsia="Arial" w:hAnsi="Arial"/>
          <w:sz w:val="19"/>
          <w:szCs w:val="19"/>
          <w:i w:val="1"/>
          <w:iCs w:val="1"/>
          <w:color w:val="auto"/>
        </w:rPr>
        <w:t>pleased with our achievements and ICON’s solid start to 2020. We achieved a net book to bill of 1.21, increased revenue on a constant currency basis by 6.5% year on year, grew earnings per share by 4.3% and completed the repurchase of over 1.2 million shares during the quarter. In addition in early April we announced the renewal of our strategic agreement with our top customer, demonstrating our industry leading capabilities and expertise under our partnership model.</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i w:val="1"/>
          <w:iCs w:val="1"/>
          <w:color w:val="auto"/>
        </w:rPr>
        <w:t>Since March we have seen the escalation of COVID-19 into a true global pandemic impacting our operations. Accordingly, we are withdrawing our FY20 financial guidance due to the current level of uncertainty. While all efforts are being made to mitigate the impact, the welfare and safety of ICON’s employees, customers and patients remains the Company’s highest priority.”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2020 Results</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Gross business wins in the first quarter were $1.03 billion and cancellations were $160 million. This resulted in net business wins of $867 million and a book to bill of 1.21.</w:t>
      </w:r>
    </w:p>
    <w:p>
      <w:pPr>
        <w:spacing w:after="0" w:line="175"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Reported revenue for Quarter 1 was $715.1 million. This represents a year on year increase of 6.0% or 6.5% on a constant currency basis.</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Reported income from operations in the quarter was $106.3 million or 14.9% of revenue compared to $101.9 million or 15.1% of revenue for Quarter 1 2019. This represents a year on year increase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20"/>
        <w:spacing w:after="0" w:line="274" w:lineRule="auto"/>
        <w:rPr>
          <w:sz w:val="20"/>
          <w:szCs w:val="20"/>
          <w:color w:val="auto"/>
        </w:rPr>
      </w:pPr>
      <w:r>
        <w:rPr>
          <w:rFonts w:ascii="Arial" w:cs="Arial" w:eastAsia="Arial" w:hAnsi="Arial"/>
          <w:sz w:val="21"/>
          <w:szCs w:val="21"/>
          <w:color w:val="auto"/>
        </w:rPr>
        <w:t>Reported net income attributable to the Group for the quarter was $91.7 million or 12.8% of revenue compared with $88.3 million or 13.1% of revenue in Quarter 1 2019. This represents year on year growth of 3.8%.</w:t>
      </w:r>
    </w:p>
    <w:p>
      <w:pPr>
        <w:spacing w:after="0" w:line="151"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Adjusted earnings per share attributable to the Group on a diluted basis was $1.70, compared to $1.63 per share for Quarter 1 2019. This represents a year on year increase of 4.3%. GAAP earnings per share attributable to the Group on a diluted basis was $1.62, compared to $1.63 per share for Quarter 1 2019. This represents a year on year decrease of 0.8%.</w:t>
      </w:r>
    </w:p>
    <w:p>
      <w:pPr>
        <w:spacing w:after="0" w:line="13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On a comparative basis, non-GAAP days sales outstanding were 55 days at March 31, 2020, compared with 54 days at the end of December 2019 and 59 Days at the end of March 2019.</w:t>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Cash generated from operating activities for the quarter was $142.8 million. During the quarter, the Group made a payment in respect of the MedPass International acquisition of $36.8 million (net of cash acquired), capital expenditure was $11.3 million and $175.0 million worth of stock was repurchased at an average price of $141.68. As a result, at March 31, 2020, the Group had net cash of $134.4 million, compared to net cash of $220.3 million at December 31, 2019 and net cash of $128.6 million at the end of March 2019.</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 Update</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ICON has been closely monitoring and assessing the rapidly evolving COVID-19 situation. The welfare and safety of ICON’s employees, customers and patients remains the Company’s highest priority. ICON is taking guidance from global health authorities, such as World Health Organisation (WHO) and Centers for Disease Control and Prevention (CDC), as well as regional health authorities and governments to ensure that ICON protects the safety and welfare of our employees and abides by government directives in various jurisdictions.</w:t>
      </w:r>
    </w:p>
    <w:p>
      <w:pPr>
        <w:spacing w:after="0" w:line="18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Starting with our Chinese operations in February we have since experienced the growing impact of COVID-19 on our global business. This is particularly prevalent in our clinical business with approximately 65% of our global sites impacted in some way by the pandemic. Furthermore, we are seeing Site ID &amp; enrollment delays due to site closures and movement restrictions on patients. We are proactively reviewing and agreeing to alternative approaches with customers on a study-by-study basis, including remote and risk based monitoring and ‘at home’ services delivered through our Symphony Clinical Research group. In addition, since mid-March, we are seeing conditions gradually improving in China with sites re-opening and monitoring activities recommencing.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Containment Plan</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As the situation is unprecedented and rapidly evolving, it is not possible to accurately predict the impact on our business beyond the short term. To protect our business we are actively working through a number of measures we can take during this period. These initiatives include the following: temporary senior leadership and employee salary reductions, a recruitment freeze in certain business units, reducing contractor costs and the reduction of non-labour variable expenditure. Measures will continue to adapt as the situation evolves.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12" w:lineRule="exact"/>
        <w:rPr>
          <w:sz w:val="20"/>
          <w:szCs w:val="20"/>
          <w:color w:val="auto"/>
        </w:rPr>
      </w:pPr>
    </w:p>
    <w:p>
      <w:pPr>
        <w:ind w:right="600"/>
        <w:spacing w:after="0" w:line="283" w:lineRule="auto"/>
        <w:rPr>
          <w:sz w:val="20"/>
          <w:szCs w:val="20"/>
          <w:color w:val="auto"/>
        </w:rPr>
      </w:pPr>
      <w:r>
        <w:rPr>
          <w:rFonts w:ascii="Arial" w:cs="Arial" w:eastAsia="Arial" w:hAnsi="Arial"/>
          <w:sz w:val="20"/>
          <w:szCs w:val="20"/>
          <w:color w:val="auto"/>
        </w:rPr>
        <w:t>ICON is well positioned given its current financial profile and maintains an industry leading balance sheet, has robust cash generation and good access to liquidity. As of 31</w:t>
      </w:r>
      <w:r>
        <w:rPr>
          <w:rFonts w:ascii="Arial" w:cs="Arial" w:eastAsia="Arial" w:hAnsi="Arial"/>
          <w:sz w:val="32"/>
          <w:szCs w:val="32"/>
          <w:color w:val="auto"/>
          <w:vertAlign w:val="superscript"/>
        </w:rPr>
        <w:t>st</w:t>
      </w:r>
      <w:r>
        <w:rPr>
          <w:rFonts w:ascii="Arial" w:cs="Arial" w:eastAsia="Arial" w:hAnsi="Arial"/>
          <w:sz w:val="20"/>
          <w:szCs w:val="20"/>
          <w:color w:val="auto"/>
        </w:rPr>
        <w:t xml:space="preserve"> March 2020, ICON has a net cash position of $134.4 million.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22"/>
          <w:szCs w:val="22"/>
          <w:color w:val="auto"/>
        </w:rPr>
        <w:t>Given the current uncertainty presented by the COVID-19 pandemic, ICON is withdrawing its financial guidance for FY20, which was announced in January 2020. Further details regarding ICON’s Q2 financial outlook will be provided on its first quarter conference call tomorrow, April 23</w:t>
      </w:r>
      <w:r>
        <w:rPr>
          <w:rFonts w:ascii="Arial" w:cs="Arial" w:eastAsia="Arial" w:hAnsi="Arial"/>
          <w:sz w:val="35"/>
          <w:szCs w:val="35"/>
          <w:color w:val="auto"/>
          <w:vertAlign w:val="superscript"/>
        </w:rPr>
        <w:t>rd</w:t>
      </w:r>
      <w:r>
        <w:rPr>
          <w:rFonts w:ascii="Arial" w:cs="Arial" w:eastAsia="Arial" w:hAnsi="Arial"/>
          <w:sz w:val="22"/>
          <w:szCs w:val="22"/>
          <w:color w:val="auto"/>
        </w:rPr>
        <w:t>, 2020 at 9:00 EDT [14:00 Ireland &amp;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Adjusted earnings per share attributable to the Group (Non-GAAP) has been computed by dividing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23 May 2019 and has a right to acquire the remaining share in the company during 2020. The vendors also have a right to sell the remaining shares exclusively to ICON during 2020.</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ICON will hold its first quarter conference call tomorrow, April 23</w:t>
      </w:r>
      <w:r>
        <w:rPr>
          <w:rFonts w:ascii="Arial" w:cs="Arial" w:eastAsia="Arial" w:hAnsi="Arial"/>
          <w:sz w:val="32"/>
          <w:szCs w:val="32"/>
          <w:color w:val="auto"/>
          <w:vertAlign w:val="superscript"/>
        </w:rPr>
        <w:t>rd</w:t>
      </w:r>
      <w:r>
        <w:rPr>
          <w:rFonts w:ascii="Arial" w:cs="Arial" w:eastAsia="Arial" w:hAnsi="Arial"/>
          <w:sz w:val="20"/>
          <w:szCs w:val="20"/>
          <w:color w:val="auto"/>
        </w:rPr>
        <w:t>, 2020 at 9:00 EDT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15,100 employees in 98 locations in 40 countries as at March 31, 2020. Further information is available at www.iconplc.com.</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(Non-GAAP)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Months ended March 31, 2020 and March 31, 2019</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12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22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March</w:t>
            </w:r>
          </w:p>
        </w:tc>
        <w:tc>
          <w:tcPr>
            <w:tcW w:w="30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w:t>
            </w:r>
          </w:p>
        </w:tc>
      </w:tr>
      <w:tr>
        <w:trPr>
          <w:trHeight w:val="243"/>
        </w:trPr>
        <w:tc>
          <w:tcPr>
            <w:tcW w:w="22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31, 2020</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31, 2019</w:t>
            </w:r>
          </w:p>
        </w:tc>
        <w:tc>
          <w:tcPr>
            <w:tcW w:w="2180" w:type="dxa"/>
            <w:vAlign w:val="bottom"/>
          </w:tcPr>
          <w:p>
            <w:pPr>
              <w:spacing w:after="0"/>
              <w:rPr>
                <w:sz w:val="21"/>
                <w:szCs w:val="21"/>
                <w:color w:val="auto"/>
              </w:rPr>
            </w:pPr>
          </w:p>
        </w:tc>
      </w:tr>
      <w:tr>
        <w:trPr>
          <w:trHeight w:val="243"/>
        </w:trPr>
        <w:tc>
          <w:tcPr>
            <w:tcW w:w="22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89"/>
              </w:rPr>
              <w:t>715,102</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674,852</w:t>
            </w:r>
          </w:p>
        </w:tc>
        <w:tc>
          <w:tcPr>
            <w:tcW w:w="2180" w:type="dxa"/>
            <w:vAlign w:val="bottom"/>
          </w:tcPr>
          <w:p>
            <w:pPr>
              <w:spacing w:after="0"/>
              <w:rPr>
                <w:sz w:val="21"/>
                <w:szCs w:val="21"/>
                <w:color w:val="auto"/>
              </w:rPr>
            </w:pPr>
          </w:p>
        </w:tc>
      </w:tr>
      <w:tr>
        <w:trPr>
          <w:trHeight w:val="486"/>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43"/>
        </w:trPr>
        <w:tc>
          <w:tcPr>
            <w:tcW w:w="22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Direct costs</w:t>
            </w: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90"/>
              </w:rPr>
              <w:t>(505,293)</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(475,497)</w:t>
            </w:r>
          </w:p>
        </w:tc>
        <w:tc>
          <w:tcPr>
            <w:tcW w:w="2180" w:type="dxa"/>
            <w:vAlign w:val="bottom"/>
          </w:tcPr>
          <w:p>
            <w:pPr>
              <w:spacing w:after="0"/>
              <w:rPr>
                <w:sz w:val="21"/>
                <w:szCs w:val="21"/>
                <w:color w:val="auto"/>
              </w:rPr>
            </w:pPr>
          </w:p>
        </w:tc>
      </w:tr>
      <w:tr>
        <w:trPr>
          <w:trHeight w:val="243"/>
        </w:trPr>
        <w:tc>
          <w:tcPr>
            <w:tcW w:w="220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92"/>
              </w:rPr>
              <w:t>(87,196)</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(81,912)</w:t>
            </w:r>
          </w:p>
        </w:tc>
        <w:tc>
          <w:tcPr>
            <w:tcW w:w="2180" w:type="dxa"/>
            <w:vAlign w:val="bottom"/>
          </w:tcPr>
          <w:p>
            <w:pPr>
              <w:spacing w:after="0"/>
              <w:rPr>
                <w:sz w:val="21"/>
                <w:szCs w:val="21"/>
                <w:color w:val="auto"/>
              </w:rPr>
            </w:pPr>
          </w:p>
        </w:tc>
      </w:tr>
      <w:tr>
        <w:trPr>
          <w:trHeight w:val="250"/>
        </w:trPr>
        <w:tc>
          <w:tcPr>
            <w:tcW w:w="2200" w:type="dxa"/>
            <w:vAlign w:val="bottom"/>
          </w:tcPr>
          <w:p>
            <w:pPr>
              <w:spacing w:after="0"/>
              <w:rPr>
                <w:sz w:val="21"/>
                <w:szCs w:val="21"/>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2"/>
              </w:rPr>
              <w:t>(16,322)</w:t>
            </w:r>
          </w:p>
        </w:tc>
        <w:tc>
          <w:tcPr>
            <w:tcW w:w="16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(15,497)</w:t>
            </w:r>
          </w:p>
        </w:tc>
        <w:tc>
          <w:tcPr>
            <w:tcW w:w="2180" w:type="dxa"/>
            <w:vAlign w:val="bottom"/>
          </w:tcPr>
          <w:p>
            <w:pPr>
              <w:spacing w:after="0"/>
              <w:rPr>
                <w:sz w:val="21"/>
                <w:szCs w:val="21"/>
                <w:color w:val="auto"/>
              </w:rPr>
            </w:pPr>
          </w:p>
        </w:tc>
      </w:tr>
      <w:tr>
        <w:trPr>
          <w:trHeight w:val="479"/>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(608,811)</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(572,906)</w:t>
            </w:r>
          </w:p>
        </w:tc>
        <w:tc>
          <w:tcPr>
            <w:tcW w:w="2180" w:type="dxa"/>
            <w:vAlign w:val="bottom"/>
          </w:tcPr>
          <w:p>
            <w:pPr>
              <w:spacing w:after="0"/>
              <w:rPr>
                <w:sz w:val="24"/>
                <w:szCs w:val="24"/>
                <w:color w:val="auto"/>
              </w:rPr>
            </w:pPr>
          </w:p>
        </w:tc>
      </w:tr>
      <w:tr>
        <w:trPr>
          <w:trHeight w:val="473"/>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89"/>
              </w:rPr>
              <w:t>106,291</w:t>
            </w: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101,946</w:t>
            </w:r>
          </w:p>
        </w:tc>
        <w:tc>
          <w:tcPr>
            <w:tcW w:w="2180" w:type="dxa"/>
            <w:vAlign w:val="bottom"/>
          </w:tcPr>
          <w:p>
            <w:pPr>
              <w:spacing w:after="0"/>
              <w:rPr>
                <w:sz w:val="24"/>
                <w:szCs w:val="24"/>
                <w:color w:val="auto"/>
              </w:rPr>
            </w:pPr>
          </w:p>
        </w:tc>
      </w:tr>
      <w:tr>
        <w:trPr>
          <w:trHeight w:val="493"/>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(1,372)</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(1,609)</w:t>
            </w:r>
          </w:p>
        </w:tc>
        <w:tc>
          <w:tcPr>
            <w:tcW w:w="2180" w:type="dxa"/>
            <w:vAlign w:val="bottom"/>
          </w:tcPr>
          <w:p>
            <w:pPr>
              <w:spacing w:after="0"/>
              <w:rPr>
                <w:sz w:val="24"/>
                <w:szCs w:val="24"/>
                <w:color w:val="auto"/>
              </w:rPr>
            </w:pPr>
          </w:p>
        </w:tc>
      </w:tr>
      <w:tr>
        <w:trPr>
          <w:trHeight w:val="473"/>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89"/>
              </w:rPr>
              <w:t>104,919</w:t>
            </w: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100,337</w:t>
            </w:r>
          </w:p>
        </w:tc>
        <w:tc>
          <w:tcPr>
            <w:tcW w:w="2180" w:type="dxa"/>
            <w:vAlign w:val="bottom"/>
          </w:tcPr>
          <w:p>
            <w:pPr>
              <w:spacing w:after="0"/>
              <w:rPr>
                <w:sz w:val="24"/>
                <w:szCs w:val="24"/>
                <w:color w:val="auto"/>
              </w:rPr>
            </w:pPr>
          </w:p>
        </w:tc>
      </w:tr>
      <w:tr>
        <w:trPr>
          <w:trHeight w:val="493"/>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2"/>
              </w:rPr>
              <w:t>(12,590)</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(12,040)</w:t>
            </w:r>
          </w:p>
        </w:tc>
        <w:tc>
          <w:tcPr>
            <w:tcW w:w="2180" w:type="dxa"/>
            <w:vAlign w:val="bottom"/>
          </w:tcPr>
          <w:p>
            <w:pPr>
              <w:spacing w:after="0"/>
              <w:rPr>
                <w:sz w:val="24"/>
                <w:szCs w:val="24"/>
                <w:color w:val="auto"/>
              </w:rPr>
            </w:pPr>
          </w:p>
        </w:tc>
      </w:tr>
      <w:tr>
        <w:trPr>
          <w:trHeight w:val="473"/>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90"/>
              </w:rPr>
              <w:t>92,329</w:t>
            </w: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88,297</w:t>
            </w:r>
          </w:p>
        </w:tc>
        <w:tc>
          <w:tcPr>
            <w:tcW w:w="2180" w:type="dxa"/>
            <w:vAlign w:val="bottom"/>
          </w:tcPr>
          <w:p>
            <w:pPr>
              <w:spacing w:after="0"/>
              <w:rPr>
                <w:sz w:val="24"/>
                <w:szCs w:val="24"/>
                <w:color w:val="auto"/>
              </w:rPr>
            </w:pPr>
          </w:p>
        </w:tc>
      </w:tr>
      <w:tr>
        <w:trPr>
          <w:trHeight w:val="493"/>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(633)</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24"/>
                <w:szCs w:val="24"/>
                <w:color w:val="auto"/>
              </w:rPr>
            </w:pPr>
          </w:p>
        </w:tc>
      </w:tr>
      <w:tr>
        <w:trPr>
          <w:trHeight w:val="480"/>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91,696</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88,297</w:t>
            </w:r>
          </w:p>
        </w:tc>
        <w:tc>
          <w:tcPr>
            <w:tcW w:w="2180" w:type="dxa"/>
            <w:vAlign w:val="bottom"/>
          </w:tcPr>
          <w:p>
            <w:pPr>
              <w:spacing w:after="0"/>
              <w:rPr>
                <w:sz w:val="24"/>
                <w:szCs w:val="24"/>
                <w:color w:val="auto"/>
              </w:rPr>
            </w:pPr>
          </w:p>
        </w:tc>
      </w:tr>
      <w:tr>
        <w:trPr>
          <w:trHeight w:val="473"/>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3"/>
              </w:rPr>
              <w:t>Adjusted net income per Ordinary Share attributable to the Group:</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3"/>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basic (non-GAAP)</w:t>
            </w: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$1.72</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$1.64</w:t>
            </w:r>
          </w:p>
        </w:tc>
        <w:tc>
          <w:tcPr>
            <w:tcW w:w="2180" w:type="dxa"/>
            <w:vAlign w:val="bottom"/>
          </w:tcPr>
          <w:p>
            <w:pPr>
              <w:spacing w:after="0"/>
              <w:rPr>
                <w:sz w:val="24"/>
                <w:szCs w:val="24"/>
                <w:color w:val="auto"/>
              </w:rPr>
            </w:pPr>
          </w:p>
        </w:tc>
      </w:tr>
      <w:tr>
        <w:trPr>
          <w:trHeight w:val="480"/>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(non-GAAP)</w:t>
            </w: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$1.70</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$1.63</w:t>
            </w:r>
          </w:p>
        </w:tc>
        <w:tc>
          <w:tcPr>
            <w:tcW w:w="2180" w:type="dxa"/>
            <w:vAlign w:val="bottom"/>
          </w:tcPr>
          <w:p>
            <w:pPr>
              <w:spacing w:after="0"/>
              <w:rPr>
                <w:sz w:val="24"/>
                <w:szCs w:val="24"/>
                <w:color w:val="auto"/>
              </w:rPr>
            </w:pPr>
          </w:p>
        </w:tc>
      </w:tr>
      <w:tr>
        <w:trPr>
          <w:trHeight w:val="473"/>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3"/>
        </w:trPr>
        <w:tc>
          <w:tcPr>
            <w:tcW w:w="22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53,348,355</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53,845,407</w:t>
            </w:r>
          </w:p>
        </w:tc>
        <w:tc>
          <w:tcPr>
            <w:tcW w:w="2180" w:type="dxa"/>
            <w:vAlign w:val="bottom"/>
          </w:tcPr>
          <w:p>
            <w:pPr>
              <w:spacing w:after="0"/>
              <w:rPr>
                <w:sz w:val="24"/>
                <w:szCs w:val="24"/>
                <w:color w:val="auto"/>
              </w:rPr>
            </w:pPr>
          </w:p>
        </w:tc>
      </w:tr>
      <w:tr>
        <w:trPr>
          <w:trHeight w:val="479"/>
        </w:trPr>
        <w:tc>
          <w:tcPr>
            <w:tcW w:w="22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8"/>
              </w:rPr>
              <w:t>53,905,022</w:t>
            </w:r>
          </w:p>
        </w:tc>
        <w:tc>
          <w:tcPr>
            <w:tcW w:w="160" w:type="dxa"/>
            <w:vAlign w:val="bottom"/>
          </w:tcPr>
          <w:p>
            <w:pPr>
              <w:spacing w:after="0"/>
              <w:rPr>
                <w:sz w:val="24"/>
                <w:szCs w:val="24"/>
                <w:color w:val="auto"/>
              </w:rPr>
            </w:pPr>
          </w:p>
        </w:tc>
        <w:tc>
          <w:tcPr>
            <w:tcW w:w="3000" w:type="dxa"/>
            <w:vAlign w:val="bottom"/>
            <w:gridSpan w:val="2"/>
          </w:tcPr>
          <w:p>
            <w:pPr>
              <w:jc w:val="center"/>
              <w:ind w:right="2180"/>
              <w:spacing w:after="0"/>
              <w:rPr>
                <w:sz w:val="20"/>
                <w:szCs w:val="20"/>
                <w:color w:val="auto"/>
              </w:rPr>
            </w:pPr>
            <w:r>
              <w:rPr>
                <w:rFonts w:ascii="Arial" w:cs="Arial" w:eastAsia="Arial" w:hAnsi="Arial"/>
                <w:sz w:val="18"/>
                <w:szCs w:val="18"/>
                <w:color w:val="auto"/>
                <w:w w:val="90"/>
              </w:rPr>
              <w:t>54,142,510</w:t>
            </w:r>
          </w:p>
        </w:tc>
      </w:tr>
      <w:tr>
        <w:trPr>
          <w:trHeight w:val="912"/>
        </w:trPr>
        <w:tc>
          <w:tcPr>
            <w:tcW w:w="2200" w:type="dxa"/>
            <w:vAlign w:val="bottom"/>
            <w:tcBorders>
              <w:bottom w:val="single" w:sz="8" w:color="auto"/>
            </w:tcBorders>
          </w:tcPr>
          <w:p>
            <w:pPr>
              <w:spacing w:after="0"/>
              <w:rPr>
                <w:sz w:val="24"/>
                <w:szCs w:val="24"/>
                <w:color w:val="auto"/>
              </w:rPr>
            </w:pPr>
          </w:p>
        </w:tc>
        <w:tc>
          <w:tcPr>
            <w:tcW w:w="49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(US 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Months ended March 31, 2020 and March 31, 2019</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94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Three Months Ended</w:t>
            </w:r>
          </w:p>
        </w:tc>
        <w:tc>
          <w:tcPr>
            <w:tcW w:w="2460" w:type="dxa"/>
            <w:vAlign w:val="bottom"/>
          </w:tcPr>
          <w:p>
            <w:pPr>
              <w:spacing w:after="0"/>
              <w:rPr>
                <w:sz w:val="20"/>
                <w:szCs w:val="20"/>
                <w:color w:val="auto"/>
              </w:rPr>
            </w:pPr>
          </w:p>
        </w:tc>
      </w:tr>
      <w:tr>
        <w:trPr>
          <w:trHeight w:val="243"/>
        </w:trPr>
        <w:tc>
          <w:tcPr>
            <w:tcW w:w="24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8"/>
                <w:szCs w:val="18"/>
                <w:b w:val="1"/>
                <w:bCs w:val="1"/>
                <w:color w:val="auto"/>
              </w:rPr>
              <w:t>March</w:t>
            </w:r>
          </w:p>
        </w:tc>
        <w:tc>
          <w:tcPr>
            <w:tcW w:w="160" w:type="dxa"/>
            <w:vAlign w:val="bottom"/>
          </w:tcPr>
          <w:p>
            <w:pPr>
              <w:spacing w:after="0"/>
              <w:rPr>
                <w:sz w:val="21"/>
                <w:szCs w:val="21"/>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March</w:t>
            </w:r>
          </w:p>
        </w:tc>
        <w:tc>
          <w:tcPr>
            <w:tcW w:w="24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31, 2020</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31, 2019</w:t>
            </w:r>
          </w:p>
        </w:tc>
        <w:tc>
          <w:tcPr>
            <w:tcW w:w="24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2"/>
              </w:rPr>
              <w:t>715,102</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674,852</w:t>
            </w:r>
          </w:p>
        </w:tc>
        <w:tc>
          <w:tcPr>
            <w:tcW w:w="2460" w:type="dxa"/>
            <w:vAlign w:val="bottom"/>
          </w:tcPr>
          <w:p>
            <w:pPr>
              <w:spacing w:after="0"/>
              <w:rPr>
                <w:sz w:val="21"/>
                <w:szCs w:val="21"/>
                <w:color w:val="auto"/>
              </w:rPr>
            </w:pPr>
          </w:p>
        </w:tc>
      </w:tr>
      <w:tr>
        <w:trPr>
          <w:trHeight w:val="486"/>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43"/>
        </w:trPr>
        <w:tc>
          <w:tcPr>
            <w:tcW w:w="24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 costs</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3"/>
              </w:rPr>
              <w:t>(505,293)</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(475,497)</w:t>
            </w:r>
          </w:p>
        </w:tc>
        <w:tc>
          <w:tcPr>
            <w:tcW w:w="24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9"/>
              </w:rPr>
              <w:t>(87,196)</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(81,912)</w:t>
            </w:r>
          </w:p>
        </w:tc>
        <w:tc>
          <w:tcPr>
            <w:tcW w:w="2460" w:type="dxa"/>
            <w:vAlign w:val="bottom"/>
          </w:tcPr>
          <w:p>
            <w:pPr>
              <w:spacing w:after="0"/>
              <w:rPr>
                <w:sz w:val="21"/>
                <w:szCs w:val="21"/>
                <w:color w:val="auto"/>
              </w:rPr>
            </w:pPr>
          </w:p>
        </w:tc>
      </w:tr>
      <w:tr>
        <w:trPr>
          <w:trHeight w:val="250"/>
        </w:trPr>
        <w:tc>
          <w:tcPr>
            <w:tcW w:w="2480" w:type="dxa"/>
            <w:vAlign w:val="bottom"/>
          </w:tcPr>
          <w:p>
            <w:pPr>
              <w:spacing w:after="0"/>
              <w:rPr>
                <w:sz w:val="21"/>
                <w:szCs w:val="21"/>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(16,322)</w:t>
            </w:r>
          </w:p>
        </w:tc>
        <w:tc>
          <w:tcPr>
            <w:tcW w:w="16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(15,497)</w:t>
            </w:r>
          </w:p>
        </w:tc>
        <w:tc>
          <w:tcPr>
            <w:tcW w:w="2460" w:type="dxa"/>
            <w:vAlign w:val="bottom"/>
          </w:tcPr>
          <w:p>
            <w:pPr>
              <w:spacing w:after="0"/>
              <w:rPr>
                <w:sz w:val="21"/>
                <w:szCs w:val="21"/>
                <w:color w:val="auto"/>
              </w:rPr>
            </w:pPr>
          </w:p>
        </w:tc>
      </w:tr>
      <w:tr>
        <w:trPr>
          <w:trHeight w:val="479"/>
        </w:trPr>
        <w:tc>
          <w:tcPr>
            <w:tcW w:w="248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(608,811)</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(572,906)</w:t>
            </w:r>
          </w:p>
        </w:tc>
        <w:tc>
          <w:tcPr>
            <w:tcW w:w="2460" w:type="dxa"/>
            <w:vAlign w:val="bottom"/>
          </w:tcPr>
          <w:p>
            <w:pPr>
              <w:spacing w:after="0"/>
              <w:rPr>
                <w:sz w:val="24"/>
                <w:szCs w:val="24"/>
                <w:color w:val="auto"/>
              </w:rPr>
            </w:pPr>
          </w:p>
        </w:tc>
      </w:tr>
      <w:tr>
        <w:trPr>
          <w:trHeight w:val="473"/>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2"/>
              </w:rPr>
              <w:t>106,291</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101,946</w:t>
            </w:r>
          </w:p>
        </w:tc>
        <w:tc>
          <w:tcPr>
            <w:tcW w:w="2460" w:type="dxa"/>
            <w:vAlign w:val="bottom"/>
          </w:tcPr>
          <w:p>
            <w:pPr>
              <w:spacing w:after="0"/>
              <w:rPr>
                <w:sz w:val="24"/>
                <w:szCs w:val="24"/>
                <w:color w:val="auto"/>
              </w:rPr>
            </w:pPr>
          </w:p>
        </w:tc>
      </w:tr>
      <w:tr>
        <w:trPr>
          <w:trHeight w:val="493"/>
        </w:trPr>
        <w:tc>
          <w:tcPr>
            <w:tcW w:w="248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(1,372)</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(1,609)</w:t>
            </w:r>
          </w:p>
        </w:tc>
        <w:tc>
          <w:tcPr>
            <w:tcW w:w="2460" w:type="dxa"/>
            <w:vAlign w:val="bottom"/>
          </w:tcPr>
          <w:p>
            <w:pPr>
              <w:spacing w:after="0"/>
              <w:rPr>
                <w:sz w:val="24"/>
                <w:szCs w:val="24"/>
                <w:color w:val="auto"/>
              </w:rPr>
            </w:pPr>
          </w:p>
        </w:tc>
      </w:tr>
      <w:tr>
        <w:trPr>
          <w:trHeight w:val="473"/>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2"/>
              </w:rPr>
              <w:t>104,919</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100,337</w:t>
            </w:r>
          </w:p>
        </w:tc>
        <w:tc>
          <w:tcPr>
            <w:tcW w:w="2460" w:type="dxa"/>
            <w:vAlign w:val="bottom"/>
          </w:tcPr>
          <w:p>
            <w:pPr>
              <w:spacing w:after="0"/>
              <w:rPr>
                <w:sz w:val="24"/>
                <w:szCs w:val="24"/>
                <w:color w:val="auto"/>
              </w:rPr>
            </w:pPr>
          </w:p>
        </w:tc>
      </w:tr>
      <w:tr>
        <w:trPr>
          <w:trHeight w:val="493"/>
        </w:trPr>
        <w:tc>
          <w:tcPr>
            <w:tcW w:w="248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(12,590)</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(12,040)</w:t>
            </w:r>
          </w:p>
        </w:tc>
        <w:tc>
          <w:tcPr>
            <w:tcW w:w="2460" w:type="dxa"/>
            <w:vAlign w:val="bottom"/>
          </w:tcPr>
          <w:p>
            <w:pPr>
              <w:spacing w:after="0"/>
              <w:rPr>
                <w:sz w:val="24"/>
                <w:szCs w:val="24"/>
                <w:color w:val="auto"/>
              </w:rPr>
            </w:pPr>
          </w:p>
        </w:tc>
      </w:tr>
      <w:tr>
        <w:trPr>
          <w:trHeight w:val="473"/>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7"/>
              </w:rPr>
              <w:t>92,329</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88,297</w:t>
            </w:r>
          </w:p>
        </w:tc>
        <w:tc>
          <w:tcPr>
            <w:tcW w:w="2460" w:type="dxa"/>
            <w:vAlign w:val="bottom"/>
          </w:tcPr>
          <w:p>
            <w:pPr>
              <w:spacing w:after="0"/>
              <w:rPr>
                <w:sz w:val="24"/>
                <w:szCs w:val="24"/>
                <w:color w:val="auto"/>
              </w:rPr>
            </w:pPr>
          </w:p>
        </w:tc>
      </w:tr>
      <w:tr>
        <w:trPr>
          <w:trHeight w:val="493"/>
        </w:trPr>
        <w:tc>
          <w:tcPr>
            <w:tcW w:w="248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5"/>
              </w:rPr>
              <w:t>(633)</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60" w:type="dxa"/>
            <w:vAlign w:val="bottom"/>
          </w:tcPr>
          <w:p>
            <w:pPr>
              <w:spacing w:after="0"/>
              <w:rPr>
                <w:sz w:val="24"/>
                <w:szCs w:val="24"/>
                <w:color w:val="auto"/>
              </w:rPr>
            </w:pPr>
          </w:p>
        </w:tc>
      </w:tr>
      <w:tr>
        <w:trPr>
          <w:trHeight w:val="480"/>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7"/>
              </w:rPr>
              <w:t>91,696</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88,297</w:t>
            </w:r>
          </w:p>
        </w:tc>
        <w:tc>
          <w:tcPr>
            <w:tcW w:w="2460" w:type="dxa"/>
            <w:vAlign w:val="bottom"/>
          </w:tcPr>
          <w:p>
            <w:pPr>
              <w:spacing w:after="0"/>
              <w:rPr>
                <w:sz w:val="24"/>
                <w:szCs w:val="24"/>
                <w:color w:val="auto"/>
              </w:rPr>
            </w:pPr>
          </w:p>
        </w:tc>
      </w:tr>
      <w:tr>
        <w:trPr>
          <w:trHeight w:val="473"/>
        </w:trPr>
        <w:tc>
          <w:tcPr>
            <w:tcW w:w="2480" w:type="dxa"/>
            <w:vAlign w:val="bottom"/>
          </w:tcPr>
          <w:p>
            <w:pPr>
              <w:spacing w:after="0"/>
              <w:rPr>
                <w:sz w:val="24"/>
                <w:szCs w:val="24"/>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Net income per Ordinary Share attributable to the Group:</w:t>
            </w: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93"/>
        </w:trPr>
        <w:tc>
          <w:tcPr>
            <w:tcW w:w="248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$1.63</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$1.64</w:t>
            </w:r>
          </w:p>
        </w:tc>
        <w:tc>
          <w:tcPr>
            <w:tcW w:w="2460" w:type="dxa"/>
            <w:vAlign w:val="bottom"/>
          </w:tcPr>
          <w:p>
            <w:pPr>
              <w:spacing w:after="0"/>
              <w:rPr>
                <w:sz w:val="24"/>
                <w:szCs w:val="24"/>
                <w:color w:val="auto"/>
              </w:rPr>
            </w:pPr>
          </w:p>
        </w:tc>
      </w:tr>
      <w:tr>
        <w:trPr>
          <w:trHeight w:val="480"/>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Diluted</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8"/>
              </w:rPr>
              <w:t>$1.62</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$1.63</w:t>
            </w:r>
          </w:p>
        </w:tc>
        <w:tc>
          <w:tcPr>
            <w:tcW w:w="2460" w:type="dxa"/>
            <w:vAlign w:val="bottom"/>
          </w:tcPr>
          <w:p>
            <w:pPr>
              <w:spacing w:after="0"/>
              <w:rPr>
                <w:sz w:val="24"/>
                <w:szCs w:val="24"/>
                <w:color w:val="auto"/>
              </w:rPr>
            </w:pPr>
          </w:p>
        </w:tc>
      </w:tr>
      <w:tr>
        <w:trPr>
          <w:trHeight w:val="473"/>
        </w:trPr>
        <w:tc>
          <w:tcPr>
            <w:tcW w:w="2480" w:type="dxa"/>
            <w:vAlign w:val="bottom"/>
          </w:tcPr>
          <w:p>
            <w:pPr>
              <w:spacing w:after="0"/>
              <w:rPr>
                <w:sz w:val="24"/>
                <w:szCs w:val="24"/>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Weighted average number of Ordinary Shares outstanding:</w:t>
            </w: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93"/>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Basic</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8"/>
              </w:rPr>
              <w:t>53,348,355</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53,845,407</w:t>
            </w:r>
          </w:p>
        </w:tc>
        <w:tc>
          <w:tcPr>
            <w:tcW w:w="2460" w:type="dxa"/>
            <w:vAlign w:val="bottom"/>
          </w:tcPr>
          <w:p>
            <w:pPr>
              <w:spacing w:after="0"/>
              <w:rPr>
                <w:sz w:val="24"/>
                <w:szCs w:val="24"/>
                <w:color w:val="auto"/>
              </w:rPr>
            </w:pPr>
          </w:p>
        </w:tc>
      </w:tr>
      <w:tr>
        <w:trPr>
          <w:trHeight w:val="20"/>
        </w:trPr>
        <w:tc>
          <w:tcPr>
            <w:tcW w:w="248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79"/>
        </w:trPr>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Diluted</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8"/>
              </w:rPr>
              <w:t>53,905,022</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54,142,510</w:t>
            </w:r>
          </w:p>
        </w:tc>
        <w:tc>
          <w:tcPr>
            <w:tcW w:w="2460" w:type="dxa"/>
            <w:vAlign w:val="bottom"/>
          </w:tcPr>
          <w:p>
            <w:pPr>
              <w:spacing w:after="0"/>
              <w:rPr>
                <w:sz w:val="24"/>
                <w:szCs w:val="24"/>
                <w:color w:val="auto"/>
              </w:rPr>
            </w:pPr>
          </w:p>
        </w:tc>
      </w:tr>
      <w:tr>
        <w:trPr>
          <w:trHeight w:val="426"/>
        </w:trPr>
        <w:tc>
          <w:tcPr>
            <w:tcW w:w="2480" w:type="dxa"/>
            <w:vAlign w:val="bottom"/>
            <w:tcBorders>
              <w:bottom w:val="single" w:sz="8" w:color="auto"/>
            </w:tcBorders>
          </w:tcPr>
          <w:p>
            <w:pPr>
              <w:spacing w:after="0"/>
              <w:rPr>
                <w:sz w:val="24"/>
                <w:szCs w:val="24"/>
                <w:color w:val="auto"/>
              </w:rPr>
            </w:pPr>
          </w:p>
        </w:tc>
        <w:tc>
          <w:tcPr>
            <w:tcW w:w="43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ind w:right="-1060"/>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color w:val="auto"/>
        </w:rPr>
        <w:t>Summary Consolidated Balance Sheet Data</w:t>
      </w:r>
    </w:p>
    <w:p>
      <w:pPr>
        <w:jc w:val="center"/>
        <w:ind w:right="-1060"/>
        <w:spacing w:after="0" w:line="231" w:lineRule="auto"/>
        <w:rPr>
          <w:sz w:val="20"/>
          <w:szCs w:val="20"/>
          <w:color w:val="auto"/>
        </w:rPr>
      </w:pPr>
      <w:r>
        <w:rPr>
          <w:rFonts w:ascii="Arial" w:cs="Arial" w:eastAsia="Arial" w:hAnsi="Arial"/>
          <w:sz w:val="22"/>
          <w:szCs w:val="22"/>
          <w:b w:val="1"/>
          <w:bCs w:val="1"/>
          <w:color w:val="auto"/>
        </w:rPr>
        <w:t>March 31, 2020 and December 31, 2019</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(Dollars, in thousands)</w:t>
      </w:r>
    </w:p>
    <w:p>
      <w:pPr>
        <w:spacing w:after="0" w:line="205" w:lineRule="exact"/>
        <w:rPr>
          <w:sz w:val="20"/>
          <w:szCs w:val="20"/>
          <w:color w:val="auto"/>
        </w:rPr>
      </w:pPr>
    </w:p>
    <w:tbl>
      <w:tblPr>
        <w:tblLayout w:type="fixed"/>
        <w:tblInd w:w="342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March 31, December 31,</w:t>
            </w:r>
          </w:p>
        </w:tc>
      </w:tr>
      <w:tr>
        <w:trPr>
          <w:trHeight w:val="243"/>
        </w:trPr>
        <w:tc>
          <w:tcPr>
            <w:tcW w:w="23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43"/>
        </w:trPr>
        <w:tc>
          <w:tcPr>
            <w:tcW w:w="238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w w:val="97"/>
              </w:rPr>
              <w:t>(Unaudited)</w:t>
            </w:r>
          </w:p>
        </w:tc>
        <w:tc>
          <w:tcPr>
            <w:tcW w:w="980" w:type="dxa"/>
            <w:vAlign w:val="bottom"/>
          </w:tcPr>
          <w:p>
            <w:pPr>
              <w:ind w:left="100"/>
              <w:spacing w:after="0"/>
              <w:rPr>
                <w:sz w:val="20"/>
                <w:szCs w:val="20"/>
                <w:color w:val="auto"/>
              </w:rPr>
            </w:pPr>
            <w:r>
              <w:rPr>
                <w:rFonts w:ascii="Arial" w:cs="Arial" w:eastAsia="Arial" w:hAnsi="Arial"/>
                <w:sz w:val="18"/>
                <w:szCs w:val="18"/>
                <w:b w:val="1"/>
                <w:bCs w:val="1"/>
                <w:color w:val="auto"/>
              </w:rPr>
              <w:t>(Audited)</w:t>
            </w:r>
          </w:p>
        </w:tc>
      </w:tr>
      <w:tr>
        <w:trPr>
          <w:trHeight w:val="729"/>
        </w:trPr>
        <w:tc>
          <w:tcPr>
            <w:tcW w:w="2380" w:type="dxa"/>
            <w:vAlign w:val="bottom"/>
          </w:tcPr>
          <w:p>
            <w:pPr>
              <w:spacing w:after="0"/>
              <w:rPr>
                <w:sz w:val="20"/>
                <w:szCs w:val="20"/>
                <w:color w:val="auto"/>
              </w:rPr>
            </w:pPr>
            <w:r>
              <w:rPr>
                <w:rFonts w:ascii="Arial" w:cs="Arial" w:eastAsia="Arial" w:hAnsi="Arial"/>
                <w:sz w:val="18"/>
                <w:szCs w:val="18"/>
                <w:color w:val="auto"/>
                <w:w w:val="89"/>
              </w:rPr>
              <w:t>Cash and short-term 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484,099</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569,937</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Debt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(349,734)</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(349,640)</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Net cash/(debt)</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134,365</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220,297</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585,865</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583,489</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Working Capital</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346,326</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493,728</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2,841,332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2,907,512</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1,513,852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1,618,055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1" w:lineRule="exact"/>
        <w:rPr>
          <w:sz w:val="20"/>
          <w:szCs w:val="20"/>
          <w:color w:val="auto"/>
        </w:rPr>
      </w:pPr>
    </w:p>
    <w:p>
      <w:pPr>
        <w:jc w:val="both"/>
        <w:ind w:right="2319"/>
        <w:spacing w:after="0" w:line="236" w:lineRule="auto"/>
        <w:rPr>
          <w:sz w:val="20"/>
          <w:szCs w:val="20"/>
          <w:color w:val="auto"/>
        </w:rPr>
      </w:pPr>
      <w:r>
        <w:rPr>
          <w:rFonts w:ascii="Arial" w:cs="Arial" w:eastAsia="Arial" w:hAnsi="Arial"/>
          <w:sz w:val="22"/>
          <w:szCs w:val="22"/>
          <w:color w:val="auto"/>
        </w:rPr>
        <w:t>Jonathan Curtain Vice President Corporate Finance &amp; Investor Relations +353 1 291 2000 http://www.iconplc.com</w:t>
      </w:r>
    </w:p>
    <w:sectPr>
      <w:pgSz w:w="11900" w:h="16838" w:orient="portrait"/>
      <w:cols w:equalWidth="0" w:num="1">
        <w:col w:w="10139"/>
      </w:cols>
      <w:pgMar w:left="32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2020-04-22T15:32:26Z</dcterms:created>
  <dcterms:modified xsi:type="dcterms:W3CDTF">2020-04-22T15:32:26Z</dcterms:modified>
</cp:coreProperties>
</file>