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As filed with the Securities and Exchange Commission on July 1, 2021</w:t>
      </w:r>
    </w:p>
    <w:p>
      <w:pPr>
        <w:spacing w:after="0" w:line="27" w:lineRule="exact"/>
        <w:rPr>
          <w:sz w:val="24"/>
          <w:szCs w:val="24"/>
          <w:color w:val="auto"/>
        </w:rPr>
      </w:pPr>
    </w:p>
    <w:p>
      <w:pPr>
        <w:ind w:left="9000"/>
        <w:spacing w:after="0"/>
        <w:rPr>
          <w:sz w:val="20"/>
          <w:szCs w:val="20"/>
          <w:color w:val="auto"/>
        </w:rPr>
      </w:pPr>
      <w:r>
        <w:rPr>
          <w:rFonts w:ascii="Arial" w:cs="Arial" w:eastAsia="Arial" w:hAnsi="Arial"/>
          <w:sz w:val="16"/>
          <w:szCs w:val="16"/>
          <w:b w:val="1"/>
          <w:bCs w:val="1"/>
          <w:color w:val="auto"/>
        </w:rPr>
        <w:t>Registration No. 333-254891</w:t>
      </w:r>
    </w:p>
    <w:p>
      <w:pPr>
        <w:spacing w:after="0" w:line="32" w:lineRule="exact"/>
        <w:rPr>
          <w:sz w:val="24"/>
          <w:szCs w:val="24"/>
          <w:color w:val="auto"/>
        </w:rPr>
      </w:pPr>
    </w:p>
    <w:p>
      <w:pPr>
        <w:ind w:left="9000"/>
        <w:spacing w:after="0"/>
        <w:rPr>
          <w:sz w:val="20"/>
          <w:szCs w:val="20"/>
          <w:color w:val="auto"/>
        </w:rPr>
      </w:pPr>
      <w:r>
        <w:rPr>
          <w:rFonts w:ascii="Arial" w:cs="Arial" w:eastAsia="Arial" w:hAnsi="Arial"/>
          <w:sz w:val="16"/>
          <w:szCs w:val="16"/>
          <w:b w:val="1"/>
          <w:bCs w:val="1"/>
          <w:color w:val="auto"/>
        </w:rPr>
        <w:t>Registration No. 333-257578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ON FORM S-8 TO FORM F-4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PUBLIC COMPANY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Ireland</w:t>
            </w:r>
          </w:p>
        </w:tc>
        <w:tc>
          <w:tcPr>
            <w:tcW w:w="4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Not Applicable</w:t>
            </w:r>
          </w:p>
        </w:tc>
      </w:tr>
      <w:tr>
        <w:trPr>
          <w:trHeight w:val="224"/>
        </w:trPr>
        <w:tc>
          <w:tcPr>
            <w:tcW w:w="632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20" w:type="dxa"/>
            <w:vAlign w:val="bottom"/>
          </w:tcPr>
          <w:p>
            <w:pPr>
              <w:jc w:val="center"/>
              <w:ind w:right="5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6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South County Business Park</w:t>
            </w:r>
          </w:p>
        </w:tc>
        <w:tc>
          <w:tcPr>
            <w:tcW w:w="4920" w:type="dxa"/>
            <w:vAlign w:val="bottom"/>
          </w:tcPr>
          <w:p>
            <w:pPr>
              <w:spacing w:after="0"/>
              <w:rPr>
                <w:sz w:val="24"/>
                <w:szCs w:val="24"/>
                <w:color w:val="auto"/>
              </w:rPr>
            </w:pPr>
          </w:p>
        </w:tc>
      </w:tr>
      <w:tr>
        <w:trPr>
          <w:trHeight w:val="216"/>
        </w:trPr>
        <w:tc>
          <w:tcPr>
            <w:tcW w:w="63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Leopardstown</w:t>
            </w:r>
          </w:p>
        </w:tc>
        <w:tc>
          <w:tcPr>
            <w:tcW w:w="4920" w:type="dxa"/>
            <w:vAlign w:val="bottom"/>
          </w:tcPr>
          <w:p>
            <w:pPr>
              <w:spacing w:after="0"/>
              <w:rPr>
                <w:sz w:val="18"/>
                <w:szCs w:val="18"/>
                <w:color w:val="auto"/>
              </w:rPr>
            </w:pPr>
          </w:p>
        </w:tc>
      </w:tr>
      <w:tr>
        <w:trPr>
          <w:trHeight w:val="234"/>
        </w:trPr>
        <w:tc>
          <w:tcPr>
            <w:tcW w:w="6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Dublin 18, Ireland</w:t>
            </w:r>
          </w:p>
        </w:tc>
        <w:tc>
          <w:tcPr>
            <w:tcW w:w="4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Not Applicable</w:t>
            </w:r>
          </w:p>
        </w:tc>
      </w:tr>
      <w:tr>
        <w:trPr>
          <w:trHeight w:val="224"/>
        </w:trPr>
        <w:tc>
          <w:tcPr>
            <w:tcW w:w="632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920" w:type="dxa"/>
            <w:vAlign w:val="bottom"/>
          </w:tcPr>
          <w:p>
            <w:pPr>
              <w:jc w:val="center"/>
              <w:ind w:right="3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ind w:left="340" w:right="2160"/>
        <w:spacing w:after="0" w:line="261" w:lineRule="auto"/>
        <w:rPr>
          <w:sz w:val="20"/>
          <w:szCs w:val="20"/>
          <w:color w:val="auto"/>
        </w:rPr>
      </w:pPr>
      <w:r>
        <w:rPr>
          <w:rFonts w:ascii="Arial" w:cs="Arial" w:eastAsia="Arial" w:hAnsi="Arial"/>
          <w:sz w:val="18"/>
          <w:szCs w:val="18"/>
          <w:b w:val="1"/>
          <w:bCs w:val="1"/>
          <w:color w:val="auto"/>
        </w:rPr>
        <w:t>PRA Health Sciences, Inc. 2020 Stock Incentive Plan PRA Health Sciences, Inc. 2018 Stock Incentive Plan PRA Health Sciences, Inc. 2014 Omnibus Incentive Plan 2013 Stock Incentive Plan for Key Employees of PRA Health Sciences and its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Puglisi &amp; Associates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850 Library Avenue,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Newark, Delaware 19711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(302) 738-6680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21"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4960" w:type="dxa"/>
            <w:vAlign w:val="bottom"/>
          </w:tcPr>
          <w:p>
            <w:pPr>
              <w:ind w:left="600"/>
              <w:spacing w:after="0"/>
              <w:rPr>
                <w:sz w:val="20"/>
                <w:szCs w:val="20"/>
                <w:color w:val="auto"/>
              </w:rPr>
            </w:pPr>
            <w:r>
              <w:rPr>
                <w:rFonts w:ascii="Arial" w:cs="Arial" w:eastAsia="Arial" w:hAnsi="Arial"/>
                <w:sz w:val="18"/>
                <w:szCs w:val="18"/>
                <w:b w:val="1"/>
                <w:bCs w:val="1"/>
                <w:color w:val="auto"/>
              </w:rPr>
              <w:t>Copies to:</w:t>
            </w:r>
          </w:p>
        </w:tc>
      </w:tr>
      <w:tr>
        <w:trPr>
          <w:trHeight w:val="414"/>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8"/>
              </w:rPr>
              <w:t>William M. Hartnett</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93"/>
              </w:rPr>
              <w:t>Diarmaid Cunningham</w:t>
            </w:r>
          </w:p>
        </w:tc>
      </w:tr>
      <w:tr>
        <w:trPr>
          <w:trHeight w:val="216"/>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Kimberly Petillo-Décossard</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294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Ross E. Sturman</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97"/>
              </w:rPr>
              <w:t>ICON plc</w:t>
            </w:r>
          </w:p>
        </w:tc>
      </w:tr>
      <w:tr>
        <w:trPr>
          <w:trHeight w:val="216"/>
        </w:trPr>
        <w:tc>
          <w:tcPr>
            <w:tcW w:w="2940" w:type="dxa"/>
            <w:vAlign w:val="bottom"/>
          </w:tcPr>
          <w:p>
            <w:pPr>
              <w:jc w:val="center"/>
              <w:ind w:right="510"/>
              <w:spacing w:after="0"/>
              <w:rPr>
                <w:sz w:val="20"/>
                <w:szCs w:val="20"/>
                <w:color w:val="auto"/>
              </w:rPr>
            </w:pPr>
            <w:r>
              <w:rPr>
                <w:rFonts w:ascii="Arial" w:cs="Arial" w:eastAsia="Arial" w:hAnsi="Arial"/>
                <w:sz w:val="18"/>
                <w:szCs w:val="18"/>
                <w:b w:val="1"/>
                <w:bCs w:val="1"/>
                <w:color w:val="auto"/>
                <w:w w:val="95"/>
              </w:rPr>
              <w:t>Cahill Gordon &amp; Reindel LLP</w:t>
            </w:r>
          </w:p>
        </w:tc>
        <w:tc>
          <w:tcPr>
            <w:tcW w:w="4960" w:type="dxa"/>
            <w:vAlign w:val="bottom"/>
          </w:tcPr>
          <w:p>
            <w:pPr>
              <w:jc w:val="center"/>
              <w:ind w:left="2670"/>
              <w:spacing w:after="0"/>
              <w:rPr>
                <w:sz w:val="20"/>
                <w:szCs w:val="20"/>
                <w:color w:val="auto"/>
              </w:rPr>
            </w:pPr>
            <w:r>
              <w:rPr>
                <w:rFonts w:ascii="Arial" w:cs="Arial" w:eastAsia="Arial" w:hAnsi="Arial"/>
                <w:sz w:val="18"/>
                <w:szCs w:val="18"/>
                <w:b w:val="1"/>
                <w:bCs w:val="1"/>
                <w:color w:val="auto"/>
                <w:w w:val="89"/>
              </w:rPr>
              <w:t>South County Business Park</w:t>
            </w:r>
          </w:p>
        </w:tc>
      </w:tr>
      <w:tr>
        <w:trPr>
          <w:trHeight w:val="216"/>
        </w:trPr>
        <w:tc>
          <w:tcPr>
            <w:tcW w:w="2940" w:type="dxa"/>
            <w:vAlign w:val="bottom"/>
          </w:tcPr>
          <w:p>
            <w:pPr>
              <w:jc w:val="center"/>
              <w:ind w:right="510"/>
              <w:spacing w:after="0"/>
              <w:rPr>
                <w:sz w:val="20"/>
                <w:szCs w:val="20"/>
                <w:color w:val="auto"/>
              </w:rPr>
            </w:pPr>
            <w:r>
              <w:rPr>
                <w:rFonts w:ascii="Arial" w:cs="Arial" w:eastAsia="Arial" w:hAnsi="Arial"/>
                <w:sz w:val="18"/>
                <w:szCs w:val="18"/>
                <w:b w:val="1"/>
                <w:bCs w:val="1"/>
                <w:color w:val="auto"/>
                <w:w w:val="92"/>
              </w:rPr>
              <w:t>32 Old Slip</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89"/>
              </w:rPr>
              <w:t>Leopardstown</w:t>
            </w:r>
          </w:p>
        </w:tc>
      </w:tr>
      <w:tr>
        <w:trPr>
          <w:trHeight w:val="216"/>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New York, NY 10005</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94"/>
              </w:rPr>
              <w:t>Dublin 18, Ireland</w:t>
            </w:r>
          </w:p>
        </w:tc>
      </w:tr>
      <w:tr>
        <w:trPr>
          <w:trHeight w:val="234"/>
        </w:trPr>
        <w:tc>
          <w:tcPr>
            <w:tcW w:w="29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(212) 701-3000</w:t>
            </w:r>
          </w:p>
        </w:tc>
        <w:tc>
          <w:tcPr>
            <w:tcW w:w="4960" w:type="dxa"/>
            <w:vAlign w:val="bottom"/>
          </w:tcPr>
          <w:p>
            <w:pPr>
              <w:jc w:val="center"/>
              <w:ind w:left="2650"/>
              <w:spacing w:after="0"/>
              <w:rPr>
                <w:sz w:val="20"/>
                <w:szCs w:val="20"/>
                <w:color w:val="auto"/>
              </w:rPr>
            </w:pPr>
            <w:r>
              <w:rPr>
                <w:rFonts w:ascii="Arial" w:cs="Arial" w:eastAsia="Arial" w:hAnsi="Arial"/>
                <w:sz w:val="18"/>
                <w:szCs w:val="18"/>
                <w:b w:val="1"/>
                <w:bCs w:val="1"/>
                <w:color w:val="auto"/>
                <w:w w:val="90"/>
              </w:rPr>
              <w:t>+353-1-291-2000</w:t>
            </w:r>
          </w:p>
        </w:tc>
      </w:tr>
    </w:tbl>
    <w:p>
      <w:pPr>
        <w:spacing w:after="0" w:line="202" w:lineRule="exact"/>
        <w:rPr>
          <w:sz w:val="24"/>
          <w:szCs w:val="24"/>
          <w:color w:val="auto"/>
        </w:rPr>
      </w:pPr>
    </w:p>
    <w:p>
      <w:pPr>
        <w:ind w:right="2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280" w:type="dxa"/>
            <w:vAlign w:val="bottom"/>
          </w:tcPr>
          <w:p>
            <w:pPr>
              <w:ind w:left="340"/>
              <w:spacing w:after="0" w:line="207" w:lineRule="exact"/>
              <w:rPr>
                <w:sz w:val="20"/>
                <w:szCs w:val="20"/>
                <w:color w:val="auto"/>
              </w:rPr>
            </w:pPr>
            <w:r>
              <w:rPr>
                <w:rFonts w:ascii="Arial" w:cs="Arial" w:eastAsia="Arial" w:hAnsi="Arial"/>
                <w:sz w:val="18"/>
                <w:szCs w:val="18"/>
                <w:color w:val="auto"/>
                <w:w w:val="94"/>
              </w:rPr>
              <w:t xml:space="preserve">Large accelerated filer </w:t>
            </w:r>
            <w:r>
              <w:rPr>
                <w:rFonts w:ascii="MS PGothic" w:cs="MS PGothic" w:eastAsia="MS PGothic" w:hAnsi="MS PGothic"/>
                <w:sz w:val="18"/>
                <w:szCs w:val="18"/>
                <w:color w:val="auto"/>
                <w:w w:val="94"/>
              </w:rPr>
              <w:t>☒</w:t>
            </w: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ind w:left="78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60" w:type="dxa"/>
            <w:vAlign w:val="bottom"/>
            <w:gridSpan w:val="3"/>
          </w:tcPr>
          <w:p>
            <w:pPr>
              <w:ind w:left="3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480" w:type="dxa"/>
            <w:vAlign w:val="bottom"/>
            <w:gridSpan w:val="2"/>
          </w:tcPr>
          <w:p>
            <w:pPr>
              <w:ind w:left="7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28"/>
        </w:trPr>
        <w:tc>
          <w:tcPr>
            <w:tcW w:w="2280" w:type="dxa"/>
            <w:vAlign w:val="bottom"/>
          </w:tcPr>
          <w:p>
            <w:pPr>
              <w:spacing w:after="0"/>
              <w:rPr>
                <w:sz w:val="24"/>
                <w:szCs w:val="24"/>
                <w:color w:val="auto"/>
              </w:rPr>
            </w:pPr>
          </w:p>
        </w:tc>
        <w:tc>
          <w:tcPr>
            <w:tcW w:w="6720" w:type="dxa"/>
            <w:vAlign w:val="bottom"/>
            <w:gridSpan w:val="3"/>
          </w:tcPr>
          <w:p>
            <w:pPr>
              <w:jc w:val="center"/>
              <w:spacing w:after="0"/>
              <w:rPr>
                <w:sz w:val="20"/>
                <w:szCs w:val="20"/>
                <w:color w:val="auto"/>
              </w:rPr>
            </w:pPr>
            <w:r>
              <w:rPr>
                <w:rFonts w:ascii="Arial" w:cs="Arial" w:eastAsia="Arial" w:hAnsi="Arial"/>
                <w:sz w:val="18"/>
                <w:szCs w:val="18"/>
                <w:b w:val="1"/>
                <w:bCs w:val="1"/>
                <w:color w:val="auto"/>
              </w:rPr>
              <w:t>CALCULATION OF REGISTRATION FEE</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8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Proposed Maximum</w:t>
            </w:r>
          </w:p>
        </w:tc>
        <w:tc>
          <w:tcPr>
            <w:tcW w:w="22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Proposed Maximum</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Title of Securities to be</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0"/>
              </w:rPr>
              <w:t>Amount to be Registered (1)</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Aggregate Offering</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Amount of Registration Fee</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Registered</w:t>
            </w:r>
          </w:p>
        </w:tc>
        <w:tc>
          <w:tcPr>
            <w:tcW w:w="224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 (3)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41"/>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w w:val="93"/>
              </w:rPr>
              <w:t>Ordinary Shares, par value</w:t>
            </w:r>
          </w:p>
        </w:tc>
        <w:tc>
          <w:tcPr>
            <w:tcW w:w="22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2,605,853 (2)(3)</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€0.06 per share</w:t>
            </w: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2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340" w:right="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par value €0.06 per share (“Ordinary Shares”), of ICON public limited company (the “Registrant”) that may be offered or issued pursuant to outstanding stock options and restricted stock units previously granted under the PRA Health Sciences, Inc. 2020 Stock Incentive Plan, PRA Health Sciences, Inc. 2018 Stock Incentive Plan, PRA Health Sciences, Inc. 2014 Omnibus Incentive Plan or 2013 Stock Incentive Plan for Key Employees of PRA Health Sciences and its Subsidiaries (the “PRA Plans”).</w:t>
      </w:r>
    </w:p>
    <w:p>
      <w:pPr>
        <w:spacing w:after="0" w:line="186"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also registers such additional Ordinary Shares that may be offered or issued pursuant to the PRA Plans to prevent dilution resulting from stock splits, stock dividends, or similar transactions resulting in an increase in the number of outstanding Ordinary Shares.</w:t>
      </w:r>
    </w:p>
    <w:p>
      <w:pPr>
        <w:spacing w:after="0" w:line="183"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filing fee payable in connection with the registration of the Ordinary Shares was previously paid in connection with the filing of the Registrant’s Registration Statement on Form F-4 (File No. 333-254891) filed with the Securities and Exchange Commission (the “Commission”) on March 31,</w:t>
      </w:r>
    </w:p>
    <w:p>
      <w:pPr>
        <w:sectPr>
          <w:pgSz w:w="11900" w:h="16838" w:orient="portrait"/>
          <w:cols w:equalWidth="0" w:num="1">
            <w:col w:w="11240"/>
          </w:cols>
          <w:pgMar w:left="320" w:top="229" w:right="339" w:bottom="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2021, and amended by Amendment No. 1 on April 26, 2021, and Registration Statement on Form F-4 (File No. 333- 257578) filed with the Commission on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186055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622935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660" w:top="125" w:right="1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This Post-Effective Amendment No. 1 on Form S-8 (“Post-Effective Amendment”) amends the Registrant’s Registration Statement on Form F-4 (File No. 333-254891) filed with the Commission on March 31, 2021, as previously amended by the Amendment No. 1 filed with the Commission on April 26, 2021, and which became effective on April 27, 2021, and Registration Statement on Form F-4 (File No. 333-257578), filed with the Commission on June 30, 2021, which became effective on filing (the “Forms F-4” and, together with this Post-Effective Amendment, the “Registration Statement”). The Registrant filed the Forms F-4 in connection with the transactions contemplated by the Agreement and Plan of Merger dated as of February 24, 2021 (the “Merger Agreement”), by and among the Registrant, ICON US Holdings Inc., a wholly owned subsidiary of the Registrant (“US Holdco”), Indigo Merger Sub, Inc., a wholly owned subsidiary of the Registrant and US Holdco (“Merger Sub”) and PRA Health Sciences, Inc. (“PRA”).</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Pursuant to the Merger Agreement, effective on July 1, 2021, Merger Sub merged with and into PRA, with PRA surviving the merger as a wholly owned subsidiary of the Registrant and US Holdco (the “Merger”), and each outstanding share of PRA common stock (each, a “PRA Share”) converted into the right to receive (i) 0.4125 of one Ordinary Share and (ii) $80.00 in cash. Further, each outstanding stock option and restricted stock unit under the PRA Plans was assumed by the Registrant and converted into a stock option or restricted stock unit exercisable for or payable in Ordinary Shares based on the ratio of the average trading price per Ordinary Share for the ten days prior to July 1, 2021, and the corresponding value of the merger consideration for each PRA Share. This Post-Effective Amendment relates to 2,605,853 Ordinary Shares previously registered on the Forms F-4 for issuance under stock options and restricted stock units assumed by the Registrant under the PRA Plans.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ind w:right="-8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Part I of Form S-8 is omitted from this filing in accordance with Rule 428 under the Securities Act and the introductory note to Part I of Form S-8.</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337" w:right="11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documents filed by the Registrant with the Commission (File No. 000-29714) are incorporated by reference in this Registration Statement:</w:t>
      </w:r>
    </w:p>
    <w:p>
      <w:pPr>
        <w:spacing w:after="0" w:line="170" w:lineRule="exact"/>
        <w:rPr>
          <w:sz w:val="20"/>
          <w:szCs w:val="20"/>
          <w:color w:val="auto"/>
        </w:rPr>
      </w:pPr>
    </w:p>
    <w:p>
      <w:pPr>
        <w:ind w:left="640" w:right="80" w:hanging="37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20-F for the fiscal year ended </w:t>
      </w:r>
      <w:hyperlink r:id="rId19">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 filed with the Commission on February 24, 2021 (the “Annual Report”);</w:t>
      </w:r>
    </w:p>
    <w:p>
      <w:pPr>
        <w:spacing w:after="0" w:line="170" w:lineRule="exact"/>
        <w:rPr>
          <w:rFonts w:ascii="Arial" w:cs="Arial" w:eastAsia="Arial" w:hAnsi="Arial"/>
          <w:sz w:val="18"/>
          <w:szCs w:val="18"/>
          <w:color w:val="auto"/>
        </w:rPr>
      </w:pPr>
    </w:p>
    <w:p>
      <w:pPr>
        <w:ind w:left="640" w:hanging="3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Report on Form 6-K filed with the Commission on </w:t>
      </w:r>
      <w:hyperlink r:id="rId20">
        <w:r>
          <w:rPr>
            <w:rFonts w:ascii="Arial" w:cs="Arial" w:eastAsia="Arial" w:hAnsi="Arial"/>
            <w:sz w:val="18"/>
            <w:szCs w:val="18"/>
            <w:u w:val="single" w:color="auto"/>
            <w:color w:val="0000EE"/>
          </w:rPr>
          <w:t>July 1, 2021</w:t>
        </w:r>
      </w:hyperlink>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40" w:right="300" w:hanging="37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Ordinary Shares contained in Exhibit </w:t>
      </w:r>
      <w:hyperlink r:id="rId21">
        <w:r>
          <w:rPr>
            <w:rFonts w:ascii="Arial" w:cs="Arial" w:eastAsia="Arial" w:hAnsi="Arial"/>
            <w:sz w:val="18"/>
            <w:szCs w:val="18"/>
            <w:u w:val="single" w:color="auto"/>
            <w:color w:val="0000EE"/>
          </w:rPr>
          <w:t>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including any amendment or reports filed for the purpose of updating such description.</w:t>
      </w:r>
    </w:p>
    <w:p>
      <w:pPr>
        <w:spacing w:after="0" w:line="170" w:lineRule="exact"/>
        <w:rPr>
          <w:rFonts w:ascii="Arial" w:cs="Arial" w:eastAsia="Arial" w:hAnsi="Arial"/>
          <w:sz w:val="18"/>
          <w:szCs w:val="18"/>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all documents subsequently filed with the Commission by the Registrant pursuant to Sections 13(a), 13(c), 14 and 15(d) of the Securities Exchange Act of 1934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thereof from the filing date of such documents.</w:t>
      </w:r>
    </w:p>
    <w:p>
      <w:pPr>
        <w:spacing w:after="0" w:line="18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8"/>
          <w:szCs w:val="18"/>
          <w:color w:val="auto"/>
        </w:rPr>
      </w:pPr>
    </w:p>
    <w:p>
      <w:pPr>
        <w:ind w:firstLine="648"/>
        <w:spacing w:after="0" w:line="272" w:lineRule="auto"/>
        <w:rPr>
          <w:sz w:val="20"/>
          <w:szCs w:val="20"/>
          <w:color w:val="auto"/>
        </w:rPr>
      </w:pPr>
      <w:r>
        <w:rPr>
          <w:rFonts w:ascii="Arial" w:cs="Arial" w:eastAsia="Arial" w:hAnsi="Arial"/>
          <w:sz w:val="17"/>
          <w:szCs w:val="17"/>
          <w:color w:val="auto"/>
        </w:rPr>
        <w:t>The constitution of the Registrant provides that, so far as may be permitted by the Irish Companies Act, every director, managing director, secretary or other officer of the Registrant shall be entitled to be indemnified by the Registrant against all costs, charges, losses, expenses, and liabilities incurred by them in the execution and discharge of their duties or in relation thereto including any liability incurred by them in defending any proceedings, civil or criminal, which relate to anything done or omitted or alleged to have been done or omitted by them as an officer or employee of the Registrant and in which judgment is given in their favor (or the proceedings are otherwise disposed of without any finding or admission of any material breach of duty on their part) or in which he is acquitted or in connection with any proceedings or any application under the Irish Companies Act or under any statute for relief from liability in respect of any such act or omission in which relief is granted to them by the court.</w:t>
      </w:r>
    </w:p>
    <w:p>
      <w:pPr>
        <w:spacing w:after="0" w:line="177" w:lineRule="exact"/>
        <w:rPr>
          <w:rFonts w:ascii="Arial" w:cs="Arial" w:eastAsia="Arial" w:hAnsi="Arial"/>
          <w:sz w:val="18"/>
          <w:szCs w:val="18"/>
          <w:color w:val="auto"/>
        </w:rPr>
      </w:pPr>
    </w:p>
    <w:p>
      <w:pPr>
        <w:ind w:right="100" w:firstLine="648"/>
        <w:spacing w:after="0" w:line="296" w:lineRule="auto"/>
        <w:rPr>
          <w:sz w:val="20"/>
          <w:szCs w:val="20"/>
          <w:color w:val="auto"/>
        </w:rPr>
      </w:pPr>
      <w:r>
        <w:rPr>
          <w:rFonts w:ascii="Arial" w:cs="Arial" w:eastAsia="Arial" w:hAnsi="Arial"/>
          <w:sz w:val="16"/>
          <w:szCs w:val="16"/>
          <w:color w:val="auto"/>
        </w:rPr>
        <w:t>However the Irish Companies Act only permits the Registrant to enter into an agreement to pay the costs or discharge the liability of a director or the secretary where judgment is given in their favor in any civil or criminal action in respect of such costs or liability, or where an Irish court grants relief because the director or secretary acted honestly and reasonably and ought fairly to be excused. This restriction does not apply to executives who are not directors or the secretary of the Registrant. Any obligation of an Irish company which purports to indemnify a director or secretary of an Irish company over and above this will be void under Irish law, whether contained in its constitution or any contract between the director and the company.</w:t>
      </w:r>
    </w:p>
    <w:p>
      <w:pPr>
        <w:spacing w:after="0" w:line="161" w:lineRule="exact"/>
        <w:rPr>
          <w:rFonts w:ascii="Arial" w:cs="Arial" w:eastAsia="Arial" w:hAnsi="Arial"/>
          <w:sz w:val="18"/>
          <w:szCs w:val="18"/>
          <w:color w:val="auto"/>
        </w:rPr>
      </w:pPr>
    </w:p>
    <w:p>
      <w:pPr>
        <w:ind w:right="220" w:firstLine="648"/>
        <w:spacing w:after="0" w:line="277" w:lineRule="auto"/>
        <w:rPr>
          <w:sz w:val="20"/>
          <w:szCs w:val="20"/>
          <w:color w:val="auto"/>
        </w:rPr>
      </w:pPr>
      <w:r>
        <w:rPr>
          <w:rFonts w:ascii="Arial" w:cs="Arial" w:eastAsia="Arial" w:hAnsi="Arial"/>
          <w:sz w:val="18"/>
          <w:szCs w:val="18"/>
          <w:color w:val="auto"/>
        </w:rPr>
        <w:t>The Irish company law restrictions outlined above do not prevent the Registrant from obtaining, and paying for, directors’ and officers’ liability insurance, as well as other types of insurance, for its directors and officers.</w:t>
      </w:r>
    </w:p>
    <w:p>
      <w:pPr>
        <w:spacing w:after="0" w:line="373"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or incorporated by reference as part of this Post-Effective Amendment:</w:t>
      </w: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138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93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412"/>
        </w:trPr>
        <w:tc>
          <w:tcPr>
            <w:tcW w:w="580" w:type="dxa"/>
            <w:vAlign w:val="bottom"/>
            <w:gridSpan w:val="4"/>
          </w:tcPr>
          <w:p>
            <w:pPr>
              <w:jc w:val="center"/>
              <w:ind w:left="190"/>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1"/>
              </w:rPr>
              <w:t>PRA Health Sciences, Inc. 2020 Stock Incentive Plan (as amended and restated and assumed by the Registrant effective as of</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July 1, 2021).</w:t>
            </w:r>
          </w:p>
        </w:tc>
      </w:tr>
      <w:tr>
        <w:trPr>
          <w:trHeight w:val="392"/>
        </w:trPr>
        <w:tc>
          <w:tcPr>
            <w:tcW w:w="580" w:type="dxa"/>
            <w:vAlign w:val="bottom"/>
            <w:gridSpan w:val="4"/>
          </w:tcPr>
          <w:p>
            <w:pPr>
              <w:jc w:val="center"/>
              <w:ind w:left="190"/>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1"/>
              </w:rPr>
              <w:t>PRA Health Sciences, Inc. 2018 Stock Incentive Plan (as amended and restated and assumed by the Registrant effective as of</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July 1, 2021).</w:t>
            </w:r>
          </w:p>
        </w:tc>
      </w:tr>
      <w:tr>
        <w:trPr>
          <w:trHeight w:val="391"/>
        </w:trPr>
        <w:tc>
          <w:tcPr>
            <w:tcW w:w="580" w:type="dxa"/>
            <w:vAlign w:val="bottom"/>
            <w:gridSpan w:val="4"/>
          </w:tcPr>
          <w:p>
            <w:pPr>
              <w:jc w:val="center"/>
              <w:ind w:left="190"/>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89"/>
              </w:rPr>
              <w:t>PRA Health Sciences, Inc. 2014 Omnibus Incentive Plan (as amended and restated and assumed by the Registrant effective as of</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July 1, 2021).</w:t>
            </w:r>
          </w:p>
        </w:tc>
      </w:tr>
      <w:tr>
        <w:trPr>
          <w:trHeight w:val="392"/>
        </w:trPr>
        <w:tc>
          <w:tcPr>
            <w:tcW w:w="580" w:type="dxa"/>
            <w:vAlign w:val="bottom"/>
            <w:gridSpan w:val="4"/>
          </w:tcPr>
          <w:p>
            <w:pPr>
              <w:jc w:val="center"/>
              <w:ind w:left="190"/>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5"/>
              </w:rPr>
              <w:t>2013 Stock Incentive Plan for Key Employees of PRA Health Sciences and its Subsidiaries (as amended and restated and</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assumed by the Registrant effective as of July 1, 2021).</w:t>
            </w:r>
          </w:p>
        </w:tc>
      </w:tr>
      <w:tr>
        <w:trPr>
          <w:trHeight w:val="391"/>
        </w:trPr>
        <w:tc>
          <w:tcPr>
            <w:tcW w:w="580" w:type="dxa"/>
            <w:vAlign w:val="bottom"/>
            <w:gridSpan w:val="4"/>
          </w:tcPr>
          <w:p>
            <w:pPr>
              <w:jc w:val="center"/>
              <w:ind w:left="190"/>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9"/>
              </w:rPr>
              <w:t>Opinion of A&amp;L Goodbody LLP as to the validity of the Ordinary Shares being registered pursuant to this Registration</w:t>
            </w:r>
          </w:p>
        </w:tc>
      </w:tr>
      <w:tr>
        <w:trPr>
          <w:trHeight w:val="237"/>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Statement.</w:t>
            </w:r>
          </w:p>
        </w:tc>
      </w:tr>
      <w:tr>
        <w:trPr>
          <w:trHeight w:val="392"/>
        </w:trPr>
        <w:tc>
          <w:tcPr>
            <w:tcW w:w="26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6"/>
              </w:rPr>
              <w:t>Consent of KPMG, Independent Registered Public Accounting Firm, relating to the financial statements of the Registrant.</w:t>
            </w:r>
          </w:p>
        </w:tc>
      </w:tr>
      <w:tr>
        <w:trPr>
          <w:trHeight w:val="412"/>
        </w:trPr>
        <w:tc>
          <w:tcPr>
            <w:tcW w:w="26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3</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Consent of A&amp;L Goodbody LLP (included in Exhibit 5.1).</w:t>
            </w:r>
          </w:p>
        </w:tc>
      </w:tr>
      <w:tr>
        <w:trPr>
          <w:trHeight w:val="412"/>
        </w:trPr>
        <w:tc>
          <w:tcPr>
            <w:tcW w:w="580" w:type="dxa"/>
            <w:vAlign w:val="bottom"/>
            <w:gridSpan w:val="4"/>
          </w:tcPr>
          <w:p>
            <w:pPr>
              <w:jc w:val="center"/>
              <w:ind w:left="170"/>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1"/>
              </w:rPr>
              <w:t>Power of Attorney of Officers and Directors (included on the signature page of the Registration Statement on Form F-4 (File No.</w:t>
            </w:r>
          </w:p>
        </w:tc>
      </w:tr>
      <w:tr>
        <w:trPr>
          <w:trHeight w:val="237"/>
        </w:trPr>
        <w:tc>
          <w:tcPr>
            <w:tcW w:w="26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333-254891) filed with the Commission on March 31, 2021).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980" w:right="60" w:hanging="324"/>
        <w:spacing w:after="0" w:line="25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left="980" w:right="3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and (1)(ii)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ind w:right="80" w:firstLine="656"/>
        <w:spacing w:after="0" w:line="263" w:lineRule="auto"/>
        <w:tabs>
          <w:tab w:leader="none" w:pos="98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right="480" w:firstLine="656"/>
        <w:spacing w:after="0" w:line="277" w:lineRule="auto"/>
        <w:tabs>
          <w:tab w:leader="none" w:pos="98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Dublin, Ireland, on July 1, 2021.</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ICON PLC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Brendan Brennan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8" w:name="page9"/>
    <w:bookmarkEnd w:id="8"/>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below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1"/>
              </w:rPr>
              <w:t>Signature</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Chairman of the Board and 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4"/>
              </w:rPr>
              <w:t>Ciaran Murray</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0"/>
              </w:rPr>
              <w:t>Dr. Steve Cutler</w:t>
            </w:r>
          </w:p>
        </w:tc>
        <w:tc>
          <w:tcPr>
            <w:tcW w:w="452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278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9"/>
              </w:rPr>
              <w:t>/s/ Brendan Brennan</w:t>
            </w:r>
          </w:p>
        </w:tc>
        <w:tc>
          <w:tcPr>
            <w:tcW w:w="45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0"/>
              </w:rPr>
              <w:t>Brendan Brennan</w:t>
            </w:r>
          </w:p>
        </w:tc>
        <w:tc>
          <w:tcPr>
            <w:tcW w:w="45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Lead Independent 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1"/>
              </w:rPr>
              <w:t>Rónán Murphy</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0"/>
              </w:rPr>
              <w:t>Professor Hugh Brady</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3"/>
              </w:rPr>
              <w:t>Dr. John Climax</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89"/>
              </w:rPr>
              <w:t>Joan Garahy</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5"/>
              </w:rPr>
              <w:t>Professor William Hall</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88"/>
              </w:rPr>
              <w:t>Eugene McCague</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70"/>
              <w:spacing w:after="0"/>
              <w:rPr>
                <w:sz w:val="20"/>
                <w:szCs w:val="20"/>
                <w:color w:val="auto"/>
              </w:rPr>
            </w:pPr>
            <w:r>
              <w:rPr>
                <w:rFonts w:ascii="Arial" w:cs="Arial" w:eastAsia="Arial" w:hAnsi="Arial"/>
                <w:sz w:val="18"/>
                <w:szCs w:val="18"/>
                <w:color w:val="auto"/>
                <w:w w:val="96"/>
              </w:rPr>
              <w:t>Julie O’Neill</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4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July 1, 2021</w:t>
            </w:r>
          </w:p>
        </w:tc>
      </w:tr>
      <w:tr>
        <w:trPr>
          <w:trHeight w:val="224"/>
        </w:trPr>
        <w:tc>
          <w:tcPr>
            <w:tcW w:w="580" w:type="dxa"/>
            <w:vAlign w:val="bottom"/>
          </w:tcPr>
          <w:p>
            <w:pPr>
              <w:spacing w:after="0"/>
              <w:rPr>
                <w:sz w:val="19"/>
                <w:szCs w:val="19"/>
                <w:color w:val="auto"/>
              </w:rPr>
            </w:pPr>
          </w:p>
        </w:tc>
        <w:tc>
          <w:tcPr>
            <w:tcW w:w="3360" w:type="dxa"/>
            <w:vAlign w:val="bottom"/>
          </w:tcPr>
          <w:p>
            <w:pPr>
              <w:jc w:val="center"/>
              <w:ind w:right="490"/>
              <w:spacing w:after="0"/>
              <w:rPr>
                <w:sz w:val="20"/>
                <w:szCs w:val="20"/>
                <w:color w:val="auto"/>
              </w:rPr>
            </w:pPr>
            <w:r>
              <w:rPr>
                <w:rFonts w:ascii="Arial" w:cs="Arial" w:eastAsia="Arial" w:hAnsi="Arial"/>
                <w:sz w:val="18"/>
                <w:szCs w:val="18"/>
                <w:color w:val="auto"/>
                <w:w w:val="88"/>
              </w:rPr>
              <w:t>Mary Pendergast</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8"/>
        </w:trPr>
        <w:tc>
          <w:tcPr>
            <w:tcW w:w="3940" w:type="dxa"/>
            <w:vAlign w:val="bottom"/>
            <w:gridSpan w:val="2"/>
          </w:tcPr>
          <w:p>
            <w:pPr>
              <w:spacing w:after="0"/>
              <w:rPr>
                <w:sz w:val="20"/>
                <w:szCs w:val="20"/>
                <w:color w:val="auto"/>
              </w:rPr>
            </w:pPr>
            <w:r>
              <w:rPr>
                <w:rFonts w:ascii="Arial" w:cs="Arial" w:eastAsia="Arial" w:hAnsi="Arial"/>
                <w:sz w:val="18"/>
                <w:szCs w:val="18"/>
                <w:color w:val="auto"/>
              </w:rPr>
              <w:t>*By:   /s/ Brendan Brennan</w:t>
            </w:r>
          </w:p>
        </w:tc>
        <w:tc>
          <w:tcPr>
            <w:tcW w:w="45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Brendan Brennan, Attorney-in-Fact</w:t>
            </w:r>
          </w:p>
        </w:tc>
        <w:tc>
          <w:tcPr>
            <w:tcW w:w="45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620"/>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520" w:type="dxa"/>
            <w:vAlign w:val="bottom"/>
          </w:tcPr>
          <w:p>
            <w:pPr>
              <w:jc w:val="right"/>
              <w:ind w:right="2730"/>
              <w:spacing w:after="0"/>
              <w:rPr>
                <w:sz w:val="20"/>
                <w:szCs w:val="20"/>
                <w:color w:val="auto"/>
              </w:rPr>
            </w:pPr>
            <w:r>
              <w:rPr>
                <w:rFonts w:ascii="Arial" w:cs="Arial" w:eastAsia="Arial" w:hAnsi="Arial"/>
                <w:sz w:val="18"/>
                <w:szCs w:val="18"/>
                <w:color w:val="auto"/>
              </w:rPr>
              <w:t>8</w:t>
            </w:r>
          </w:p>
        </w:tc>
        <w:tc>
          <w:tcPr>
            <w:tcW w:w="2780" w:type="dxa"/>
            <w:vAlign w:val="bottom"/>
          </w:tcPr>
          <w:p>
            <w:pPr>
              <w:spacing w:after="0"/>
              <w:rPr>
                <w:sz w:val="24"/>
                <w:szCs w:val="24"/>
                <w:color w:val="auto"/>
              </w:rPr>
            </w:pPr>
          </w:p>
        </w:tc>
      </w:tr>
      <w:tr>
        <w:trPr>
          <w:trHeight w:val="61"/>
        </w:trPr>
        <w:tc>
          <w:tcPr>
            <w:tcW w:w="58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Puglisi &amp; Associates</w:t>
            </w:r>
          </w:p>
        </w:tc>
        <w:tc>
          <w:tcPr>
            <w:tcW w:w="46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64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J. Puglisi</w:t>
            </w:r>
          </w:p>
        </w:tc>
        <w:tc>
          <w:tcPr>
            <w:tcW w:w="4640" w:type="dxa"/>
            <w:vAlign w:val="bottom"/>
          </w:tcPr>
          <w:p>
            <w:pPr>
              <w:jc w:val="right"/>
              <w:ind w:right="990"/>
              <w:spacing w:after="0"/>
              <w:rPr>
                <w:sz w:val="20"/>
                <w:szCs w:val="20"/>
                <w:color w:val="auto"/>
              </w:rPr>
            </w:pPr>
            <w:r>
              <w:rPr>
                <w:rFonts w:ascii="Arial" w:cs="Arial" w:eastAsia="Arial" w:hAnsi="Arial"/>
                <w:sz w:val="18"/>
                <w:szCs w:val="18"/>
                <w:color w:val="auto"/>
                <w:w w:val="94"/>
              </w:rPr>
              <w:t>Authorized Representative in the United States</w:t>
            </w:r>
          </w:p>
        </w:tc>
        <w:tc>
          <w:tcPr>
            <w:tcW w:w="3100" w:type="dxa"/>
            <w:vAlign w:val="bottom"/>
          </w:tcPr>
          <w:p>
            <w:pPr>
              <w:ind w:left="1080"/>
              <w:spacing w:after="0"/>
              <w:rPr>
                <w:sz w:val="20"/>
                <w:szCs w:val="20"/>
                <w:color w:val="auto"/>
              </w:rPr>
            </w:pPr>
            <w:r>
              <w:rPr>
                <w:rFonts w:ascii="Arial" w:cs="Arial" w:eastAsia="Arial" w:hAnsi="Arial"/>
                <w:sz w:val="18"/>
                <w:szCs w:val="18"/>
                <w:color w:val="auto"/>
              </w:rPr>
              <w:t>July 1, 2021</w:t>
            </w:r>
          </w:p>
        </w:tc>
      </w:tr>
      <w:tr>
        <w:trPr>
          <w:trHeight w:val="195"/>
        </w:trPr>
        <w:tc>
          <w:tcPr>
            <w:tcW w:w="3500" w:type="dxa"/>
            <w:vAlign w:val="bottom"/>
          </w:tcPr>
          <w:p>
            <w:pPr>
              <w:spacing w:after="0" w:line="195" w:lineRule="exact"/>
              <w:rPr>
                <w:sz w:val="20"/>
                <w:szCs w:val="20"/>
                <w:color w:val="auto"/>
              </w:rPr>
            </w:pPr>
            <w:r>
              <w:rPr>
                <w:rFonts w:ascii="Arial" w:cs="Arial" w:eastAsia="Arial" w:hAnsi="Arial"/>
                <w:sz w:val="18"/>
                <w:szCs w:val="18"/>
                <w:color w:val="auto"/>
              </w:rPr>
              <w:t>Donald J. Puglisi</w:t>
            </w:r>
          </w:p>
        </w:tc>
        <w:tc>
          <w:tcPr>
            <w:tcW w:w="46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Managing Director, Puglisi &amp; Associates</w:t>
            </w:r>
          </w:p>
        </w:tc>
        <w:tc>
          <w:tcPr>
            <w:tcW w:w="464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4640" w:type="dxa"/>
            <w:vAlign w:val="bottom"/>
          </w:tcPr>
          <w:p>
            <w:pPr>
              <w:jc w:val="right"/>
              <w:ind w:right="2330"/>
              <w:spacing w:after="0"/>
              <w:rPr>
                <w:sz w:val="20"/>
                <w:szCs w:val="20"/>
                <w:color w:val="auto"/>
              </w:rPr>
            </w:pPr>
            <w:r>
              <w:rPr>
                <w:rFonts w:ascii="Arial" w:cs="Arial" w:eastAsia="Arial" w:hAnsi="Arial"/>
                <w:sz w:val="18"/>
                <w:szCs w:val="18"/>
                <w:color w:val="auto"/>
              </w:rPr>
              <w:t>10</w:t>
            </w:r>
          </w:p>
        </w:tc>
        <w:tc>
          <w:tcPr>
            <w:tcW w:w="3100" w:type="dxa"/>
            <w:vAlign w:val="bottom"/>
          </w:tcPr>
          <w:p>
            <w:pPr>
              <w:spacing w:after="0"/>
              <w:rPr>
                <w:sz w:val="24"/>
                <w:szCs w:val="24"/>
                <w:color w:val="auto"/>
              </w:rPr>
            </w:pPr>
          </w:p>
        </w:tc>
      </w:tr>
      <w:tr>
        <w:trPr>
          <w:trHeight w:val="290"/>
        </w:trPr>
        <w:tc>
          <w:tcPr>
            <w:tcW w:w="35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 2020 STOCK INCENTIVE PLAN</w:t>
      </w:r>
    </w:p>
    <w:p>
      <w:pPr>
        <w:spacing w:after="0" w:line="207"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60" w:right="300" w:firstLine="268"/>
        <w:spacing w:after="0" w:line="301" w:lineRule="auto"/>
        <w:tabs>
          <w:tab w:leader="none" w:pos="1412"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Plan, which was initially adopted by PRA Health Sciences, Inc., was amended and restated in its current form in connection with the transaction entered into by ICON plc (the “Company”), ICON US Holdings Inc., Indigo Merger Sub, Inc. and PRA Health Sciences, Inc., pursuant to which PRA Health Sciences, Inc. became a Subsidiary of the Company, a public limited company incorporated in Ireland, and the Plan, together with all awards granted thereunder, was assumed by the Company with effect from 1 July 2021 (the “Assumption Date”).</w:t>
      </w:r>
    </w:p>
    <w:p>
      <w:pPr>
        <w:spacing w:after="0" w:line="157" w:lineRule="exact"/>
        <w:rPr>
          <w:rFonts w:ascii="Arial" w:cs="Arial" w:eastAsia="Arial" w:hAnsi="Arial"/>
          <w:sz w:val="16"/>
          <w:szCs w:val="16"/>
          <w:color w:val="auto"/>
        </w:rPr>
      </w:pPr>
    </w:p>
    <w:p>
      <w:pPr>
        <w:jc w:val="both"/>
        <w:ind w:left="560" w:right="300" w:firstLine="268"/>
        <w:spacing w:after="0" w:line="275" w:lineRule="auto"/>
        <w:tabs>
          <w:tab w:leader="none" w:pos="1389"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purpose of the PRA Health Sciences, Inc. 2020 Stock Incentive Plan is to provide a means through 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measured by reference to the value of Common Stock, thereby strengthening their commitment to the welfare of the Company Group and aligning their interests with those of the Company’s stockholders.</w:t>
      </w:r>
    </w:p>
    <w:p>
      <w:pPr>
        <w:spacing w:after="0" w:line="172"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shall be applicable throughout the Plan.</w:t>
      </w:r>
    </w:p>
    <w:p>
      <w:pPr>
        <w:spacing w:after="0" w:line="229" w:lineRule="exact"/>
        <w:rPr>
          <w:rFonts w:ascii="Arial" w:cs="Arial" w:eastAsia="Arial" w:hAnsi="Arial"/>
          <w:sz w:val="18"/>
          <w:szCs w:val="18"/>
          <w:color w:val="auto"/>
        </w:rPr>
      </w:pPr>
    </w:p>
    <w:p>
      <w:pPr>
        <w:ind w:left="1340" w:hanging="512"/>
        <w:spacing w:after="0"/>
        <w:tabs>
          <w:tab w:leader="none" w:pos="134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Adjustment Event</w:t>
      </w:r>
      <w:r>
        <w:rPr>
          <w:rFonts w:ascii="Arial" w:cs="Arial" w:eastAsia="Arial" w:hAnsi="Arial"/>
          <w:sz w:val="18"/>
          <w:szCs w:val="18"/>
          <w:color w:val="auto"/>
        </w:rPr>
        <w:t>” has the meaning given to such term in Section 12(a) of the Plan.</w:t>
      </w:r>
    </w:p>
    <w:p>
      <w:pPr>
        <w:spacing w:after="0" w:line="225" w:lineRule="exact"/>
        <w:rPr>
          <w:rFonts w:ascii="Arial" w:cs="Arial" w:eastAsia="Arial" w:hAnsi="Arial"/>
          <w:sz w:val="18"/>
          <w:szCs w:val="18"/>
          <w:color w:val="010000"/>
        </w:rPr>
      </w:pPr>
    </w:p>
    <w:p>
      <w:pPr>
        <w:jc w:val="both"/>
        <w:ind w:left="560" w:right="300" w:firstLine="268"/>
        <w:spacing w:after="0" w:line="259" w:lineRule="auto"/>
        <w:tabs>
          <w:tab w:leader="none" w:pos="1343"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86" w:lineRule="exact"/>
        <w:rPr>
          <w:rFonts w:ascii="Arial" w:cs="Arial" w:eastAsia="Arial" w:hAnsi="Arial"/>
          <w:sz w:val="18"/>
          <w:szCs w:val="18"/>
          <w:color w:val="010000"/>
        </w:rPr>
      </w:pPr>
    </w:p>
    <w:p>
      <w:pPr>
        <w:jc w:val="both"/>
        <w:ind w:left="560" w:right="300" w:firstLine="268"/>
        <w:spacing w:after="0" w:line="259" w:lineRule="auto"/>
        <w:tabs>
          <w:tab w:leader="none" w:pos="136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and the related Shares under U.S. state and Republic of Ireland corporate laws, U.S. federal and state and non-U.S. securities laws, the Code, the rules of any stock exchange or quotation system on which the Common Stock is listed or quoted and the applicable laws of any non-U.S. country or jurisdiction where Awards are, or will be, granted under the Plan.</w:t>
      </w:r>
    </w:p>
    <w:p>
      <w:pPr>
        <w:spacing w:after="0" w:line="186" w:lineRule="exact"/>
        <w:rPr>
          <w:rFonts w:ascii="Arial" w:cs="Arial" w:eastAsia="Arial" w:hAnsi="Arial"/>
          <w:sz w:val="18"/>
          <w:szCs w:val="18"/>
          <w:color w:val="010000"/>
        </w:rPr>
      </w:pPr>
    </w:p>
    <w:p>
      <w:pPr>
        <w:ind w:left="560" w:right="300" w:firstLine="268"/>
        <w:spacing w:after="0" w:line="277" w:lineRule="auto"/>
        <w:tabs>
          <w:tab w:leader="none" w:pos="1451"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Dividend Equivalent Rights and Other Equity-Based Award granted under the Plan.</w:t>
      </w:r>
    </w:p>
    <w:p>
      <w:pPr>
        <w:spacing w:after="0" w:line="170" w:lineRule="exact"/>
        <w:rPr>
          <w:rFonts w:ascii="Arial" w:cs="Arial" w:eastAsia="Arial" w:hAnsi="Arial"/>
          <w:sz w:val="18"/>
          <w:szCs w:val="18"/>
          <w:color w:val="010000"/>
        </w:rPr>
      </w:pPr>
    </w:p>
    <w:p>
      <w:pPr>
        <w:ind w:left="1340" w:hanging="512"/>
        <w:spacing w:after="0"/>
        <w:tabs>
          <w:tab w:leader="none" w:pos="134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document or documents by which each Award is evidenced, electronically or otherwise.</w:t>
      </w:r>
    </w:p>
    <w:p>
      <w:pPr>
        <w:spacing w:after="0" w:line="225" w:lineRule="exact"/>
        <w:rPr>
          <w:rFonts w:ascii="Arial" w:cs="Arial" w:eastAsia="Arial" w:hAnsi="Arial"/>
          <w:sz w:val="18"/>
          <w:szCs w:val="18"/>
          <w:color w:val="010000"/>
        </w:rPr>
      </w:pPr>
    </w:p>
    <w:p>
      <w:pPr>
        <w:ind w:left="1320" w:hanging="492"/>
        <w:spacing w:after="0"/>
        <w:tabs>
          <w:tab w:leader="none" w:pos="132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010000"/>
        </w:rPr>
      </w:pPr>
    </w:p>
    <w:p>
      <w:pPr>
        <w:jc w:val="both"/>
        <w:ind w:left="560" w:right="300" w:firstLine="268"/>
        <w:spacing w:after="0" w:line="287" w:lineRule="auto"/>
        <w:tabs>
          <w:tab w:leader="none" w:pos="1491" w:val="left"/>
        </w:tabs>
        <w:numPr>
          <w:ilvl w:val="1"/>
          <w:numId w:val="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as to any Participant, unless the applicable Award Agreement states otherwise, (i) “Cause,” as defined in any employment or consulting agreement between the Participant and the Service Recipient in effect at the time of such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 w:name="page12"/>
    <w:bookmarkEnd w:id="11"/>
    <w:p>
      <w:pPr>
        <w:ind w:left="740" w:hanging="460"/>
        <w:spacing w:after="0"/>
        <w:tabs>
          <w:tab w:leader="none" w:pos="74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rFonts w:ascii="Arial" w:cs="Arial" w:eastAsia="Arial" w:hAnsi="Arial"/>
          <w:sz w:val="18"/>
          <w:szCs w:val="18"/>
          <w:color w:val="010000"/>
        </w:rPr>
      </w:pPr>
    </w:p>
    <w:p>
      <w:pPr>
        <w:jc w:val="both"/>
        <w:ind w:left="120" w:firstLine="642"/>
        <w:spacing w:after="0" w:line="289" w:lineRule="auto"/>
        <w:tabs>
          <w:tab w:leader="none" w:pos="1414" w:val="left"/>
        </w:tabs>
        <w:numPr>
          <w:ilvl w:val="1"/>
          <w:numId w:val="8"/>
        </w:numPr>
        <w:rPr>
          <w:rFonts w:ascii="Arial" w:cs="Arial" w:eastAsia="Arial" w:hAnsi="Arial"/>
          <w:sz w:val="16"/>
          <w:szCs w:val="16"/>
          <w:color w:val="010000"/>
        </w:rPr>
      </w:pPr>
      <w:r>
        <w:rPr>
          <w:rFonts w:ascii="Arial" w:cs="Arial" w:eastAsia="Arial" w:hAnsi="Arial"/>
          <w:sz w:val="16"/>
          <w:szCs w:val="16"/>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 outstanding Shares,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purposes of this Plan, the following acquisitions shall not constitute a Change in Control: (I) any acquisition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Affiliate of the Company; (II) any acquisition by any employee benefit plan sponsored or maintained by the Company or any Affiliate of the Company; and (III) in respect of an Award held by a particular Participant, any acquisition by the Participant or any group of Persons including the Participant (or any entity controlled by the Participant or any group of Persons including the Participant);</w:t>
      </w:r>
    </w:p>
    <w:p>
      <w:pPr>
        <w:spacing w:after="0" w:line="166" w:lineRule="exact"/>
        <w:rPr>
          <w:rFonts w:ascii="Arial" w:cs="Arial" w:eastAsia="Arial" w:hAnsi="Arial"/>
          <w:sz w:val="16"/>
          <w:szCs w:val="16"/>
          <w:color w:val="010000"/>
        </w:rPr>
      </w:pPr>
    </w:p>
    <w:p>
      <w:pPr>
        <w:jc w:val="both"/>
        <w:ind w:left="120" w:firstLine="642"/>
        <w:spacing w:after="0" w:line="290" w:lineRule="auto"/>
        <w:tabs>
          <w:tab w:leader="none" w:pos="1505" w:val="left"/>
        </w:tabs>
        <w:numPr>
          <w:ilvl w:val="1"/>
          <w:numId w:val="8"/>
        </w:numPr>
        <w:rPr>
          <w:rFonts w:ascii="Arial" w:cs="Arial" w:eastAsia="Arial" w:hAnsi="Arial"/>
          <w:sz w:val="16"/>
          <w:szCs w:val="16"/>
          <w:color w:val="010000"/>
        </w:rPr>
      </w:pPr>
      <w:r>
        <w:rPr>
          <w:rFonts w:ascii="Arial" w:cs="Arial" w:eastAsia="Arial" w:hAnsi="Arial"/>
          <w:sz w:val="16"/>
          <w:szCs w:val="16"/>
          <w:color w:val="auto"/>
        </w:rPr>
        <w:t>during any period of twelve (12) months, individuals who, at the beginning of such period, constitute the Board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Effective Date,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165" w:lineRule="exact"/>
        <w:rPr>
          <w:rFonts w:ascii="Arial" w:cs="Arial" w:eastAsia="Arial" w:hAnsi="Arial"/>
          <w:sz w:val="16"/>
          <w:szCs w:val="16"/>
          <w:color w:val="010000"/>
        </w:rPr>
      </w:pPr>
    </w:p>
    <w:p>
      <w:pPr>
        <w:ind w:left="120" w:right="40" w:firstLine="642"/>
        <w:spacing w:after="0" w:line="277" w:lineRule="auto"/>
        <w:tabs>
          <w:tab w:leader="none" w:pos="1366" w:val="left"/>
        </w:tabs>
        <w:numPr>
          <w:ilvl w:val="1"/>
          <w:numId w:val="8"/>
        </w:numPr>
        <w:rPr>
          <w:rFonts w:ascii="Arial" w:cs="Arial" w:eastAsia="Arial" w:hAnsi="Arial"/>
          <w:sz w:val="18"/>
          <w:szCs w:val="18"/>
          <w:color w:val="010000"/>
        </w:rPr>
      </w:pPr>
      <w:r>
        <w:rPr>
          <w:rFonts w:ascii="Arial" w:cs="Arial" w:eastAsia="Arial" w:hAnsi="Arial"/>
          <w:sz w:val="18"/>
          <w:szCs w:val="18"/>
          <w:color w:val="auto"/>
        </w:rPr>
        <w:t>the sale, transfer or other disposition of all or substantially all of the assets of the Company Group (taken as a whole) to any Person that is not an Affiliate of the Company.</w:t>
      </w:r>
    </w:p>
    <w:p>
      <w:pPr>
        <w:spacing w:after="0" w:line="170" w:lineRule="exact"/>
        <w:rPr>
          <w:sz w:val="20"/>
          <w:szCs w:val="20"/>
          <w:color w:val="auto"/>
        </w:rPr>
      </w:pPr>
    </w:p>
    <w:p>
      <w:pPr>
        <w:jc w:val="both"/>
        <w:ind w:left="100" w:right="40" w:firstLine="738"/>
        <w:spacing w:after="0" w:line="293" w:lineRule="auto"/>
        <w:rPr>
          <w:sz w:val="20"/>
          <w:szCs w:val="20"/>
          <w:color w:val="auto"/>
        </w:rPr>
      </w:pPr>
      <w:r>
        <w:rPr>
          <w:rFonts w:ascii="Arial" w:cs="Arial" w:eastAsia="Arial" w:hAnsi="Arial"/>
          <w:sz w:val="16"/>
          <w:szCs w:val="16"/>
          <w:color w:val="auto"/>
        </w:rPr>
        <w:t>Notwithstanding anything to the contrary in the foregoing, a transaction shall not constitute a Change in Control if it is effected for the purpose of changing the place of incorporation or form of organization of the ultimate parent entity (including where the Company is succeeded by an issuer incorporated under the laws of another state, country or foreign government for such purpose and whether or not the Company remains in existence following such transaction) where all or substantially all of the persons or group that beneficially own all or substantially all of the combined voting power of the Company’s voting securities immediately prior to the transaction beneficially own all or substantially all of the combined voting power of the Company in substantially the same proportions of their ownership after the transaction.</w:t>
      </w:r>
    </w:p>
    <w:p>
      <w:pPr>
        <w:spacing w:after="0" w:line="164" w:lineRule="exact"/>
        <w:rPr>
          <w:sz w:val="20"/>
          <w:szCs w:val="20"/>
          <w:color w:val="auto"/>
        </w:rPr>
      </w:pPr>
    </w:p>
    <w:p>
      <w:pPr>
        <w:ind w:left="760" w:hanging="492"/>
        <w:spacing w:after="0"/>
        <w:tabs>
          <w:tab w:leader="none" w:pos="76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Consideration</w:t>
      </w:r>
      <w:r>
        <w:rPr>
          <w:rFonts w:ascii="Arial" w:cs="Arial" w:eastAsia="Arial" w:hAnsi="Arial"/>
          <w:sz w:val="18"/>
          <w:szCs w:val="18"/>
          <w:color w:val="auto"/>
        </w:rPr>
        <w:t>” has the meaning given to such term in Section 12(b) of the Plan.</w:t>
      </w:r>
    </w:p>
    <w:p>
      <w:pPr>
        <w:spacing w:after="0" w:line="225" w:lineRule="exact"/>
        <w:rPr>
          <w:rFonts w:ascii="Arial" w:cs="Arial" w:eastAsia="Arial" w:hAnsi="Arial"/>
          <w:sz w:val="18"/>
          <w:szCs w:val="18"/>
          <w:color w:val="010000"/>
        </w:rPr>
      </w:pPr>
    </w:p>
    <w:p>
      <w:pPr>
        <w:jc w:val="both"/>
        <w:ind w:firstLine="268"/>
        <w:spacing w:after="0" w:line="263" w:lineRule="auto"/>
        <w:tabs>
          <w:tab w:leader="none" w:pos="77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12" w:name="page13"/>
    <w:bookmarkEnd w:id="12"/>
    <w:p>
      <w:pPr>
        <w:ind w:firstLine="268"/>
        <w:spacing w:after="0" w:line="277" w:lineRule="auto"/>
        <w:tabs>
          <w:tab w:leader="none" w:pos="796"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other committee comprised of members of the Board, or any properly delegated subcommittee thereof or, if no such committee or subcommittee thereof exists, the Board.</w:t>
      </w:r>
    </w:p>
    <w:p>
      <w:pPr>
        <w:spacing w:after="0" w:line="170" w:lineRule="exact"/>
        <w:rPr>
          <w:rFonts w:ascii="Arial" w:cs="Arial" w:eastAsia="Arial" w:hAnsi="Arial"/>
          <w:sz w:val="18"/>
          <w:szCs w:val="18"/>
          <w:color w:val="010000"/>
        </w:rPr>
      </w:pPr>
    </w:p>
    <w:p>
      <w:pPr>
        <w:ind w:firstLine="268"/>
        <w:spacing w:after="0" w:line="277" w:lineRule="auto"/>
        <w:tabs>
          <w:tab w:leader="none" w:pos="81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“Share</w:t>
      </w:r>
      <w:r>
        <w:rPr>
          <w:rFonts w:ascii="Arial" w:cs="Arial" w:eastAsia="Arial" w:hAnsi="Arial"/>
          <w:sz w:val="18"/>
          <w:szCs w:val="18"/>
          <w:color w:val="auto"/>
        </w:rPr>
        <w:t>” means ordinary shares in the capital of the Company (or ordinary shares as represented by American Depository Shares and as evidenced by American Depository Receipts).</w:t>
      </w:r>
    </w:p>
    <w:p>
      <w:pPr>
        <w:spacing w:after="0" w:line="170" w:lineRule="exact"/>
        <w:rPr>
          <w:rFonts w:ascii="Arial" w:cs="Arial" w:eastAsia="Arial" w:hAnsi="Arial"/>
          <w:sz w:val="18"/>
          <w:szCs w:val="18"/>
          <w:color w:val="010000"/>
        </w:rPr>
      </w:pPr>
    </w:p>
    <w:p>
      <w:pPr>
        <w:ind w:left="840" w:hanging="572"/>
        <w:spacing w:after="0"/>
        <w:tabs>
          <w:tab w:leader="none" w:pos="84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ICON plc, a public limited company incorporated in Ireland, and any successor thereto.</w:t>
      </w:r>
    </w:p>
    <w:p>
      <w:pPr>
        <w:spacing w:after="0" w:line="225" w:lineRule="exact"/>
        <w:rPr>
          <w:rFonts w:ascii="Arial" w:cs="Arial" w:eastAsia="Arial" w:hAnsi="Arial"/>
          <w:sz w:val="18"/>
          <w:szCs w:val="18"/>
          <w:color w:val="010000"/>
        </w:rPr>
      </w:pPr>
    </w:p>
    <w:p>
      <w:pPr>
        <w:ind w:firstLine="268"/>
        <w:spacing w:after="0" w:line="277" w:lineRule="auto"/>
        <w:tabs>
          <w:tab w:leader="none" w:pos="85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means, collectively, the Company and its Subsidiaries, and any other Affiliate of the Company designated as a member of the Company Group by the Committee.</w:t>
      </w:r>
    </w:p>
    <w:p>
      <w:pPr>
        <w:spacing w:after="0" w:line="170" w:lineRule="exact"/>
        <w:rPr>
          <w:rFonts w:ascii="Arial" w:cs="Arial" w:eastAsia="Arial" w:hAnsi="Arial"/>
          <w:sz w:val="18"/>
          <w:szCs w:val="18"/>
          <w:color w:val="010000"/>
        </w:rPr>
      </w:pPr>
    </w:p>
    <w:p>
      <w:pPr>
        <w:ind w:left="800" w:hanging="532"/>
        <w:spacing w:after="0"/>
        <w:tabs>
          <w:tab w:leader="none" w:pos="8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Continuing Entity</w:t>
      </w:r>
      <w:r>
        <w:rPr>
          <w:rFonts w:ascii="Arial" w:cs="Arial" w:eastAsia="Arial" w:hAnsi="Arial"/>
          <w:sz w:val="18"/>
          <w:szCs w:val="18"/>
          <w:color w:val="auto"/>
        </w:rPr>
        <w:t>” has the meaning given to such term in Section 12(b) of the Plan.</w:t>
      </w:r>
    </w:p>
    <w:p>
      <w:pPr>
        <w:spacing w:after="0" w:line="225" w:lineRule="exact"/>
        <w:rPr>
          <w:rFonts w:ascii="Arial" w:cs="Arial" w:eastAsia="Arial" w:hAnsi="Arial"/>
          <w:sz w:val="18"/>
          <w:szCs w:val="18"/>
          <w:color w:val="010000"/>
        </w:rPr>
      </w:pPr>
    </w:p>
    <w:p>
      <w:pPr>
        <w:ind w:firstLine="268"/>
        <w:spacing w:after="0" w:line="277" w:lineRule="auto"/>
        <w:tabs>
          <w:tab w:leader="none" w:pos="877"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the granting of an Award is authorized, or such later date as may be specified in such authorization.</w:t>
      </w:r>
    </w:p>
    <w:p>
      <w:pPr>
        <w:spacing w:after="0" w:line="170" w:lineRule="exact"/>
        <w:rPr>
          <w:rFonts w:ascii="Arial" w:cs="Arial" w:eastAsia="Arial" w:hAnsi="Arial"/>
          <w:sz w:val="18"/>
          <w:szCs w:val="18"/>
          <w:color w:val="010000"/>
        </w:rPr>
      </w:pPr>
    </w:p>
    <w:p>
      <w:pPr>
        <w:ind w:firstLine="268"/>
        <w:spacing w:after="0" w:line="277" w:lineRule="auto"/>
        <w:tabs>
          <w:tab w:leader="none" w:pos="823"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means all members of the Company Group that are organized under the laws of any jurisdiction other than the United States of America that may be designated by the Board or the Committee from time to time.</w:t>
      </w:r>
    </w:p>
    <w:p>
      <w:pPr>
        <w:spacing w:after="0" w:line="170" w:lineRule="exact"/>
        <w:rPr>
          <w:rFonts w:ascii="Arial" w:cs="Arial" w:eastAsia="Arial" w:hAnsi="Arial"/>
          <w:sz w:val="18"/>
          <w:szCs w:val="18"/>
          <w:color w:val="010000"/>
        </w:rPr>
      </w:pPr>
    </w:p>
    <w:p>
      <w:pPr>
        <w:jc w:val="both"/>
        <w:ind w:firstLine="268"/>
        <w:spacing w:after="0" w:line="259" w:lineRule="auto"/>
        <w:tabs>
          <w:tab w:leader="none" w:pos="78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or (iii) a breach by the Participant of any noncompetition, nonsolicitation, or other agreement containing restrictive covenants with any member of the Company Group.</w:t>
      </w:r>
    </w:p>
    <w:p>
      <w:pPr>
        <w:spacing w:after="0" w:line="186" w:lineRule="exact"/>
        <w:rPr>
          <w:rFonts w:ascii="Arial" w:cs="Arial" w:eastAsia="Arial" w:hAnsi="Arial"/>
          <w:sz w:val="18"/>
          <w:szCs w:val="18"/>
          <w:color w:val="010000"/>
        </w:rPr>
      </w:pPr>
    </w:p>
    <w:p>
      <w:pPr>
        <w:ind w:left="780" w:hanging="512"/>
        <w:spacing w:after="0"/>
        <w:tabs>
          <w:tab w:leader="none" w:pos="78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Director Award</w:t>
      </w:r>
      <w:r>
        <w:rPr>
          <w:rFonts w:ascii="Arial" w:cs="Arial" w:eastAsia="Arial" w:hAnsi="Arial"/>
          <w:sz w:val="18"/>
          <w:szCs w:val="18"/>
          <w:color w:val="auto"/>
        </w:rPr>
        <w:t>” has the meaning given to such term</w:t>
      </w:r>
    </w:p>
    <w:p>
      <w:pPr>
        <w:spacing w:after="0" w:line="225" w:lineRule="exact"/>
        <w:rPr>
          <w:rFonts w:ascii="Arial" w:cs="Arial" w:eastAsia="Arial" w:hAnsi="Arial"/>
          <w:sz w:val="18"/>
          <w:szCs w:val="18"/>
          <w:color w:val="010000"/>
        </w:rPr>
      </w:pPr>
    </w:p>
    <w:p>
      <w:pPr>
        <w:jc w:val="both"/>
        <w:ind w:firstLine="268"/>
        <w:spacing w:after="0" w:line="287" w:lineRule="auto"/>
        <w:tabs>
          <w:tab w:leader="none" w:pos="756"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as to any Participant, unless the applicable Award Agreement states otherwise, (i) “Disability,” as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occupation at which the Participant was employed or served when such disability commenced. Any determination of whether Disability exists in the absence of a long-term disability plan shall be made by the Company (or its designee) in its sole and absolute discretion. Notwithstanding the foregoing, (a) for purposes of Incentive Stock Options granted under the Plan, “Disability” means that the Participant is disabled within the meaning of Section 22(e)(3) of the Code, and (b) with respect to an Award that is subject to Section 409A of the Code where the payment or settlement of the Award will accelerate as a result of the Participant’s Disability, solely for purposes of determining the timing of payment, no such event will constitute a Disability for purposes of the Plan or any Award Agreement unless such event also constitutes a “disability” as defined under Section 409A of the Code.</w:t>
      </w:r>
    </w:p>
    <w:p>
      <w:pPr>
        <w:spacing w:after="0" w:line="167" w:lineRule="exact"/>
        <w:rPr>
          <w:rFonts w:ascii="Arial" w:cs="Arial" w:eastAsia="Arial" w:hAnsi="Arial"/>
          <w:sz w:val="16"/>
          <w:szCs w:val="16"/>
          <w:color w:val="010000"/>
        </w:rPr>
      </w:pPr>
    </w:p>
    <w:p>
      <w:pPr>
        <w:ind w:firstLine="268"/>
        <w:spacing w:after="0" w:line="308" w:lineRule="auto"/>
        <w:tabs>
          <w:tab w:leader="none" w:pos="85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Dividend Equivalent Right</w:t>
      </w:r>
      <w:r>
        <w:rPr>
          <w:rFonts w:ascii="Arial" w:cs="Arial" w:eastAsia="Arial" w:hAnsi="Arial"/>
          <w:sz w:val="17"/>
          <w:szCs w:val="17"/>
          <w:color w:val="auto"/>
        </w:rPr>
        <w:t>” means a right to receive the equivalent value of dividends paid on the Shares with respect to Shares underlying an Award that is a full-value award prior to settlement of the Award in accordance with the provision of Section 14(c).</w:t>
      </w:r>
    </w:p>
    <w:p>
      <w:pPr>
        <w:spacing w:after="0" w:line="146" w:lineRule="exact"/>
        <w:rPr>
          <w:rFonts w:ascii="Arial" w:cs="Arial" w:eastAsia="Arial" w:hAnsi="Arial"/>
          <w:sz w:val="17"/>
          <w:szCs w:val="17"/>
          <w:color w:val="010000"/>
        </w:rPr>
      </w:pPr>
    </w:p>
    <w:p>
      <w:pPr>
        <w:ind w:left="800" w:hanging="532"/>
        <w:spacing w:after="0"/>
        <w:tabs>
          <w:tab w:leader="none" w:pos="8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May 18, 2020.</w:t>
      </w:r>
    </w:p>
    <w:p>
      <w:pPr>
        <w:spacing w:after="0" w:line="200" w:lineRule="exact"/>
        <w:rPr>
          <w:sz w:val="20"/>
          <w:szCs w:val="20"/>
          <w:color w:val="auto"/>
        </w:rPr>
      </w:pPr>
    </w:p>
    <w:p>
      <w:pPr>
        <w:spacing w:after="0" w:line="22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28" w:right="639" w:bottom="1440" w:gutter="0" w:footer="0" w:header="0"/>
        </w:sectPr>
      </w:pPr>
    </w:p>
    <w:bookmarkStart w:id="13" w:name="page14"/>
    <w:bookmarkEnd w:id="13"/>
    <w:p>
      <w:pPr>
        <w:jc w:val="both"/>
        <w:ind w:firstLine="268"/>
        <w:spacing w:after="0" w:line="293" w:lineRule="auto"/>
        <w:tabs>
          <w:tab w:leader="none" w:pos="899"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xml:space="preserve">” means any (i) individual employed by any member of the Company Group;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Plan.</w:t>
      </w:r>
    </w:p>
    <w:p>
      <w:pPr>
        <w:spacing w:after="0" w:line="164" w:lineRule="exact"/>
        <w:rPr>
          <w:rFonts w:ascii="Arial" w:cs="Arial" w:eastAsia="Arial" w:hAnsi="Arial"/>
          <w:sz w:val="16"/>
          <w:szCs w:val="16"/>
          <w:color w:val="010000"/>
        </w:rPr>
      </w:pPr>
    </w:p>
    <w:p>
      <w:pPr>
        <w:jc w:val="both"/>
        <w:ind w:firstLine="268"/>
        <w:spacing w:after="0" w:line="311" w:lineRule="auto"/>
        <w:tabs>
          <w:tab w:leader="none" w:pos="823"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48" w:lineRule="exact"/>
        <w:rPr>
          <w:rFonts w:ascii="Arial" w:cs="Arial" w:eastAsia="Arial" w:hAnsi="Arial"/>
          <w:sz w:val="16"/>
          <w:szCs w:val="16"/>
          <w:color w:val="010000"/>
        </w:rPr>
      </w:pPr>
    </w:p>
    <w:p>
      <w:pPr>
        <w:ind w:left="800" w:hanging="532"/>
        <w:spacing w:after="0"/>
        <w:tabs>
          <w:tab w:leader="none" w:pos="8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given to such term in Section 7(b) of the Plan.</w:t>
      </w:r>
    </w:p>
    <w:p>
      <w:pPr>
        <w:spacing w:after="0" w:line="225" w:lineRule="exact"/>
        <w:rPr>
          <w:rFonts w:ascii="Arial" w:cs="Arial" w:eastAsia="Arial" w:hAnsi="Arial"/>
          <w:sz w:val="18"/>
          <w:szCs w:val="18"/>
          <w:color w:val="010000"/>
        </w:rPr>
      </w:pPr>
    </w:p>
    <w:p>
      <w:pPr>
        <w:jc w:val="both"/>
        <w:ind w:firstLine="268"/>
        <w:spacing w:after="0" w:line="263" w:lineRule="auto"/>
        <w:tabs>
          <w:tab w:leader="none" w:pos="8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fair market value of a Share, as reasonably determined by the Company, which may include, without limitation, the closing sales price on the trading day immediately prior to or on such date, or a trailing average of previous closing prices prior to such date.</w:t>
      </w:r>
    </w:p>
    <w:p>
      <w:pPr>
        <w:spacing w:after="0" w:line="184" w:lineRule="exact"/>
        <w:rPr>
          <w:sz w:val="20"/>
          <w:szCs w:val="20"/>
          <w:color w:val="auto"/>
        </w:rPr>
      </w:pPr>
    </w:p>
    <w:p>
      <w:pPr>
        <w:ind w:left="780" w:hanging="512"/>
        <w:spacing w:after="0"/>
        <w:tabs>
          <w:tab w:leader="none" w:pos="78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given to such term in Section 7(d) of the Plan.</w:t>
      </w:r>
    </w:p>
    <w:p>
      <w:pPr>
        <w:spacing w:after="0" w:line="225" w:lineRule="exact"/>
        <w:rPr>
          <w:rFonts w:ascii="Arial" w:cs="Arial" w:eastAsia="Arial" w:hAnsi="Arial"/>
          <w:sz w:val="18"/>
          <w:szCs w:val="18"/>
          <w:color w:val="010000"/>
        </w:rPr>
      </w:pPr>
    </w:p>
    <w:p>
      <w:pPr>
        <w:jc w:val="both"/>
        <w:ind w:firstLine="268"/>
        <w:spacing w:after="0" w:line="270" w:lineRule="auto"/>
        <w:tabs>
          <w:tab w:leader="none" w:pos="783"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Grant Date Fair Market Value</w:t>
      </w:r>
      <w:r>
        <w:rPr>
          <w:rFonts w:ascii="Arial" w:cs="Arial" w:eastAsia="Arial" w:hAnsi="Arial"/>
          <w:sz w:val="17"/>
          <w:szCs w:val="17"/>
          <w:color w:val="auto"/>
        </w:rPr>
        <w:t>” means, as of a Date of Grant,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acting in good faith, under a reasonable methodology and reasonable application in compliance with Section 409A of the Code to the extent such determination is necessary for Awards under the Plan to comply with, or be exempt from, Section 409A of the Code.</w:t>
      </w:r>
    </w:p>
    <w:p>
      <w:pPr>
        <w:spacing w:after="0" w:line="180" w:lineRule="exact"/>
        <w:rPr>
          <w:rFonts w:ascii="Arial" w:cs="Arial" w:eastAsia="Arial" w:hAnsi="Arial"/>
          <w:sz w:val="17"/>
          <w:szCs w:val="17"/>
          <w:color w:val="010000"/>
        </w:rPr>
      </w:pPr>
    </w:p>
    <w:p>
      <w:pPr>
        <w:ind w:left="780" w:hanging="512"/>
        <w:spacing w:after="0"/>
        <w:tabs>
          <w:tab w:leader="none" w:pos="78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given to such term in Section 14(b) of the Plan.</w:t>
      </w:r>
    </w:p>
    <w:p>
      <w:pPr>
        <w:spacing w:after="0" w:line="225" w:lineRule="exact"/>
        <w:rPr>
          <w:rFonts w:ascii="Arial" w:cs="Arial" w:eastAsia="Arial" w:hAnsi="Arial"/>
          <w:sz w:val="18"/>
          <w:szCs w:val="18"/>
          <w:color w:val="010000"/>
        </w:rPr>
      </w:pPr>
    </w:p>
    <w:p>
      <w:pPr>
        <w:ind w:firstLine="268"/>
        <w:spacing w:after="0" w:line="277" w:lineRule="auto"/>
        <w:tabs>
          <w:tab w:leader="none" w:pos="738"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is designated by the Committee as an incentive stock option as described in Section 422 of the Code and otherwise meets the requirements set forth in the Plan.</w:t>
      </w:r>
    </w:p>
    <w:p>
      <w:pPr>
        <w:spacing w:after="0" w:line="170" w:lineRule="exact"/>
        <w:rPr>
          <w:rFonts w:ascii="Arial" w:cs="Arial" w:eastAsia="Arial" w:hAnsi="Arial"/>
          <w:sz w:val="18"/>
          <w:szCs w:val="18"/>
          <w:color w:val="010000"/>
        </w:rPr>
      </w:pPr>
    </w:p>
    <w:p>
      <w:pPr>
        <w:ind w:left="780" w:hanging="512"/>
        <w:spacing w:after="0"/>
        <w:tabs>
          <w:tab w:leader="none" w:pos="78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given to such term in Section 4(e) of the Plan.</w:t>
      </w:r>
    </w:p>
    <w:p>
      <w:pPr>
        <w:spacing w:after="0" w:line="225" w:lineRule="exact"/>
        <w:rPr>
          <w:rFonts w:ascii="Arial" w:cs="Arial" w:eastAsia="Arial" w:hAnsi="Arial"/>
          <w:sz w:val="18"/>
          <w:szCs w:val="18"/>
          <w:color w:val="010000"/>
        </w:rPr>
      </w:pPr>
    </w:p>
    <w:p>
      <w:pPr>
        <w:jc w:val="both"/>
        <w:ind w:firstLine="268"/>
        <w:spacing w:after="0" w:line="293" w:lineRule="auto"/>
        <w:tabs>
          <w:tab w:leader="none" w:pos="778" w:val="left"/>
        </w:tabs>
        <w:numPr>
          <w:ilvl w:val="0"/>
          <w:numId w:val="12"/>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Minimum Vesting Condition</w:t>
      </w:r>
      <w:r>
        <w:rPr>
          <w:rFonts w:ascii="Arial" w:cs="Arial" w:eastAsia="Arial" w:hAnsi="Arial"/>
          <w:sz w:val="16"/>
          <w:szCs w:val="16"/>
          <w:color w:val="auto"/>
        </w:rPr>
        <w:t>” means, with respect to any Award, that vesting of (or lapsing of restrictions on) such Award does not occur prior to the first anniversary of the Date of Grant (or the date of commencement of employment or service, in the case of a grant made in connection with a Participant’s commencement of employment or service), other than (i) in connection with a Change in Control, as provided in Section 12(b) hereof, or (ii) as a result of a Participant’s death or Disability; provided, however, that an Award need not be subject to such condition so long as the number of Shares underlying such Award, together with the number of Shares underlying any other Award granted without being subject to such condition does not exceed 5% of the Plan Share Reserve (the “</w:t>
      </w:r>
      <w:r>
        <w:rPr>
          <w:rFonts w:ascii="Arial" w:cs="Arial" w:eastAsia="Arial" w:hAnsi="Arial"/>
          <w:sz w:val="16"/>
          <w:szCs w:val="16"/>
          <w:u w:val="single" w:color="auto"/>
          <w:color w:val="auto"/>
        </w:rPr>
        <w:t>Minimum Vesting Condition Carve Out Amount</w:t>
      </w:r>
      <w:r>
        <w:rPr>
          <w:rFonts w:ascii="Arial" w:cs="Arial" w:eastAsia="Arial" w:hAnsi="Arial"/>
          <w:sz w:val="16"/>
          <w:szCs w:val="16"/>
          <w:color w:val="auto"/>
        </w:rPr>
        <w:t>”).</w:t>
      </w:r>
    </w:p>
    <w:p>
      <w:pPr>
        <w:spacing w:after="0" w:line="3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14" w:name="page15"/>
    <w:bookmarkEnd w:id="14"/>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Minimum Vesting Condition Carve Out Amount</w:t>
      </w:r>
      <w:r>
        <w:rPr>
          <w:rFonts w:ascii="Arial" w:cs="Arial" w:eastAsia="Arial" w:hAnsi="Arial"/>
          <w:sz w:val="18"/>
          <w:szCs w:val="18"/>
          <w:color w:val="auto"/>
        </w:rPr>
        <w:t>” has the meaning given to such term in Section 2(ff) of the Plan.</w:t>
      </w:r>
    </w:p>
    <w:p>
      <w:pPr>
        <w:spacing w:after="0" w:line="225"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any member of the Company Group.</w:t>
      </w:r>
    </w:p>
    <w:p>
      <w:pPr>
        <w:spacing w:after="0" w:line="225" w:lineRule="exact"/>
        <w:rPr>
          <w:rFonts w:ascii="Arial" w:cs="Arial" w:eastAsia="Arial" w:hAnsi="Arial"/>
          <w:sz w:val="18"/>
          <w:szCs w:val="18"/>
          <w:color w:val="010000"/>
        </w:rPr>
      </w:pPr>
    </w:p>
    <w:p>
      <w:pPr>
        <w:ind w:firstLine="268"/>
        <w:spacing w:after="0" w:line="277" w:lineRule="auto"/>
        <w:tabs>
          <w:tab w:leader="none" w:pos="955"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designated by the Committee, or otherwise fails to qualify, as an Incentive Stock Option.</w:t>
      </w:r>
    </w:p>
    <w:p>
      <w:pPr>
        <w:spacing w:after="0" w:line="170" w:lineRule="exact"/>
        <w:rPr>
          <w:rFonts w:ascii="Arial" w:cs="Arial" w:eastAsia="Arial" w:hAnsi="Arial"/>
          <w:sz w:val="18"/>
          <w:szCs w:val="18"/>
          <w:color w:val="010000"/>
        </w:rPr>
      </w:pPr>
    </w:p>
    <w:p>
      <w:pPr>
        <w:ind w:left="800" w:hanging="532"/>
        <w:spacing w:after="0"/>
        <w:tabs>
          <w:tab w:leader="none" w:pos="80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225" w:lineRule="exact"/>
        <w:rPr>
          <w:rFonts w:ascii="Arial" w:cs="Arial" w:eastAsia="Arial" w:hAnsi="Arial"/>
          <w:sz w:val="18"/>
          <w:szCs w:val="18"/>
          <w:color w:val="010000"/>
        </w:rPr>
      </w:pPr>
    </w:p>
    <w:p>
      <w:pPr>
        <w:ind w:left="800" w:hanging="532"/>
        <w:spacing w:after="0"/>
        <w:tabs>
          <w:tab w:leader="none" w:pos="80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given to such term in Section 7(c) of the Plan.</w:t>
      </w:r>
    </w:p>
    <w:p>
      <w:pPr>
        <w:spacing w:after="0" w:line="225" w:lineRule="exact"/>
        <w:rPr>
          <w:rFonts w:ascii="Arial" w:cs="Arial" w:eastAsia="Arial" w:hAnsi="Arial"/>
          <w:sz w:val="18"/>
          <w:szCs w:val="18"/>
          <w:color w:val="010000"/>
        </w:rPr>
      </w:pPr>
    </w:p>
    <w:p>
      <w:pPr>
        <w:ind w:firstLine="268"/>
        <w:spacing w:after="0" w:line="342" w:lineRule="auto"/>
        <w:tabs>
          <w:tab w:leader="none" w:pos="806"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Other Equity-Based Award</w:t>
      </w:r>
      <w:r>
        <w:rPr>
          <w:rFonts w:ascii="Arial" w:cs="Arial" w:eastAsia="Arial" w:hAnsi="Arial"/>
          <w:sz w:val="16"/>
          <w:szCs w:val="16"/>
          <w:color w:val="auto"/>
        </w:rPr>
        <w:t>” means an Award that is not an Option, Restricted Stock or Restricted Stock Unit, that is granted under Section 10 of the Plan and is (i) payable by delivery of Common Stock, and/or (ii) measured by reference to the value of Common Stock.</w:t>
      </w:r>
    </w:p>
    <w:p>
      <w:pPr>
        <w:spacing w:after="0" w:line="123" w:lineRule="exact"/>
        <w:rPr>
          <w:rFonts w:ascii="Arial" w:cs="Arial" w:eastAsia="Arial" w:hAnsi="Arial"/>
          <w:sz w:val="16"/>
          <w:szCs w:val="16"/>
          <w:color w:val="010000"/>
        </w:rPr>
      </w:pPr>
    </w:p>
    <w:p>
      <w:pPr>
        <w:ind w:firstLine="268"/>
        <w:spacing w:after="0" w:line="277" w:lineRule="auto"/>
        <w:tabs>
          <w:tab w:leader="none" w:pos="806"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who has been selected by the Committee to participate in the Plan and has been granted an Award pursuant to the Plan.</w:t>
      </w:r>
    </w:p>
    <w:p>
      <w:pPr>
        <w:spacing w:after="0" w:line="170"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has the meaning given to such term in Section 12(b) of the Plan.</w:t>
      </w:r>
    </w:p>
    <w:p>
      <w:pPr>
        <w:spacing w:after="0" w:line="225"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given to such term in Section 14(b) of the Plan.</w:t>
      </w:r>
    </w:p>
    <w:p>
      <w:pPr>
        <w:spacing w:after="0" w:line="225"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225" w:lineRule="exact"/>
        <w:rPr>
          <w:rFonts w:ascii="Arial" w:cs="Arial" w:eastAsia="Arial" w:hAnsi="Arial"/>
          <w:sz w:val="18"/>
          <w:szCs w:val="18"/>
          <w:color w:val="010000"/>
        </w:rPr>
      </w:pPr>
    </w:p>
    <w:p>
      <w:pPr>
        <w:ind w:left="740" w:hanging="472"/>
        <w:spacing w:after="0"/>
        <w:tabs>
          <w:tab w:leader="none" w:pos="740"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PRA Health Sciences, Inc. 2020 Stock Incentive Plan, as it may be amended and/or restated from time to time.</w:t>
      </w:r>
    </w:p>
    <w:p>
      <w:pPr>
        <w:spacing w:after="0" w:line="248" w:lineRule="exact"/>
        <w:rPr>
          <w:rFonts w:ascii="Arial" w:cs="Arial" w:eastAsia="Arial" w:hAnsi="Arial"/>
          <w:sz w:val="16"/>
          <w:szCs w:val="16"/>
          <w:color w:val="010000"/>
        </w:rPr>
      </w:pPr>
    </w:p>
    <w:p>
      <w:pPr>
        <w:ind w:left="780" w:hanging="512"/>
        <w:spacing w:after="0"/>
        <w:tabs>
          <w:tab w:leader="none" w:pos="78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Plan Share Reserve</w:t>
      </w:r>
      <w:r>
        <w:rPr>
          <w:rFonts w:ascii="Arial" w:cs="Arial" w:eastAsia="Arial" w:hAnsi="Arial"/>
          <w:sz w:val="18"/>
          <w:szCs w:val="18"/>
          <w:color w:val="auto"/>
        </w:rPr>
        <w:t>” has the meaning given to such term in Section 5(b) of the Plan.</w:t>
      </w:r>
    </w:p>
    <w:p>
      <w:pPr>
        <w:spacing w:after="0" w:line="225" w:lineRule="exact"/>
        <w:rPr>
          <w:rFonts w:ascii="Arial" w:cs="Arial" w:eastAsia="Arial" w:hAnsi="Arial"/>
          <w:sz w:val="18"/>
          <w:szCs w:val="18"/>
          <w:color w:val="010000"/>
        </w:rPr>
      </w:pPr>
    </w:p>
    <w:p>
      <w:pPr>
        <w:ind w:left="760" w:hanging="492"/>
        <w:spacing w:after="0"/>
        <w:tabs>
          <w:tab w:leader="none" w:pos="76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Prior Plans</w:t>
      </w:r>
      <w:r>
        <w:rPr>
          <w:rFonts w:ascii="Arial" w:cs="Arial" w:eastAsia="Arial" w:hAnsi="Arial"/>
          <w:sz w:val="18"/>
          <w:szCs w:val="18"/>
          <w:color w:val="auto"/>
        </w:rPr>
        <w:t>” means the 2018 PRA Health Sciences Inc. Stock Incentive Plan.</w:t>
      </w:r>
    </w:p>
    <w:p>
      <w:pPr>
        <w:spacing w:after="0" w:line="225" w:lineRule="exact"/>
        <w:rPr>
          <w:rFonts w:ascii="Arial" w:cs="Arial" w:eastAsia="Arial" w:hAnsi="Arial"/>
          <w:sz w:val="18"/>
          <w:szCs w:val="18"/>
          <w:color w:val="010000"/>
        </w:rPr>
      </w:pPr>
    </w:p>
    <w:p>
      <w:pPr>
        <w:jc w:val="both"/>
        <w:ind w:firstLine="268"/>
        <w:spacing w:after="0" w:line="263" w:lineRule="auto"/>
        <w:tabs>
          <w:tab w:leader="none" w:pos="856"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Qualifying Director</w:t>
      </w:r>
      <w:r>
        <w:rPr>
          <w:rFonts w:ascii="Arial" w:cs="Arial" w:eastAsia="Arial" w:hAnsi="Arial"/>
          <w:sz w:val="18"/>
          <w:szCs w:val="18"/>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83" w:lineRule="exact"/>
        <w:rPr>
          <w:rFonts w:ascii="Arial" w:cs="Arial" w:eastAsia="Arial" w:hAnsi="Arial"/>
          <w:sz w:val="18"/>
          <w:szCs w:val="18"/>
          <w:color w:val="010000"/>
        </w:rPr>
      </w:pPr>
    </w:p>
    <w:p>
      <w:pPr>
        <w:ind w:left="760" w:hanging="492"/>
        <w:spacing w:after="0"/>
        <w:tabs>
          <w:tab w:leader="none" w:pos="760" w:val="left"/>
        </w:tabs>
        <w:numPr>
          <w:ilvl w:val="1"/>
          <w:numId w:val="1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means a Termination (i) by the Service Recipient other than for Cause, (ii) by the Participant as a result of</w:t>
      </w:r>
    </w:p>
    <w:p>
      <w:pPr>
        <w:spacing w:after="0" w:line="46" w:lineRule="exact"/>
        <w:rPr>
          <w:rFonts w:ascii="Arial" w:cs="Arial" w:eastAsia="Arial" w:hAnsi="Arial"/>
          <w:sz w:val="16"/>
          <w:szCs w:val="16"/>
          <w:color w:val="010000"/>
        </w:rPr>
      </w:pPr>
    </w:p>
    <w:p>
      <w:pPr>
        <w:jc w:val="both"/>
        <w:ind w:firstLine="10"/>
        <w:spacing w:after="0" w:line="253"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material diminution in compensation, (B)a material reduction in duties or responsibilities, or (C) a relocation by the Service Recipient of the Participant’s principal place of employment or providing services by more than fifty (50) miles from the then-current location, or (iii) by reason of such Participant’s death or Disability, in each case on or within a twelve (12) months following a Change in Control, or such other period as specified by the Committee.</w:t>
      </w:r>
    </w:p>
    <w:p>
      <w:pPr>
        <w:spacing w:after="0" w:line="192" w:lineRule="exact"/>
        <w:rPr>
          <w:rFonts w:ascii="Arial" w:cs="Arial" w:eastAsia="Arial" w:hAnsi="Arial"/>
          <w:sz w:val="18"/>
          <w:szCs w:val="18"/>
          <w:color w:val="auto"/>
        </w:rPr>
      </w:pPr>
    </w:p>
    <w:p>
      <w:pPr>
        <w:ind w:firstLine="268"/>
        <w:spacing w:after="0" w:line="277" w:lineRule="auto"/>
        <w:tabs>
          <w:tab w:leader="none" w:pos="859"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of time determined by the Committee during which an Award is subject to restrictions, including vesting conditions.</w:t>
      </w:r>
    </w:p>
    <w:p>
      <w:pPr>
        <w:spacing w:after="0" w:line="170" w:lineRule="exact"/>
        <w:rPr>
          <w:rFonts w:ascii="Arial" w:cs="Arial" w:eastAsia="Arial" w:hAnsi="Arial"/>
          <w:sz w:val="18"/>
          <w:szCs w:val="18"/>
          <w:color w:val="010000"/>
        </w:rPr>
      </w:pPr>
    </w:p>
    <w:p>
      <w:pPr>
        <w:jc w:val="both"/>
        <w:ind w:firstLine="268"/>
        <w:spacing w:after="0" w:line="263" w:lineRule="auto"/>
        <w:tabs>
          <w:tab w:leader="none" w:pos="881"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Common Stock, subject to certain specified restrictions (which may include, without limitation, a requirement that the Participant remain continuously employed or provide continuous services for a specified period of time), granted under Section 8 of the Plan.</w:t>
      </w:r>
    </w:p>
    <w:p>
      <w:pPr>
        <w:spacing w:after="0" w:line="183" w:lineRule="exact"/>
        <w:rPr>
          <w:rFonts w:ascii="Arial" w:cs="Arial" w:eastAsia="Arial" w:hAnsi="Arial"/>
          <w:sz w:val="18"/>
          <w:szCs w:val="18"/>
          <w:color w:val="010000"/>
        </w:rPr>
      </w:pPr>
    </w:p>
    <w:p>
      <w:pPr>
        <w:jc w:val="both"/>
        <w:ind w:firstLine="268"/>
        <w:spacing w:after="0" w:line="263" w:lineRule="auto"/>
        <w:tabs>
          <w:tab w:leader="none" w:pos="963"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and unsecured promise to deliver Shares, cash, other securities or other property, subject to certain restrictions (which may include, without limitation, a requirement that the Participant remain continuously employed or provide continuous services for a specified period of time), granted under Section 8 of the Plan.</w:t>
      </w: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15" w:name="page16"/>
    <w:bookmarkEnd w:id="15"/>
    <w:p>
      <w:pPr>
        <w:ind w:firstLine="268"/>
        <w:spacing w:after="0" w:line="277" w:lineRule="auto"/>
        <w:tabs>
          <w:tab w:leader="none" w:pos="846"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SAR Base Price</w:t>
      </w:r>
      <w:r>
        <w:rPr>
          <w:rFonts w:ascii="Arial" w:cs="Arial" w:eastAsia="Arial" w:hAnsi="Arial"/>
          <w:sz w:val="18"/>
          <w:szCs w:val="18"/>
          <w:color w:val="auto"/>
        </w:rPr>
        <w:t>” means, as to any Stock Appreciation Right, the price per Share designated as the base value above which appreciation in value is measured.</w:t>
      </w:r>
    </w:p>
    <w:p>
      <w:pPr>
        <w:spacing w:after="0" w:line="170" w:lineRule="exact"/>
        <w:rPr>
          <w:rFonts w:ascii="Arial" w:cs="Arial" w:eastAsia="Arial" w:hAnsi="Arial"/>
          <w:sz w:val="18"/>
          <w:szCs w:val="18"/>
          <w:color w:val="010000"/>
        </w:rPr>
      </w:pPr>
    </w:p>
    <w:p>
      <w:pPr>
        <w:ind w:left="820" w:hanging="552"/>
        <w:spacing w:after="0"/>
        <w:tabs>
          <w:tab w:leader="none" w:pos="820"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firstLine="268"/>
        <w:spacing w:after="0" w:line="263" w:lineRule="auto"/>
        <w:tabs>
          <w:tab w:leader="none" w:pos="766"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w:t>
      </w:r>
    </w:p>
    <w:p>
      <w:pPr>
        <w:spacing w:after="0" w:line="183" w:lineRule="exact"/>
        <w:rPr>
          <w:rFonts w:ascii="Arial" w:cs="Arial" w:eastAsia="Arial" w:hAnsi="Arial"/>
          <w:sz w:val="18"/>
          <w:szCs w:val="18"/>
          <w:color w:val="010000"/>
        </w:rPr>
      </w:pPr>
    </w:p>
    <w:p>
      <w:pPr>
        <w:jc w:val="both"/>
        <w:ind w:firstLine="268"/>
        <w:spacing w:after="0" w:line="263" w:lineRule="auto"/>
        <w:tabs>
          <w:tab w:leader="none" w:pos="751"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with respect to an individual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184" w:lineRule="exact"/>
        <w:rPr>
          <w:sz w:val="20"/>
          <w:szCs w:val="20"/>
          <w:color w:val="auto"/>
        </w:rPr>
      </w:pPr>
    </w:p>
    <w:p>
      <w:pPr>
        <w:ind w:firstLine="268"/>
        <w:spacing w:after="0" w:line="277" w:lineRule="auto"/>
        <w:tabs>
          <w:tab w:leader="none" w:pos="738"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Other-Equity Based Award designated in an applicable Award Agreement as a stock appreciation right, granted under Section 9 of the Plan.</w:t>
      </w:r>
    </w:p>
    <w:p>
      <w:pPr>
        <w:spacing w:after="0" w:line="170" w:lineRule="exact"/>
        <w:rPr>
          <w:rFonts w:ascii="Arial" w:cs="Arial" w:eastAsia="Arial" w:hAnsi="Arial"/>
          <w:sz w:val="18"/>
          <w:szCs w:val="18"/>
          <w:color w:val="010000"/>
        </w:rPr>
      </w:pPr>
    </w:p>
    <w:p>
      <w:pPr>
        <w:ind w:left="760" w:hanging="492"/>
        <w:spacing w:after="0"/>
        <w:tabs>
          <w:tab w:leader="none" w:pos="76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225" w:lineRule="exact"/>
        <w:rPr>
          <w:rFonts w:ascii="Arial" w:cs="Arial" w:eastAsia="Arial" w:hAnsi="Arial"/>
          <w:sz w:val="18"/>
          <w:szCs w:val="18"/>
          <w:color w:val="010000"/>
        </w:rPr>
      </w:pPr>
    </w:p>
    <w:p>
      <w:pPr>
        <w:jc w:val="both"/>
        <w:ind w:left="120" w:right="100" w:firstLine="642"/>
        <w:spacing w:after="0" w:line="259" w:lineRule="auto"/>
        <w:tabs>
          <w:tab w:leader="none" w:pos="1347"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w:t>
      </w:r>
    </w:p>
    <w:p>
      <w:pPr>
        <w:spacing w:after="0" w:line="186" w:lineRule="exact"/>
        <w:rPr>
          <w:rFonts w:ascii="Arial" w:cs="Arial" w:eastAsia="Arial" w:hAnsi="Arial"/>
          <w:sz w:val="18"/>
          <w:szCs w:val="18"/>
          <w:color w:val="010000"/>
        </w:rPr>
      </w:pPr>
    </w:p>
    <w:p>
      <w:pPr>
        <w:jc w:val="both"/>
        <w:ind w:left="120" w:right="180" w:firstLine="642"/>
        <w:spacing w:after="0" w:line="286" w:lineRule="auto"/>
        <w:tabs>
          <w:tab w:leader="none" w:pos="1397" w:val="left"/>
        </w:tabs>
        <w:numPr>
          <w:ilvl w:val="1"/>
          <w:numId w:val="17"/>
        </w:numPr>
        <w:rPr>
          <w:rFonts w:ascii="Arial" w:cs="Arial" w:eastAsia="Arial" w:hAnsi="Arial"/>
          <w:sz w:val="17"/>
          <w:szCs w:val="17"/>
          <w:color w:val="010000"/>
        </w:rPr>
      </w:pPr>
      <w:r>
        <w:rPr>
          <w:rFonts w:ascii="Arial" w:cs="Arial" w:eastAsia="Arial" w:hAnsi="Arial"/>
          <w:sz w:val="17"/>
          <w:szCs w:val="17"/>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 and</w:t>
      </w:r>
    </w:p>
    <w:p>
      <w:pPr>
        <w:spacing w:after="0" w:line="165" w:lineRule="exact"/>
        <w:rPr>
          <w:rFonts w:ascii="Arial" w:cs="Arial" w:eastAsia="Arial" w:hAnsi="Arial"/>
          <w:sz w:val="17"/>
          <w:szCs w:val="17"/>
          <w:color w:val="010000"/>
        </w:rPr>
      </w:pPr>
    </w:p>
    <w:p>
      <w:pPr>
        <w:ind w:left="120" w:right="200" w:firstLine="642"/>
        <w:spacing w:after="0" w:line="277" w:lineRule="auto"/>
        <w:tabs>
          <w:tab w:leader="none" w:pos="1420"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for purposes of granting Incentive Stock Options, any Person or other entity that qualifies as a “subsidiary corporation” under Section 424(f) of the Code.</w:t>
      </w:r>
    </w:p>
    <w:p>
      <w:pPr>
        <w:spacing w:after="0" w:line="170" w:lineRule="exact"/>
        <w:rPr>
          <w:rFonts w:ascii="Arial" w:cs="Arial" w:eastAsia="Arial" w:hAnsi="Arial"/>
          <w:sz w:val="18"/>
          <w:szCs w:val="18"/>
          <w:color w:val="010000"/>
        </w:rPr>
      </w:pPr>
    </w:p>
    <w:p>
      <w:pPr>
        <w:ind w:left="780" w:hanging="512"/>
        <w:spacing w:after="0"/>
        <w:tabs>
          <w:tab w:leader="none" w:pos="78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has the meaning given to such term in Section 5(f) of the Plan.</w:t>
      </w:r>
    </w:p>
    <w:p>
      <w:pPr>
        <w:spacing w:after="0" w:line="225" w:lineRule="exact"/>
        <w:rPr>
          <w:rFonts w:ascii="Arial" w:cs="Arial" w:eastAsia="Arial" w:hAnsi="Arial"/>
          <w:sz w:val="18"/>
          <w:szCs w:val="18"/>
          <w:color w:val="010000"/>
        </w:rPr>
      </w:pPr>
    </w:p>
    <w:p>
      <w:pPr>
        <w:jc w:val="both"/>
        <w:ind w:firstLine="268"/>
        <w:spacing w:after="0" w:line="291" w:lineRule="auto"/>
        <w:tabs>
          <w:tab w:leader="none" w:pos="751" w:val="left"/>
        </w:tabs>
        <w:numPr>
          <w:ilvl w:val="0"/>
          <w:numId w:val="1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Sub-Plans</w:t>
      </w:r>
      <w:r>
        <w:rPr>
          <w:rFonts w:ascii="Arial" w:cs="Arial" w:eastAsia="Arial" w:hAnsi="Arial"/>
          <w:sz w:val="16"/>
          <w:szCs w:val="16"/>
          <w:color w:val="auto"/>
        </w:rPr>
        <w:t>” means any sub-plan to the Plan that has been adopted by the Board or the Committee for the purpose of (i) permitting the offering of Awards to employees of certain Designated Foreign Subsidiaries or otherwise outside the United States of America, (ii) to facilitate the administration of the Plan or (iii) to obtain favorable tax treatment. Each Sub-Plan shall be designed to comply with Applicable Laws to offerings in foreign jurisdictions. Although any Sub-Plan may be designated a separate and independent plan from the Plan in order to comply with Applicable Laws, the Plan Share Reserve and the other limits specified in Section 5 shall apply in the aggregate to the Plan and any Sub-Plan adopted hereunder, and the Minimum Vesting Condition shall apply to any Awards granted under any such Sub-Plan, unless prevented by Applicable Laws, in which case, they will be granted pursuant to the Minimum Vesting Condition Carve Out Amount.</w:t>
      </w:r>
    </w:p>
    <w:p>
      <w:pPr>
        <w:spacing w:after="0" w:line="166" w:lineRule="exact"/>
        <w:rPr>
          <w:rFonts w:ascii="Arial" w:cs="Arial" w:eastAsia="Arial" w:hAnsi="Arial"/>
          <w:sz w:val="16"/>
          <w:szCs w:val="16"/>
          <w:color w:val="010000"/>
        </w:rPr>
      </w:pPr>
    </w:p>
    <w:p>
      <w:pPr>
        <w:jc w:val="both"/>
        <w:ind w:firstLine="268"/>
        <w:spacing w:after="0" w:line="279" w:lineRule="auto"/>
        <w:tabs>
          <w:tab w:leader="none" w:pos="792"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Tax-Related Items</w:t>
      </w:r>
      <w:r>
        <w:rPr>
          <w:rFonts w:ascii="Arial" w:cs="Arial" w:eastAsia="Arial" w:hAnsi="Arial"/>
          <w:sz w:val="17"/>
          <w:szCs w:val="17"/>
          <w:color w:val="auto"/>
        </w:rPr>
        <w:t>” means any U.S. federal, state, and/or local taxes and/or any non-U.S. taxes (including, without limitation, income tax, social insurance contributions (or similar contributions), payroll tax, fringe benefits tax, payment on account, employment tax, stamp tax and any other tax or tax-related item related to participation in the Plan and legally applicable to a Participant, including any employer liability for which the Participant is liable pursuant to Applicable Laws or the applicable Award Agreement.</w:t>
      </w:r>
    </w:p>
    <w:p>
      <w:pPr>
        <w:spacing w:after="0" w:line="171" w:lineRule="exact"/>
        <w:rPr>
          <w:rFonts w:ascii="Arial" w:cs="Arial" w:eastAsia="Arial" w:hAnsi="Arial"/>
          <w:sz w:val="17"/>
          <w:szCs w:val="17"/>
          <w:color w:val="010000"/>
        </w:rPr>
      </w:pPr>
    </w:p>
    <w:p>
      <w:pPr>
        <w:ind w:firstLine="268"/>
        <w:spacing w:after="0" w:line="277" w:lineRule="auto"/>
        <w:tabs>
          <w:tab w:leader="none" w:pos="879"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the termination of a Participant’s employment or service, as applicable, with the Service Recipient for any reason (including death).</w:t>
      </w:r>
    </w:p>
    <w:p>
      <w:pPr>
        <w:spacing w:after="0" w:line="3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16" w:name="page17"/>
    <w:bookmarkEnd w:id="16"/>
    <w:p>
      <w:pPr>
        <w:ind w:left="1360" w:hanging="532"/>
        <w:spacing w:after="0"/>
        <w:tabs>
          <w:tab w:leader="none" w:pos="136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1" w:lineRule="exact"/>
        <w:rPr>
          <w:sz w:val="20"/>
          <w:szCs w:val="20"/>
          <w:color w:val="auto"/>
        </w:rPr>
      </w:pPr>
    </w:p>
    <w:p>
      <w:pPr>
        <w:jc w:val="both"/>
        <w:ind w:left="560" w:hanging="552"/>
        <w:spacing w:after="0" w:line="258"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Effective Date; Duration</w:t>
      </w:r>
      <w:r>
        <w:rPr>
          <w:rFonts w:ascii="Arial" w:cs="Arial" w:eastAsia="Arial" w:hAnsi="Arial"/>
          <w:sz w:val="18"/>
          <w:szCs w:val="18"/>
          <w:color w:val="auto"/>
        </w:rPr>
        <w:t>. The Plan became effective as of the Effective Date. The expiration date of the Plan shall be the tenth (10th) anniversary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earlier of the date the Board adopts the Plan and the date the Company’s shareholders approve the Plan, subject to earlier termination by the Committee pursuant to Section 13(a);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expiration shall not affect Awards then outstanding, and the terms and conditions of the Plan shall continue to apply to such Awards, and provided further that on and after the Assumption Date no new Awards have been or shall be granted hereunder.</w:t>
      </w:r>
    </w:p>
    <w:p>
      <w:pPr>
        <w:spacing w:after="0" w:line="183"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60" w:right="300" w:firstLine="268"/>
        <w:spacing w:after="0" w:line="296" w:lineRule="auto"/>
        <w:tabs>
          <w:tab w:leader="none" w:pos="1360" w:val="left"/>
        </w:tabs>
        <w:numPr>
          <w:ilvl w:val="2"/>
          <w:numId w:val="20"/>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161" w:lineRule="exact"/>
        <w:rPr>
          <w:rFonts w:ascii="Arial" w:cs="Arial" w:eastAsia="Arial" w:hAnsi="Arial"/>
          <w:sz w:val="16"/>
          <w:szCs w:val="16"/>
          <w:color w:val="010000"/>
        </w:rPr>
      </w:pPr>
    </w:p>
    <w:p>
      <w:pPr>
        <w:jc w:val="both"/>
        <w:ind w:left="560" w:right="300" w:firstLine="268"/>
        <w:spacing w:after="0" w:line="286" w:lineRule="auto"/>
        <w:tabs>
          <w:tab w:leader="none" w:pos="1437" w:val="left"/>
        </w:tabs>
        <w:numPr>
          <w:ilvl w:val="2"/>
          <w:numId w:val="20"/>
        </w:numPr>
        <w:rPr>
          <w:rFonts w:ascii="Arial" w:cs="Arial" w:eastAsia="Arial" w:hAnsi="Arial"/>
          <w:sz w:val="16"/>
          <w:szCs w:val="16"/>
          <w:color w:val="010000"/>
        </w:rPr>
      </w:pPr>
      <w:r>
        <w:rPr>
          <w:rFonts w:ascii="Arial" w:cs="Arial" w:eastAsia="Arial" w:hAnsi="Arial"/>
          <w:sz w:val="16"/>
          <w:szCs w:val="16"/>
          <w:u w:val="single" w:color="auto"/>
          <w:color w:val="auto"/>
        </w:rPr>
        <w:t>Committee Authority</w:t>
      </w:r>
      <w:r>
        <w:rPr>
          <w:rFonts w:ascii="Arial" w:cs="Arial" w:eastAsia="Arial" w:hAnsi="Arial"/>
          <w:sz w:val="16"/>
          <w:szCs w:val="16"/>
          <w:color w:val="auto"/>
        </w:rPr>
        <w:t>. Subject to the provisions of the Plan and Applicable Laws,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w:t>
      </w:r>
    </w:p>
    <w:p>
      <w:pPr>
        <w:spacing w:after="0" w:line="1" w:lineRule="exact"/>
        <w:rPr>
          <w:rFonts w:ascii="Arial" w:cs="Arial" w:eastAsia="Arial" w:hAnsi="Arial"/>
          <w:sz w:val="16"/>
          <w:szCs w:val="16"/>
          <w:color w:val="010000"/>
        </w:rPr>
      </w:pPr>
    </w:p>
    <w:p>
      <w:pPr>
        <w:jc w:val="both"/>
        <w:ind w:left="560" w:right="300" w:firstLine="10"/>
        <w:spacing w:after="0" w:line="286" w:lineRule="auto"/>
        <w:tabs>
          <w:tab w:leader="none" w:pos="83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determine whether any Award subject to vesting may receive accelerated vesting treatment; (vi) determine whether, to what extent, and under what circumstances Awards may be settled in, or exercised for, cash, Shares, other securities, other Awards or other property, or canceled, forfeited, or suspended and the method or methods by which Awards may be settled, exercised, canceled, forfeited, or suspended; (vii) determine whether, to what extent, and under what circumstances the delivery of cash, Shares,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(x) adopt Sub- Plans; and (xi) make any other determination and take any other action that the Committee deems necessary or desirable for the administration of the Plan, including to accommodate any specific requirements of local laws, regulations, and procedures for jurisdictions outside of the U.S.</w:t>
      </w:r>
    </w:p>
    <w:p>
      <w:pPr>
        <w:spacing w:after="0" w:line="169" w:lineRule="exact"/>
        <w:rPr>
          <w:rFonts w:ascii="Arial" w:cs="Arial" w:eastAsia="Arial" w:hAnsi="Arial"/>
          <w:sz w:val="16"/>
          <w:szCs w:val="16"/>
          <w:color w:val="auto"/>
        </w:rPr>
      </w:pPr>
    </w:p>
    <w:p>
      <w:pPr>
        <w:jc w:val="both"/>
        <w:ind w:left="560" w:right="300" w:firstLine="268"/>
        <w:spacing w:after="0" w:line="272" w:lineRule="auto"/>
        <w:tabs>
          <w:tab w:leader="none" w:pos="1346" w:val="left"/>
        </w:tabs>
        <w:numPr>
          <w:ilvl w:val="2"/>
          <w:numId w:val="21"/>
        </w:numPr>
        <w:rPr>
          <w:rFonts w:ascii="Arial" w:cs="Arial" w:eastAsia="Arial" w:hAnsi="Arial"/>
          <w:sz w:val="17"/>
          <w:szCs w:val="17"/>
          <w:color w:val="010000"/>
        </w:rPr>
      </w:pPr>
      <w:r>
        <w:rPr>
          <w:rFonts w:ascii="Arial" w:cs="Arial" w:eastAsia="Arial" w:hAnsi="Arial"/>
          <w:sz w:val="17"/>
          <w:szCs w:val="17"/>
          <w:u w:val="single" w:color="auto"/>
          <w:color w:val="auto"/>
        </w:rPr>
        <w:t>Delegation</w:t>
      </w:r>
      <w:r>
        <w:rPr>
          <w:rFonts w:ascii="Arial" w:cs="Arial" w:eastAsia="Arial" w:hAnsi="Arial"/>
          <w:sz w:val="17"/>
          <w:szCs w:val="17"/>
          <w:color w:val="auto"/>
        </w:rPr>
        <w:t>. Except to the extent prohibited by Applicable Laws,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spacing w:after="0" w:line="177" w:lineRule="exact"/>
        <w:rPr>
          <w:rFonts w:ascii="Arial" w:cs="Arial" w:eastAsia="Arial" w:hAnsi="Arial"/>
          <w:sz w:val="17"/>
          <w:szCs w:val="17"/>
          <w:color w:val="010000"/>
        </w:rPr>
      </w:pPr>
    </w:p>
    <w:p>
      <w:pPr>
        <w:jc w:val="both"/>
        <w:ind w:left="560" w:right="300" w:firstLine="268"/>
        <w:spacing w:after="0" w:line="259" w:lineRule="auto"/>
        <w:tabs>
          <w:tab w:leader="none" w:pos="1424" w:val="left"/>
        </w:tabs>
        <w:numPr>
          <w:ilvl w:val="2"/>
          <w:numId w:val="21"/>
        </w:numPr>
        <w:rPr>
          <w:rFonts w:ascii="Arial" w:cs="Arial" w:eastAsia="Arial" w:hAnsi="Arial"/>
          <w:sz w:val="18"/>
          <w:szCs w:val="18"/>
          <w:color w:val="010000"/>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left="552" w:firstLine="268"/>
        <w:spacing w:after="0" w:line="284" w:lineRule="auto"/>
        <w:tabs>
          <w:tab w:leader="none" w:pos="1379" w:val="left"/>
        </w:tabs>
        <w:numPr>
          <w:ilvl w:val="0"/>
          <w:numId w:val="22"/>
        </w:numPr>
        <w:rPr>
          <w:rFonts w:ascii="Arial" w:cs="Arial" w:eastAsia="Arial" w:hAnsi="Arial"/>
          <w:sz w:val="16"/>
          <w:szCs w:val="16"/>
          <w:color w:val="010000"/>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No member of the Board, the Committee or any employee or agent of any member of the Company Group (each such Person, an “</w:t>
      </w:r>
      <w:r>
        <w:rPr>
          <w:rFonts w:ascii="Arial" w:cs="Arial" w:eastAsia="Arial" w:hAnsi="Arial"/>
          <w:sz w:val="16"/>
          <w:szCs w:val="16"/>
          <w:u w:val="single" w:color="auto"/>
          <w:color w:val="auto"/>
        </w:rPr>
        <w:t>Indemnifiable Person</w:t>
      </w:r>
      <w:r>
        <w:rPr>
          <w:rFonts w:ascii="Arial" w:cs="Arial" w:eastAsia="Arial" w:hAnsi="Arial"/>
          <w:sz w:val="16"/>
          <w:szCs w:val="16"/>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397" w:lineRule="exact"/>
        <w:rPr>
          <w:rFonts w:ascii="Arial" w:cs="Arial" w:eastAsia="Arial" w:hAnsi="Arial"/>
          <w:sz w:val="16"/>
          <w:szCs w:val="16"/>
          <w:color w:val="010000"/>
        </w:rPr>
      </w:pPr>
    </w:p>
    <w:p>
      <w:pPr>
        <w:jc w:val="both"/>
        <w:ind w:left="552" w:firstLine="268"/>
        <w:spacing w:after="0" w:line="286" w:lineRule="auto"/>
        <w:tabs>
          <w:tab w:leader="none" w:pos="1359" w:val="left"/>
        </w:tabs>
        <w:numPr>
          <w:ilvl w:val="0"/>
          <w:numId w:val="22"/>
        </w:numPr>
        <w:rPr>
          <w:rFonts w:ascii="Arial" w:cs="Arial" w:eastAsia="Arial" w:hAnsi="Arial"/>
          <w:sz w:val="17"/>
          <w:szCs w:val="17"/>
          <w:color w:val="010000"/>
        </w:rPr>
      </w:pPr>
      <w:r>
        <w:rPr>
          <w:rFonts w:ascii="Arial" w:cs="Arial" w:eastAsia="Arial" w:hAnsi="Arial"/>
          <w:sz w:val="17"/>
          <w:szCs w:val="17"/>
          <w:u w:val="single" w:color="auto"/>
          <w:color w:val="auto"/>
        </w:rPr>
        <w:t>Board Authority</w:t>
      </w:r>
      <w:r>
        <w:rPr>
          <w:rFonts w:ascii="Arial" w:cs="Arial" w:eastAsia="Arial" w:hAnsi="Arial"/>
          <w:sz w:val="17"/>
          <w:szCs w:val="17"/>
          <w:color w:val="auto"/>
        </w:rPr>
        <w:t>. Notwithstanding anything to the contrary contained in the Plan, the Board may, in its sole discretion, at any time and from time to time, grant Awards and administer the Plan with respect to such Awards. Any such actions by the Board shall be subject to Applicable Laws. In any such case, the Board shall have all the authority granted to the Committee under the Plan.</w:t>
      </w:r>
    </w:p>
    <w:p>
      <w:pPr>
        <w:spacing w:after="0" w:line="161" w:lineRule="exact"/>
        <w:rPr>
          <w:sz w:val="20"/>
          <w:szCs w:val="20"/>
          <w:color w:val="auto"/>
        </w:rPr>
      </w:pPr>
    </w:p>
    <w:p>
      <w:pPr>
        <w:ind w:left="552" w:hanging="552"/>
        <w:spacing w:after="0"/>
        <w:tabs>
          <w:tab w:leader="none" w:pos="55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 Limitations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32" w:hanging="516"/>
        <w:spacing w:after="0"/>
        <w:tabs>
          <w:tab w:leader="none" w:pos="1332"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Grants</w:t>
      </w:r>
      <w:r>
        <w:rPr>
          <w:rFonts w:ascii="Arial" w:cs="Arial" w:eastAsia="Arial" w:hAnsi="Arial"/>
          <w:sz w:val="18"/>
          <w:szCs w:val="18"/>
          <w:color w:val="auto"/>
        </w:rPr>
        <w:t>. The Committee may, from time to time, grant Awards to one or more Eligible Persons.</w:t>
      </w:r>
    </w:p>
    <w:p>
      <w:pPr>
        <w:spacing w:after="0" w:line="225" w:lineRule="exact"/>
        <w:rPr>
          <w:rFonts w:ascii="Arial" w:cs="Arial" w:eastAsia="Arial" w:hAnsi="Arial"/>
          <w:sz w:val="18"/>
          <w:szCs w:val="18"/>
          <w:color w:val="010000"/>
        </w:rPr>
      </w:pPr>
    </w:p>
    <w:p>
      <w:pPr>
        <w:jc w:val="both"/>
        <w:ind w:left="552" w:firstLine="268"/>
        <w:spacing w:after="0" w:line="254" w:lineRule="auto"/>
        <w:tabs>
          <w:tab w:leader="none" w:pos="1402"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Share Reserve</w:t>
      </w:r>
      <w:r>
        <w:rPr>
          <w:rFonts w:ascii="Arial" w:cs="Arial" w:eastAsia="Arial" w:hAnsi="Arial"/>
          <w:sz w:val="18"/>
          <w:szCs w:val="18"/>
          <w:color w:val="auto"/>
        </w:rPr>
        <w:t>. Subject to Section 12 of the Plan and Section 5(g) below, the aggregate number of Shares which may be issued or transferred pursuant to Awards under the Plan shall be equal to the sum of (i) 2,500,000, plus (ii) any of the Shares which as of the Effective Date are available for issuance under the Prior Plans, plus (iii) any Shares which are subject to awards under the Prior Plans that, on or after the Effective Date, terminate, expire or lapse for any reason without the delivery of Shares to the Participant thereof (the “</w:t>
      </w:r>
      <w:r>
        <w:rPr>
          <w:rFonts w:ascii="Arial" w:cs="Arial" w:eastAsia="Arial" w:hAnsi="Arial"/>
          <w:sz w:val="18"/>
          <w:szCs w:val="18"/>
          <w:u w:val="single" w:color="auto"/>
          <w:color w:val="auto"/>
        </w:rPr>
        <w:t>Plan Share Reserve</w:t>
      </w:r>
      <w:r>
        <w:rPr>
          <w:rFonts w:ascii="Arial" w:cs="Arial" w:eastAsia="Arial" w:hAnsi="Arial"/>
          <w:sz w:val="18"/>
          <w:szCs w:val="18"/>
          <w:color w:val="auto"/>
        </w:rPr>
        <w:t>”), and from and after the Effective Date, no further grants shall be made under the Prior Plans. Further, the number of Shares underlying any award granted under the Prior Plans that expires, terminates or is canceled or forfeited for any reason whatsoever under the terms of the Prior Plans, shall increase the Plan Share Reserve. Each Award granted under the Plan will reduce the Plan Share Reserve by the number of Shares underlying the Award.</w:t>
      </w:r>
    </w:p>
    <w:p>
      <w:pPr>
        <w:spacing w:after="0" w:line="191" w:lineRule="exact"/>
        <w:rPr>
          <w:rFonts w:ascii="Arial" w:cs="Arial" w:eastAsia="Arial" w:hAnsi="Arial"/>
          <w:sz w:val="18"/>
          <w:szCs w:val="18"/>
          <w:color w:val="010000"/>
        </w:rPr>
      </w:pPr>
    </w:p>
    <w:p>
      <w:pPr>
        <w:jc w:val="both"/>
        <w:ind w:left="552" w:firstLine="264"/>
        <w:spacing w:after="0" w:line="257" w:lineRule="auto"/>
        <w:tabs>
          <w:tab w:leader="none" w:pos="1393" w:val="left"/>
        </w:tabs>
        <w:numPr>
          <w:ilvl w:val="1"/>
          <w:numId w:val="23"/>
        </w:numPr>
        <w:rPr>
          <w:rFonts w:ascii="Arial" w:cs="Arial" w:eastAsia="Arial" w:hAnsi="Arial"/>
          <w:sz w:val="18"/>
          <w:szCs w:val="18"/>
          <w:color w:val="010000"/>
        </w:rPr>
      </w:pPr>
      <w:r>
        <w:rPr>
          <w:rFonts w:ascii="Arial" w:cs="Arial" w:eastAsia="Arial" w:hAnsi="Arial"/>
          <w:sz w:val="18"/>
          <w:szCs w:val="18"/>
          <w:u w:val="single" w:color="auto"/>
          <w:color w:val="auto"/>
        </w:rPr>
        <w:t>Additional Limits</w:t>
      </w:r>
      <w:r>
        <w:rPr>
          <w:rFonts w:ascii="Arial" w:cs="Arial" w:eastAsia="Arial" w:hAnsi="Arial"/>
          <w:sz w:val="18"/>
          <w:szCs w:val="18"/>
          <w:color w:val="auto"/>
        </w:rPr>
        <w:t>. Subject to Section 12 of the Plan and Section 5(g) below, no more than 2,500,000 Shares may be issued in the aggregate pursuant to the exercise of Incentive Stock Options granted under the Plan. The maximum number of Shares subject to Awards granted during a single fiscal year to any Non-Employee Director, taken together with any cash fees paid to such Non-Employee Director during the fiscal year, shall not exceed USD 500,000 in total value (calculating the value of any such Awards based on the grant date fair value of such Awards for financial reporting purposes).</w:t>
      </w:r>
    </w:p>
    <w:p>
      <w:pPr>
        <w:spacing w:after="0" w:line="390"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18" w:name="page19"/>
    <w:bookmarkEnd w:id="18"/>
    <w:p>
      <w:pPr>
        <w:jc w:val="both"/>
        <w:ind w:left="560" w:firstLine="264"/>
        <w:spacing w:after="0" w:line="289" w:lineRule="auto"/>
        <w:tabs>
          <w:tab w:leader="none" w:pos="1479" w:val="left"/>
        </w:tabs>
        <w:numPr>
          <w:ilvl w:val="0"/>
          <w:numId w:val="24"/>
        </w:numPr>
        <w:rPr>
          <w:rFonts w:ascii="Arial" w:cs="Arial" w:eastAsia="Arial" w:hAnsi="Arial"/>
          <w:sz w:val="16"/>
          <w:szCs w:val="16"/>
          <w:color w:val="010000"/>
        </w:rPr>
      </w:pPr>
      <w:r>
        <w:rPr>
          <w:rFonts w:ascii="Arial" w:cs="Arial" w:eastAsia="Arial" w:hAnsi="Arial"/>
          <w:sz w:val="16"/>
          <w:szCs w:val="16"/>
          <w:u w:val="single" w:color="auto"/>
          <w:color w:val="auto"/>
        </w:rPr>
        <w:t>Share Counting</w:t>
      </w:r>
      <w:r>
        <w:rPr>
          <w:rFonts w:ascii="Arial" w:cs="Arial" w:eastAsia="Arial" w:hAnsi="Arial"/>
          <w:sz w:val="16"/>
          <w:szCs w:val="16"/>
          <w:color w:val="auto"/>
        </w:rPr>
        <w:t xml:space="preserve">. Other than with respect to Substitute Awards, to the extent that an Award expires or is cancelled, forfeited, or terminated without issuance to the Participant of the full number of Shares to which the Award related, the unissued shares will be returned for future grant under the Plan. Shares shall be deemed to have been issued in settlement of Awards if the Fair Market Value equivalent of such Shares is paid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shares shall be deemed to have been issued in settlement of a SAR, Other Equity-Based Award or Restricted Stock Unit that only provides for settlement in cash and settles only in cash. Shares withheld in payment of the Exercise Price or Tax-Related Items with respect to Options, SARs or Other Equity-Based Awards based on the appreciation of Shares equal to the number of Shares surrendered in payment of any Exercise Price or Tax-Related Items shall constitute Shares issued to the Participant and shall reduce the Plan Share Reserve. For the avoidance of doubt, Shares withheld to satisfy Tax-Related Items with respect to Restricted Stock Units, Restricted Stock or Other Equity-Based Awards that constitute full-value Awards shall not reduce the Plan Share Reserve.</w:t>
      </w:r>
    </w:p>
    <w:p>
      <w:pPr>
        <w:spacing w:after="0" w:line="166" w:lineRule="exact"/>
        <w:rPr>
          <w:rFonts w:ascii="Arial" w:cs="Arial" w:eastAsia="Arial" w:hAnsi="Arial"/>
          <w:sz w:val="16"/>
          <w:szCs w:val="16"/>
          <w:color w:val="010000"/>
        </w:rPr>
      </w:pPr>
    </w:p>
    <w:p>
      <w:pPr>
        <w:ind w:left="560" w:firstLine="264"/>
        <w:spacing w:after="0" w:line="308" w:lineRule="auto"/>
        <w:tabs>
          <w:tab w:leader="none" w:pos="1361" w:val="left"/>
        </w:tabs>
        <w:numPr>
          <w:ilvl w:val="0"/>
          <w:numId w:val="24"/>
        </w:numPr>
        <w:rPr>
          <w:rFonts w:ascii="Arial" w:cs="Arial" w:eastAsia="Arial" w:hAnsi="Arial"/>
          <w:sz w:val="17"/>
          <w:szCs w:val="17"/>
          <w:color w:val="010000"/>
        </w:rPr>
      </w:pPr>
      <w:r>
        <w:rPr>
          <w:rFonts w:ascii="Arial" w:cs="Arial" w:eastAsia="Arial" w:hAnsi="Arial"/>
          <w:sz w:val="17"/>
          <w:szCs w:val="17"/>
          <w:u w:val="single" w:color="auto"/>
          <w:color w:val="auto"/>
        </w:rPr>
        <w:t>Source of Shares</w:t>
      </w:r>
      <w:r>
        <w:rPr>
          <w:rFonts w:ascii="Arial" w:cs="Arial" w:eastAsia="Arial" w:hAnsi="Arial"/>
          <w:sz w:val="17"/>
          <w:szCs w:val="17"/>
          <w:color w:val="auto"/>
        </w:rPr>
        <w:t>. Shares issued by the Company in settlement of Awards may be authorized and unissued shares, shares held in the treasury of the Company, shares purchased on the open market or by private purchase or a combination of the foregoing.</w:t>
      </w:r>
    </w:p>
    <w:p>
      <w:pPr>
        <w:spacing w:after="0" w:line="146" w:lineRule="exact"/>
        <w:rPr>
          <w:rFonts w:ascii="Arial" w:cs="Arial" w:eastAsia="Arial" w:hAnsi="Arial"/>
          <w:sz w:val="17"/>
          <w:szCs w:val="17"/>
          <w:color w:val="010000"/>
        </w:rPr>
      </w:pPr>
    </w:p>
    <w:p>
      <w:pPr>
        <w:jc w:val="both"/>
        <w:ind w:left="560" w:firstLine="264"/>
        <w:spacing w:after="0" w:line="253" w:lineRule="auto"/>
        <w:tabs>
          <w:tab w:leader="none" w:pos="1530" w:val="left"/>
        </w:tabs>
        <w:numPr>
          <w:ilvl w:val="0"/>
          <w:numId w:val="24"/>
        </w:numPr>
        <w:rPr>
          <w:rFonts w:ascii="Arial" w:cs="Arial" w:eastAsia="Arial" w:hAnsi="Arial"/>
          <w:sz w:val="18"/>
          <w:szCs w:val="18"/>
          <w:color w:val="010000"/>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Substitute Awards shall not be counted against the Plan Share Reserve; </w:t>
      </w:r>
      <w:r>
        <w:rPr>
          <w:rFonts w:ascii="Arial" w:cs="Arial" w:eastAsia="Arial" w:hAnsi="Arial"/>
          <w:sz w:val="18"/>
          <w:szCs w:val="18"/>
          <w:i w:val="1"/>
          <w:iCs w:val="1"/>
          <w:color w:val="auto"/>
        </w:rPr>
        <w:t>provided</w:t>
      </w:r>
      <w:r>
        <w:rPr>
          <w:rFonts w:ascii="Arial" w:cs="Arial" w:eastAsia="Arial" w:hAnsi="Arial"/>
          <w:sz w:val="18"/>
          <w:szCs w:val="18"/>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available for issuance under the Plan.</w:t>
      </w:r>
    </w:p>
    <w:p>
      <w:pPr>
        <w:spacing w:after="0" w:line="196" w:lineRule="exact"/>
        <w:rPr>
          <w:rFonts w:ascii="Arial" w:cs="Arial" w:eastAsia="Arial" w:hAnsi="Arial"/>
          <w:sz w:val="18"/>
          <w:szCs w:val="18"/>
          <w:color w:val="010000"/>
        </w:rPr>
      </w:pPr>
    </w:p>
    <w:p>
      <w:pPr>
        <w:jc w:val="both"/>
        <w:ind w:left="560" w:firstLine="264"/>
        <w:spacing w:after="0" w:line="263" w:lineRule="auto"/>
        <w:tabs>
          <w:tab w:leader="none" w:pos="139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Limits and Assumption Date</w:t>
      </w:r>
      <w:r>
        <w:rPr>
          <w:rFonts w:ascii="Arial" w:cs="Arial" w:eastAsia="Arial" w:hAnsi="Arial"/>
          <w:sz w:val="18"/>
          <w:szCs w:val="18"/>
          <w:color w:val="auto"/>
        </w:rPr>
        <w:t>. In all cases with respect to each of the foregoing limits in Sections 5(b) and 5(c) above the specified limits or values will be reduced by the amount of any PRA Health Sciences Inc. common stock that was issued in settlement of the respective outstanding awards under the Plan prior to the Assumption Date.</w:t>
      </w:r>
    </w:p>
    <w:p>
      <w:pPr>
        <w:spacing w:after="0" w:line="180"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Participation in the Plan shall be limited to Eligible Persons.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b w:val="1"/>
          <w:bCs w:val="1"/>
          <w:color w:val="auto"/>
        </w:rPr>
        <w:t>Options</w:t>
      </w:r>
      <w:r>
        <w:rPr>
          <w:rFonts w:ascii="Arial" w:cs="Arial" w:eastAsia="Arial" w:hAnsi="Arial"/>
          <w:sz w:val="16"/>
          <w:szCs w:val="16"/>
          <w:color w:val="auto"/>
        </w:rPr>
        <w:t>.</w:t>
      </w:r>
    </w:p>
    <w:p>
      <w:pPr>
        <w:spacing w:after="0" w:line="229" w:lineRule="exact"/>
        <w:rPr>
          <w:rFonts w:ascii="Arial" w:cs="Arial" w:eastAsia="Arial" w:hAnsi="Arial"/>
          <w:sz w:val="18"/>
          <w:szCs w:val="18"/>
          <w:color w:val="auto"/>
        </w:rPr>
      </w:pPr>
    </w:p>
    <w:p>
      <w:pPr>
        <w:jc w:val="both"/>
        <w:ind w:left="560" w:firstLine="264"/>
        <w:spacing w:after="0" w:line="286" w:lineRule="auto"/>
        <w:tabs>
          <w:tab w:leader="none" w:pos="1347" w:val="left"/>
        </w:tabs>
        <w:numPr>
          <w:ilvl w:val="1"/>
          <w:numId w:val="25"/>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41" w:right="639" w:bottom="1440" w:gutter="0" w:footer="0" w:header="0"/>
        </w:sectPr>
      </w:pPr>
    </w:p>
    <w:bookmarkStart w:id="19" w:name="page20"/>
    <w:bookmarkEnd w:id="19"/>
    <w:p>
      <w:pPr>
        <w:jc w:val="both"/>
        <w:ind w:firstLine="264"/>
        <w:spacing w:after="0" w:line="296" w:lineRule="auto"/>
        <w:tabs>
          <w:tab w:leader="none" w:pos="919" w:val="left"/>
        </w:tabs>
        <w:numPr>
          <w:ilvl w:val="0"/>
          <w:numId w:val="26"/>
        </w:numPr>
        <w:rPr>
          <w:rFonts w:ascii="Arial" w:cs="Arial" w:eastAsia="Arial" w:hAnsi="Arial"/>
          <w:sz w:val="16"/>
          <w:szCs w:val="16"/>
          <w:color w:val="010000"/>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Except as otherwise provided by the Committee in the case of Substitute Awards, the exercise price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xml:space="preserve">”) per Share for each Option shall not be less than 100% of the Grant Date Fair Market Value of such Share;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an Incentive Stock Option granted to an employee who, at the time of the grant of such Option, owns stock representing more than 10% of the voting power of all classes of stock of any member of the Company Group that also qualifies as a “subsidiary corporation” under Section 424(f) of the Code, the Exercise Price per Share shall not be less than 110% of the Grant Date Fair Market Value per Share.</w:t>
      </w:r>
    </w:p>
    <w:p>
      <w:pPr>
        <w:spacing w:after="0" w:line="161" w:lineRule="exact"/>
        <w:rPr>
          <w:rFonts w:ascii="Arial" w:cs="Arial" w:eastAsia="Arial" w:hAnsi="Arial"/>
          <w:sz w:val="16"/>
          <w:szCs w:val="16"/>
          <w:color w:val="010000"/>
        </w:rPr>
      </w:pPr>
    </w:p>
    <w:p>
      <w:pPr>
        <w:ind w:left="780" w:hanging="516"/>
        <w:spacing w:after="0"/>
        <w:tabs>
          <w:tab w:leader="none" w:pos="780" w:val="left"/>
        </w:tabs>
        <w:numPr>
          <w:ilvl w:val="0"/>
          <w:numId w:val="26"/>
        </w:numPr>
        <w:rPr>
          <w:rFonts w:ascii="Arial" w:cs="Arial" w:eastAsia="Arial" w:hAnsi="Arial"/>
          <w:sz w:val="18"/>
          <w:szCs w:val="18"/>
          <w:color w:val="010000"/>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00" w:firstLine="656"/>
        <w:spacing w:after="0" w:line="277" w:lineRule="auto"/>
        <w:tabs>
          <w:tab w:leader="none" w:pos="1314"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Subject to the Minimum Vesting Condition, Options shall vest and become exercisable in such manner and on such date or dates or upon such event or events as determined by the Committee.</w:t>
      </w:r>
    </w:p>
    <w:p>
      <w:pPr>
        <w:spacing w:after="0" w:line="170" w:lineRule="exact"/>
        <w:rPr>
          <w:rFonts w:ascii="Arial" w:cs="Arial" w:eastAsia="Arial" w:hAnsi="Arial"/>
          <w:sz w:val="18"/>
          <w:szCs w:val="18"/>
          <w:color w:val="010000"/>
        </w:rPr>
      </w:pPr>
    </w:p>
    <w:p>
      <w:pPr>
        <w:jc w:val="both"/>
        <w:ind w:left="100" w:right="20" w:firstLine="656"/>
        <w:spacing w:after="0" w:line="254" w:lineRule="auto"/>
        <w:tabs>
          <w:tab w:leader="none" w:pos="1391"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Options shall expire upon a date determined by the Committee, not to exceed ten (10) years from the Date of Grant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Option Period (other than in the case of an Incentive Stock Option) would expire at a time when trading in the Shares is prohibited by Applicable Laws, then the Option Period shall be automatically extended until the thirtieth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10% of the voting power of all classes of stock of the Company or any member of the Company Group that qualifies as a “subsidiary corporation” under Section 424(f) of the Code.</w:t>
      </w:r>
    </w:p>
    <w:p>
      <w:pPr>
        <w:spacing w:after="0" w:line="194" w:lineRule="exact"/>
        <w:rPr>
          <w:rFonts w:ascii="Arial" w:cs="Arial" w:eastAsia="Arial" w:hAnsi="Arial"/>
          <w:sz w:val="18"/>
          <w:szCs w:val="18"/>
          <w:color w:val="010000"/>
        </w:rPr>
      </w:pPr>
    </w:p>
    <w:p>
      <w:pPr>
        <w:jc w:val="both"/>
        <w:ind w:left="120" w:firstLine="642"/>
        <w:spacing w:after="0" w:line="272" w:lineRule="auto"/>
        <w:tabs>
          <w:tab w:leader="none" w:pos="1582" w:val="left"/>
        </w:tabs>
        <w:numPr>
          <w:ilvl w:val="1"/>
          <w:numId w:val="26"/>
        </w:numPr>
        <w:rPr>
          <w:rFonts w:ascii="Arial" w:cs="Arial" w:eastAsia="Arial" w:hAnsi="Arial"/>
          <w:sz w:val="17"/>
          <w:szCs w:val="17"/>
          <w:color w:val="010000"/>
        </w:rPr>
      </w:pPr>
      <w:r>
        <w:rPr>
          <w:rFonts w:ascii="Arial" w:cs="Arial" w:eastAsia="Arial" w:hAnsi="Arial"/>
          <w:sz w:val="17"/>
          <w:szCs w:val="17"/>
          <w:color w:val="auto"/>
        </w:rPr>
        <w:t>Unless otherwise provided by the Committee, whether in an Award Agreement or otherwise, in the event of: (A) a Participant’s Termination by the Service Recipient for Cause, all vested and unvested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three (3) months thereafter (but in no event beyond the expiration of the Option Period).</w:t>
      </w:r>
    </w:p>
    <w:p>
      <w:pPr>
        <w:spacing w:after="0" w:line="177" w:lineRule="exact"/>
        <w:rPr>
          <w:rFonts w:ascii="Arial" w:cs="Arial" w:eastAsia="Arial" w:hAnsi="Arial"/>
          <w:sz w:val="17"/>
          <w:szCs w:val="17"/>
          <w:color w:val="010000"/>
        </w:rPr>
      </w:pPr>
    </w:p>
    <w:p>
      <w:pPr>
        <w:jc w:val="both"/>
        <w:ind w:firstLine="264"/>
        <w:spacing w:after="0" w:line="285" w:lineRule="auto"/>
        <w:tabs>
          <w:tab w:leader="none" w:pos="824" w:val="left"/>
        </w:tabs>
        <w:numPr>
          <w:ilvl w:val="0"/>
          <w:numId w:val="26"/>
        </w:numPr>
        <w:rPr>
          <w:rFonts w:ascii="Arial" w:cs="Arial" w:eastAsia="Arial" w:hAnsi="Arial"/>
          <w:sz w:val="16"/>
          <w:szCs w:val="16"/>
          <w:color w:val="010000"/>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xml:space="preserve">. No Shares shall be issued pursuant to any exercise of an Option until payment in full of the Exercise Price therefore is received by the Company and the Participant has paid to the Company (or one or more of its Subsidiaries or Affiliates, as applicable) an amount equal to any Tax-Related Items. Options that have become exercisable may be exercised by delivery of a notice of exercise in such form and accordance with such procedures as the Committee may specify from time to time accompanied by payment of the Exercise Price. Subject to Applicable Law the Exercise Price shall be payable: (i) in cash, check, cash equivalent and/or Shares valued at the Fair Market Value at the time the Option is exercised (including, pursuant to procedures approved by the Committee, by means of attestation of ownership of a sufficient number of Shares in lieu of actual issuance of such shares to the Company); </w:t>
      </w:r>
      <w:r>
        <w:rPr>
          <w:rFonts w:ascii="Arial" w:cs="Arial" w:eastAsia="Arial" w:hAnsi="Arial"/>
          <w:sz w:val="16"/>
          <w:szCs w:val="16"/>
          <w:i w:val="1"/>
          <w:iCs w:val="1"/>
          <w:color w:val="auto"/>
        </w:rPr>
        <w:t>provided</w:t>
      </w:r>
      <w:r>
        <w:rPr>
          <w:rFonts w:ascii="Arial" w:cs="Arial" w:eastAsia="Arial" w:hAnsi="Arial"/>
          <w:sz w:val="16"/>
          <w:szCs w:val="16"/>
          <w:color w:val="auto"/>
        </w:rPr>
        <w:t>, that such Shares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(ii) by such other method as the Committee may permit, in its sole discretion, including, without limitation (A) in other property having a fair market value on the date of exercise equal to the Exercise Price; (B) by means of a broker-assisted “cashless exercise” pursuant to which the Company is delivered (including telephonically to the extent permitted by the Committee) a copy of irrevocable instructions to a stockbroker to sell the Shares otherwise issuable upon the exercise of the Option and to deliver promptly to the Company an amount equal to the Exercise Price; or (C) a “net exercise” procedure effected by withholding the minimum number of Shares otherwise issuable in respect of an Option that are needed to pay the Exercise Price. The permissible methods of payment of the Exercise Price with respect to a particular Option grant may be specified in the applicable Award Agreement. Any fractional Shares shall be settled in cash.</w:t>
      </w:r>
    </w:p>
    <w:p>
      <w:pPr>
        <w:spacing w:after="0" w:line="37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0" w:name="page21"/>
    <w:bookmarkEnd w:id="20"/>
    <w:p>
      <w:pPr>
        <w:jc w:val="both"/>
        <w:ind w:left="552" w:firstLine="264"/>
        <w:spacing w:after="0" w:line="271" w:lineRule="auto"/>
        <w:tabs>
          <w:tab w:leader="none" w:pos="1461" w:val="left"/>
        </w:tabs>
        <w:numPr>
          <w:ilvl w:val="0"/>
          <w:numId w:val="27"/>
        </w:numPr>
        <w:rPr>
          <w:rFonts w:ascii="Arial" w:cs="Arial" w:eastAsia="Arial" w:hAnsi="Arial"/>
          <w:sz w:val="17"/>
          <w:szCs w:val="17"/>
          <w:color w:val="010000"/>
        </w:rPr>
      </w:pPr>
      <w:r>
        <w:rPr>
          <w:rFonts w:ascii="Arial" w:cs="Arial" w:eastAsia="Arial" w:hAnsi="Arial"/>
          <w:sz w:val="17"/>
          <w:szCs w:val="17"/>
          <w:u w:val="single" w:color="auto"/>
          <w:color w:val="auto"/>
        </w:rPr>
        <w:t>Notification upon Disqualifying Disposition of an Incentive Stock Option</w:t>
      </w:r>
      <w:r>
        <w:rPr>
          <w:rFonts w:ascii="Arial" w:cs="Arial" w:eastAsia="Arial" w:hAnsi="Arial"/>
          <w:sz w:val="17"/>
          <w:szCs w:val="17"/>
          <w:color w:val="auto"/>
        </w:rPr>
        <w:t>. Each Participant awarded an Incentive Stock Option under the Plan shall notify the Company in writing immediately after the date the Participant makes a disqualifying disposition of any Shares acquired pursuant to the exercise of such Incentive Stock Option. A disqualifying disposition is any disposition (including, without limitation, any sale) of such Shares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Shares acquired pursuant to the exercise of an Incentive Stock Option until the end of the period described in the preceding sentence, subject to complying with any instructions from such Participant as to the sale of such Shares.</w:t>
      </w:r>
    </w:p>
    <w:p>
      <w:pPr>
        <w:spacing w:after="0" w:line="174" w:lineRule="exact"/>
        <w:rPr>
          <w:sz w:val="20"/>
          <w:szCs w:val="20"/>
          <w:color w:val="auto"/>
        </w:rPr>
      </w:pPr>
    </w:p>
    <w:p>
      <w:pPr>
        <w:ind w:left="552" w:hanging="552"/>
        <w:spacing w:after="0"/>
        <w:tabs>
          <w:tab w:leader="none" w:pos="552"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firstLine="264"/>
        <w:spacing w:after="0" w:line="263" w:lineRule="auto"/>
        <w:tabs>
          <w:tab w:leader="none" w:pos="1420" w:val="left"/>
        </w:tabs>
        <w:numPr>
          <w:ilvl w:val="1"/>
          <w:numId w:val="28"/>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grant of Restricted Stock and Restricted Stock Units shall be evidenced by an Award Agreement. Each Restricted Stock and Restricted Stock Unit so granted shall be subject to the conditions set forth in this Section 8, and to such other conditions not inconsistent with the Plan as may be reflected in the applicable Award Agreement.</w:t>
      </w:r>
    </w:p>
    <w:p>
      <w:pPr>
        <w:spacing w:after="0" w:line="183" w:lineRule="exact"/>
        <w:rPr>
          <w:rFonts w:ascii="Arial" w:cs="Arial" w:eastAsia="Arial" w:hAnsi="Arial"/>
          <w:sz w:val="18"/>
          <w:szCs w:val="18"/>
          <w:color w:val="010000"/>
        </w:rPr>
      </w:pPr>
    </w:p>
    <w:p>
      <w:pPr>
        <w:jc w:val="both"/>
        <w:ind w:left="552" w:firstLine="264"/>
        <w:spacing w:after="0" w:line="289" w:lineRule="auto"/>
        <w:tabs>
          <w:tab w:leader="none" w:pos="1376" w:val="left"/>
        </w:tabs>
        <w:numPr>
          <w:ilvl w:val="1"/>
          <w:numId w:val="28"/>
        </w:numPr>
        <w:rPr>
          <w:rFonts w:ascii="Arial" w:cs="Arial" w:eastAsia="Arial" w:hAnsi="Arial"/>
          <w:sz w:val="16"/>
          <w:szCs w:val="16"/>
          <w:color w:val="010000"/>
        </w:rPr>
      </w:pPr>
      <w:r>
        <w:rPr>
          <w:rFonts w:ascii="Arial" w:cs="Arial" w:eastAsia="Arial" w:hAnsi="Arial"/>
          <w:sz w:val="16"/>
          <w:szCs w:val="16"/>
          <w:u w:val="single" w:color="auto"/>
          <w:color w:val="auto"/>
        </w:rPr>
        <w:t>Book-Entry; Escrow or Similar Arrangement</w:t>
      </w:r>
      <w:r>
        <w:rPr>
          <w:rFonts w:ascii="Arial" w:cs="Arial" w:eastAsia="Arial" w:hAnsi="Arial"/>
          <w:sz w:val="16"/>
          <w:szCs w:val="16"/>
          <w:color w:val="auto"/>
        </w:rPr>
        <w:t>. Upon the grant of Restricted Stock, the Committee shall cause Share(s) to be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Subject to the restrictions set forth in this Section 8, Section 14(c)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166" w:lineRule="exact"/>
        <w:rPr>
          <w:rFonts w:ascii="Arial" w:cs="Arial" w:eastAsia="Arial" w:hAnsi="Arial"/>
          <w:sz w:val="16"/>
          <w:szCs w:val="16"/>
          <w:color w:val="010000"/>
        </w:rPr>
      </w:pPr>
    </w:p>
    <w:p>
      <w:pPr>
        <w:ind w:left="552" w:firstLine="264"/>
        <w:spacing w:after="0" w:line="308" w:lineRule="auto"/>
        <w:tabs>
          <w:tab w:leader="none" w:pos="1461" w:val="left"/>
        </w:tabs>
        <w:numPr>
          <w:ilvl w:val="1"/>
          <w:numId w:val="28"/>
        </w:numPr>
        <w:rPr>
          <w:rFonts w:ascii="Arial" w:cs="Arial" w:eastAsia="Arial" w:hAnsi="Arial"/>
          <w:sz w:val="17"/>
          <w:szCs w:val="17"/>
          <w:color w:val="010000"/>
        </w:rPr>
      </w:pPr>
      <w:r>
        <w:rPr>
          <w:rFonts w:ascii="Arial" w:cs="Arial" w:eastAsia="Arial" w:hAnsi="Arial"/>
          <w:sz w:val="17"/>
          <w:szCs w:val="17"/>
          <w:u w:val="single" w:color="auto"/>
          <w:color w:val="auto"/>
        </w:rPr>
        <w:t>Vesting</w:t>
      </w:r>
      <w:r>
        <w:rPr>
          <w:rFonts w:ascii="Arial" w:cs="Arial" w:eastAsia="Arial" w:hAnsi="Arial"/>
          <w:sz w:val="17"/>
          <w:szCs w:val="17"/>
          <w:color w:val="auto"/>
        </w:rPr>
        <w:t>. Subject to the Minimum Vesting Condition, Restricted Stock and Restricted Stock Units shall vest, and any applicable Restricted Period shall lapse, in such manner and on such date or dates or upon such event or events as determined by the Committee.</w:t>
      </w:r>
    </w:p>
    <w:p>
      <w:pPr>
        <w:spacing w:after="0" w:line="146" w:lineRule="exact"/>
        <w:rPr>
          <w:rFonts w:ascii="Arial" w:cs="Arial" w:eastAsia="Arial" w:hAnsi="Arial"/>
          <w:sz w:val="17"/>
          <w:szCs w:val="17"/>
          <w:color w:val="010000"/>
        </w:rPr>
      </w:pPr>
    </w:p>
    <w:p>
      <w:pPr>
        <w:ind w:left="1332" w:hanging="516"/>
        <w:spacing w:after="0"/>
        <w:tabs>
          <w:tab w:leader="none" w:pos="1332" w:val="left"/>
        </w:tabs>
        <w:numPr>
          <w:ilvl w:val="1"/>
          <w:numId w:val="28"/>
        </w:numPr>
        <w:rPr>
          <w:rFonts w:ascii="Arial" w:cs="Arial" w:eastAsia="Arial" w:hAnsi="Arial"/>
          <w:sz w:val="18"/>
          <w:szCs w:val="18"/>
          <w:color w:val="010000"/>
        </w:rPr>
      </w:pPr>
      <w:r>
        <w:rPr>
          <w:rFonts w:ascii="Arial" w:cs="Arial" w:eastAsia="Arial" w:hAnsi="Arial"/>
          <w:sz w:val="18"/>
          <w:szCs w:val="18"/>
          <w:u w:val="single" w:color="auto"/>
          <w:color w:val="auto"/>
        </w:rPr>
        <w:t>Issuance of Restricted Stock and Settlement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72" w:right="100" w:firstLine="642"/>
        <w:spacing w:after="0" w:line="257" w:lineRule="auto"/>
        <w:tabs>
          <w:tab w:leader="none" w:pos="1872" w:val="left"/>
        </w:tabs>
        <w:numPr>
          <w:ilvl w:val="2"/>
          <w:numId w:val="28"/>
        </w:numPr>
        <w:rPr>
          <w:rFonts w:ascii="Arial" w:cs="Arial" w:eastAsia="Arial" w:hAnsi="Arial"/>
          <w:sz w:val="18"/>
          <w:szCs w:val="18"/>
          <w:color w:val="010000"/>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shares of Restricted Stock which have not then been forfeited and with respect to which the Restricted Period has expired (rounded down to the nearest full share).</w:t>
      </w:r>
    </w:p>
    <w:p>
      <w:pPr>
        <w:spacing w:after="0" w:line="390"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21" w:name="page22"/>
    <w:bookmarkEnd w:id="21"/>
    <w:p>
      <w:pPr>
        <w:jc w:val="both"/>
        <w:ind w:left="672" w:right="160" w:firstLine="642"/>
        <w:spacing w:after="0" w:line="289" w:lineRule="auto"/>
        <w:tabs>
          <w:tab w:leader="none" w:pos="1922"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(or other securities or other property, as applicable) for each such outstanding Restricted Stock Unit;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Committee may, in its sole discretion, elect to (A) pay cash or part cash and part Shares in lieu of issuing only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in respect of such Restricted Stock Units; or (B) defer the issuance of Shares (or cash or part cash and part Shares, as the case may be) beyond the expiration of the Restricted Period if such extension would not cause adverse tax consequences under Section 409A of the Code. If a cash payment is made in lieu of issuing Shares in respect of such Restricted Stock Units, the amount of such payment shall be equal to the Fair Market Value per Share as of the date upon which the Restricted Stock Units are settled. Any fractional Shares may be settled in cash or rounded to the next whole number of Shares, in the sole discretion of the Company.</w:t>
      </w:r>
    </w:p>
    <w:p>
      <w:pPr>
        <w:spacing w:after="0" w:line="162" w:lineRule="exact"/>
        <w:rPr>
          <w:sz w:val="20"/>
          <w:szCs w:val="20"/>
          <w:color w:val="auto"/>
        </w:rPr>
      </w:pPr>
    </w:p>
    <w:p>
      <w:pPr>
        <w:ind w:left="552" w:hanging="552"/>
        <w:spacing w:after="0"/>
        <w:tabs>
          <w:tab w:leader="none" w:pos="552"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229" w:lineRule="exact"/>
        <w:rPr>
          <w:rFonts w:ascii="Arial" w:cs="Arial" w:eastAsia="Arial" w:hAnsi="Arial"/>
          <w:sz w:val="18"/>
          <w:szCs w:val="18"/>
          <w:color w:val="auto"/>
        </w:rPr>
      </w:pPr>
    </w:p>
    <w:p>
      <w:pPr>
        <w:jc w:val="both"/>
        <w:ind w:left="552" w:firstLine="264"/>
        <w:spacing w:after="0" w:line="263" w:lineRule="auto"/>
        <w:tabs>
          <w:tab w:leader="none" w:pos="1366" w:val="left"/>
        </w:tabs>
        <w:numPr>
          <w:ilvl w:val="2"/>
          <w:numId w:val="30"/>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SAR granted under the Plan shall be evidenced by an Award Agreement, which agreement need not be the same for each Participant. Each SAR so granted shall be subject to the conditions set forth in this Section 9, and to such other conditions not inconsistent with the Plan as may be reflected in the applicable Award Agreement.</w:t>
      </w:r>
    </w:p>
    <w:p>
      <w:pPr>
        <w:spacing w:after="0" w:line="183" w:lineRule="exact"/>
        <w:rPr>
          <w:rFonts w:ascii="Arial" w:cs="Arial" w:eastAsia="Arial" w:hAnsi="Arial"/>
          <w:sz w:val="18"/>
          <w:szCs w:val="18"/>
          <w:color w:val="010000"/>
        </w:rPr>
      </w:pPr>
    </w:p>
    <w:p>
      <w:pPr>
        <w:ind w:left="552" w:right="20" w:firstLine="264"/>
        <w:spacing w:after="0" w:line="277" w:lineRule="auto"/>
        <w:tabs>
          <w:tab w:leader="none" w:pos="1430" w:val="left"/>
        </w:tabs>
        <w:numPr>
          <w:ilvl w:val="2"/>
          <w:numId w:val="30"/>
        </w:numPr>
        <w:rPr>
          <w:rFonts w:ascii="Arial" w:cs="Arial" w:eastAsia="Arial" w:hAnsi="Arial"/>
          <w:sz w:val="18"/>
          <w:szCs w:val="18"/>
          <w:color w:val="010000"/>
        </w:rPr>
      </w:pPr>
      <w:r>
        <w:rPr>
          <w:rFonts w:ascii="Arial" w:cs="Arial" w:eastAsia="Arial" w:hAnsi="Arial"/>
          <w:sz w:val="18"/>
          <w:szCs w:val="18"/>
          <w:u w:val="single" w:color="auto"/>
          <w:color w:val="auto"/>
        </w:rPr>
        <w:t>SAR Base Price</w:t>
      </w:r>
      <w:r>
        <w:rPr>
          <w:rFonts w:ascii="Arial" w:cs="Arial" w:eastAsia="Arial" w:hAnsi="Arial"/>
          <w:sz w:val="18"/>
          <w:szCs w:val="18"/>
          <w:color w:val="auto"/>
        </w:rPr>
        <w:t>. Except as otherwise provided by the Committee in the case of Substitute Awards, the SAR Base Price for each SAR shall not be less than 100% of the Grant Date Fair Market Value of such Share.</w:t>
      </w:r>
    </w:p>
    <w:p>
      <w:pPr>
        <w:spacing w:after="0" w:line="170" w:lineRule="exact"/>
        <w:rPr>
          <w:rFonts w:ascii="Arial" w:cs="Arial" w:eastAsia="Arial" w:hAnsi="Arial"/>
          <w:sz w:val="18"/>
          <w:szCs w:val="18"/>
          <w:color w:val="010000"/>
        </w:rPr>
      </w:pPr>
    </w:p>
    <w:p>
      <w:pPr>
        <w:ind w:left="1332" w:hanging="516"/>
        <w:spacing w:after="0"/>
        <w:tabs>
          <w:tab w:leader="none" w:pos="1332" w:val="left"/>
        </w:tabs>
        <w:numPr>
          <w:ilvl w:val="2"/>
          <w:numId w:val="30"/>
        </w:numPr>
        <w:rPr>
          <w:rFonts w:ascii="Arial" w:cs="Arial" w:eastAsia="Arial" w:hAnsi="Arial"/>
          <w:sz w:val="18"/>
          <w:szCs w:val="18"/>
          <w:color w:val="010000"/>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72" w:firstLine="642"/>
        <w:spacing w:after="0" w:line="277" w:lineRule="auto"/>
        <w:tabs>
          <w:tab w:leader="none" w:pos="1804" w:val="left"/>
        </w:tabs>
        <w:numPr>
          <w:ilvl w:val="3"/>
          <w:numId w:val="30"/>
        </w:numPr>
        <w:rPr>
          <w:rFonts w:ascii="Arial" w:cs="Arial" w:eastAsia="Arial" w:hAnsi="Arial"/>
          <w:sz w:val="18"/>
          <w:szCs w:val="18"/>
          <w:color w:val="010000"/>
        </w:rPr>
      </w:pPr>
      <w:r>
        <w:rPr>
          <w:rFonts w:ascii="Arial" w:cs="Arial" w:eastAsia="Arial" w:hAnsi="Arial"/>
          <w:sz w:val="18"/>
          <w:szCs w:val="18"/>
          <w:color w:val="auto"/>
        </w:rPr>
        <w:t>Subject to the Minimum Vesting Condition, SARs shall vest and become exercisable in such manner and on such date or dates or upon such event or events as determined by the Committee.</w:t>
      </w:r>
    </w:p>
    <w:p>
      <w:pPr>
        <w:spacing w:after="0" w:line="170" w:lineRule="exact"/>
        <w:rPr>
          <w:rFonts w:ascii="Arial" w:cs="Arial" w:eastAsia="Arial" w:hAnsi="Arial"/>
          <w:sz w:val="18"/>
          <w:szCs w:val="18"/>
          <w:color w:val="010000"/>
        </w:rPr>
      </w:pPr>
    </w:p>
    <w:p>
      <w:pPr>
        <w:ind w:left="1852" w:hanging="538"/>
        <w:spacing w:after="0"/>
        <w:tabs>
          <w:tab w:leader="none" w:pos="1852" w:val="left"/>
        </w:tabs>
        <w:numPr>
          <w:ilvl w:val="3"/>
          <w:numId w:val="30"/>
        </w:numPr>
        <w:rPr>
          <w:rFonts w:ascii="Arial" w:cs="Arial" w:eastAsia="Arial" w:hAnsi="Arial"/>
          <w:sz w:val="18"/>
          <w:szCs w:val="18"/>
          <w:color w:val="010000"/>
        </w:rPr>
      </w:pPr>
      <w:r>
        <w:rPr>
          <w:rFonts w:ascii="Arial" w:cs="Arial" w:eastAsia="Arial" w:hAnsi="Arial"/>
          <w:sz w:val="18"/>
          <w:szCs w:val="18"/>
          <w:color w:val="auto"/>
        </w:rPr>
        <w:t>SARs shall expire upon a date determined by the Committee, not to exceed ten (10) years from the Date of Grant.</w:t>
      </w:r>
    </w:p>
    <w:p>
      <w:pPr>
        <w:spacing w:after="0" w:line="225" w:lineRule="exact"/>
        <w:rPr>
          <w:rFonts w:ascii="Arial" w:cs="Arial" w:eastAsia="Arial" w:hAnsi="Arial"/>
          <w:sz w:val="18"/>
          <w:szCs w:val="18"/>
          <w:color w:val="010000"/>
        </w:rPr>
      </w:pPr>
    </w:p>
    <w:p>
      <w:pPr>
        <w:jc w:val="both"/>
        <w:ind w:left="672" w:firstLine="642"/>
        <w:spacing w:after="0" w:line="284" w:lineRule="auto"/>
        <w:tabs>
          <w:tab w:leader="none" w:pos="2134" w:val="left"/>
        </w:tabs>
        <w:numPr>
          <w:ilvl w:val="3"/>
          <w:numId w:val="30"/>
        </w:numPr>
        <w:rPr>
          <w:rFonts w:ascii="Arial" w:cs="Arial" w:eastAsia="Arial" w:hAnsi="Arial"/>
          <w:sz w:val="16"/>
          <w:szCs w:val="16"/>
          <w:color w:val="010000"/>
        </w:rPr>
      </w:pPr>
      <w:r>
        <w:rPr>
          <w:rFonts w:ascii="Arial" w:cs="Arial" w:eastAsia="Arial" w:hAnsi="Arial"/>
          <w:sz w:val="16"/>
          <w:szCs w:val="16"/>
          <w:color w:val="auto"/>
        </w:rPr>
        <w:t>Unless otherwise provided by the Committee, whether in an Award Agreement or otherwise, in the event of: (A) a Participant’s Termination by the Service Recipient for Cause, all outstanding vested and unvested SARs granted to such Participant shall immediately terminate and expire; (B) a Participant’s Termination due to death or Disability, each outstanding unvested SAR granted to such Participant shall immediately terminate and expire, and each outstanding vested SAR shall remain exercisable for one year thereafter (but in no event beyond ten (10) years from the Date of Grant); and (C) a Participant’s Termination for any other reason, each outstanding unvested SAR granted to such Participant shall immediately terminate and expire, and each outstanding vested SAR shall remain exercisable for three</w:t>
      </w:r>
    </w:p>
    <w:p>
      <w:pPr>
        <w:spacing w:after="0" w:line="4" w:lineRule="exact"/>
        <w:rPr>
          <w:rFonts w:ascii="Arial" w:cs="Arial" w:eastAsia="Arial" w:hAnsi="Arial"/>
          <w:sz w:val="16"/>
          <w:szCs w:val="16"/>
          <w:color w:val="010000"/>
        </w:rPr>
      </w:pPr>
    </w:p>
    <w:p>
      <w:pPr>
        <w:ind w:left="912" w:hanging="246"/>
        <w:spacing w:after="0"/>
        <w:tabs>
          <w:tab w:leader="none" w:pos="9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months thereafter (but in no event beyond ten (10) years from the Date of Grant).</w:t>
      </w:r>
    </w:p>
    <w:p>
      <w:pPr>
        <w:spacing w:after="0" w:line="210" w:lineRule="exact"/>
        <w:rPr>
          <w:rFonts w:ascii="Arial" w:cs="Arial" w:eastAsia="Arial" w:hAnsi="Arial"/>
          <w:sz w:val="18"/>
          <w:szCs w:val="18"/>
          <w:color w:val="auto"/>
        </w:rPr>
      </w:pPr>
    </w:p>
    <w:p>
      <w:pPr>
        <w:jc w:val="both"/>
        <w:ind w:left="552" w:firstLine="264"/>
        <w:spacing w:after="0" w:line="288" w:lineRule="auto"/>
        <w:tabs>
          <w:tab w:leader="none" w:pos="1390" w:val="left"/>
        </w:tabs>
        <w:numPr>
          <w:ilvl w:val="2"/>
          <w:numId w:val="31"/>
        </w:numPr>
        <w:rPr>
          <w:rFonts w:ascii="Arial" w:cs="Arial" w:eastAsia="Arial" w:hAnsi="Arial"/>
          <w:sz w:val="16"/>
          <w:szCs w:val="16"/>
          <w:color w:val="010000"/>
        </w:rPr>
      </w:pPr>
      <w:r>
        <w:rPr>
          <w:rFonts w:ascii="Arial" w:cs="Arial" w:eastAsia="Arial" w:hAnsi="Arial"/>
          <w:sz w:val="16"/>
          <w:szCs w:val="16"/>
          <w:u w:val="single" w:color="auto"/>
          <w:color w:val="auto"/>
        </w:rPr>
        <w:t>Time and Conditions of Exercise</w:t>
      </w:r>
      <w:r>
        <w:rPr>
          <w:rFonts w:ascii="Arial" w:cs="Arial" w:eastAsia="Arial" w:hAnsi="Arial"/>
          <w:sz w:val="16"/>
          <w:szCs w:val="16"/>
          <w:color w:val="auto"/>
        </w:rPr>
        <w:t>. A SAR shall entitle the Participant (or other person entitled to exercise the SAR pursuant to the Plan) to exercise all or a specified portion of the SAR (to the extent then exercisable pursuant to its terms) and to receive from the Company an amount equal to the excess of the aggregate Fair Market Value of the Shares on the date the SAR is exercised over the SAR Base Price, less applicable Tax-Related Items, subject to any limitations the Committee may impose. Payment of the amounts determined under this Section 9(d) shall be in cash, in Shares (based on the Fair Market Value of the Shares as of the date the SAR is exercised) or a combination of both, as determined by the Committee in the Award Agreement. Any fractional Shares shall be settled in cash. SARs that have become exercisable may be exercised by delivery of a notice of exercise to the Company (in such form as the Committee may specify from time to time). Until the Shares are issued (as evidenced by the appropriate entry on the books of the Company or of a duly authorized transfer agent of the Company), no dividends or Dividend Equivalent Right shall be paid, and no right to vote or receive dividends or Dividend Equivalent Rights or any other rights as a shareholder shall exist with respect to the Shares subject to a SAR, notwithstanding the exercise of the SAR.</w:t>
      </w:r>
    </w:p>
    <w:p>
      <w:pPr>
        <w:spacing w:after="0" w:line="37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22" w:name="page23"/>
    <w:bookmarkEnd w:id="22"/>
    <w:p>
      <w:pPr>
        <w:jc w:val="both"/>
        <w:ind w:left="560" w:firstLine="264"/>
        <w:spacing w:after="0" w:line="272" w:lineRule="auto"/>
        <w:tabs>
          <w:tab w:leader="none" w:pos="1347" w:val="left"/>
        </w:tabs>
        <w:numPr>
          <w:ilvl w:val="0"/>
          <w:numId w:val="32"/>
        </w:numPr>
        <w:rPr>
          <w:rFonts w:ascii="Arial" w:cs="Arial" w:eastAsia="Arial" w:hAnsi="Arial"/>
          <w:sz w:val="17"/>
          <w:szCs w:val="17"/>
          <w:color w:val="010000"/>
        </w:rPr>
      </w:pPr>
      <w:r>
        <w:rPr>
          <w:rFonts w:ascii="Arial" w:cs="Arial" w:eastAsia="Arial" w:hAnsi="Arial"/>
          <w:sz w:val="17"/>
          <w:szCs w:val="17"/>
          <w:u w:val="single" w:color="auto"/>
          <w:color w:val="auto"/>
        </w:rPr>
        <w:t>Tandem SARs</w:t>
      </w:r>
      <w:r>
        <w:rPr>
          <w:rFonts w:ascii="Arial" w:cs="Arial" w:eastAsia="Arial" w:hAnsi="Arial"/>
          <w:sz w:val="17"/>
          <w:szCs w:val="17"/>
          <w:color w:val="auto"/>
        </w:rPr>
        <w:t>. A SAR may be granted in connection with an Option, either at the time of grant or at any time thereafter during the term of the Option. A SAR granted in connection with an Option will entitle the holder, upon exercise, to surrender the Option or any portion thereof to the extent unexercised, with respect to the number of Shares as to which such SAR is exercised, and to receive payment of an amount computed as described in Section 9(d). The Option shall, to the extent and when surrendered, cease to be exercisable. A SAR granted in connection with an Option hereunder will have a SAR Base Price equal to the Exercise Price of the Option, will be exercisable at such time or times, and only to the extent, that the related Option is exercisable, and will expire no later than the related Option expires. If a related Option is exercised in whole or in part, then the SAR related to the Shares purchased terminates as of the date of such exercise.</w:t>
      </w:r>
    </w:p>
    <w:p>
      <w:pPr>
        <w:spacing w:after="0" w:line="173" w:lineRule="exact"/>
        <w:rPr>
          <w:sz w:val="20"/>
          <w:szCs w:val="20"/>
          <w:color w:val="auto"/>
        </w:rPr>
      </w:pPr>
    </w:p>
    <w:p>
      <w:pPr>
        <w:jc w:val="both"/>
        <w:ind w:left="560" w:hanging="552"/>
        <w:spacing w:after="0" w:line="258"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Other Equity-Based Awards</w:t>
      </w:r>
      <w:r>
        <w:rPr>
          <w:rFonts w:ascii="Arial" w:cs="Arial" w:eastAsia="Arial" w:hAnsi="Arial"/>
          <w:sz w:val="18"/>
          <w:szCs w:val="18"/>
          <w:color w:val="auto"/>
        </w:rPr>
        <w:t>. The Committee may grant Other Equity-Based Awards under the Plan, denominated in Shares or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or otherwise related to the Shares, to Eligible Persons, alone or in tandem with other Awards, in such amounts and, subject to the Minimum Vesting Condition, dependent on such other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spacing w:after="0" w:line="183" w:lineRule="exact"/>
        <w:rPr>
          <w:rFonts w:ascii="Arial" w:cs="Arial" w:eastAsia="Arial" w:hAnsi="Arial"/>
          <w:sz w:val="18"/>
          <w:szCs w:val="18"/>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Non-Employee Director Grants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560" w:right="300" w:firstLine="264"/>
        <w:spacing w:after="0" w:line="277" w:lineRule="auto"/>
        <w:tabs>
          <w:tab w:leader="none" w:pos="1374"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The Committee may, subject to Section 5(c) hereof, grant Awards to Non- Employee Directors (a “</w:t>
      </w:r>
      <w:r>
        <w:rPr>
          <w:rFonts w:ascii="Arial" w:cs="Arial" w:eastAsia="Arial" w:hAnsi="Arial"/>
          <w:sz w:val="18"/>
          <w:szCs w:val="18"/>
          <w:u w:val="single" w:color="auto"/>
          <w:color w:val="auto"/>
        </w:rPr>
        <w:t>Director Award</w:t>
      </w:r>
      <w:r>
        <w:rPr>
          <w:rFonts w:ascii="Arial" w:cs="Arial" w:eastAsia="Arial" w:hAnsi="Arial"/>
          <w:sz w:val="18"/>
          <w:szCs w:val="18"/>
          <w:color w:val="auto"/>
        </w:rPr>
        <w:t>”), subject to the terms of this Section 11.</w:t>
      </w:r>
    </w:p>
    <w:p>
      <w:pPr>
        <w:spacing w:after="0" w:line="170" w:lineRule="exact"/>
        <w:rPr>
          <w:rFonts w:ascii="Arial" w:cs="Arial" w:eastAsia="Arial" w:hAnsi="Arial"/>
          <w:sz w:val="18"/>
          <w:szCs w:val="18"/>
          <w:color w:val="010000"/>
        </w:rPr>
      </w:pPr>
    </w:p>
    <w:p>
      <w:pPr>
        <w:ind w:left="1380" w:hanging="556"/>
        <w:spacing w:after="0"/>
        <w:tabs>
          <w:tab w:leader="none" w:pos="1380" w:val="left"/>
        </w:tabs>
        <w:numPr>
          <w:ilvl w:val="1"/>
          <w:numId w:val="33"/>
        </w:numPr>
        <w:rPr>
          <w:rFonts w:ascii="Arial" w:cs="Arial" w:eastAsia="Arial" w:hAnsi="Arial"/>
          <w:sz w:val="17"/>
          <w:szCs w:val="17"/>
          <w:color w:val="010000"/>
        </w:rPr>
      </w:pPr>
      <w:r>
        <w:rPr>
          <w:rFonts w:ascii="Arial" w:cs="Arial" w:eastAsia="Arial" w:hAnsi="Arial"/>
          <w:sz w:val="17"/>
          <w:szCs w:val="17"/>
          <w:color w:val="auto"/>
        </w:rPr>
        <w:t>The form of any Director Award, as well as the vesting and other applicable conditions of a Director Award, shall be determined by</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prior to the applicable Date of Grant.</w:t>
      </w:r>
    </w:p>
    <w:p>
      <w:pPr>
        <w:spacing w:after="0" w:line="207" w:lineRule="exact"/>
        <w:rPr>
          <w:sz w:val="20"/>
          <w:szCs w:val="20"/>
          <w:color w:val="auto"/>
        </w:rPr>
      </w:pPr>
    </w:p>
    <w:p>
      <w:pPr>
        <w:ind w:left="560" w:hanging="552"/>
        <w:spacing w:after="0" w:line="282"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Changes in Capital Structure and Similar Events</w:t>
      </w:r>
      <w:r>
        <w:rPr>
          <w:rFonts w:ascii="Arial" w:cs="Arial" w:eastAsia="Arial" w:hAnsi="Arial"/>
          <w:sz w:val="18"/>
          <w:szCs w:val="18"/>
          <w:color w:val="auto"/>
        </w:rPr>
        <w:t>. Notwithstanding any other provision in this Plan to the contrary, the following provisions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all Awards granted hereunder</w:t>
      </w:r>
    </w:p>
    <w:p>
      <w:pPr>
        <w:spacing w:after="0" w:line="165" w:lineRule="exact"/>
        <w:rPr>
          <w:rFonts w:ascii="Arial" w:cs="Arial" w:eastAsia="Arial" w:hAnsi="Arial"/>
          <w:sz w:val="18"/>
          <w:szCs w:val="18"/>
          <w:color w:val="auto"/>
        </w:rPr>
      </w:pPr>
    </w:p>
    <w:p>
      <w:pPr>
        <w:jc w:val="both"/>
        <w:ind w:left="560" w:right="300" w:firstLine="264"/>
        <w:spacing w:after="0" w:line="267" w:lineRule="auto"/>
        <w:tabs>
          <w:tab w:leader="none" w:pos="1455" w:val="left"/>
        </w:tabs>
        <w:numPr>
          <w:ilvl w:val="1"/>
          <w:numId w:val="34"/>
        </w:numPr>
        <w:rPr>
          <w:rFonts w:ascii="Arial" w:cs="Arial" w:eastAsia="Arial" w:hAnsi="Arial"/>
          <w:sz w:val="17"/>
          <w:szCs w:val="17"/>
          <w:color w:val="010000"/>
        </w:rPr>
      </w:pPr>
      <w:r>
        <w:rPr>
          <w:rFonts w:ascii="Arial" w:cs="Arial" w:eastAsia="Arial" w:hAnsi="Arial"/>
          <w:sz w:val="17"/>
          <w:szCs w:val="17"/>
          <w:u w:val="single" w:color="auto"/>
          <w:color w:val="auto"/>
        </w:rPr>
        <w:t>General</w:t>
      </w:r>
      <w:r>
        <w:rPr>
          <w:rFonts w:ascii="Arial" w:cs="Arial" w:eastAsia="Arial" w:hAnsi="Arial"/>
          <w:sz w:val="17"/>
          <w:szCs w:val="17"/>
          <w:color w:val="auto"/>
        </w:rPr>
        <w:t>. In the event of (i) any dividend (other than regular cash dividends) or other distribution (whether in the form of cash, Shares, other securities or other property), recapitalization, stock split, reverse stock split, reorganization, merger, consolidation, split-up, split-off, spin-off, combination, repurchase or exchange of Shares or other securities of the Company, issuance of warrants or other rights to acquire Shares or other securities of the Company, or other similar corporate transaction or event that affects the Shares (including a Change in Control); or (ii) unusual or nonrecurring events affecting the Company, including changes in Applicable Laws, that the Committee determines, in its sole discretion, could result in substantial dilution or enlargement of the rights intended to be granted to, or available for, Participants (any event in (i) or (ii), an “</w:t>
      </w:r>
      <w:r>
        <w:rPr>
          <w:rFonts w:ascii="Arial" w:cs="Arial" w:eastAsia="Arial" w:hAnsi="Arial"/>
          <w:sz w:val="17"/>
          <w:szCs w:val="17"/>
          <w:u w:val="single" w:color="auto"/>
          <w:color w:val="auto"/>
        </w:rPr>
        <w:t>Adjustment Event</w:t>
      </w:r>
      <w:r>
        <w:rPr>
          <w:rFonts w:ascii="Arial" w:cs="Arial" w:eastAsia="Arial" w:hAnsi="Arial"/>
          <w:sz w:val="17"/>
          <w:szCs w:val="17"/>
          <w:color w:val="auto"/>
        </w:rPr>
        <w:t xml:space="preserve">”), the Committee shall, in respect of any such Adjustment Event, make such proportionate substitution or adjustment, if any, as it deems equitable, to any or all of (A) the Plan Share Reserve, or any other limit applicable under the Plan with respect to the number of Awards which may be granted hereunder; (B) the number of Shares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of Shares or other securities of the Company (or number and kind of other securities or other property) subject to outstanding Awards or to which outstanding Awards relate; (II) the Exercise Price or SAR Base Price with respect to any Option or SAR, as applicable or any amount payable as a condition of issuance of Shares (in the case of any other Award) (provided that in no event shall the per share price of an Award be reduced to an amount that is lower than the nominal value of a Share); or (III) any applicable performance measures;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firstLine="264"/>
        <w:spacing w:after="0" w:line="263" w:lineRule="auto"/>
        <w:tabs>
          <w:tab w:leader="none" w:pos="905" w:val="left"/>
        </w:tabs>
        <w:numPr>
          <w:ilvl w:val="0"/>
          <w:numId w:val="35"/>
        </w:numPr>
        <w:rPr>
          <w:rFonts w:ascii="Arial" w:cs="Arial" w:eastAsia="Arial" w:hAnsi="Arial"/>
          <w:sz w:val="18"/>
          <w:szCs w:val="18"/>
          <w:color w:val="010000"/>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without limiting the foregoing and unless otherwise determined by the Committee (which determination may not include any accelerated vesting, except as provided in this Section 12(b)), in its sole discretion, the following provisions shall apply.</w:t>
      </w:r>
    </w:p>
    <w:p>
      <w:pPr>
        <w:spacing w:after="0" w:line="183" w:lineRule="exact"/>
        <w:rPr>
          <w:rFonts w:ascii="Arial" w:cs="Arial" w:eastAsia="Arial" w:hAnsi="Arial"/>
          <w:sz w:val="18"/>
          <w:szCs w:val="18"/>
          <w:color w:val="010000"/>
        </w:rPr>
      </w:pPr>
    </w:p>
    <w:p>
      <w:pPr>
        <w:jc w:val="both"/>
        <w:ind w:left="120" w:firstLine="642"/>
        <w:spacing w:after="0" w:line="272" w:lineRule="auto"/>
        <w:tabs>
          <w:tab w:leader="none" w:pos="1266" w:val="left"/>
        </w:tabs>
        <w:numPr>
          <w:ilvl w:val="1"/>
          <w:numId w:val="35"/>
        </w:numPr>
        <w:rPr>
          <w:rFonts w:ascii="Arial" w:cs="Arial" w:eastAsia="Arial" w:hAnsi="Arial"/>
          <w:sz w:val="17"/>
          <w:szCs w:val="17"/>
          <w:color w:val="010000"/>
        </w:rPr>
      </w:pPr>
      <w:r>
        <w:rPr>
          <w:rFonts w:ascii="Arial" w:cs="Arial" w:eastAsia="Arial" w:hAnsi="Arial"/>
          <w:sz w:val="17"/>
          <w:szCs w:val="17"/>
          <w:u w:val="single" w:color="auto"/>
          <w:color w:val="auto"/>
        </w:rPr>
        <w:t>Outstanding Awards with Time-Based Vesting</w:t>
      </w:r>
      <w:r>
        <w:rPr>
          <w:rFonts w:ascii="Arial" w:cs="Arial" w:eastAsia="Arial" w:hAnsi="Arial"/>
          <w:sz w:val="17"/>
          <w:szCs w:val="17"/>
          <w:color w:val="auto"/>
        </w:rPr>
        <w:t>. All outstanding Awards subject to vesting based on the Participant’s continued service over a period of time (“</w:t>
      </w:r>
      <w:r>
        <w:rPr>
          <w:rFonts w:ascii="Arial" w:cs="Arial" w:eastAsia="Arial" w:hAnsi="Arial"/>
          <w:sz w:val="17"/>
          <w:szCs w:val="17"/>
          <w:u w:val="single" w:color="auto"/>
          <w:color w:val="auto"/>
        </w:rPr>
        <w:t>Time-Based Awards</w:t>
      </w:r>
      <w:r>
        <w:rPr>
          <w:rFonts w:ascii="Arial" w:cs="Arial" w:eastAsia="Arial" w:hAnsi="Arial"/>
          <w:sz w:val="17"/>
          <w:szCs w:val="17"/>
          <w:color w:val="auto"/>
        </w:rPr>
        <w:t>”) shall be assumed by the surviving or acquiring entity, or its Affiliates (the “</w:t>
      </w:r>
      <w:r>
        <w:rPr>
          <w:rFonts w:ascii="Arial" w:cs="Arial" w:eastAsia="Arial" w:hAnsi="Arial"/>
          <w:sz w:val="17"/>
          <w:szCs w:val="17"/>
          <w:u w:val="single" w:color="auto"/>
          <w:color w:val="auto"/>
        </w:rPr>
        <w:t>Continuing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Entity</w:t>
      </w:r>
      <w:r>
        <w:rPr>
          <w:rFonts w:ascii="Arial" w:cs="Arial" w:eastAsia="Arial" w:hAnsi="Arial"/>
          <w:sz w:val="17"/>
          <w:szCs w:val="17"/>
          <w:color w:val="auto"/>
        </w:rPr>
        <w:t>”), or substituted for new cash or equity-based awards of such Continuing Entity, as provided in the merger or acquisition agreement, or if no such assumption or substitution is provided for, all outstanding Time-Based Awards shall become fully vested and, to the extent applicable, exercisable and all forfeiture restrictions on such Awards shall lapse. To the extent that any Time-Based Awards are to be assumed or substituted, the Committee may provide that the vesting of any unvested portion of any one or more of such Awards will automatically accelerate upon a Participant’s Qualifying Termination.</w:t>
      </w:r>
    </w:p>
    <w:p>
      <w:pPr>
        <w:spacing w:after="0" w:line="177" w:lineRule="exact"/>
        <w:rPr>
          <w:rFonts w:ascii="Arial" w:cs="Arial" w:eastAsia="Arial" w:hAnsi="Arial"/>
          <w:sz w:val="17"/>
          <w:szCs w:val="17"/>
          <w:color w:val="010000"/>
        </w:rPr>
      </w:pPr>
    </w:p>
    <w:p>
      <w:pPr>
        <w:jc w:val="both"/>
        <w:ind w:left="120" w:firstLine="642"/>
        <w:spacing w:after="0" w:line="269" w:lineRule="auto"/>
        <w:tabs>
          <w:tab w:leader="none" w:pos="1451" w:val="left"/>
        </w:tabs>
        <w:numPr>
          <w:ilvl w:val="1"/>
          <w:numId w:val="35"/>
        </w:numPr>
        <w:rPr>
          <w:rFonts w:ascii="Arial" w:cs="Arial" w:eastAsia="Arial" w:hAnsi="Arial"/>
          <w:sz w:val="17"/>
          <w:szCs w:val="17"/>
          <w:color w:val="010000"/>
        </w:rPr>
      </w:pPr>
      <w:r>
        <w:rPr>
          <w:rFonts w:ascii="Arial" w:cs="Arial" w:eastAsia="Arial" w:hAnsi="Arial"/>
          <w:sz w:val="17"/>
          <w:szCs w:val="17"/>
          <w:u w:val="single" w:color="auto"/>
          <w:color w:val="auto"/>
        </w:rPr>
        <w:t>Outstanding Awards with Performance-Based Vesting</w:t>
      </w:r>
      <w:r>
        <w:rPr>
          <w:rFonts w:ascii="Arial" w:cs="Arial" w:eastAsia="Arial" w:hAnsi="Arial"/>
          <w:sz w:val="17"/>
          <w:szCs w:val="17"/>
          <w:color w:val="auto"/>
        </w:rPr>
        <w:t>. All outstanding unvested Awards subject to vesting based on the achievement of performance criteria (“</w:t>
      </w:r>
      <w:r>
        <w:rPr>
          <w:rFonts w:ascii="Arial" w:cs="Arial" w:eastAsia="Arial" w:hAnsi="Arial"/>
          <w:sz w:val="17"/>
          <w:szCs w:val="17"/>
          <w:u w:val="single" w:color="auto"/>
          <w:color w:val="auto"/>
        </w:rPr>
        <w:t>Performance-Based Awards</w:t>
      </w:r>
      <w:r>
        <w:rPr>
          <w:rFonts w:ascii="Arial" w:cs="Arial" w:eastAsia="Arial" w:hAnsi="Arial"/>
          <w:sz w:val="17"/>
          <w:szCs w:val="17"/>
          <w:color w:val="auto"/>
        </w:rPr>
        <w:t>”) shall vest as of the effective date of the Change in Control (A) at the target level, pro-rated to reflect the portion of the performance period that has elapsed as of the effective date of the Change in Control or (B) at the actual achievement level, based on the actual achievement of such performance criteria, as of the effective date of the Change in Control or the most recent practicable date immediately prior to the effective date of the Change in Control on which the performance criteria may be measured prior to such effective date, as reasonably determined by the Committee in good faith, including any reasonable assumptions, adjustments or projections related to such performance criteria. The level of vesting for each outstanding Performance-Based Award on a Change in Control as between clause (A) or (B) above shall be the level that provides the greatest value under each Performance-Based Award, which may be different with respect to each outstanding Performance-Based Award. Any unvested portion of any outstanding Performance- Based Award that does not become vested in connection with a Change in Control in accordance with this Section 12(b)(ii) shall terminate and cease to be outstanding as of the effective date of the Change in Control, without payment of any consideration to the Participant.</w:t>
      </w:r>
    </w:p>
    <w:p>
      <w:pPr>
        <w:spacing w:after="0" w:line="178" w:lineRule="exact"/>
        <w:rPr>
          <w:rFonts w:ascii="Arial" w:cs="Arial" w:eastAsia="Arial" w:hAnsi="Arial"/>
          <w:sz w:val="17"/>
          <w:szCs w:val="17"/>
          <w:color w:val="010000"/>
        </w:rPr>
      </w:pPr>
    </w:p>
    <w:p>
      <w:pPr>
        <w:jc w:val="both"/>
        <w:ind w:left="120" w:firstLine="642"/>
        <w:spacing w:after="0" w:line="268" w:lineRule="auto"/>
        <w:tabs>
          <w:tab w:leader="none" w:pos="1393" w:val="left"/>
        </w:tabs>
        <w:numPr>
          <w:ilvl w:val="1"/>
          <w:numId w:val="35"/>
        </w:numPr>
        <w:rPr>
          <w:rFonts w:ascii="Arial" w:cs="Arial" w:eastAsia="Arial" w:hAnsi="Arial"/>
          <w:sz w:val="17"/>
          <w:szCs w:val="17"/>
          <w:color w:val="010000"/>
        </w:rPr>
      </w:pPr>
      <w:r>
        <w:rPr>
          <w:rFonts w:ascii="Arial" w:cs="Arial" w:eastAsia="Arial" w:hAnsi="Arial"/>
          <w:sz w:val="17"/>
          <w:szCs w:val="17"/>
          <w:u w:val="single" w:color="auto"/>
          <w:color w:val="auto"/>
        </w:rPr>
        <w:t>Cancellation of Awards</w:t>
      </w:r>
      <w:r>
        <w:rPr>
          <w:rFonts w:ascii="Arial" w:cs="Arial" w:eastAsia="Arial" w:hAnsi="Arial"/>
          <w:sz w:val="17"/>
          <w:szCs w:val="17"/>
          <w:color w:val="auto"/>
        </w:rPr>
        <w:t>. In connection with a Change in Control, the Committee may, in its sole discretion, but shall not be obligated to, provide for cancellation of all or any portion of any one or more outstanding Awards and payment to the holders of such Awards, with respect to the portion of such Awards that are vested as of such cancellation (including, without limitation, any Awards that would vest in accordance with the terms of such Award or in accordance with this Section 12(b)(i) or (ii) hereof, as applicable), the value of the vested portion of such Awards, if any, as determined by the Committee (which value, if applicable, may be based upon the per- share consideration received or to be received by the holders of the Shares upon the occurrence of the Change in Control (the “</w:t>
      </w:r>
      <w:r>
        <w:rPr>
          <w:rFonts w:ascii="Arial" w:cs="Arial" w:eastAsia="Arial" w:hAnsi="Arial"/>
          <w:sz w:val="17"/>
          <w:szCs w:val="17"/>
          <w:u w:val="single" w:color="auto"/>
          <w:color w:val="auto"/>
        </w:rPr>
        <w:t>Change in Control Consideration</w:t>
      </w:r>
      <w:r>
        <w:rPr>
          <w:rFonts w:ascii="Arial" w:cs="Arial" w:eastAsia="Arial" w:hAnsi="Arial"/>
          <w:sz w:val="17"/>
          <w:szCs w:val="17"/>
          <w:color w:val="auto"/>
        </w:rPr>
        <w:t>”), including, without limitation, in the case of an outstanding Option or SAR, a cash payment in an amount equal to the excess, if any, of the Change in Control Consideration over the per- share Exercise Price or SAR Base Price, as applicable, of such Option or SAR, multiplied by the number of Shares underlying the vested portion of each such Option or SAR. Payments to holders with respect to the vested portion of such cancelled Awards pursuant to this Section 12(b)(iii) shall be made in cash or, in the sole discretion of the Committee, in such other form of consideration necessary for such holders to receive the property, cash, securities, and/or other consideration (or any combination thereof) as such holders would have been entitled to receive upon the occurrence of the Change in Control as if such holders had been, immediately prior to such Change in Control, the holder of the number of Shares covered by the vested portion of such cancelled Awards (less any applicable Exercise or SAR Base Price). The unvested portion of any outstanding Award, and the vested portion of any Option or SAR having an Exercise or Strike Price equal to, or in excess of, the Change in Control Consideration, may be canceled and terminated without any payment or consideration therefor.</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4" w:name="page25"/>
    <w:bookmarkEnd w:id="24"/>
    <w:p>
      <w:pPr>
        <w:jc w:val="both"/>
        <w:ind w:left="652"/>
        <w:spacing w:after="0" w:line="293" w:lineRule="auto"/>
        <w:rPr>
          <w:sz w:val="20"/>
          <w:szCs w:val="20"/>
          <w:color w:val="auto"/>
        </w:rPr>
      </w:pPr>
      <w:r>
        <w:rPr>
          <w:rFonts w:ascii="Arial" w:cs="Arial" w:eastAsia="Arial" w:hAnsi="Arial"/>
          <w:sz w:val="16"/>
          <w:szCs w:val="16"/>
          <w:color w:val="auto"/>
        </w:rPr>
        <w:t>For purposes of Section 12(b)(i) above, the assumption or substitution of an Award may include conversion of the Shares underlying such Award into shares of the Continuing Entity, or, subject to any limitations or reductions as may be necessary to comply with Section 409A of the Code, into cash, property or other securities having an equivalent value as the Award, which conversion shall not affect any continued vesting requirements of the Award (other than as provided in clause (i) above upon a Participant’s Qualifying Termination). For the avoidance of doubt, any such substitution of an Award shall not provide for the acceleration of any vesting requirements of the Award (other than as provided in clause (i) above upon a Participant’s Termination) and no Awards shall vest solely as a result of such assumption or substitution.</w:t>
      </w:r>
    </w:p>
    <w:p>
      <w:pPr>
        <w:spacing w:after="0" w:line="164" w:lineRule="exact"/>
        <w:rPr>
          <w:sz w:val="20"/>
          <w:szCs w:val="20"/>
          <w:color w:val="auto"/>
        </w:rPr>
      </w:pPr>
    </w:p>
    <w:p>
      <w:pPr>
        <w:jc w:val="both"/>
        <w:ind w:left="652" w:right="40" w:firstLine="168"/>
        <w:spacing w:after="0" w:line="296" w:lineRule="auto"/>
        <w:tabs>
          <w:tab w:leader="none" w:pos="1541" w:val="left"/>
        </w:tabs>
        <w:numPr>
          <w:ilvl w:val="0"/>
          <w:numId w:val="36"/>
        </w:numPr>
        <w:rPr>
          <w:rFonts w:ascii="Arial" w:cs="Arial" w:eastAsia="Arial" w:hAnsi="Arial"/>
          <w:sz w:val="16"/>
          <w:szCs w:val="16"/>
          <w:color w:val="010000"/>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Prior to any payment or adjustment contemplated under this Section 12,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161" w:lineRule="exact"/>
        <w:rPr>
          <w:rFonts w:ascii="Arial" w:cs="Arial" w:eastAsia="Arial" w:hAnsi="Arial"/>
          <w:sz w:val="16"/>
          <w:szCs w:val="16"/>
          <w:color w:val="010000"/>
        </w:rPr>
      </w:pPr>
    </w:p>
    <w:p>
      <w:pPr>
        <w:ind w:left="652" w:right="260" w:firstLine="168"/>
        <w:spacing w:after="0" w:line="277" w:lineRule="auto"/>
        <w:tabs>
          <w:tab w:leader="none" w:pos="1474" w:val="left"/>
        </w:tabs>
        <w:numPr>
          <w:ilvl w:val="0"/>
          <w:numId w:val="36"/>
        </w:numPr>
        <w:rPr>
          <w:rFonts w:ascii="Arial" w:cs="Arial" w:eastAsia="Arial" w:hAnsi="Arial"/>
          <w:sz w:val="18"/>
          <w:szCs w:val="18"/>
          <w:color w:val="010000"/>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Any adjustment provided under this Section 12 may provide for the elimination of any fractional share that might otherwise become subject to an Award.</w:t>
      </w:r>
    </w:p>
    <w:p>
      <w:pPr>
        <w:spacing w:after="0" w:line="170" w:lineRule="exact"/>
        <w:rPr>
          <w:rFonts w:ascii="Arial" w:cs="Arial" w:eastAsia="Arial" w:hAnsi="Arial"/>
          <w:sz w:val="18"/>
          <w:szCs w:val="18"/>
          <w:color w:val="010000"/>
        </w:rPr>
      </w:pPr>
    </w:p>
    <w:p>
      <w:pPr>
        <w:ind w:left="1372" w:hanging="552"/>
        <w:spacing w:after="0"/>
        <w:tabs>
          <w:tab w:leader="none" w:pos="1372" w:val="left"/>
        </w:tabs>
        <w:numPr>
          <w:ilvl w:val="0"/>
          <w:numId w:val="36"/>
        </w:numPr>
        <w:rPr>
          <w:rFonts w:ascii="Arial" w:cs="Arial" w:eastAsia="Arial" w:hAnsi="Arial"/>
          <w:sz w:val="17"/>
          <w:szCs w:val="17"/>
          <w:color w:val="010000"/>
        </w:rPr>
      </w:pPr>
      <w:r>
        <w:rPr>
          <w:rFonts w:ascii="Arial" w:cs="Arial" w:eastAsia="Arial" w:hAnsi="Arial"/>
          <w:sz w:val="17"/>
          <w:szCs w:val="17"/>
          <w:u w:val="single" w:color="auto"/>
          <w:color w:val="auto"/>
        </w:rPr>
        <w:t>Binding Effect</w:t>
      </w:r>
      <w:r>
        <w:rPr>
          <w:rFonts w:ascii="Arial" w:cs="Arial" w:eastAsia="Arial" w:hAnsi="Arial"/>
          <w:sz w:val="17"/>
          <w:szCs w:val="17"/>
          <w:color w:val="auto"/>
        </w:rPr>
        <w:t>. Any adjustment, substitution, determination of value or other action taken by the Committee under this Section</w:t>
      </w:r>
    </w:p>
    <w:p>
      <w:pPr>
        <w:spacing w:after="0" w:line="35" w:lineRule="exact"/>
        <w:rPr>
          <w:sz w:val="20"/>
          <w:szCs w:val="20"/>
          <w:color w:val="auto"/>
        </w:rPr>
      </w:pPr>
    </w:p>
    <w:p>
      <w:pPr>
        <w:ind w:left="552"/>
        <w:spacing w:after="0"/>
        <w:rPr>
          <w:sz w:val="20"/>
          <w:szCs w:val="20"/>
          <w:color w:val="auto"/>
        </w:rPr>
      </w:pPr>
      <w:r>
        <w:rPr>
          <w:rFonts w:ascii="Arial" w:cs="Arial" w:eastAsia="Arial" w:hAnsi="Arial"/>
          <w:sz w:val="18"/>
          <w:szCs w:val="18"/>
          <w:color w:val="auto"/>
        </w:rPr>
        <w:t>12 shall be conclusive and binding for all purposes.</w:t>
      </w:r>
    </w:p>
    <w:p>
      <w:pPr>
        <w:spacing w:after="0" w:line="207" w:lineRule="exact"/>
        <w:rPr>
          <w:sz w:val="20"/>
          <w:szCs w:val="20"/>
          <w:color w:val="auto"/>
        </w:rPr>
      </w:pPr>
    </w:p>
    <w:p>
      <w:pPr>
        <w:ind w:left="552" w:hanging="552"/>
        <w:spacing w:after="0"/>
        <w:tabs>
          <w:tab w:leader="none" w:pos="55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right="20" w:firstLine="264"/>
        <w:spacing w:after="0" w:line="289" w:lineRule="auto"/>
        <w:tabs>
          <w:tab w:leader="none" w:pos="1326" w:val="left"/>
        </w:tabs>
        <w:numPr>
          <w:ilvl w:val="1"/>
          <w:numId w:val="37"/>
        </w:numPr>
        <w:rPr>
          <w:rFonts w:ascii="Arial" w:cs="Arial" w:eastAsia="Arial" w:hAnsi="Arial"/>
          <w:sz w:val="16"/>
          <w:szCs w:val="16"/>
          <w:color w:val="010000"/>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xml:space="preserve">. The Board or the Committee may amend, alter, suspend, discontinue, or terminate the Plan or any portion thereof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alteration, suspension, discontinuance or termination shall be made without stockholder approval if (i) such approval is necessary to comply with Applicable Laws; (ii) it would materially increase the number of securities which may be issued under the Plan (except for increases pursuant to Section 5 or 12 of the Plan); or (iii) it would materially modify the requirements for participation in the Plan;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except that no such consent shall be required to the extent that the Committee determines, in its sole discretion, that any such action is necessary or desirable to facilitate compliance with Applicable Laws. Notwithstanding the foregoing, no amendment shall be made to Section 13(c) of the Plan without stockholder approval.</w:t>
      </w:r>
    </w:p>
    <w:p>
      <w:pPr>
        <w:spacing w:after="0" w:line="166" w:lineRule="exact"/>
        <w:rPr>
          <w:rFonts w:ascii="Arial" w:cs="Arial" w:eastAsia="Arial" w:hAnsi="Arial"/>
          <w:sz w:val="16"/>
          <w:szCs w:val="16"/>
          <w:color w:val="010000"/>
        </w:rPr>
      </w:pPr>
    </w:p>
    <w:p>
      <w:pPr>
        <w:jc w:val="both"/>
        <w:ind w:left="552" w:right="20" w:firstLine="264"/>
        <w:spacing w:after="0" w:line="291" w:lineRule="auto"/>
        <w:tabs>
          <w:tab w:leader="none" w:pos="1457" w:val="left"/>
        </w:tabs>
        <w:numPr>
          <w:ilvl w:val="1"/>
          <w:numId w:val="37"/>
        </w:numPr>
        <w:rPr>
          <w:rFonts w:ascii="Arial" w:cs="Arial" w:eastAsia="Arial" w:hAnsi="Arial"/>
          <w:sz w:val="16"/>
          <w:szCs w:val="16"/>
          <w:color w:val="010000"/>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Arial" w:cs="Arial" w:eastAsia="Arial" w:hAnsi="Arial"/>
          <w:sz w:val="16"/>
          <w:szCs w:val="16"/>
          <w:i w:val="1"/>
          <w:iCs w:val="1"/>
          <w:color w:val="auto"/>
        </w:rPr>
        <w:t>provided</w:t>
      </w:r>
      <w:r>
        <w:rPr>
          <w:rFonts w:ascii="Arial" w:cs="Arial" w:eastAsia="Arial" w:hAnsi="Arial"/>
          <w:sz w:val="16"/>
          <w:szCs w:val="16"/>
          <w:color w:val="auto"/>
        </w:rPr>
        <w:t>,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except that no such consent shall be required to the extent that the Committee determines, in its sole discretion, that any such action is necessary or desirable to facilitate compliance with Applicable Laws.</w:t>
      </w:r>
    </w:p>
    <w:p>
      <w:pPr>
        <w:spacing w:after="0" w:line="166" w:lineRule="exact"/>
        <w:rPr>
          <w:rFonts w:ascii="Arial" w:cs="Arial" w:eastAsia="Arial" w:hAnsi="Arial"/>
          <w:sz w:val="16"/>
          <w:szCs w:val="16"/>
          <w:color w:val="010000"/>
        </w:rPr>
      </w:pPr>
    </w:p>
    <w:p>
      <w:pPr>
        <w:jc w:val="both"/>
        <w:ind w:left="552" w:right="20" w:firstLine="264"/>
        <w:spacing w:after="0" w:line="293" w:lineRule="auto"/>
        <w:tabs>
          <w:tab w:leader="none" w:pos="1420" w:val="left"/>
        </w:tabs>
        <w:numPr>
          <w:ilvl w:val="1"/>
          <w:numId w:val="37"/>
        </w:numPr>
        <w:rPr>
          <w:rFonts w:ascii="Arial" w:cs="Arial" w:eastAsia="Arial" w:hAnsi="Arial"/>
          <w:sz w:val="16"/>
          <w:szCs w:val="16"/>
          <w:color w:val="010000"/>
        </w:rPr>
      </w:pPr>
      <w:r>
        <w:rPr>
          <w:rFonts w:ascii="Arial" w:cs="Arial" w:eastAsia="Arial" w:hAnsi="Arial"/>
          <w:sz w:val="16"/>
          <w:szCs w:val="16"/>
          <w:u w:val="single" w:color="auto"/>
          <w:color w:val="auto"/>
        </w:rPr>
        <w:t>No Repricing</w:t>
      </w:r>
      <w:r>
        <w:rPr>
          <w:rFonts w:ascii="Arial" w:cs="Arial" w:eastAsia="Arial" w:hAnsi="Arial"/>
          <w:sz w:val="16"/>
          <w:szCs w:val="16"/>
          <w:color w:val="auto"/>
        </w:rPr>
        <w:t>. Notwithstanding anything in the Plan to the contrary, without stockholder approval, except as otherwise permitted under Section 12 of the Plan, (i) no amendment or modification may reduce the Exercise Price of any Option or the SAR Base Price of any SAR; (ii) the Committee may not cancel any outstanding Option or SAR and replace it with a new Option or SAR (with a lower Exercise Price or SAR Base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 dealer quotation system on which the securities of the Company are listed or quoted.</w:t>
      </w:r>
    </w:p>
    <w:p>
      <w:pPr>
        <w:spacing w:after="0" w:line="367"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52"/>
          </w:cols>
          <w:pgMar w:left="328" w:top="341" w:right="619" w:bottom="1440" w:gutter="0" w:footer="0" w:header="0"/>
        </w:sectPr>
      </w:pPr>
    </w:p>
    <w:bookmarkStart w:id="25" w:name="page26"/>
    <w:bookmarkEnd w:id="25"/>
    <w:p>
      <w:pPr>
        <w:ind w:left="552" w:hanging="552"/>
        <w:spacing w:after="0"/>
        <w:tabs>
          <w:tab w:leader="none" w:pos="5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firstLine="264"/>
        <w:spacing w:after="0" w:line="254" w:lineRule="auto"/>
        <w:tabs>
          <w:tab w:leader="none" w:pos="1501" w:val="left"/>
        </w:tabs>
        <w:numPr>
          <w:ilvl w:val="2"/>
          <w:numId w:val="38"/>
        </w:numPr>
        <w:rPr>
          <w:rFonts w:ascii="Arial" w:cs="Arial" w:eastAsia="Arial" w:hAnsi="Arial"/>
          <w:sz w:val="18"/>
          <w:szCs w:val="18"/>
          <w:color w:val="010000"/>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194" w:lineRule="exact"/>
        <w:rPr>
          <w:rFonts w:ascii="Arial" w:cs="Arial" w:eastAsia="Arial" w:hAnsi="Arial"/>
          <w:sz w:val="18"/>
          <w:szCs w:val="18"/>
          <w:color w:val="010000"/>
        </w:rPr>
      </w:pPr>
    </w:p>
    <w:p>
      <w:pPr>
        <w:ind w:left="1332" w:hanging="516"/>
        <w:spacing w:after="0"/>
        <w:tabs>
          <w:tab w:leader="none" w:pos="1332" w:val="left"/>
        </w:tabs>
        <w:numPr>
          <w:ilvl w:val="2"/>
          <w:numId w:val="38"/>
        </w:numPr>
        <w:rPr>
          <w:rFonts w:ascii="Arial" w:cs="Arial" w:eastAsia="Arial" w:hAnsi="Arial"/>
          <w:sz w:val="18"/>
          <w:szCs w:val="18"/>
          <w:color w:val="010000"/>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72" w:firstLine="642"/>
        <w:spacing w:after="0" w:line="254" w:lineRule="auto"/>
        <w:tabs>
          <w:tab w:leader="none" w:pos="1845" w:val="left"/>
        </w:tabs>
        <w:numPr>
          <w:ilvl w:val="3"/>
          <w:numId w:val="38"/>
        </w:numPr>
        <w:rPr>
          <w:rFonts w:ascii="Arial" w:cs="Arial" w:eastAsia="Arial" w:hAnsi="Arial"/>
          <w:sz w:val="18"/>
          <w:szCs w:val="18"/>
          <w:color w:val="010000"/>
        </w:rPr>
      </w:pPr>
      <w:r>
        <w:rPr>
          <w:rFonts w:ascii="Arial" w:cs="Arial" w:eastAsia="Arial" w:hAnsi="Arial"/>
          <w:sz w:val="18"/>
          <w:szCs w:val="18"/>
          <w:color w:val="auto"/>
        </w:rPr>
        <w:t xml:space="preserve">Each Award shall be exercisable only by such Participant to whom such Award was granted during the Participant’s lifetime, or, if permissible under Applicable Laws, by the Participant’s legal guardian or representative. No Award may be assigned, alienated, pledged, attached, sold or otherwise transferred or encumbered by a Participant (unless such transfer is specifically required pursuant to a domestic relations order or by Applicable Laws) other than by will or by the laws of descent and distribution and any such purported assignment, alienation, pledge, attachment, sale, transfer or encumbrance shall be void and unenforceable against any member of the Company Group; </w:t>
      </w:r>
      <w:r>
        <w:rPr>
          <w:rFonts w:ascii="Arial" w:cs="Arial" w:eastAsia="Arial" w:hAnsi="Arial"/>
          <w:sz w:val="18"/>
          <w:szCs w:val="18"/>
          <w:i w:val="1"/>
          <w:iCs w:val="1"/>
          <w:color w:val="auto"/>
        </w:rPr>
        <w:t>provided</w:t>
      </w:r>
      <w:r>
        <w:rPr>
          <w:rFonts w:ascii="Arial" w:cs="Arial" w:eastAsia="Arial" w:hAnsi="Arial"/>
          <w:sz w:val="18"/>
          <w:szCs w:val="18"/>
          <w:color w:val="auto"/>
        </w:rPr>
        <w:t>, that the designation of a beneficiary shall not constitute an assignment, alienation, pledge, attachment, sale, transfer or</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w:t>
      </w:r>
    </w:p>
    <w:p>
      <w:pPr>
        <w:spacing w:after="0" w:line="194" w:lineRule="exact"/>
        <w:rPr>
          <w:rFonts w:ascii="Arial" w:cs="Arial" w:eastAsia="Arial" w:hAnsi="Arial"/>
          <w:sz w:val="18"/>
          <w:szCs w:val="18"/>
          <w:color w:val="010000"/>
        </w:rPr>
      </w:pPr>
    </w:p>
    <w:p>
      <w:pPr>
        <w:jc w:val="both"/>
        <w:ind w:left="672" w:firstLine="642"/>
        <w:spacing w:after="0" w:line="269" w:lineRule="auto"/>
        <w:tabs>
          <w:tab w:leader="none" w:pos="1962" w:val="left"/>
        </w:tabs>
        <w:numPr>
          <w:ilvl w:val="3"/>
          <w:numId w:val="38"/>
        </w:numPr>
        <w:rPr>
          <w:rFonts w:ascii="Arial" w:cs="Arial" w:eastAsia="Arial" w:hAnsi="Arial"/>
          <w:sz w:val="17"/>
          <w:szCs w:val="17"/>
          <w:color w:val="010000"/>
        </w:rPr>
      </w:pPr>
      <w:r>
        <w:rPr>
          <w:rFonts w:ascii="Arial" w:cs="Arial" w:eastAsia="Arial" w:hAnsi="Arial"/>
          <w:sz w:val="17"/>
          <w:szCs w:val="17"/>
          <w:color w:val="auto"/>
        </w:rPr>
        <w:t>Notwithstanding the foregoing and subject to Applicable Laws, the Committee may, in its sole discretion, permit Awards (other than Incentive Stock Options) to be transferred by a Participant residing in the U.S.,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 (collectively, the “</w:t>
      </w:r>
      <w:r>
        <w:rPr>
          <w:rFonts w:ascii="Arial" w:cs="Arial" w:eastAsia="Arial" w:hAnsi="Arial"/>
          <w:sz w:val="17"/>
          <w:szCs w:val="17"/>
          <w:u w:val="single" w:color="auto"/>
          <w:color w:val="auto"/>
        </w:rPr>
        <w:t>Immediate Family Members</w:t>
      </w:r>
      <w:r>
        <w:rPr>
          <w:rFonts w:ascii="Arial" w:cs="Arial" w:eastAsia="Arial" w:hAnsi="Arial"/>
          <w:sz w:val="17"/>
          <w:szCs w:val="17"/>
          <w:color w:val="auto"/>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Participant gives the Committee advance written notice describing the terms and conditions of the proposed transfer and the Committee notifies the Participant in writing that such a transfer would comply with the requirements of the Plan. For the avoidance of doubt, Awards granted to Participants residing outside the U.S. are not transferable to Permitted Transferees.</w:t>
      </w:r>
    </w:p>
    <w:p>
      <w:pPr>
        <w:spacing w:after="0" w:line="178" w:lineRule="exact"/>
        <w:rPr>
          <w:rFonts w:ascii="Arial" w:cs="Arial" w:eastAsia="Arial" w:hAnsi="Arial"/>
          <w:sz w:val="17"/>
          <w:szCs w:val="17"/>
          <w:color w:val="010000"/>
        </w:rPr>
      </w:pPr>
    </w:p>
    <w:p>
      <w:pPr>
        <w:jc w:val="both"/>
        <w:ind w:left="672" w:right="40" w:firstLine="642"/>
        <w:spacing w:after="0" w:line="291" w:lineRule="auto"/>
        <w:tabs>
          <w:tab w:leader="none" w:pos="1999" w:val="left"/>
        </w:tabs>
        <w:numPr>
          <w:ilvl w:val="3"/>
          <w:numId w:val="38"/>
        </w:numPr>
        <w:rPr>
          <w:rFonts w:ascii="Arial" w:cs="Arial" w:eastAsia="Arial" w:hAnsi="Arial"/>
          <w:sz w:val="16"/>
          <w:szCs w:val="16"/>
          <w:color w:val="010000"/>
        </w:rPr>
      </w:pPr>
      <w:r>
        <w:rPr>
          <w:rFonts w:ascii="Arial" w:cs="Arial" w:eastAsia="Arial" w:hAnsi="Arial"/>
          <w:sz w:val="16"/>
          <w:szCs w:val="16"/>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w:t>
      </w:r>
    </w:p>
    <w:p>
      <w:pPr>
        <w:jc w:val="both"/>
        <w:ind w:left="672" w:right="20" w:hanging="6"/>
        <w:spacing w:after="0" w:line="287" w:lineRule="auto"/>
        <w:tabs>
          <w:tab w:leader="none" w:pos="969" w:val="left"/>
        </w:tabs>
        <w:numPr>
          <w:ilvl w:val="1"/>
          <w:numId w:val="38"/>
        </w:numPr>
        <w:rPr>
          <w:rFonts w:ascii="Arial" w:cs="Arial" w:eastAsia="Arial" w:hAnsi="Arial"/>
          <w:sz w:val="16"/>
          <w:szCs w:val="16"/>
          <w:color w:val="auto"/>
        </w:rPr>
      </w:pPr>
      <w:r>
        <w:rPr>
          <w:rFonts w:ascii="Arial" w:cs="Arial" w:eastAsia="Arial" w:hAnsi="Arial"/>
          <w:sz w:val="16"/>
          <w:szCs w:val="16"/>
          <w:color w:val="auto"/>
        </w:rPr>
        <w:t>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372"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37" w:right="639" w:bottom="1440" w:gutter="0" w:footer="0" w:header="0"/>
        </w:sectPr>
      </w:pPr>
    </w:p>
    <w:bookmarkStart w:id="26" w:name="page27"/>
    <w:bookmarkEnd w:id="26"/>
    <w:p>
      <w:pPr>
        <w:ind w:left="780" w:hanging="516"/>
        <w:spacing w:after="0"/>
        <w:tabs>
          <w:tab w:leader="none" w:pos="780" w:val="left"/>
        </w:tabs>
        <w:numPr>
          <w:ilvl w:val="0"/>
          <w:numId w:val="39"/>
        </w:numPr>
        <w:rPr>
          <w:rFonts w:ascii="Arial" w:cs="Arial" w:eastAsia="Arial" w:hAnsi="Arial"/>
          <w:sz w:val="18"/>
          <w:szCs w:val="18"/>
          <w:color w:val="010000"/>
        </w:rPr>
      </w:pPr>
      <w:r>
        <w:rPr>
          <w:rFonts w:ascii="Arial" w:cs="Arial" w:eastAsia="Arial" w:hAnsi="Arial"/>
          <w:sz w:val="18"/>
          <w:szCs w:val="18"/>
          <w:u w:val="single" w:color="auto"/>
          <w:color w:val="auto"/>
        </w:rPr>
        <w:t>Dividends and Dividend Equivalent Rights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right="20" w:firstLine="642"/>
        <w:spacing w:after="0" w:line="259" w:lineRule="auto"/>
        <w:tabs>
          <w:tab w:leader="none" w:pos="1306" w:val="left"/>
        </w:tabs>
        <w:numPr>
          <w:ilvl w:val="1"/>
          <w:numId w:val="39"/>
        </w:numPr>
        <w:rPr>
          <w:rFonts w:ascii="Arial" w:cs="Arial" w:eastAsia="Arial" w:hAnsi="Arial"/>
          <w:sz w:val="18"/>
          <w:szCs w:val="18"/>
          <w:color w:val="010000"/>
        </w:rPr>
      </w:pPr>
      <w:r>
        <w:rPr>
          <w:rFonts w:ascii="Arial" w:cs="Arial" w:eastAsia="Arial" w:hAnsi="Arial"/>
          <w:sz w:val="18"/>
          <w:szCs w:val="18"/>
          <w:color w:val="auto"/>
        </w:rPr>
        <w:t>The Committee may, in its sole discretion, grant Dividend Equivalent Rights, payable in cash, Shares,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w:t>
      </w:r>
    </w:p>
    <w:p>
      <w:pPr>
        <w:spacing w:after="0" w:line="186" w:lineRule="exact"/>
        <w:rPr>
          <w:rFonts w:ascii="Arial" w:cs="Arial" w:eastAsia="Arial" w:hAnsi="Arial"/>
          <w:sz w:val="18"/>
          <w:szCs w:val="18"/>
          <w:color w:val="010000"/>
        </w:rPr>
      </w:pPr>
    </w:p>
    <w:p>
      <w:pPr>
        <w:jc w:val="both"/>
        <w:ind w:left="120" w:right="20" w:firstLine="642"/>
        <w:spacing w:after="0" w:line="263" w:lineRule="auto"/>
        <w:tabs>
          <w:tab w:leader="none" w:pos="1302" w:val="left"/>
        </w:tabs>
        <w:numPr>
          <w:ilvl w:val="1"/>
          <w:numId w:val="39"/>
        </w:numPr>
        <w:rPr>
          <w:rFonts w:ascii="Arial" w:cs="Arial" w:eastAsia="Arial" w:hAnsi="Arial"/>
          <w:sz w:val="18"/>
          <w:szCs w:val="18"/>
          <w:color w:val="010000"/>
        </w:rPr>
      </w:pPr>
      <w:r>
        <w:rPr>
          <w:rFonts w:ascii="Arial" w:cs="Arial" w:eastAsia="Arial" w:hAnsi="Arial"/>
          <w:sz w:val="18"/>
          <w:szCs w:val="18"/>
          <w:color w:val="auto"/>
        </w:rPr>
        <w:t>Any dividend or Dividend Equivalent Right otherwise payable in respect of any Share of Restricted Stock or Restricted Stock Unit (or other full-value Award) that remains subject to vesting conditions at the time of payment of such dividend shall not be paid to the Participant to the extent the underlying Award does not vest.</w:t>
      </w:r>
    </w:p>
    <w:p>
      <w:pPr>
        <w:spacing w:after="0" w:line="183" w:lineRule="exact"/>
        <w:rPr>
          <w:rFonts w:ascii="Arial" w:cs="Arial" w:eastAsia="Arial" w:hAnsi="Arial"/>
          <w:sz w:val="18"/>
          <w:szCs w:val="18"/>
          <w:color w:val="010000"/>
        </w:rPr>
      </w:pPr>
    </w:p>
    <w:p>
      <w:pPr>
        <w:jc w:val="both"/>
        <w:ind w:firstLine="264"/>
        <w:spacing w:after="0" w:line="286" w:lineRule="auto"/>
        <w:tabs>
          <w:tab w:leader="none" w:pos="824" w:val="left"/>
        </w:tabs>
        <w:numPr>
          <w:ilvl w:val="0"/>
          <w:numId w:val="39"/>
        </w:numPr>
        <w:rPr>
          <w:rFonts w:ascii="Arial" w:cs="Arial" w:eastAsia="Arial" w:hAnsi="Arial"/>
          <w:sz w:val="16"/>
          <w:szCs w:val="16"/>
          <w:color w:val="010000"/>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and its Subsidiaries and Affiliates shall be entitled to withhold, or require a Participant to remit to the Company or one or more of its Subsidiaries or Affiliates, as applicable, the amount of any Tax-Related Items attributable to any Awards. The Company may defer making payment or delivery if any such Tax-Related Items may be pending unless and until indemnified to its satisfaction, and the Company shall have no liability to any Participant for exercising the foregoing right. The Committee may, in its sole discretion and subject to such rules as it may adopt, permit or require a Participant to pay all or a portion of the Tax-Related Items arising in connection with an Award by, without limitation: (i) having the Participant pay an amount in cash (by check or wire transfer), (ii) having the Company withhold Shares otherwise issuable pursuant to the Award that have an aggregate Fair Market Value approximately equal to the amount to be withheld, (iii) the delivery of Shares (which are not subject to any pledge or other security interest) that have been both held by the Participant and vested for at least six (6) months (or such other period as established from time to time by the Committee to avoid adverse accounting treatment under applicable accounting standards) having an aggregate Fair Market Value approximately equal to the amount to be withheld, (iii) selling Shares issued pursuant to such Award and having the Company withhold from the proceeds of the sale of such Shares, (v) having the Company or a Subsidiary or Affiliate, as applicable, withhold from any cash compensation payable to the Participant, (vi) requiring the Participant to repay the Company or Subsidiary or Affiliate, as applicable, in cash or in Shares, for Tax-Related Items paid on the Participant’s behalf, or (vii) any other method of withholding determined by the Committee that is permissible under Applicable Laws.</w:t>
      </w:r>
    </w:p>
    <w:p>
      <w:pPr>
        <w:spacing w:after="0" w:line="170" w:lineRule="exact"/>
        <w:rPr>
          <w:rFonts w:ascii="Arial" w:cs="Arial" w:eastAsia="Arial" w:hAnsi="Arial"/>
          <w:sz w:val="16"/>
          <w:szCs w:val="16"/>
          <w:color w:val="010000"/>
        </w:rPr>
      </w:pPr>
    </w:p>
    <w:p>
      <w:pPr>
        <w:jc w:val="both"/>
        <w:ind w:firstLine="264"/>
        <w:spacing w:after="0" w:line="268" w:lineRule="auto"/>
        <w:tabs>
          <w:tab w:leader="none" w:pos="814" w:val="left"/>
        </w:tabs>
        <w:numPr>
          <w:ilvl w:val="0"/>
          <w:numId w:val="39"/>
        </w:numPr>
        <w:rPr>
          <w:rFonts w:ascii="Arial" w:cs="Arial" w:eastAsia="Arial" w:hAnsi="Arial"/>
          <w:sz w:val="17"/>
          <w:szCs w:val="17"/>
          <w:color w:val="010000"/>
        </w:rPr>
      </w:pPr>
      <w:r>
        <w:rPr>
          <w:rFonts w:ascii="Arial" w:cs="Arial" w:eastAsia="Arial" w:hAnsi="Arial"/>
          <w:sz w:val="17"/>
          <w:szCs w:val="17"/>
          <w:u w:val="single" w:color="auto"/>
          <w:color w:val="auto"/>
        </w:rPr>
        <w:t>No Claim to Awards; No Rights to Continued Employment; Waiver</w:t>
      </w:r>
      <w:r>
        <w:rPr>
          <w:rFonts w:ascii="Arial" w:cs="Arial" w:eastAsia="Arial" w:hAnsi="Arial"/>
          <w:sz w:val="17"/>
          <w:szCs w:val="17"/>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7" w:name="page28"/>
    <w:bookmarkEnd w:id="27"/>
    <w:p>
      <w:pPr>
        <w:jc w:val="both"/>
        <w:ind w:firstLine="264"/>
        <w:spacing w:after="0" w:line="259" w:lineRule="auto"/>
        <w:tabs>
          <w:tab w:leader="none" w:pos="961"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U.S., the Committee may, in its sole discretion, amend the terms of the Plan and create or amend Sub-Plans or amend outstanding Awards with respect to such Participants in order to conform such terms with the requirements of local law, to obtain more favorable tax or other treatment for a Participant or any member of the Company Group, or to facilitate administration of the Plan.</w:t>
      </w:r>
    </w:p>
    <w:p>
      <w:pPr>
        <w:spacing w:after="0" w:line="186" w:lineRule="exact"/>
        <w:rPr>
          <w:rFonts w:ascii="Arial" w:cs="Arial" w:eastAsia="Arial" w:hAnsi="Arial"/>
          <w:sz w:val="18"/>
          <w:szCs w:val="18"/>
          <w:color w:val="010000"/>
        </w:rPr>
      </w:pPr>
    </w:p>
    <w:p>
      <w:pPr>
        <w:jc w:val="both"/>
        <w:ind w:firstLine="264"/>
        <w:spacing w:after="0" w:line="269" w:lineRule="auto"/>
        <w:tabs>
          <w:tab w:leader="none" w:pos="838" w:val="left"/>
        </w:tabs>
        <w:numPr>
          <w:ilvl w:val="0"/>
          <w:numId w:val="40"/>
        </w:numPr>
        <w:rPr>
          <w:rFonts w:ascii="Arial" w:cs="Arial" w:eastAsia="Arial" w:hAnsi="Arial"/>
          <w:sz w:val="17"/>
          <w:szCs w:val="17"/>
          <w:color w:val="010000"/>
        </w:rPr>
      </w:pPr>
      <w:r>
        <w:rPr>
          <w:rFonts w:ascii="Arial" w:cs="Arial" w:eastAsia="Arial" w:hAnsi="Arial"/>
          <w:sz w:val="17"/>
          <w:szCs w:val="17"/>
          <w:u w:val="single" w:color="auto"/>
          <w:color w:val="auto"/>
        </w:rPr>
        <w:t>Designation and Change of Beneficiary</w:t>
      </w:r>
      <w:r>
        <w:rPr>
          <w:rFonts w:ascii="Arial" w:cs="Arial" w:eastAsia="Arial" w:hAnsi="Arial"/>
          <w:sz w:val="17"/>
          <w:szCs w:val="17"/>
          <w:color w:val="auto"/>
        </w:rPr>
        <w:t xml:space="preserve">. If valid under Applicable Laws and permitted by the Committee, a Participant residing in the U.S. may file with the Committee a written designation of one or more Persons as the beneficiary(ies) who shall be entitled to receive the amounts payable with respect to an Award, if any, due under the Plan upon the Participant’s death. For the avoidance of doubt, a Participant residing outside of the U.S. may not designate beneficiaries with respect to Awards granted to the Participant under the Plan.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residing in the U.S. or if a beneficiary designation is not valid under Applicable Laws, subject to Applicable Laws, the beneficiary shall be deemed to be the Participant’s spouse or, if the Participant is unmarried at the time of death, the Participant’s estate.</w:t>
      </w:r>
    </w:p>
    <w:p>
      <w:pPr>
        <w:spacing w:after="0" w:line="185" w:lineRule="exact"/>
        <w:rPr>
          <w:rFonts w:ascii="Arial" w:cs="Arial" w:eastAsia="Arial" w:hAnsi="Arial"/>
          <w:sz w:val="17"/>
          <w:szCs w:val="17"/>
          <w:color w:val="010000"/>
        </w:rPr>
      </w:pPr>
    </w:p>
    <w:p>
      <w:pPr>
        <w:jc w:val="both"/>
        <w:ind w:firstLine="264"/>
        <w:spacing w:after="0" w:line="288" w:lineRule="auto"/>
        <w:tabs>
          <w:tab w:leader="none" w:pos="892" w:val="left"/>
        </w:tabs>
        <w:numPr>
          <w:ilvl w:val="0"/>
          <w:numId w:val="40"/>
        </w:numPr>
        <w:rPr>
          <w:rFonts w:ascii="Arial" w:cs="Arial" w:eastAsia="Arial" w:hAnsi="Arial"/>
          <w:sz w:val="16"/>
          <w:szCs w:val="16"/>
          <w:color w:val="010000"/>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member of the Company Group to employment or service with another member of the Company Group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member of the Company Group immediately following such transaction, such Participant shall be deemed to have suffered a Termination hereunder as of the date of the consummation of such transaction.</w:t>
      </w:r>
    </w:p>
    <w:p>
      <w:pPr>
        <w:spacing w:after="0" w:line="168" w:lineRule="exact"/>
        <w:rPr>
          <w:rFonts w:ascii="Arial" w:cs="Arial" w:eastAsia="Arial" w:hAnsi="Arial"/>
          <w:sz w:val="16"/>
          <w:szCs w:val="16"/>
          <w:color w:val="010000"/>
        </w:rPr>
      </w:pPr>
    </w:p>
    <w:p>
      <w:pPr>
        <w:jc w:val="both"/>
        <w:ind w:firstLine="264"/>
        <w:spacing w:after="0" w:line="263" w:lineRule="auto"/>
        <w:tabs>
          <w:tab w:leader="none" w:pos="865"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which are subject to Awards hereunder until such shares have been issued or delivered to such Person.</w:t>
      </w:r>
    </w:p>
    <w:p>
      <w:pPr>
        <w:spacing w:after="0" w:line="183" w:lineRule="exact"/>
        <w:rPr>
          <w:rFonts w:ascii="Arial" w:cs="Arial" w:eastAsia="Arial" w:hAnsi="Arial"/>
          <w:sz w:val="18"/>
          <w:szCs w:val="18"/>
          <w:color w:val="010000"/>
        </w:rPr>
      </w:pPr>
    </w:p>
    <w:p>
      <w:pPr>
        <w:ind w:left="740" w:hanging="476"/>
        <w:spacing w:after="0"/>
        <w:tabs>
          <w:tab w:leader="none" w:pos="740" w:val="left"/>
        </w:tabs>
        <w:numPr>
          <w:ilvl w:val="0"/>
          <w:numId w:val="40"/>
        </w:numPr>
        <w:rPr>
          <w:rFonts w:ascii="Arial" w:cs="Arial" w:eastAsia="Arial" w:hAnsi="Arial"/>
          <w:sz w:val="18"/>
          <w:szCs w:val="18"/>
          <w:color w:val="010000"/>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firstLine="642"/>
        <w:spacing w:after="0" w:line="268" w:lineRule="auto"/>
        <w:tabs>
          <w:tab w:leader="none" w:pos="1252" w:val="left"/>
        </w:tabs>
        <w:numPr>
          <w:ilvl w:val="1"/>
          <w:numId w:val="40"/>
        </w:numPr>
        <w:rPr>
          <w:rFonts w:ascii="Arial" w:cs="Arial" w:eastAsia="Arial" w:hAnsi="Arial"/>
          <w:sz w:val="17"/>
          <w:szCs w:val="17"/>
          <w:color w:val="010000"/>
        </w:rPr>
      </w:pPr>
      <w:r>
        <w:rPr>
          <w:rFonts w:ascii="Arial" w:cs="Arial" w:eastAsia="Arial" w:hAnsi="Arial"/>
          <w:sz w:val="17"/>
          <w:szCs w:val="17"/>
          <w:color w:val="auto"/>
        </w:rPr>
        <w:t>The obligation of the Company to settle Awards in Shares or other consideration shall be subject to all Applicable Laws and to such approvals by governmental agencies as may be required. Notwithstanding any terms or conditions of any Award to the contrary, the Company shall be under no obligation to offer to sell or to sell, and shall be prohibited from offering to sell or selling, any Shares pursuant to an Award unless such Shares have been properly registered for sale pursuant to the Securities Act with the SEC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to be offered or sold under the Plan. The Committee shall have the authority to provide that all Shares issued under the Plan shall be subject to such stop-transfer orders and other restrictions as the Committee may deem advisable under the Plan, the applicable Award Agreement, the Federal securities laws, or the rules, regulations and other requirements of the SEC, any securities exchange or inter-dealer quotation system on which the securities of the Company are listed or quoted and any other Applicable Laws and other requirements, and, without limiting the generality of Section 8 of the Plan, the Committee may cause such Shares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8" w:name="page29"/>
    <w:bookmarkEnd w:id="28"/>
    <w:p>
      <w:pPr>
        <w:jc w:val="both"/>
        <w:ind w:left="120" w:right="20" w:firstLine="642"/>
        <w:spacing w:after="0" w:line="286" w:lineRule="auto"/>
        <w:tabs>
          <w:tab w:leader="none" w:pos="1370" w:val="left"/>
        </w:tabs>
        <w:numPr>
          <w:ilvl w:val="1"/>
          <w:numId w:val="41"/>
        </w:numPr>
        <w:rPr>
          <w:rFonts w:ascii="Arial" w:cs="Arial" w:eastAsia="Arial" w:hAnsi="Arial"/>
          <w:sz w:val="16"/>
          <w:szCs w:val="16"/>
          <w:color w:val="010000"/>
        </w:rPr>
      </w:pPr>
      <w:r>
        <w:rPr>
          <w:rFonts w:ascii="Arial" w:cs="Arial" w:eastAsia="Arial" w:hAnsi="Arial"/>
          <w:sz w:val="16"/>
          <w:szCs w:val="16"/>
          <w:color w:val="auto"/>
        </w:rPr>
        <w:t>The Committee may cancel an Award or any portion thereof if it determines, in its sole discretion, that legal or contractual restrictions and/or blockage and/or other market considerations would make the Company’s acquisition of Shares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in the case of Options or SARs, provide the Participant with a cash payment or grant of Shares, subject to deferred vesting and delivery consistent with the vesting restrictions applicable to such Award, equal to the excess of (I) the aggregate Fair Market Value of the Shares subject to such Award or portion thereof canceled (determined as of the applicable exercise date, or the date that the Shares would have been vested or issued, as applicable); over (II) the aggregate Exercise Price or SAR Base Price (in the case of an Option or SAR, respectively) or any amount payable to the Company as a condition of issuance of Shares (in the case of any other Award), or (B) in the case of Restricted Stock, Restricted Stock Units or Other Equity-Based Awards, provide the Participant with a cash payment or grant of Shares, subject to deferred vesting and delivery consistent with the vesting restrictions applicable to such Award, equal to the value of such Award or the underlying shares in respect thereof.</w:t>
      </w:r>
    </w:p>
    <w:p>
      <w:pPr>
        <w:spacing w:after="0" w:line="173" w:lineRule="exact"/>
        <w:rPr>
          <w:rFonts w:ascii="Arial" w:cs="Arial" w:eastAsia="Arial" w:hAnsi="Arial"/>
          <w:sz w:val="16"/>
          <w:szCs w:val="16"/>
          <w:color w:val="010000"/>
        </w:rPr>
      </w:pPr>
    </w:p>
    <w:p>
      <w:pPr>
        <w:jc w:val="both"/>
        <w:ind w:firstLine="264"/>
        <w:spacing w:after="0" w:line="273" w:lineRule="auto"/>
        <w:tabs>
          <w:tab w:leader="none" w:pos="811" w:val="left"/>
        </w:tabs>
        <w:numPr>
          <w:ilvl w:val="0"/>
          <w:numId w:val="42"/>
        </w:numPr>
        <w:rPr>
          <w:rFonts w:ascii="Arial" w:cs="Arial" w:eastAsia="Arial" w:hAnsi="Arial"/>
          <w:sz w:val="17"/>
          <w:szCs w:val="17"/>
          <w:color w:val="010000"/>
        </w:rPr>
      </w:pPr>
      <w:r>
        <w:rPr>
          <w:rFonts w:ascii="Arial" w:cs="Arial" w:eastAsia="Arial" w:hAnsi="Arial"/>
          <w:sz w:val="17"/>
          <w:szCs w:val="17"/>
          <w:u w:val="single" w:color="auto"/>
          <w:color w:val="auto"/>
        </w:rPr>
        <w:t>No Section 83(b) Elections Without Consent of Company</w:t>
      </w:r>
      <w:r>
        <w:rPr>
          <w:rFonts w:ascii="Arial" w:cs="Arial" w:eastAsia="Arial" w:hAnsi="Arial"/>
          <w:sz w:val="17"/>
          <w:szCs w:val="17"/>
          <w:color w:val="auto"/>
        </w:rPr>
        <w:t>. No election under Section 83(b) of the Code or under a similar provision of law may be made unless expressly permitted by the terms of the applicable Award Agreement or by action of the Committee in writing prior to the making of such election. If a Participant, in connection with the acquisition of Shares under the Plan or otherwise, is expressly permitted to make such election and the Participant makes the election, the Participant shall notify the Company of such election within ten (10) days after filing notice of the election with the Internal Revenue Service or other governmental authority, in addition to any filing and notification required pursuant to Section 83(b) of the Code or other applicable provision.</w:t>
      </w:r>
    </w:p>
    <w:p>
      <w:pPr>
        <w:spacing w:after="0" w:line="177" w:lineRule="exact"/>
        <w:rPr>
          <w:rFonts w:ascii="Arial" w:cs="Arial" w:eastAsia="Arial" w:hAnsi="Arial"/>
          <w:sz w:val="17"/>
          <w:szCs w:val="17"/>
          <w:color w:val="010000"/>
        </w:rPr>
      </w:pPr>
    </w:p>
    <w:p>
      <w:pPr>
        <w:jc w:val="both"/>
        <w:ind w:firstLine="264"/>
        <w:spacing w:after="0" w:line="273" w:lineRule="auto"/>
        <w:tabs>
          <w:tab w:leader="none" w:pos="802" w:val="left"/>
        </w:tabs>
        <w:numPr>
          <w:ilvl w:val="0"/>
          <w:numId w:val="42"/>
        </w:numPr>
        <w:rPr>
          <w:rFonts w:ascii="Arial" w:cs="Arial" w:eastAsia="Arial" w:hAnsi="Arial"/>
          <w:sz w:val="17"/>
          <w:szCs w:val="17"/>
          <w:color w:val="010000"/>
        </w:rPr>
      </w:pPr>
      <w:r>
        <w:rPr>
          <w:rFonts w:ascii="Arial" w:cs="Arial" w:eastAsia="Arial" w:hAnsi="Arial"/>
          <w:sz w:val="17"/>
          <w:szCs w:val="17"/>
          <w:u w:val="single" w:color="auto"/>
          <w:color w:val="auto"/>
        </w:rPr>
        <w:t>Payments to Persons Other Than Participants</w:t>
      </w:r>
      <w:r>
        <w:rPr>
          <w:rFonts w:ascii="Arial" w:cs="Arial" w:eastAsia="Arial" w:hAnsi="Arial"/>
          <w:sz w:val="17"/>
          <w:szCs w:val="17"/>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77" w:lineRule="exact"/>
        <w:rPr>
          <w:rFonts w:ascii="Arial" w:cs="Arial" w:eastAsia="Arial" w:hAnsi="Arial"/>
          <w:sz w:val="17"/>
          <w:szCs w:val="17"/>
          <w:color w:val="010000"/>
        </w:rPr>
      </w:pPr>
    </w:p>
    <w:p>
      <w:pPr>
        <w:jc w:val="both"/>
        <w:ind w:firstLine="264"/>
        <w:spacing w:after="0" w:line="259" w:lineRule="auto"/>
        <w:tabs>
          <w:tab w:leader="none" w:pos="861" w:val="left"/>
        </w:tabs>
        <w:numPr>
          <w:ilvl w:val="0"/>
          <w:numId w:val="42"/>
        </w:numPr>
        <w:rPr>
          <w:rFonts w:ascii="Arial" w:cs="Arial" w:eastAsia="Arial" w:hAnsi="Arial"/>
          <w:sz w:val="18"/>
          <w:szCs w:val="18"/>
          <w:color w:val="010000"/>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186" w:lineRule="exact"/>
        <w:rPr>
          <w:rFonts w:ascii="Arial" w:cs="Arial" w:eastAsia="Arial" w:hAnsi="Arial"/>
          <w:sz w:val="18"/>
          <w:szCs w:val="18"/>
          <w:color w:val="010000"/>
        </w:rPr>
      </w:pPr>
    </w:p>
    <w:p>
      <w:pPr>
        <w:jc w:val="both"/>
        <w:ind w:firstLine="264"/>
        <w:spacing w:after="0" w:line="271" w:lineRule="auto"/>
        <w:tabs>
          <w:tab w:leader="none" w:pos="842" w:val="left"/>
        </w:tabs>
        <w:numPr>
          <w:ilvl w:val="0"/>
          <w:numId w:val="42"/>
        </w:numPr>
        <w:rPr>
          <w:rFonts w:ascii="Arial" w:cs="Arial" w:eastAsia="Arial" w:hAnsi="Arial"/>
          <w:sz w:val="17"/>
          <w:szCs w:val="17"/>
          <w:color w:val="010000"/>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3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29" w:name="page30"/>
    <w:bookmarkEnd w:id="29"/>
    <w:p>
      <w:pPr>
        <w:jc w:val="both"/>
        <w:ind w:firstLine="264"/>
        <w:spacing w:after="0" w:line="259" w:lineRule="auto"/>
        <w:tabs>
          <w:tab w:leader="none" w:pos="784"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186" w:lineRule="exact"/>
        <w:rPr>
          <w:rFonts w:ascii="Arial" w:cs="Arial" w:eastAsia="Arial" w:hAnsi="Arial"/>
          <w:sz w:val="18"/>
          <w:szCs w:val="18"/>
          <w:color w:val="010000"/>
        </w:rPr>
      </w:pPr>
    </w:p>
    <w:p>
      <w:pPr>
        <w:jc w:val="both"/>
        <w:ind w:firstLine="264"/>
        <w:spacing w:after="0" w:line="263" w:lineRule="auto"/>
        <w:tabs>
          <w:tab w:leader="none" w:pos="932"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Laws.</w:t>
      </w:r>
    </w:p>
    <w:p>
      <w:pPr>
        <w:spacing w:after="0" w:line="183" w:lineRule="exact"/>
        <w:rPr>
          <w:rFonts w:ascii="Arial" w:cs="Arial" w:eastAsia="Arial" w:hAnsi="Arial"/>
          <w:sz w:val="18"/>
          <w:szCs w:val="18"/>
          <w:color w:val="010000"/>
        </w:rPr>
      </w:pPr>
    </w:p>
    <w:p>
      <w:pPr>
        <w:jc w:val="both"/>
        <w:ind w:firstLine="264"/>
        <w:spacing w:after="0" w:line="257" w:lineRule="auto"/>
        <w:tabs>
          <w:tab w:leader="none" w:pos="959"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187" w:lineRule="exact"/>
        <w:rPr>
          <w:rFonts w:ascii="Arial" w:cs="Arial" w:eastAsia="Arial" w:hAnsi="Arial"/>
          <w:sz w:val="18"/>
          <w:szCs w:val="18"/>
          <w:color w:val="010000"/>
        </w:rPr>
      </w:pPr>
    </w:p>
    <w:p>
      <w:pPr>
        <w:jc w:val="both"/>
        <w:ind w:firstLine="264"/>
        <w:spacing w:after="0" w:line="255" w:lineRule="auto"/>
        <w:tabs>
          <w:tab w:leader="none" w:pos="835"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92" w:lineRule="exact"/>
        <w:rPr>
          <w:rFonts w:ascii="Arial" w:cs="Arial" w:eastAsia="Arial" w:hAnsi="Arial"/>
          <w:sz w:val="18"/>
          <w:szCs w:val="18"/>
          <w:color w:val="010000"/>
        </w:rPr>
      </w:pPr>
    </w:p>
    <w:p>
      <w:pPr>
        <w:jc w:val="both"/>
        <w:ind w:firstLine="264"/>
        <w:spacing w:after="0" w:line="263" w:lineRule="auto"/>
        <w:tabs>
          <w:tab w:leader="none" w:pos="777"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3" w:lineRule="exact"/>
        <w:rPr>
          <w:rFonts w:ascii="Arial" w:cs="Arial" w:eastAsia="Arial" w:hAnsi="Arial"/>
          <w:sz w:val="18"/>
          <w:szCs w:val="18"/>
          <w:color w:val="010000"/>
        </w:rPr>
      </w:pPr>
    </w:p>
    <w:p>
      <w:pPr>
        <w:ind w:left="740" w:hanging="476"/>
        <w:spacing w:after="0"/>
        <w:tabs>
          <w:tab w:leader="none" w:pos="740" w:val="left"/>
        </w:tabs>
        <w:numPr>
          <w:ilvl w:val="0"/>
          <w:numId w:val="43"/>
        </w:numPr>
        <w:rPr>
          <w:rFonts w:ascii="Arial" w:cs="Arial" w:eastAsia="Arial" w:hAnsi="Arial"/>
          <w:sz w:val="18"/>
          <w:szCs w:val="18"/>
          <w:color w:val="010000"/>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firstLine="642"/>
        <w:spacing w:after="0" w:line="253" w:lineRule="auto"/>
        <w:tabs>
          <w:tab w:leader="none" w:pos="1306"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a payment.</w:t>
      </w: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30" w:name="page31"/>
    <w:bookmarkEnd w:id="30"/>
    <w:p>
      <w:pPr>
        <w:jc w:val="both"/>
        <w:ind w:left="120" w:firstLine="642"/>
        <w:spacing w:after="0" w:line="273" w:lineRule="auto"/>
        <w:tabs>
          <w:tab w:leader="none" w:pos="1316"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spacing w:after="0" w:line="177" w:lineRule="exact"/>
        <w:rPr>
          <w:rFonts w:ascii="Arial" w:cs="Arial" w:eastAsia="Arial" w:hAnsi="Arial"/>
          <w:sz w:val="17"/>
          <w:szCs w:val="17"/>
          <w:color w:val="010000"/>
        </w:rPr>
      </w:pPr>
    </w:p>
    <w:p>
      <w:pPr>
        <w:jc w:val="both"/>
        <w:ind w:left="120" w:firstLine="642"/>
        <w:spacing w:after="0" w:line="273" w:lineRule="auto"/>
        <w:tabs>
          <w:tab w:leader="none" w:pos="1379" w:val="left"/>
        </w:tabs>
        <w:numPr>
          <w:ilvl w:val="1"/>
          <w:numId w:val="44"/>
        </w:numPr>
        <w:rPr>
          <w:rFonts w:ascii="Arial" w:cs="Arial" w:eastAsia="Arial" w:hAnsi="Arial"/>
          <w:sz w:val="17"/>
          <w:szCs w:val="17"/>
          <w:color w:val="010000"/>
        </w:rPr>
      </w:pPr>
      <w:r>
        <w:rPr>
          <w:rFonts w:ascii="Arial" w:cs="Arial" w:eastAsia="Arial" w:hAnsi="Arial"/>
          <w:sz w:val="17"/>
          <w:szCs w:val="17"/>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177" w:lineRule="exact"/>
        <w:rPr>
          <w:rFonts w:ascii="Arial" w:cs="Arial" w:eastAsia="Arial" w:hAnsi="Arial"/>
          <w:sz w:val="17"/>
          <w:szCs w:val="17"/>
          <w:color w:val="010000"/>
        </w:rPr>
      </w:pPr>
    </w:p>
    <w:p>
      <w:pPr>
        <w:jc w:val="both"/>
        <w:ind w:firstLine="264"/>
        <w:spacing w:after="0" w:line="255" w:lineRule="auto"/>
        <w:tabs>
          <w:tab w:leader="none" w:pos="878" w:val="left"/>
        </w:tabs>
        <w:numPr>
          <w:ilvl w:val="0"/>
          <w:numId w:val="45"/>
        </w:numPr>
        <w:rPr>
          <w:rFonts w:ascii="Arial" w:cs="Arial" w:eastAsia="Arial" w:hAnsi="Arial"/>
          <w:sz w:val="18"/>
          <w:szCs w:val="18"/>
          <w:color w:val="010000"/>
        </w:rPr>
      </w:pPr>
      <w:r>
        <w:rPr>
          <w:rFonts w:ascii="Arial" w:cs="Arial" w:eastAsia="Arial" w:hAnsi="Arial"/>
          <w:sz w:val="18"/>
          <w:szCs w:val="18"/>
          <w:u w:val="single" w:color="auto"/>
          <w:color w:val="auto"/>
        </w:rPr>
        <w:t>Clawback/Repayment</w:t>
      </w:r>
      <w:r>
        <w:rPr>
          <w:rFonts w:ascii="Arial" w:cs="Arial" w:eastAsia="Arial" w:hAnsi="Arial"/>
          <w:sz w:val="18"/>
          <w:szCs w:val="18"/>
          <w:color w:val="auto"/>
        </w:rPr>
        <w:t>. All Awards shall be subject to reduction, cancellation, forfeiture or recoupment to the extent necessary to comply with (i) any clawback, forfeiture or other similar policy adopted by the Board or the Committee as in effect at the time of the applicable Award grant; and (ii) Applicable Laws.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92" w:lineRule="exact"/>
        <w:rPr>
          <w:rFonts w:ascii="Arial" w:cs="Arial" w:eastAsia="Arial" w:hAnsi="Arial"/>
          <w:sz w:val="18"/>
          <w:szCs w:val="18"/>
          <w:color w:val="010000"/>
        </w:rPr>
      </w:pPr>
    </w:p>
    <w:p>
      <w:pPr>
        <w:ind w:firstLine="264"/>
        <w:spacing w:after="0" w:line="308" w:lineRule="auto"/>
        <w:tabs>
          <w:tab w:leader="none" w:pos="878"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Detrimental Activity</w:t>
      </w:r>
      <w:r>
        <w:rPr>
          <w:rFonts w:ascii="Arial" w:cs="Arial" w:eastAsia="Arial" w:hAnsi="Arial"/>
          <w:sz w:val="17"/>
          <w:szCs w:val="17"/>
          <w:color w:val="auto"/>
        </w:rPr>
        <w:t>. Notwithstanding anything to the contrary contained herein, if a Participant has engaged in any Detrimental Activity, as determined by the Committee, the Committee may, in its sole discretion, provide for one or more of the following:</w:t>
      </w:r>
    </w:p>
    <w:p>
      <w:pPr>
        <w:spacing w:after="0" w:line="146" w:lineRule="exact"/>
        <w:rPr>
          <w:rFonts w:ascii="Arial" w:cs="Arial" w:eastAsia="Arial" w:hAnsi="Arial"/>
          <w:sz w:val="17"/>
          <w:szCs w:val="17"/>
          <w:color w:val="010000"/>
        </w:rPr>
      </w:pPr>
    </w:p>
    <w:p>
      <w:pPr>
        <w:ind w:left="1340" w:hanging="578"/>
        <w:spacing w:after="0"/>
        <w:tabs>
          <w:tab w:leader="none" w:pos="1340"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cancellation of any or all of such Participant’s outstanding Awards; and</w:t>
      </w:r>
    </w:p>
    <w:p>
      <w:pPr>
        <w:spacing w:after="0" w:line="225" w:lineRule="exact"/>
        <w:rPr>
          <w:rFonts w:ascii="Arial" w:cs="Arial" w:eastAsia="Arial" w:hAnsi="Arial"/>
          <w:sz w:val="18"/>
          <w:szCs w:val="18"/>
          <w:color w:val="010000"/>
        </w:rPr>
      </w:pPr>
    </w:p>
    <w:p>
      <w:pPr>
        <w:ind w:left="120" w:firstLine="642"/>
        <w:spacing w:after="0" w:line="277" w:lineRule="auto"/>
        <w:tabs>
          <w:tab w:leader="none" w:pos="1302"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forfeiture and prompt repayment to the Company by the Participant, of any gain realized on the vesting, exercise or settlement of any Awards previously granted to such Participant.</w:t>
      </w:r>
    </w:p>
    <w:p>
      <w:pPr>
        <w:spacing w:after="0" w:line="170" w:lineRule="exact"/>
        <w:rPr>
          <w:rFonts w:ascii="Arial" w:cs="Arial" w:eastAsia="Arial" w:hAnsi="Arial"/>
          <w:sz w:val="18"/>
          <w:szCs w:val="18"/>
          <w:color w:val="010000"/>
        </w:rPr>
      </w:pPr>
    </w:p>
    <w:p>
      <w:pPr>
        <w:jc w:val="both"/>
        <w:ind w:firstLine="264"/>
        <w:spacing w:after="0" w:line="271" w:lineRule="auto"/>
        <w:tabs>
          <w:tab w:leader="none" w:pos="851"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Right of Offset</w:t>
      </w:r>
      <w:r>
        <w:rPr>
          <w:rFonts w:ascii="Arial" w:cs="Arial" w:eastAsia="Arial" w:hAnsi="Arial"/>
          <w:sz w:val="17"/>
          <w:szCs w:val="17"/>
          <w:color w:val="auto"/>
        </w:rPr>
        <w:t>. 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(or other property or cash) under the Plan or any Award Agreement if such offset could subject the Participant to the additional tax imposed under Section 409A of the Code in respect of an outstanding Award.</w:t>
      </w:r>
    </w:p>
    <w:p>
      <w:pPr>
        <w:spacing w:after="0" w:line="178" w:lineRule="exact"/>
        <w:rPr>
          <w:rFonts w:ascii="Arial" w:cs="Arial" w:eastAsia="Arial" w:hAnsi="Arial"/>
          <w:sz w:val="17"/>
          <w:szCs w:val="17"/>
          <w:color w:val="010000"/>
        </w:rPr>
      </w:pPr>
    </w:p>
    <w:p>
      <w:pPr>
        <w:jc w:val="both"/>
        <w:ind w:firstLine="264"/>
        <w:spacing w:after="0" w:line="263" w:lineRule="auto"/>
        <w:tabs>
          <w:tab w:leader="none" w:pos="932" w:val="left"/>
        </w:tabs>
        <w:numPr>
          <w:ilvl w:val="0"/>
          <w:numId w:val="45"/>
        </w:numPr>
        <w:rPr>
          <w:rFonts w:ascii="Arial" w:cs="Arial" w:eastAsia="Arial" w:hAnsi="Arial"/>
          <w:sz w:val="18"/>
          <w:szCs w:val="18"/>
          <w:color w:val="010000"/>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183" w:lineRule="exact"/>
        <w:rPr>
          <w:rFonts w:ascii="Arial" w:cs="Arial" w:eastAsia="Arial" w:hAnsi="Arial"/>
          <w:sz w:val="18"/>
          <w:szCs w:val="18"/>
          <w:color w:val="010000"/>
        </w:rPr>
      </w:pPr>
    </w:p>
    <w:p>
      <w:pPr>
        <w:ind w:firstLine="264"/>
        <w:spacing w:after="0" w:line="277" w:lineRule="auto"/>
        <w:tabs>
          <w:tab w:leader="none" w:pos="878" w:val="left"/>
        </w:tabs>
        <w:numPr>
          <w:ilvl w:val="0"/>
          <w:numId w:val="45"/>
        </w:numPr>
        <w:rPr>
          <w:rFonts w:ascii="Arial" w:cs="Arial" w:eastAsia="Arial" w:hAnsi="Arial"/>
          <w:sz w:val="18"/>
          <w:szCs w:val="18"/>
          <w:color w:val="010000"/>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Notwithstanding the foregoing, in no event shall a Participant be permitted to exercise or be issued Shares under an Award in a manner which the Committee determines would violate the Applicable Laws.</w:t>
      </w:r>
    </w:p>
    <w:p>
      <w:pPr>
        <w:spacing w:after="0" w:line="3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31" w:name="page32"/>
    <w:bookmarkEnd w:id="31"/>
    <w:p>
      <w:pPr>
        <w:ind w:right="20" w:firstLine="264"/>
        <w:spacing w:after="0" w:line="277" w:lineRule="auto"/>
        <w:tabs>
          <w:tab w:leader="none" w:pos="801" w:val="left"/>
        </w:tabs>
        <w:numPr>
          <w:ilvl w:val="0"/>
          <w:numId w:val="46"/>
        </w:numPr>
        <w:rPr>
          <w:rFonts w:ascii="Arial" w:cs="Arial" w:eastAsia="Arial" w:hAnsi="Arial"/>
          <w:sz w:val="18"/>
          <w:szCs w:val="18"/>
          <w:color w:val="010000"/>
        </w:rPr>
      </w:pPr>
      <w:r>
        <w:rPr>
          <w:rFonts w:ascii="Arial" w:cs="Arial" w:eastAsia="Arial" w:hAnsi="Arial"/>
          <w:sz w:val="18"/>
          <w:szCs w:val="18"/>
          <w:u w:val="single" w:color="auto"/>
          <w:color w:val="auto"/>
        </w:rPr>
        <w:t>Waiver</w:t>
      </w:r>
      <w:r>
        <w:rPr>
          <w:rFonts w:ascii="Arial" w:cs="Arial" w:eastAsia="Arial" w:hAnsi="Arial"/>
          <w:sz w:val="18"/>
          <w:szCs w:val="18"/>
          <w:color w:val="auto"/>
        </w:rPr>
        <w:t>. A waiver by the Company of breach of any provision of the Plan shall not operate or be construed as a waiver of any other provision of the Plan, or of any subsequent breach by any Participant.</w:t>
      </w:r>
    </w:p>
    <w:p>
      <w:pPr>
        <w:spacing w:after="0" w:line="170" w:lineRule="exact"/>
        <w:rPr>
          <w:sz w:val="20"/>
          <w:szCs w:val="20"/>
          <w:color w:val="auto"/>
        </w:rPr>
      </w:pPr>
    </w:p>
    <w:p>
      <w:pPr>
        <w:jc w:val="both"/>
        <w:ind w:firstLine="264"/>
        <w:spacing w:after="0" w:line="257" w:lineRule="auto"/>
        <w:tabs>
          <w:tab w:leader="none" w:pos="77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xml:space="preserve"> Notwithstanding any other provision of this Plan, (a) the Company shall not be obliged to issue any Shares pursuant to an Award unless at least the nominal value of each such newly issued Share has been fully paid in advance in accordance with applicable law (which requirement may mean the holder of an award is obliged to make such payment) and (b) the Company shall not be obliged to issue or deliver any Shares in satisfaction of Awards until all legal and regulatory requirements associated with such issue or delivery have been complied with to the satisfaction of the Committee.</w:t>
      </w:r>
    </w:p>
    <w:p>
      <w:pPr>
        <w:spacing w:after="0" w:line="18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186055</wp:posOffset>
            </wp:positionV>
            <wp:extent cx="71323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42545"/>
                    </a:xfrm>
                    <a:prstGeom prst="rect">
                      <a:avLst/>
                    </a:prstGeom>
                    <a:noFill/>
                  </pic:spPr>
                </pic:pic>
              </a:graphicData>
            </a:graphic>
          </wp:anchor>
        </w:drawing>
        <w:t>Exhibit 4.2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PRA HEALTH SCIENCES, INC. 2018 STOCK INCENTIVE PLAN</w:t>
      </w:r>
    </w:p>
    <w:p>
      <w:pPr>
        <w:spacing w:after="0" w:line="225"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60" w:right="260" w:firstLine="195"/>
        <w:spacing w:after="0" w:line="301" w:lineRule="auto"/>
        <w:tabs>
          <w:tab w:leader="none" w:pos="127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Plan, which was initially adopted by PRA Health Sciences, Inc., was amended and restated in its current form in connection with the transaction entered into by ICON plc (the “Company”), ICON US Holdings Inc., Indigo Merger Sub, Inc. and PRA Health Sciences, Inc., pursuant to which PRA Health Sciences, Inc. became a Subsidiary of the Company, a public limited company incorporated in Ireland, and the Plan, together with all awards granted thereunder, was assumed by the Company with effect from 1 July 2021 (the “Assumption Date”).</w:t>
      </w:r>
    </w:p>
    <w:p>
      <w:pPr>
        <w:spacing w:after="0" w:line="157" w:lineRule="exact"/>
        <w:rPr>
          <w:rFonts w:ascii="Arial" w:cs="Arial" w:eastAsia="Arial" w:hAnsi="Arial"/>
          <w:sz w:val="16"/>
          <w:szCs w:val="16"/>
          <w:color w:val="auto"/>
        </w:rPr>
      </w:pPr>
    </w:p>
    <w:p>
      <w:pPr>
        <w:jc w:val="both"/>
        <w:ind w:left="560" w:right="240" w:firstLine="195"/>
        <w:spacing w:after="0" w:line="275" w:lineRule="auto"/>
        <w:tabs>
          <w:tab w:leader="none" w:pos="1298"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purpose of the PRA Health Sciences, Inc. 2018 Stock Incentive Plan is to provide a means through 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measured by reference to the value of Common Stock, thereby strengthening their commitment to the welfare of the Company Group and aligning their interests with those of the Company’s stockholders.</w:t>
      </w:r>
    </w:p>
    <w:p>
      <w:pPr>
        <w:spacing w:after="0" w:line="172" w:lineRule="exact"/>
        <w:rPr>
          <w:sz w:val="20"/>
          <w:szCs w:val="20"/>
          <w:color w:val="auto"/>
        </w:rPr>
      </w:pPr>
    </w:p>
    <w:p>
      <w:pPr>
        <w:ind w:left="560" w:hanging="552"/>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shall be applicable throughout the Plan.</w:t>
      </w:r>
    </w:p>
    <w:p>
      <w:pPr>
        <w:spacing w:after="0" w:line="229" w:lineRule="exact"/>
        <w:rPr>
          <w:rFonts w:ascii="Arial" w:cs="Arial" w:eastAsia="Arial" w:hAnsi="Arial"/>
          <w:sz w:val="18"/>
          <w:szCs w:val="18"/>
          <w:color w:val="auto"/>
        </w:rPr>
      </w:pPr>
    </w:p>
    <w:p>
      <w:pPr>
        <w:ind w:left="1260" w:hanging="505"/>
        <w:spacing w:after="0"/>
        <w:tabs>
          <w:tab w:leader="none" w:pos="126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Adjustment Event</w:t>
      </w:r>
      <w:r>
        <w:rPr>
          <w:rFonts w:ascii="Arial" w:cs="Arial" w:eastAsia="Arial" w:hAnsi="Arial"/>
          <w:sz w:val="18"/>
          <w:szCs w:val="18"/>
          <w:color w:val="auto"/>
        </w:rPr>
        <w:t>” has the meaning given to such term in Section 11(a) of the Plan.</w:t>
      </w:r>
    </w:p>
    <w:p>
      <w:pPr>
        <w:spacing w:after="0" w:line="225" w:lineRule="exact"/>
        <w:rPr>
          <w:rFonts w:ascii="Arial" w:cs="Arial" w:eastAsia="Arial" w:hAnsi="Arial"/>
          <w:sz w:val="18"/>
          <w:szCs w:val="18"/>
          <w:color w:val="010000"/>
        </w:rPr>
      </w:pPr>
    </w:p>
    <w:p>
      <w:pPr>
        <w:jc w:val="both"/>
        <w:ind w:left="560" w:right="260" w:firstLine="195"/>
        <w:spacing w:after="0" w:line="259" w:lineRule="auto"/>
        <w:tabs>
          <w:tab w:leader="none" w:pos="1297"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86" w:lineRule="exact"/>
        <w:rPr>
          <w:rFonts w:ascii="Arial" w:cs="Arial" w:eastAsia="Arial" w:hAnsi="Arial"/>
          <w:sz w:val="18"/>
          <w:szCs w:val="18"/>
          <w:color w:val="010000"/>
        </w:rPr>
      </w:pPr>
    </w:p>
    <w:p>
      <w:pPr>
        <w:ind w:left="1260" w:hanging="505"/>
        <w:spacing w:after="0"/>
        <w:tabs>
          <w:tab w:leader="none" w:pos="126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Annual Director Grant</w:t>
      </w:r>
      <w:r>
        <w:rPr>
          <w:rFonts w:ascii="Arial" w:cs="Arial" w:eastAsia="Arial" w:hAnsi="Arial"/>
          <w:sz w:val="18"/>
          <w:szCs w:val="18"/>
          <w:color w:val="auto"/>
        </w:rPr>
        <w:t>” has the meaning given to such term in Section 10 of the Plan.</w:t>
      </w:r>
    </w:p>
    <w:p>
      <w:pPr>
        <w:spacing w:after="0" w:line="225" w:lineRule="exact"/>
        <w:rPr>
          <w:rFonts w:ascii="Arial" w:cs="Arial" w:eastAsia="Arial" w:hAnsi="Arial"/>
          <w:sz w:val="18"/>
          <w:szCs w:val="18"/>
          <w:color w:val="010000"/>
        </w:rPr>
      </w:pPr>
    </w:p>
    <w:p>
      <w:pPr>
        <w:ind w:left="560" w:right="260" w:firstLine="195"/>
        <w:spacing w:after="0" w:line="277" w:lineRule="auto"/>
        <w:tabs>
          <w:tab w:leader="none" w:pos="1405"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and Other Equity-Based Award granted under the Plan.</w:t>
      </w:r>
    </w:p>
    <w:p>
      <w:pPr>
        <w:spacing w:after="0" w:line="170" w:lineRule="exact"/>
        <w:rPr>
          <w:rFonts w:ascii="Arial" w:cs="Arial" w:eastAsia="Arial" w:hAnsi="Arial"/>
          <w:sz w:val="18"/>
          <w:szCs w:val="18"/>
          <w:color w:val="010000"/>
        </w:rPr>
      </w:pPr>
    </w:p>
    <w:p>
      <w:pPr>
        <w:ind w:left="1260" w:hanging="505"/>
        <w:spacing w:after="0"/>
        <w:tabs>
          <w:tab w:leader="none" w:pos="126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document or documents by which each Award is evidenced.</w:t>
      </w:r>
    </w:p>
    <w:p>
      <w:pPr>
        <w:spacing w:after="0" w:line="225" w:lineRule="exact"/>
        <w:rPr>
          <w:rFonts w:ascii="Arial" w:cs="Arial" w:eastAsia="Arial" w:hAnsi="Arial"/>
          <w:sz w:val="18"/>
          <w:szCs w:val="18"/>
          <w:color w:val="010000"/>
        </w:rPr>
      </w:pPr>
    </w:p>
    <w:p>
      <w:pPr>
        <w:ind w:left="1240" w:hanging="485"/>
        <w:spacing w:after="0"/>
        <w:tabs>
          <w:tab w:leader="none" w:pos="124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010000"/>
        </w:rPr>
      </w:pPr>
    </w:p>
    <w:p>
      <w:pPr>
        <w:jc w:val="both"/>
        <w:ind w:left="560" w:right="240" w:firstLine="195"/>
        <w:spacing w:after="0" w:line="287" w:lineRule="auto"/>
        <w:tabs>
          <w:tab w:leader="none" w:pos="1445"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as to any Participant, unless the applicable Award Agreement states otherwise, (i) “Cause,” as defined in any employment or consulting agreement between the Participant and the Service Recipient in effect at the time of such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33" w:name="page34"/>
    <w:bookmarkEnd w:id="33"/>
    <w:p>
      <w:pPr>
        <w:ind w:left="525" w:hanging="525"/>
        <w:spacing w:after="0"/>
        <w:tabs>
          <w:tab w:leader="none" w:pos="525"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rFonts w:ascii="Arial" w:cs="Arial" w:eastAsia="Arial" w:hAnsi="Arial"/>
          <w:sz w:val="18"/>
          <w:szCs w:val="18"/>
          <w:color w:val="010000"/>
        </w:rPr>
      </w:pPr>
    </w:p>
    <w:p>
      <w:pPr>
        <w:jc w:val="both"/>
        <w:ind w:left="-75" w:right="20" w:firstLine="642"/>
        <w:spacing w:after="0" w:line="253" w:lineRule="auto"/>
        <w:tabs>
          <w:tab w:leader="none" w:pos="1220" w:val="left"/>
        </w:tabs>
        <w:numPr>
          <w:ilvl w:val="1"/>
          <w:numId w:val="50"/>
        </w:numPr>
        <w:rPr>
          <w:rFonts w:ascii="Arial" w:cs="Arial" w:eastAsia="Arial" w:hAnsi="Arial"/>
          <w:sz w:val="18"/>
          <w:szCs w:val="18"/>
          <w:color w:val="010000"/>
        </w:rPr>
      </w:pPr>
      <w:r>
        <w:rPr>
          <w:rFonts w:ascii="Arial" w:cs="Arial" w:eastAsia="Arial" w:hAnsi="Arial"/>
          <w:sz w:val="18"/>
          <w:szCs w:val="18"/>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Plan, the following acquisitions shall not constitute a Change in Control: (I) any acquisition by the Company or any Affiliate of the Company; (II) any acquisition by any employee benefit plan sponsored or maintained by the Company or any Affiliate of the Company;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194" w:lineRule="exact"/>
        <w:rPr>
          <w:rFonts w:ascii="Arial" w:cs="Arial" w:eastAsia="Arial" w:hAnsi="Arial"/>
          <w:sz w:val="18"/>
          <w:szCs w:val="18"/>
          <w:color w:val="010000"/>
        </w:rPr>
      </w:pPr>
    </w:p>
    <w:p>
      <w:pPr>
        <w:jc w:val="both"/>
        <w:ind w:left="-75" w:right="20" w:firstLine="642"/>
        <w:spacing w:after="0" w:line="290" w:lineRule="auto"/>
        <w:tabs>
          <w:tab w:leader="none" w:pos="1252" w:val="left"/>
        </w:tabs>
        <w:numPr>
          <w:ilvl w:val="1"/>
          <w:numId w:val="50"/>
        </w:numPr>
        <w:rPr>
          <w:rFonts w:ascii="Arial" w:cs="Arial" w:eastAsia="Arial" w:hAnsi="Arial"/>
          <w:sz w:val="16"/>
          <w:szCs w:val="16"/>
          <w:color w:val="010000"/>
        </w:rPr>
      </w:pPr>
      <w:r>
        <w:rPr>
          <w:rFonts w:ascii="Arial" w:cs="Arial" w:eastAsia="Arial" w:hAnsi="Arial"/>
          <w:sz w:val="16"/>
          <w:szCs w:val="16"/>
          <w:color w:val="auto"/>
        </w:rPr>
        <w:t>during any period of twelve (12) months, individuals who, at the beginning of such period, constitute the Board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Effective Date,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165" w:lineRule="exact"/>
        <w:rPr>
          <w:rFonts w:ascii="Arial" w:cs="Arial" w:eastAsia="Arial" w:hAnsi="Arial"/>
          <w:sz w:val="16"/>
          <w:szCs w:val="16"/>
          <w:color w:val="010000"/>
        </w:rPr>
      </w:pPr>
    </w:p>
    <w:p>
      <w:pPr>
        <w:ind w:left="-75" w:right="20" w:firstLine="642"/>
        <w:spacing w:after="0" w:line="277" w:lineRule="auto"/>
        <w:tabs>
          <w:tab w:leader="none" w:pos="1140" w:val="left"/>
        </w:tabs>
        <w:numPr>
          <w:ilvl w:val="1"/>
          <w:numId w:val="50"/>
        </w:numPr>
        <w:rPr>
          <w:rFonts w:ascii="Arial" w:cs="Arial" w:eastAsia="Arial" w:hAnsi="Arial"/>
          <w:sz w:val="18"/>
          <w:szCs w:val="18"/>
          <w:color w:val="010000"/>
        </w:rPr>
      </w:pPr>
      <w:r>
        <w:rPr>
          <w:rFonts w:ascii="Arial" w:cs="Arial" w:eastAsia="Arial" w:hAnsi="Arial"/>
          <w:sz w:val="18"/>
          <w:szCs w:val="18"/>
          <w:color w:val="auto"/>
        </w:rPr>
        <w:t>the sale, transfer or other disposition of all or substantially all of the assets of the Company Group (taken as a whole) to any Person that is not an Affiliate of the Company.</w:t>
      </w:r>
    </w:p>
    <w:p>
      <w:pPr>
        <w:spacing w:after="0" w:line="170" w:lineRule="exact"/>
        <w:rPr>
          <w:rFonts w:ascii="Arial" w:cs="Arial" w:eastAsia="Arial" w:hAnsi="Arial"/>
          <w:sz w:val="18"/>
          <w:szCs w:val="18"/>
          <w:color w:val="010000"/>
        </w:rPr>
      </w:pPr>
    </w:p>
    <w:p>
      <w:pPr>
        <w:ind w:left="485" w:hanging="485"/>
        <w:spacing w:after="0"/>
        <w:tabs>
          <w:tab w:leader="none" w:pos="485"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Consideration</w:t>
      </w:r>
      <w:r>
        <w:rPr>
          <w:rFonts w:ascii="Arial" w:cs="Arial" w:eastAsia="Arial" w:hAnsi="Arial"/>
          <w:sz w:val="18"/>
          <w:szCs w:val="18"/>
          <w:color w:val="auto"/>
        </w:rPr>
        <w:t>” has the meaning given to such term in Section 11(b) of the Plan.</w:t>
      </w:r>
    </w:p>
    <w:p>
      <w:pPr>
        <w:spacing w:after="0" w:line="225" w:lineRule="exact"/>
        <w:rPr>
          <w:rFonts w:ascii="Arial" w:cs="Arial" w:eastAsia="Arial" w:hAnsi="Arial"/>
          <w:sz w:val="18"/>
          <w:szCs w:val="18"/>
          <w:color w:val="010000"/>
        </w:rPr>
      </w:pPr>
    </w:p>
    <w:p>
      <w:pPr>
        <w:jc w:val="both"/>
        <w:ind w:left="-195" w:firstLine="195"/>
        <w:spacing w:after="0" w:line="263" w:lineRule="auto"/>
        <w:tabs>
          <w:tab w:leader="none" w:pos="48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83" w:lineRule="exact"/>
        <w:rPr>
          <w:rFonts w:ascii="Arial" w:cs="Arial" w:eastAsia="Arial" w:hAnsi="Arial"/>
          <w:sz w:val="18"/>
          <w:szCs w:val="18"/>
          <w:color w:val="010000"/>
        </w:rPr>
      </w:pPr>
    </w:p>
    <w:p>
      <w:pPr>
        <w:ind w:left="-195" w:right="20" w:firstLine="195"/>
        <w:spacing w:after="0" w:line="277" w:lineRule="auto"/>
        <w:tabs>
          <w:tab w:leader="none" w:pos="677"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properly delegated subcommittee thereof or, if no such Compensation Committee or subcommittee thereof exists, the Board.</w:t>
      </w:r>
    </w:p>
    <w:p>
      <w:pPr>
        <w:spacing w:after="0" w:line="170" w:lineRule="exact"/>
        <w:rPr>
          <w:rFonts w:ascii="Arial" w:cs="Arial" w:eastAsia="Arial" w:hAnsi="Arial"/>
          <w:sz w:val="18"/>
          <w:szCs w:val="18"/>
          <w:color w:val="010000"/>
        </w:rPr>
      </w:pPr>
    </w:p>
    <w:p>
      <w:pPr>
        <w:ind w:left="-195" w:right="20" w:firstLine="195"/>
        <w:spacing w:after="0" w:line="277" w:lineRule="auto"/>
        <w:tabs>
          <w:tab w:leader="none" w:pos="542"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or “Shares” means ordinary shares in the capital of the Company (or ordinary shares as represented by American Depository Shares and as evidenced by American Depository Receipts).</w:t>
      </w:r>
    </w:p>
    <w:p>
      <w:pPr>
        <w:spacing w:after="0" w:line="170" w:lineRule="exact"/>
        <w:rPr>
          <w:rFonts w:ascii="Arial" w:cs="Arial" w:eastAsia="Arial" w:hAnsi="Arial"/>
          <w:sz w:val="18"/>
          <w:szCs w:val="18"/>
          <w:color w:val="010000"/>
        </w:rPr>
      </w:pPr>
    </w:p>
    <w:p>
      <w:pPr>
        <w:ind w:left="565" w:hanging="565"/>
        <w:spacing w:after="0"/>
        <w:tabs>
          <w:tab w:leader="none" w:pos="565"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ICON plc, a public limited company registered in Ireland, 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452120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5"/>
          </w:cols>
          <w:pgMar w:left="1075" w:top="341" w:right="619" w:bottom="1440" w:gutter="0" w:footer="0" w:header="0"/>
        </w:sectPr>
      </w:pPr>
    </w:p>
    <w:bookmarkStart w:id="34" w:name="page35"/>
    <w:bookmarkEnd w:id="34"/>
    <w:p>
      <w:pPr>
        <w:ind w:left="-195" w:right="20" w:firstLine="195"/>
        <w:spacing w:after="0" w:line="277" w:lineRule="auto"/>
        <w:tabs>
          <w:tab w:leader="none" w:pos="596"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means, collectively, the Company and its Subsidiaries, and any other Affiliate of the Company designated as a member of the Company Group by the Committee.</w:t>
      </w:r>
    </w:p>
    <w:p>
      <w:pPr>
        <w:spacing w:after="0" w:line="170" w:lineRule="exact"/>
        <w:rPr>
          <w:rFonts w:ascii="Arial" w:cs="Arial" w:eastAsia="Arial" w:hAnsi="Arial"/>
          <w:sz w:val="18"/>
          <w:szCs w:val="18"/>
          <w:color w:val="010000"/>
        </w:rPr>
      </w:pPr>
    </w:p>
    <w:p>
      <w:pPr>
        <w:ind w:left="525" w:hanging="525"/>
        <w:spacing w:after="0"/>
        <w:tabs>
          <w:tab w:leader="none" w:pos="52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Continuing Entity</w:t>
      </w:r>
      <w:r>
        <w:rPr>
          <w:rFonts w:ascii="Arial" w:cs="Arial" w:eastAsia="Arial" w:hAnsi="Arial"/>
          <w:sz w:val="18"/>
          <w:szCs w:val="18"/>
          <w:color w:val="auto"/>
        </w:rPr>
        <w:t>” has the meaning given to such term in Section 11(b) of the Plan.</w:t>
      </w:r>
    </w:p>
    <w:p>
      <w:pPr>
        <w:spacing w:after="0" w:line="225" w:lineRule="exact"/>
        <w:rPr>
          <w:rFonts w:ascii="Arial" w:cs="Arial" w:eastAsia="Arial" w:hAnsi="Arial"/>
          <w:sz w:val="18"/>
          <w:szCs w:val="18"/>
          <w:color w:val="010000"/>
        </w:rPr>
      </w:pPr>
    </w:p>
    <w:p>
      <w:pPr>
        <w:ind w:left="-195" w:firstLine="195"/>
        <w:spacing w:after="0" w:line="277" w:lineRule="auto"/>
        <w:tabs>
          <w:tab w:leader="none" w:pos="623"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the granting of an Award is authorized, or such other date as may be specified in such authorization.</w:t>
      </w:r>
    </w:p>
    <w:p>
      <w:pPr>
        <w:spacing w:after="0" w:line="170" w:lineRule="exact"/>
        <w:rPr>
          <w:rFonts w:ascii="Arial" w:cs="Arial" w:eastAsia="Arial" w:hAnsi="Arial"/>
          <w:sz w:val="18"/>
          <w:szCs w:val="18"/>
          <w:color w:val="010000"/>
        </w:rPr>
      </w:pPr>
    </w:p>
    <w:p>
      <w:pPr>
        <w:ind w:left="-195" w:right="20" w:firstLine="195"/>
        <w:spacing w:after="0" w:line="277" w:lineRule="auto"/>
        <w:tabs>
          <w:tab w:leader="none" w:pos="582"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means all members of the Company Group that are organized under the laws of any jurisdiction other than the United States of America that may be designated by the Board or the Committee from time to time.</w:t>
      </w:r>
    </w:p>
    <w:p>
      <w:pPr>
        <w:spacing w:after="0" w:line="170" w:lineRule="exact"/>
        <w:rPr>
          <w:rFonts w:ascii="Arial" w:cs="Arial" w:eastAsia="Arial" w:hAnsi="Arial"/>
          <w:sz w:val="18"/>
          <w:szCs w:val="18"/>
          <w:color w:val="010000"/>
        </w:rPr>
      </w:pPr>
    </w:p>
    <w:p>
      <w:pPr>
        <w:jc w:val="both"/>
        <w:ind w:left="-195" w:firstLine="195"/>
        <w:spacing w:after="0" w:line="259" w:lineRule="auto"/>
        <w:tabs>
          <w:tab w:leader="none" w:pos="52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or (iii) a breach by the Participant of any noncompetition, nonsolicitation, or other agreement containing restrictive covenants with any member of the Company Group.</w:t>
      </w:r>
    </w:p>
    <w:p>
      <w:pPr>
        <w:spacing w:after="0" w:line="186" w:lineRule="exact"/>
        <w:rPr>
          <w:rFonts w:ascii="Arial" w:cs="Arial" w:eastAsia="Arial" w:hAnsi="Arial"/>
          <w:sz w:val="18"/>
          <w:szCs w:val="18"/>
          <w:color w:val="010000"/>
        </w:rPr>
      </w:pPr>
    </w:p>
    <w:p>
      <w:pPr>
        <w:ind w:left="505" w:hanging="505"/>
        <w:spacing w:after="0"/>
        <w:tabs>
          <w:tab w:leader="none" w:pos="50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Director Award</w:t>
      </w:r>
      <w:r>
        <w:rPr>
          <w:rFonts w:ascii="Arial" w:cs="Arial" w:eastAsia="Arial" w:hAnsi="Arial"/>
          <w:sz w:val="18"/>
          <w:szCs w:val="18"/>
          <w:color w:val="auto"/>
        </w:rPr>
        <w:t>” has the meaning given to such term in Section 10 of the Plan.</w:t>
      </w:r>
    </w:p>
    <w:p>
      <w:pPr>
        <w:spacing w:after="0" w:line="225" w:lineRule="exact"/>
        <w:rPr>
          <w:rFonts w:ascii="Arial" w:cs="Arial" w:eastAsia="Arial" w:hAnsi="Arial"/>
          <w:sz w:val="18"/>
          <w:szCs w:val="18"/>
          <w:color w:val="010000"/>
        </w:rPr>
      </w:pPr>
    </w:p>
    <w:p>
      <w:pPr>
        <w:ind w:left="485" w:hanging="485"/>
        <w:spacing w:after="0"/>
        <w:tabs>
          <w:tab w:leader="none" w:pos="48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Director Grant Value</w:t>
      </w:r>
      <w:r>
        <w:rPr>
          <w:rFonts w:ascii="Arial" w:cs="Arial" w:eastAsia="Arial" w:hAnsi="Arial"/>
          <w:sz w:val="18"/>
          <w:szCs w:val="18"/>
          <w:color w:val="auto"/>
        </w:rPr>
        <w:t>” has the meaning given to such term in Section 10 of the Plan.</w:t>
      </w:r>
    </w:p>
    <w:p>
      <w:pPr>
        <w:spacing w:after="0" w:line="225" w:lineRule="exact"/>
        <w:rPr>
          <w:rFonts w:ascii="Arial" w:cs="Arial" w:eastAsia="Arial" w:hAnsi="Arial"/>
          <w:sz w:val="18"/>
          <w:szCs w:val="18"/>
          <w:color w:val="010000"/>
        </w:rPr>
      </w:pPr>
    </w:p>
    <w:p>
      <w:pPr>
        <w:jc w:val="both"/>
        <w:ind w:left="-195" w:right="20" w:firstLine="195"/>
        <w:spacing w:after="0" w:line="254" w:lineRule="auto"/>
        <w:tabs>
          <w:tab w:leader="none" w:pos="542"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as to any Participant, unless the applicable Award Agreement states otherwise, (i) “Disability,” as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occupation at which the Participant was employed or served when such disability commenced. Any determination of whether Disability exists in the absence of a long-term disability plan shall be made by the Company (or its designee) in its sole and absolute discretion.</w:t>
      </w:r>
    </w:p>
    <w:p>
      <w:pPr>
        <w:spacing w:after="0" w:line="191" w:lineRule="exact"/>
        <w:rPr>
          <w:rFonts w:ascii="Arial" w:cs="Arial" w:eastAsia="Arial" w:hAnsi="Arial"/>
          <w:sz w:val="18"/>
          <w:szCs w:val="18"/>
          <w:color w:val="010000"/>
        </w:rPr>
      </w:pPr>
    </w:p>
    <w:p>
      <w:pPr>
        <w:ind w:left="525" w:hanging="525"/>
        <w:spacing w:after="0"/>
        <w:tabs>
          <w:tab w:leader="none" w:pos="52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May 31, 2018.</w:t>
      </w:r>
    </w:p>
    <w:p>
      <w:pPr>
        <w:spacing w:after="0" w:line="225" w:lineRule="exact"/>
        <w:rPr>
          <w:rFonts w:ascii="Arial" w:cs="Arial" w:eastAsia="Arial" w:hAnsi="Arial"/>
          <w:sz w:val="18"/>
          <w:szCs w:val="18"/>
          <w:color w:val="010000"/>
        </w:rPr>
      </w:pPr>
    </w:p>
    <w:p>
      <w:pPr>
        <w:jc w:val="both"/>
        <w:ind w:left="-195" w:firstLine="195"/>
        <w:spacing w:after="0" w:line="293" w:lineRule="auto"/>
        <w:tabs>
          <w:tab w:leader="none" w:pos="703" w:val="left"/>
        </w:tabs>
        <w:numPr>
          <w:ilvl w:val="0"/>
          <w:numId w:val="51"/>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xml:space="preserve">” means any (i) individual employed by any member of the Company Group;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Plan.</w:t>
      </w:r>
    </w:p>
    <w:p>
      <w:pPr>
        <w:spacing w:after="0" w:line="164" w:lineRule="exact"/>
        <w:rPr>
          <w:rFonts w:ascii="Arial" w:cs="Arial" w:eastAsia="Arial" w:hAnsi="Arial"/>
          <w:sz w:val="16"/>
          <w:szCs w:val="16"/>
          <w:color w:val="010000"/>
        </w:rPr>
      </w:pPr>
    </w:p>
    <w:p>
      <w:pPr>
        <w:jc w:val="both"/>
        <w:ind w:left="-195" w:firstLine="195"/>
        <w:spacing w:after="0" w:line="286" w:lineRule="auto"/>
        <w:tabs>
          <w:tab w:leader="none" w:pos="596"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65" w:lineRule="exact"/>
        <w:rPr>
          <w:rFonts w:ascii="Arial" w:cs="Arial" w:eastAsia="Arial" w:hAnsi="Arial"/>
          <w:sz w:val="17"/>
          <w:szCs w:val="17"/>
          <w:color w:val="010000"/>
        </w:rPr>
      </w:pPr>
    </w:p>
    <w:p>
      <w:pPr>
        <w:ind w:left="525" w:hanging="525"/>
        <w:spacing w:after="0"/>
        <w:tabs>
          <w:tab w:leader="none" w:pos="52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given to such term in Section 7(b)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452120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5"/>
          </w:cols>
          <w:pgMar w:left="1075" w:top="341" w:right="619" w:bottom="1440" w:gutter="0" w:footer="0" w:header="0"/>
        </w:sectPr>
      </w:pPr>
    </w:p>
    <w:bookmarkStart w:id="35" w:name="page36"/>
    <w:bookmarkEnd w:id="35"/>
    <w:p>
      <w:pPr>
        <w:jc w:val="both"/>
        <w:ind w:left="-195" w:right="20" w:firstLine="195"/>
        <w:spacing w:after="0" w:line="286" w:lineRule="auto"/>
        <w:tabs>
          <w:tab w:leader="none" w:pos="716"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fair market value of a share of Common Stock, as reasonably determined by the Company and consistently applied for purposes of the Plan, which may include, without limitation, the closing sales price on the trading day immediately prior to or on such date, or a trailing average of previous closing prices prior to such date.</w:t>
      </w:r>
    </w:p>
    <w:p>
      <w:pPr>
        <w:spacing w:after="0" w:line="165" w:lineRule="exact"/>
        <w:rPr>
          <w:sz w:val="20"/>
          <w:szCs w:val="20"/>
          <w:color w:val="auto"/>
        </w:rPr>
      </w:pPr>
    </w:p>
    <w:p>
      <w:pPr>
        <w:ind w:left="545" w:hanging="545"/>
        <w:spacing w:after="0"/>
        <w:tabs>
          <w:tab w:leader="none" w:pos="54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given to such term in Section 7(d) of the Plan.</w:t>
      </w:r>
    </w:p>
    <w:p>
      <w:pPr>
        <w:spacing w:after="0" w:line="225" w:lineRule="exact"/>
        <w:rPr>
          <w:rFonts w:ascii="Arial" w:cs="Arial" w:eastAsia="Arial" w:hAnsi="Arial"/>
          <w:sz w:val="18"/>
          <w:szCs w:val="18"/>
          <w:color w:val="010000"/>
        </w:rPr>
      </w:pPr>
    </w:p>
    <w:p>
      <w:pPr>
        <w:jc w:val="both"/>
        <w:ind w:left="-195" w:firstLine="195"/>
        <w:spacing w:after="0" w:line="291" w:lineRule="auto"/>
        <w:tabs>
          <w:tab w:leader="none" w:pos="560" w:val="left"/>
        </w:tabs>
        <w:numPr>
          <w:ilvl w:val="0"/>
          <w:numId w:val="5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Grant Date Fair Market Value</w:t>
      </w:r>
      <w:r>
        <w:rPr>
          <w:rFonts w:ascii="Arial" w:cs="Arial" w:eastAsia="Arial" w:hAnsi="Arial"/>
          <w:sz w:val="16"/>
          <w:szCs w:val="16"/>
          <w:color w:val="auto"/>
        </w:rPr>
        <w:t>” means, as of a Date of Grant,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w:t>
      </w:r>
    </w:p>
    <w:p>
      <w:pPr>
        <w:spacing w:after="0" w:line="166" w:lineRule="exact"/>
        <w:rPr>
          <w:rFonts w:ascii="Arial" w:cs="Arial" w:eastAsia="Arial" w:hAnsi="Arial"/>
          <w:sz w:val="16"/>
          <w:szCs w:val="16"/>
          <w:color w:val="010000"/>
        </w:rPr>
      </w:pPr>
    </w:p>
    <w:p>
      <w:pPr>
        <w:ind w:left="585" w:hanging="585"/>
        <w:spacing w:after="0"/>
        <w:tabs>
          <w:tab w:leader="none" w:pos="58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given to such term in Section 13(b) of the Plan.</w:t>
      </w:r>
    </w:p>
    <w:p>
      <w:pPr>
        <w:spacing w:after="0" w:line="225" w:lineRule="exact"/>
        <w:rPr>
          <w:rFonts w:ascii="Arial" w:cs="Arial" w:eastAsia="Arial" w:hAnsi="Arial"/>
          <w:sz w:val="18"/>
          <w:szCs w:val="18"/>
          <w:color w:val="010000"/>
        </w:rPr>
      </w:pPr>
    </w:p>
    <w:p>
      <w:pPr>
        <w:ind w:left="-195" w:right="20" w:firstLine="195"/>
        <w:spacing w:after="0" w:line="277" w:lineRule="auto"/>
        <w:tabs>
          <w:tab w:leader="none" w:pos="681"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is designated by the Committee as an incentive stock option as described in Section 422 of the Code and otherwise meets the requirements set forth in the Plan.</w:t>
      </w:r>
    </w:p>
    <w:p>
      <w:pPr>
        <w:spacing w:after="0" w:line="170" w:lineRule="exact"/>
        <w:rPr>
          <w:rFonts w:ascii="Arial" w:cs="Arial" w:eastAsia="Arial" w:hAnsi="Arial"/>
          <w:sz w:val="18"/>
          <w:szCs w:val="18"/>
          <w:color w:val="010000"/>
        </w:rPr>
      </w:pPr>
    </w:p>
    <w:p>
      <w:pPr>
        <w:ind w:left="585" w:hanging="585"/>
        <w:spacing w:after="0"/>
        <w:tabs>
          <w:tab w:leader="none" w:pos="58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given to such term in Section 4(e) of the Plan.</w:t>
      </w:r>
    </w:p>
    <w:p>
      <w:pPr>
        <w:spacing w:after="0" w:line="225" w:lineRule="exact"/>
        <w:rPr>
          <w:rFonts w:ascii="Arial" w:cs="Arial" w:eastAsia="Arial" w:hAnsi="Arial"/>
          <w:sz w:val="18"/>
          <w:szCs w:val="18"/>
          <w:color w:val="010000"/>
        </w:rPr>
      </w:pPr>
    </w:p>
    <w:p>
      <w:pPr>
        <w:ind w:left="605" w:hanging="605"/>
        <w:spacing w:after="0"/>
        <w:tabs>
          <w:tab w:leader="none" w:pos="60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Initial Director Grant</w:t>
      </w:r>
      <w:r>
        <w:rPr>
          <w:rFonts w:ascii="Arial" w:cs="Arial" w:eastAsia="Arial" w:hAnsi="Arial"/>
          <w:sz w:val="18"/>
          <w:szCs w:val="18"/>
          <w:color w:val="auto"/>
        </w:rPr>
        <w:t>” has the meaning given to such term in Section 10 of the Plan.</w:t>
      </w:r>
    </w:p>
    <w:p>
      <w:pPr>
        <w:spacing w:after="0" w:line="225" w:lineRule="exact"/>
        <w:rPr>
          <w:rFonts w:ascii="Arial" w:cs="Arial" w:eastAsia="Arial" w:hAnsi="Arial"/>
          <w:sz w:val="18"/>
          <w:szCs w:val="18"/>
          <w:color w:val="010000"/>
        </w:rPr>
      </w:pPr>
    </w:p>
    <w:p>
      <w:pPr>
        <w:jc w:val="both"/>
        <w:ind w:left="-195" w:right="20" w:firstLine="195"/>
        <w:spacing w:after="0" w:line="291" w:lineRule="auto"/>
        <w:tabs>
          <w:tab w:leader="none" w:pos="573" w:val="left"/>
        </w:tabs>
        <w:numPr>
          <w:ilvl w:val="0"/>
          <w:numId w:val="53"/>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Minimum Vesting Condition</w:t>
      </w:r>
      <w:r>
        <w:rPr>
          <w:rFonts w:ascii="Arial" w:cs="Arial" w:eastAsia="Arial" w:hAnsi="Arial"/>
          <w:sz w:val="16"/>
          <w:szCs w:val="16"/>
          <w:color w:val="auto"/>
        </w:rPr>
        <w:t>” means, with respect to any Award, that vesting of (or lapsing of restrictions on) such Award does not occur prior to the first anniversary of the Date of Grant (or the date of commencement of employment or service, in the case of a grant made in connection with a Participant’s commencement of employment or service), other than (i) in connection with a Change in Control, as provided in Section 11(b) hereof, or (ii) as a result of a Participant’s death or Disability; provided, however, that to the extent determined by the Committee at the time of grant or as provided in Section 10 with respect to Director Awards, an Award need not be subject to such condition so long as the number of shares underlying such Award, together with the number of shares underlying any other Award granted without being subject to such condition does not exceed 5% of the Plan Share Reserve (the “</w:t>
      </w:r>
      <w:r>
        <w:rPr>
          <w:rFonts w:ascii="Arial" w:cs="Arial" w:eastAsia="Arial" w:hAnsi="Arial"/>
          <w:sz w:val="16"/>
          <w:szCs w:val="16"/>
          <w:u w:val="single" w:color="auto"/>
          <w:color w:val="auto"/>
        </w:rPr>
        <w:t>Minimum Vesting Condition Carve Out Amount</w:t>
      </w:r>
      <w:r>
        <w:rPr>
          <w:rFonts w:ascii="Arial" w:cs="Arial" w:eastAsia="Arial" w:hAnsi="Arial"/>
          <w:sz w:val="16"/>
          <w:szCs w:val="16"/>
          <w:color w:val="auto"/>
        </w:rPr>
        <w:t>”).</w:t>
      </w:r>
    </w:p>
    <w:p>
      <w:pPr>
        <w:spacing w:after="0" w:line="166" w:lineRule="exact"/>
        <w:rPr>
          <w:rFonts w:ascii="Arial" w:cs="Arial" w:eastAsia="Arial" w:hAnsi="Arial"/>
          <w:sz w:val="16"/>
          <w:szCs w:val="16"/>
          <w:color w:val="010000"/>
        </w:rPr>
      </w:pPr>
    </w:p>
    <w:p>
      <w:pPr>
        <w:ind w:left="565" w:hanging="565"/>
        <w:spacing w:after="0"/>
        <w:tabs>
          <w:tab w:leader="none" w:pos="56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Minimum Vesting Condition Carve Out Amount</w:t>
      </w:r>
      <w:r>
        <w:rPr>
          <w:rFonts w:ascii="Arial" w:cs="Arial" w:eastAsia="Arial" w:hAnsi="Arial"/>
          <w:sz w:val="18"/>
          <w:szCs w:val="18"/>
          <w:color w:val="auto"/>
        </w:rPr>
        <w:t>” has the meaning given to such term in Section 2(gg) of the Plan.</w:t>
      </w:r>
    </w:p>
    <w:p>
      <w:pPr>
        <w:spacing w:after="0" w:line="225" w:lineRule="exact"/>
        <w:rPr>
          <w:rFonts w:ascii="Arial" w:cs="Arial" w:eastAsia="Arial" w:hAnsi="Arial"/>
          <w:sz w:val="18"/>
          <w:szCs w:val="18"/>
          <w:color w:val="010000"/>
        </w:rPr>
      </w:pPr>
    </w:p>
    <w:p>
      <w:pPr>
        <w:ind w:left="625" w:hanging="625"/>
        <w:spacing w:after="0"/>
        <w:tabs>
          <w:tab w:leader="none" w:pos="62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designated by the Committee as an Incentive Stock Option.</w:t>
      </w:r>
    </w:p>
    <w:p>
      <w:pPr>
        <w:spacing w:after="0" w:line="225" w:lineRule="exact"/>
        <w:rPr>
          <w:rFonts w:ascii="Arial" w:cs="Arial" w:eastAsia="Arial" w:hAnsi="Arial"/>
          <w:sz w:val="18"/>
          <w:szCs w:val="18"/>
          <w:color w:val="010000"/>
        </w:rPr>
      </w:pPr>
    </w:p>
    <w:p>
      <w:pPr>
        <w:ind w:left="625" w:hanging="625"/>
        <w:spacing w:after="0"/>
        <w:tabs>
          <w:tab w:leader="none" w:pos="625"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means a member of the Board who is not an employee of any member of the Company Group.</w:t>
      </w:r>
    </w:p>
    <w:p>
      <w:pPr>
        <w:spacing w:after="0" w:line="236" w:lineRule="exact"/>
        <w:rPr>
          <w:rFonts w:ascii="Arial" w:cs="Arial" w:eastAsia="Arial" w:hAnsi="Arial"/>
          <w:sz w:val="17"/>
          <w:szCs w:val="17"/>
          <w:color w:val="010000"/>
        </w:rPr>
      </w:pPr>
    </w:p>
    <w:p>
      <w:pPr>
        <w:ind w:left="605" w:hanging="605"/>
        <w:spacing w:after="0"/>
        <w:tabs>
          <w:tab w:leader="none" w:pos="60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225" w:lineRule="exact"/>
        <w:rPr>
          <w:rFonts w:ascii="Arial" w:cs="Arial" w:eastAsia="Arial" w:hAnsi="Arial"/>
          <w:sz w:val="18"/>
          <w:szCs w:val="18"/>
          <w:color w:val="010000"/>
        </w:rPr>
      </w:pPr>
    </w:p>
    <w:p>
      <w:pPr>
        <w:ind w:left="625" w:hanging="625"/>
        <w:spacing w:after="0"/>
        <w:tabs>
          <w:tab w:leader="none" w:pos="625"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given to such term in Section 7(c)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452120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5"/>
          </w:cols>
          <w:pgMar w:left="1075" w:top="341" w:right="619" w:bottom="1440" w:gutter="0" w:footer="0" w:header="0"/>
        </w:sectPr>
      </w:pPr>
    </w:p>
    <w:bookmarkStart w:id="36" w:name="page37"/>
    <w:bookmarkEnd w:id="36"/>
    <w:p>
      <w:pPr>
        <w:ind w:left="-10" w:firstLine="195"/>
        <w:spacing w:after="0" w:line="342" w:lineRule="auto"/>
        <w:tabs>
          <w:tab w:leader="none" w:pos="814" w:val="left"/>
        </w:tabs>
        <w:numPr>
          <w:ilvl w:val="1"/>
          <w:numId w:val="5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Other Equity-Based Award</w:t>
      </w:r>
      <w:r>
        <w:rPr>
          <w:rFonts w:ascii="Arial" w:cs="Arial" w:eastAsia="Arial" w:hAnsi="Arial"/>
          <w:sz w:val="16"/>
          <w:szCs w:val="16"/>
          <w:color w:val="auto"/>
        </w:rPr>
        <w:t>” means an Award that is not an Option, Restricted Stock or Restricted Stock Unit, that is granted under Section 9 of the Plan and is (i) payable by delivery of Common Stock, and/or (ii) measured by reference to the value of Common Stock.</w:t>
      </w:r>
    </w:p>
    <w:p>
      <w:pPr>
        <w:spacing w:after="0" w:line="123" w:lineRule="exact"/>
        <w:rPr>
          <w:rFonts w:ascii="Arial" w:cs="Arial" w:eastAsia="Arial" w:hAnsi="Arial"/>
          <w:sz w:val="16"/>
          <w:szCs w:val="16"/>
          <w:color w:val="010000"/>
        </w:rPr>
      </w:pPr>
    </w:p>
    <w:p>
      <w:pPr>
        <w:ind w:left="-10" w:right="20" w:firstLine="195"/>
        <w:spacing w:after="0" w:line="277" w:lineRule="auto"/>
        <w:tabs>
          <w:tab w:leader="none" w:pos="786"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who has been selected by the Committee to participate in the Plan and to receive an Award pursuant to the Plan.</w:t>
      </w:r>
    </w:p>
    <w:p>
      <w:pPr>
        <w:spacing w:after="0" w:line="170" w:lineRule="exact"/>
        <w:rPr>
          <w:rFonts w:ascii="Arial" w:cs="Arial" w:eastAsia="Arial" w:hAnsi="Arial"/>
          <w:sz w:val="18"/>
          <w:szCs w:val="18"/>
          <w:color w:val="010000"/>
        </w:rPr>
      </w:pPr>
    </w:p>
    <w:p>
      <w:pPr>
        <w:ind w:left="750" w:hanging="565"/>
        <w:spacing w:after="0"/>
        <w:tabs>
          <w:tab w:leader="none" w:pos="75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has the meaning given to such term in Section 11(b) of the Plan.</w:t>
      </w:r>
    </w:p>
    <w:p>
      <w:pPr>
        <w:spacing w:after="0" w:line="225" w:lineRule="exact"/>
        <w:rPr>
          <w:rFonts w:ascii="Arial" w:cs="Arial" w:eastAsia="Arial" w:hAnsi="Arial"/>
          <w:sz w:val="18"/>
          <w:szCs w:val="18"/>
          <w:color w:val="010000"/>
        </w:rPr>
      </w:pPr>
    </w:p>
    <w:p>
      <w:pPr>
        <w:ind w:left="750" w:hanging="565"/>
        <w:spacing w:after="0"/>
        <w:tabs>
          <w:tab w:leader="none" w:pos="75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given to such term in Section 13(b) of the Plan.</w:t>
      </w:r>
    </w:p>
    <w:p>
      <w:pPr>
        <w:spacing w:after="0" w:line="225" w:lineRule="exact"/>
        <w:rPr>
          <w:rFonts w:ascii="Arial" w:cs="Arial" w:eastAsia="Arial" w:hAnsi="Arial"/>
          <w:sz w:val="18"/>
          <w:szCs w:val="18"/>
          <w:color w:val="010000"/>
        </w:rPr>
      </w:pPr>
    </w:p>
    <w:p>
      <w:pPr>
        <w:ind w:left="750" w:hanging="565"/>
        <w:spacing w:after="0"/>
        <w:tabs>
          <w:tab w:leader="none" w:pos="75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225" w:lineRule="exact"/>
        <w:rPr>
          <w:rFonts w:ascii="Arial" w:cs="Arial" w:eastAsia="Arial" w:hAnsi="Arial"/>
          <w:sz w:val="18"/>
          <w:szCs w:val="18"/>
          <w:color w:val="010000"/>
        </w:rPr>
      </w:pPr>
    </w:p>
    <w:p>
      <w:pPr>
        <w:ind w:left="790" w:hanging="605"/>
        <w:spacing w:after="0"/>
        <w:tabs>
          <w:tab w:leader="none" w:pos="790" w:val="left"/>
        </w:tabs>
        <w:numPr>
          <w:ilvl w:val="1"/>
          <w:numId w:val="5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PRA Health Sciences, Inc. 2018 Stock Incentive Plan, as it may be amended and/or restated from time to time.</w:t>
      </w:r>
    </w:p>
    <w:p>
      <w:pPr>
        <w:spacing w:after="0" w:line="248" w:lineRule="exact"/>
        <w:rPr>
          <w:rFonts w:ascii="Arial" w:cs="Arial" w:eastAsia="Arial" w:hAnsi="Arial"/>
          <w:sz w:val="16"/>
          <w:szCs w:val="16"/>
          <w:color w:val="010000"/>
        </w:rPr>
      </w:pPr>
    </w:p>
    <w:p>
      <w:pPr>
        <w:ind w:left="750" w:hanging="565"/>
        <w:spacing w:after="0"/>
        <w:tabs>
          <w:tab w:leader="none" w:pos="75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Plan Share Reserve</w:t>
      </w:r>
      <w:r>
        <w:rPr>
          <w:rFonts w:ascii="Arial" w:cs="Arial" w:eastAsia="Arial" w:hAnsi="Arial"/>
          <w:sz w:val="18"/>
          <w:szCs w:val="18"/>
          <w:color w:val="auto"/>
        </w:rPr>
        <w:t>” has the meaning given to such term in Section 5(b) of the Plan.</w:t>
      </w:r>
    </w:p>
    <w:p>
      <w:pPr>
        <w:spacing w:after="0" w:line="225" w:lineRule="exact"/>
        <w:rPr>
          <w:rFonts w:ascii="Arial" w:cs="Arial" w:eastAsia="Arial" w:hAnsi="Arial"/>
          <w:sz w:val="18"/>
          <w:szCs w:val="18"/>
          <w:color w:val="010000"/>
        </w:rPr>
      </w:pPr>
    </w:p>
    <w:p>
      <w:pPr>
        <w:ind w:left="770" w:hanging="585"/>
        <w:spacing w:after="0"/>
        <w:tabs>
          <w:tab w:leader="none" w:pos="77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2014 PRA Health Sciences, Inc. Omnibus Incentive Plan.</w:t>
      </w:r>
    </w:p>
    <w:p>
      <w:pPr>
        <w:spacing w:after="0" w:line="225" w:lineRule="exact"/>
        <w:rPr>
          <w:rFonts w:ascii="Arial" w:cs="Arial" w:eastAsia="Arial" w:hAnsi="Arial"/>
          <w:sz w:val="18"/>
          <w:szCs w:val="18"/>
          <w:color w:val="010000"/>
        </w:rPr>
      </w:pPr>
    </w:p>
    <w:p>
      <w:pPr>
        <w:jc w:val="both"/>
        <w:ind w:left="-10" w:firstLine="195"/>
        <w:spacing w:after="0" w:line="263" w:lineRule="auto"/>
        <w:tabs>
          <w:tab w:leader="none" w:pos="84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Qualifying Director</w:t>
      </w:r>
      <w:r>
        <w:rPr>
          <w:rFonts w:ascii="Arial" w:cs="Arial" w:eastAsia="Arial" w:hAnsi="Arial"/>
          <w:sz w:val="18"/>
          <w:szCs w:val="18"/>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83" w:lineRule="exact"/>
        <w:rPr>
          <w:rFonts w:ascii="Arial" w:cs="Arial" w:eastAsia="Arial" w:hAnsi="Arial"/>
          <w:sz w:val="18"/>
          <w:szCs w:val="18"/>
          <w:color w:val="010000"/>
        </w:rPr>
      </w:pPr>
    </w:p>
    <w:p>
      <w:pPr>
        <w:ind w:left="770" w:hanging="585"/>
        <w:spacing w:after="0"/>
        <w:tabs>
          <w:tab w:leader="none" w:pos="770" w:val="left"/>
        </w:tabs>
        <w:numPr>
          <w:ilvl w:val="1"/>
          <w:numId w:val="54"/>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means a Termination (i) by the Service Recipient other than for Cause, (ii) by the Participant as a result of</w:t>
      </w:r>
    </w:p>
    <w:p>
      <w:pPr>
        <w:spacing w:after="0" w:line="46" w:lineRule="exact"/>
        <w:rPr>
          <w:rFonts w:ascii="Arial" w:cs="Arial" w:eastAsia="Arial" w:hAnsi="Arial"/>
          <w:sz w:val="16"/>
          <w:szCs w:val="16"/>
          <w:color w:val="010000"/>
        </w:rPr>
      </w:pPr>
    </w:p>
    <w:p>
      <w:pPr>
        <w:jc w:val="both"/>
        <w:ind w:left="-10" w:right="20" w:firstLine="10"/>
        <w:spacing w:after="0" w:line="253" w:lineRule="auto"/>
        <w:tabs>
          <w:tab w:leader="none" w:pos="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material diminution in compensation, (B) a material reduction in duties or responsibilities, or (C) a relocation by the Service Recipient of the Participant’s principal place of employment or providing services by more than fifty (50) miles from the then-current location, or (iii) by reason of such Participant’s death or Disability, in each case on or within a twelve (12) months following a Change in Control, or such other period as specified by the Committee.</w:t>
      </w:r>
    </w:p>
    <w:p>
      <w:pPr>
        <w:spacing w:after="0" w:line="192" w:lineRule="exact"/>
        <w:rPr>
          <w:rFonts w:ascii="Arial" w:cs="Arial" w:eastAsia="Arial" w:hAnsi="Arial"/>
          <w:sz w:val="18"/>
          <w:szCs w:val="18"/>
          <w:color w:val="auto"/>
        </w:rPr>
      </w:pPr>
    </w:p>
    <w:p>
      <w:pPr>
        <w:ind w:left="-10" w:right="20" w:firstLine="195"/>
        <w:spacing w:after="0" w:line="277" w:lineRule="auto"/>
        <w:tabs>
          <w:tab w:leader="none" w:pos="915"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of time determined by the Committee during which an Award is subject to restrictions, including vesting conditions.</w:t>
      </w:r>
    </w:p>
    <w:p>
      <w:pPr>
        <w:spacing w:after="0" w:line="170" w:lineRule="exact"/>
        <w:rPr>
          <w:rFonts w:ascii="Arial" w:cs="Arial" w:eastAsia="Arial" w:hAnsi="Arial"/>
          <w:sz w:val="18"/>
          <w:szCs w:val="18"/>
          <w:color w:val="010000"/>
        </w:rPr>
      </w:pPr>
    </w:p>
    <w:p>
      <w:pPr>
        <w:jc w:val="both"/>
        <w:ind w:left="-10" w:right="20" w:firstLine="195"/>
        <w:spacing w:after="0" w:line="263" w:lineRule="auto"/>
        <w:tabs>
          <w:tab w:leader="none" w:pos="1051"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Common Stock, subject to certain specified restrictions (which may include, without limitation, a requirement that the Participant remain continuously employed or provide continuous services for a specified period of time), granted under Section 8 of the Plan.</w:t>
      </w:r>
    </w:p>
    <w:p>
      <w:pPr>
        <w:spacing w:after="0" w:line="183" w:lineRule="exact"/>
        <w:rPr>
          <w:rFonts w:ascii="Arial" w:cs="Arial" w:eastAsia="Arial" w:hAnsi="Arial"/>
          <w:sz w:val="18"/>
          <w:szCs w:val="18"/>
          <w:color w:val="010000"/>
        </w:rPr>
      </w:pPr>
    </w:p>
    <w:p>
      <w:pPr>
        <w:jc w:val="both"/>
        <w:ind w:left="-10" w:right="20" w:firstLine="195"/>
        <w:spacing w:after="0" w:line="263" w:lineRule="auto"/>
        <w:tabs>
          <w:tab w:leader="none" w:pos="840"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8 of the Plan.</w:t>
      </w:r>
    </w:p>
    <w:p>
      <w:pPr>
        <w:spacing w:after="0" w:line="183" w:lineRule="exact"/>
        <w:rPr>
          <w:rFonts w:ascii="Arial" w:cs="Arial" w:eastAsia="Arial" w:hAnsi="Arial"/>
          <w:sz w:val="18"/>
          <w:szCs w:val="18"/>
          <w:color w:val="010000"/>
        </w:rPr>
      </w:pPr>
    </w:p>
    <w:p>
      <w:pPr>
        <w:jc w:val="both"/>
        <w:ind w:left="-10" w:right="20" w:firstLine="195"/>
        <w:spacing w:after="0" w:line="286" w:lineRule="auto"/>
        <w:tabs>
          <w:tab w:leader="none" w:pos="855" w:val="left"/>
        </w:tabs>
        <w:numPr>
          <w:ilvl w:val="1"/>
          <w:numId w:val="5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414020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90"/>
          </w:cols>
          <w:pgMar w:left="890" w:top="341" w:right="619" w:bottom="1440" w:gutter="0" w:footer="0" w:header="0"/>
        </w:sectPr>
      </w:pPr>
    </w:p>
    <w:bookmarkStart w:id="37" w:name="page38"/>
    <w:bookmarkEnd w:id="37"/>
    <w:p>
      <w:pPr>
        <w:jc w:val="both"/>
        <w:ind w:left="560" w:right="300" w:firstLine="195"/>
        <w:spacing w:after="0" w:line="263" w:lineRule="auto"/>
        <w:tabs>
          <w:tab w:leader="none" w:pos="137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with respect to an individual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183" w:lineRule="exact"/>
        <w:rPr>
          <w:rFonts w:ascii="Arial" w:cs="Arial" w:eastAsia="Arial" w:hAnsi="Arial"/>
          <w:sz w:val="18"/>
          <w:szCs w:val="18"/>
          <w:color w:val="010000"/>
        </w:rPr>
      </w:pPr>
    </w:p>
    <w:p>
      <w:pPr>
        <w:ind w:left="560" w:right="280" w:firstLine="195"/>
        <w:spacing w:after="0" w:line="277" w:lineRule="auto"/>
        <w:tabs>
          <w:tab w:leader="none" w:pos="1369"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SAR Base Price</w:t>
      </w:r>
      <w:r>
        <w:rPr>
          <w:rFonts w:ascii="Arial" w:cs="Arial" w:eastAsia="Arial" w:hAnsi="Arial"/>
          <w:sz w:val="18"/>
          <w:szCs w:val="18"/>
          <w:color w:val="auto"/>
        </w:rPr>
        <w:t>” means, as to any Stock Appreciation Right, the price per share of Common Stock designated as the base value above which appreciation in value is measured.</w:t>
      </w:r>
    </w:p>
    <w:p>
      <w:pPr>
        <w:spacing w:after="0" w:line="170" w:lineRule="exact"/>
        <w:rPr>
          <w:rFonts w:ascii="Arial" w:cs="Arial" w:eastAsia="Arial" w:hAnsi="Arial"/>
          <w:sz w:val="18"/>
          <w:szCs w:val="18"/>
          <w:color w:val="010000"/>
        </w:rPr>
      </w:pPr>
    </w:p>
    <w:p>
      <w:pPr>
        <w:ind w:left="560" w:right="300" w:firstLine="195"/>
        <w:spacing w:after="0" w:line="277" w:lineRule="auto"/>
        <w:tabs>
          <w:tab w:leader="none" w:pos="1329"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Other-Equity Based Award designated in an applicable Award Agreement as a stock appreciation right.</w:t>
      </w:r>
    </w:p>
    <w:p>
      <w:pPr>
        <w:spacing w:after="0" w:line="170" w:lineRule="exact"/>
        <w:rPr>
          <w:rFonts w:ascii="Arial" w:cs="Arial" w:eastAsia="Arial" w:hAnsi="Arial"/>
          <w:sz w:val="18"/>
          <w:szCs w:val="18"/>
          <w:color w:val="010000"/>
        </w:rPr>
      </w:pPr>
    </w:p>
    <w:p>
      <w:pPr>
        <w:ind w:left="1320" w:hanging="565"/>
        <w:spacing w:after="0"/>
        <w:tabs>
          <w:tab w:leader="none" w:pos="132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225" w:lineRule="exact"/>
        <w:rPr>
          <w:rFonts w:ascii="Arial" w:cs="Arial" w:eastAsia="Arial" w:hAnsi="Arial"/>
          <w:sz w:val="18"/>
          <w:szCs w:val="18"/>
          <w:color w:val="010000"/>
        </w:rPr>
      </w:pPr>
    </w:p>
    <w:p>
      <w:pPr>
        <w:jc w:val="both"/>
        <w:ind w:left="680" w:right="300" w:firstLine="642"/>
        <w:spacing w:after="0" w:line="259" w:lineRule="auto"/>
        <w:tabs>
          <w:tab w:leader="none" w:pos="1934"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86" w:lineRule="exact"/>
        <w:rPr>
          <w:rFonts w:ascii="Arial" w:cs="Arial" w:eastAsia="Arial" w:hAnsi="Arial"/>
          <w:sz w:val="18"/>
          <w:szCs w:val="18"/>
          <w:color w:val="010000"/>
        </w:rPr>
      </w:pPr>
    </w:p>
    <w:p>
      <w:pPr>
        <w:jc w:val="both"/>
        <w:ind w:left="680" w:right="300" w:firstLine="642"/>
        <w:spacing w:after="0" w:line="263" w:lineRule="auto"/>
        <w:tabs>
          <w:tab w:leader="none" w:pos="2011"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83" w:lineRule="exact"/>
        <w:rPr>
          <w:rFonts w:ascii="Arial" w:cs="Arial" w:eastAsia="Arial" w:hAnsi="Arial"/>
          <w:sz w:val="18"/>
          <w:szCs w:val="18"/>
          <w:color w:val="010000"/>
        </w:rPr>
      </w:pPr>
    </w:p>
    <w:p>
      <w:pPr>
        <w:ind w:left="1340" w:hanging="585"/>
        <w:spacing w:after="0"/>
        <w:tabs>
          <w:tab w:leader="none" w:pos="134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has the meaning given to such term in Section 5(f) of the Plan.</w:t>
      </w:r>
    </w:p>
    <w:p>
      <w:pPr>
        <w:spacing w:after="0" w:line="225" w:lineRule="exact"/>
        <w:rPr>
          <w:rFonts w:ascii="Arial" w:cs="Arial" w:eastAsia="Arial" w:hAnsi="Arial"/>
          <w:sz w:val="18"/>
          <w:szCs w:val="18"/>
          <w:color w:val="010000"/>
        </w:rPr>
      </w:pPr>
    </w:p>
    <w:p>
      <w:pPr>
        <w:jc w:val="both"/>
        <w:ind w:left="560" w:right="280" w:firstLine="195"/>
        <w:spacing w:after="0" w:line="273" w:lineRule="auto"/>
        <w:tabs>
          <w:tab w:leader="none" w:pos="138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Sub-Plans</w:t>
      </w:r>
      <w:r>
        <w:rPr>
          <w:rFonts w:ascii="Arial" w:cs="Arial" w:eastAsia="Arial" w:hAnsi="Arial"/>
          <w:sz w:val="17"/>
          <w:szCs w:val="17"/>
          <w:color w:val="auto"/>
        </w:rPr>
        <w:t>” means any sub-plan to the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Plan Share Reserve and the other limits specified in Section 5 shall apply in the aggregate to the Plan and any Sub-Plan adopted hereunder, and the Minimum Vesting Condition shall apply to any Awards granted under any such Sub-Plan, unless prevented by applicable local laws.</w:t>
      </w:r>
    </w:p>
    <w:p>
      <w:pPr>
        <w:spacing w:after="0" w:line="177" w:lineRule="exact"/>
        <w:rPr>
          <w:rFonts w:ascii="Arial" w:cs="Arial" w:eastAsia="Arial" w:hAnsi="Arial"/>
          <w:sz w:val="17"/>
          <w:szCs w:val="17"/>
          <w:color w:val="010000"/>
        </w:rPr>
      </w:pPr>
    </w:p>
    <w:p>
      <w:pPr>
        <w:ind w:left="560" w:right="300" w:firstLine="195"/>
        <w:spacing w:after="0" w:line="277" w:lineRule="auto"/>
        <w:tabs>
          <w:tab w:leader="none" w:pos="1382"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the termination of a Participant’s employment or service, as applicable, with the Service Recipient for any reason (including death).</w:t>
      </w:r>
    </w:p>
    <w:p>
      <w:pPr>
        <w:spacing w:after="0" w:line="166" w:lineRule="exact"/>
        <w:rPr>
          <w:sz w:val="20"/>
          <w:szCs w:val="20"/>
          <w:color w:val="auto"/>
        </w:rPr>
      </w:pPr>
    </w:p>
    <w:p>
      <w:pPr>
        <w:jc w:val="both"/>
        <w:ind w:left="560" w:hanging="552"/>
        <w:spacing w:after="0" w:line="261"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Effective Date; Duration</w:t>
      </w:r>
      <w:r>
        <w:rPr>
          <w:rFonts w:ascii="Arial" w:cs="Arial" w:eastAsia="Arial" w:hAnsi="Arial"/>
          <w:sz w:val="18"/>
          <w:szCs w:val="18"/>
          <w:color w:val="auto"/>
        </w:rPr>
        <w:t>. The Plan became effective as of the Effective Date. The expiration date of the Plan shall be the tenth (10th) anniversary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Effective Date, subject to earlier termination by the Committee pursuant to Section 12(a);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expiration shall not affect Awards then outstanding, and the terms and conditions of the Plan shall continue to apply to such Awards,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on and after the Assumption Date no new Awards have been or shall be granted hereunder.</w:t>
      </w:r>
    </w:p>
    <w:p>
      <w:pPr>
        <w:spacing w:after="0" w:line="180" w:lineRule="exact"/>
        <w:rPr>
          <w:sz w:val="20"/>
          <w:szCs w:val="20"/>
          <w:color w:val="auto"/>
        </w:rPr>
      </w:pPr>
    </w:p>
    <w:p>
      <w:pPr>
        <w:ind w:left="560" w:hanging="552"/>
        <w:spacing w:after="0"/>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60" w:right="300" w:firstLine="195"/>
        <w:spacing w:after="0" w:line="296" w:lineRule="auto"/>
        <w:tabs>
          <w:tab w:leader="none" w:pos="1314" w:val="left"/>
        </w:tabs>
        <w:numPr>
          <w:ilvl w:val="1"/>
          <w:numId w:val="58"/>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ind w:firstLine="195"/>
        <w:spacing w:after="0" w:line="268" w:lineRule="auto"/>
        <w:tabs>
          <w:tab w:leader="none" w:pos="872" w:val="left"/>
        </w:tabs>
        <w:numPr>
          <w:ilvl w:val="0"/>
          <w:numId w:val="59"/>
        </w:numPr>
        <w:rPr>
          <w:rFonts w:ascii="Arial" w:cs="Arial" w:eastAsia="Arial" w:hAnsi="Arial"/>
          <w:sz w:val="17"/>
          <w:szCs w:val="17"/>
          <w:color w:val="010000"/>
        </w:rPr>
      </w:pPr>
      <w:r>
        <w:rPr>
          <w:rFonts w:ascii="Arial" w:cs="Arial" w:eastAsia="Arial" w:hAnsi="Arial"/>
          <w:sz w:val="17"/>
          <w:szCs w:val="17"/>
          <w:u w:val="single" w:color="auto"/>
          <w:color w:val="auto"/>
        </w:rPr>
        <w:t>Committee Authority</w:t>
      </w:r>
      <w:r>
        <w:rPr>
          <w:rFonts w:ascii="Arial" w:cs="Arial" w:eastAsia="Arial" w:hAnsi="Arial"/>
          <w:sz w:val="17"/>
          <w:szCs w:val="17"/>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adopt Sub-Plans; and (x) make any other determination and take any other action that the Committee deems necessary or desirable for the administration of the Plan. Notwithstanding anything herein to the contrary, except as provided in Section 11(b), or on account of a Participant’s death or Disability, the Committee may not accelerate vesting of any Award.</w:t>
      </w:r>
    </w:p>
    <w:p>
      <w:pPr>
        <w:spacing w:after="0" w:line="181" w:lineRule="exact"/>
        <w:rPr>
          <w:rFonts w:ascii="Arial" w:cs="Arial" w:eastAsia="Arial" w:hAnsi="Arial"/>
          <w:sz w:val="17"/>
          <w:szCs w:val="17"/>
          <w:color w:val="010000"/>
        </w:rPr>
      </w:pPr>
    </w:p>
    <w:p>
      <w:pPr>
        <w:jc w:val="both"/>
        <w:ind w:right="20" w:firstLine="195"/>
        <w:spacing w:after="0" w:line="271" w:lineRule="auto"/>
        <w:tabs>
          <w:tab w:leader="none" w:pos="781" w:val="left"/>
        </w:tabs>
        <w:numPr>
          <w:ilvl w:val="0"/>
          <w:numId w:val="59"/>
        </w:numPr>
        <w:rPr>
          <w:rFonts w:ascii="Arial" w:cs="Arial" w:eastAsia="Arial" w:hAnsi="Arial"/>
          <w:sz w:val="17"/>
          <w:szCs w:val="17"/>
          <w:color w:val="010000"/>
        </w:rPr>
      </w:pPr>
      <w:r>
        <w:rPr>
          <w:rFonts w:ascii="Arial" w:cs="Arial" w:eastAsia="Arial" w:hAnsi="Arial"/>
          <w:sz w:val="17"/>
          <w:szCs w:val="17"/>
          <w:u w:val="single" w:color="auto"/>
          <w:color w:val="auto"/>
        </w:rPr>
        <w:t>Delegation</w:t>
      </w:r>
      <w:r>
        <w:rPr>
          <w:rFonts w:ascii="Arial" w:cs="Arial" w:eastAsia="Arial" w:hAnsi="Arial"/>
          <w:sz w:val="17"/>
          <w:szCs w:val="17"/>
          <w:color w:val="auto"/>
        </w:rPr>
        <w:t>.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spacing w:after="0" w:line="178" w:lineRule="exact"/>
        <w:rPr>
          <w:rFonts w:ascii="Arial" w:cs="Arial" w:eastAsia="Arial" w:hAnsi="Arial"/>
          <w:sz w:val="17"/>
          <w:szCs w:val="17"/>
          <w:color w:val="010000"/>
        </w:rPr>
      </w:pPr>
    </w:p>
    <w:p>
      <w:pPr>
        <w:jc w:val="both"/>
        <w:ind w:right="20" w:firstLine="195"/>
        <w:spacing w:after="0" w:line="259" w:lineRule="auto"/>
        <w:tabs>
          <w:tab w:leader="none" w:pos="818"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186" w:lineRule="exact"/>
        <w:rPr>
          <w:rFonts w:ascii="Arial" w:cs="Arial" w:eastAsia="Arial" w:hAnsi="Arial"/>
          <w:sz w:val="18"/>
          <w:szCs w:val="18"/>
          <w:color w:val="010000"/>
        </w:rPr>
      </w:pPr>
    </w:p>
    <w:p>
      <w:pPr>
        <w:jc w:val="both"/>
        <w:ind w:firstLine="195"/>
        <w:spacing w:after="0" w:line="284" w:lineRule="auto"/>
        <w:tabs>
          <w:tab w:leader="none" w:pos="781" w:val="left"/>
        </w:tabs>
        <w:numPr>
          <w:ilvl w:val="0"/>
          <w:numId w:val="59"/>
        </w:numPr>
        <w:rPr>
          <w:rFonts w:ascii="Arial" w:cs="Arial" w:eastAsia="Arial" w:hAnsi="Arial"/>
          <w:sz w:val="16"/>
          <w:szCs w:val="16"/>
          <w:color w:val="010000"/>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No member of the Board, the Committee or any employee or agent of any member of the Company Group (each such Person, an “</w:t>
      </w:r>
      <w:r>
        <w:rPr>
          <w:rFonts w:ascii="Arial" w:cs="Arial" w:eastAsia="Arial" w:hAnsi="Arial"/>
          <w:sz w:val="16"/>
          <w:szCs w:val="16"/>
          <w:u w:val="single" w:color="auto"/>
          <w:color w:val="auto"/>
        </w:rPr>
        <w:t>Indemnifiable Person</w:t>
      </w:r>
      <w:r>
        <w:rPr>
          <w:rFonts w:ascii="Arial" w:cs="Arial" w:eastAsia="Arial" w:hAnsi="Arial"/>
          <w:sz w:val="16"/>
          <w:szCs w:val="16"/>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200" w:lineRule="exact"/>
        <w:rPr>
          <w:sz w:val="20"/>
          <w:szCs w:val="20"/>
          <w:color w:val="auto"/>
        </w:rPr>
      </w:pPr>
    </w:p>
    <w:p>
      <w:pPr>
        <w:spacing w:after="0" w:line="40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880" w:top="341" w:right="619" w:bottom="1440" w:gutter="0" w:footer="0" w:header="0"/>
        </w:sectPr>
      </w:pPr>
    </w:p>
    <w:bookmarkStart w:id="39" w:name="page40"/>
    <w:bookmarkEnd w:id="39"/>
    <w:p>
      <w:pPr>
        <w:jc w:val="both"/>
        <w:ind w:left="552" w:firstLine="195"/>
        <w:spacing w:after="0" w:line="259" w:lineRule="auto"/>
        <w:tabs>
          <w:tab w:leader="none" w:pos="1299" w:val="left"/>
        </w:tabs>
        <w:numPr>
          <w:ilvl w:val="0"/>
          <w:numId w:val="60"/>
        </w:numPr>
        <w:rPr>
          <w:rFonts w:ascii="Arial" w:cs="Arial" w:eastAsia="Arial" w:hAnsi="Arial"/>
          <w:sz w:val="18"/>
          <w:szCs w:val="18"/>
          <w:color w:val="010000"/>
        </w:rPr>
      </w:pPr>
      <w:r>
        <w:rPr>
          <w:rFonts w:ascii="Arial" w:cs="Arial" w:eastAsia="Arial" w:hAnsi="Arial"/>
          <w:sz w:val="18"/>
          <w:szCs w:val="18"/>
          <w:u w:val="single" w:color="auto"/>
          <w:color w:val="auto"/>
        </w:rPr>
        <w:t>Board Authority</w:t>
      </w:r>
      <w:r>
        <w:rPr>
          <w:rFonts w:ascii="Arial" w:cs="Arial" w:eastAsia="Arial" w:hAnsi="Arial"/>
          <w:sz w:val="18"/>
          <w:szCs w:val="18"/>
          <w:color w:val="auto"/>
        </w:rPr>
        <w:t>. Notwithstanding anything to the contrary contained in the Plan, the Board may, in its sole discretion, at any time and from time to time, grant Awards and administer the Plan with respect to such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spacing w:after="0" w:line="183" w:lineRule="exact"/>
        <w:rPr>
          <w:sz w:val="20"/>
          <w:szCs w:val="20"/>
          <w:color w:val="auto"/>
        </w:rPr>
      </w:pPr>
    </w:p>
    <w:p>
      <w:pPr>
        <w:ind w:left="552" w:hanging="552"/>
        <w:spacing w:after="0"/>
        <w:tabs>
          <w:tab w:leader="none" w:pos="55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 Limitations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252" w:hanging="505"/>
        <w:spacing w:after="0"/>
        <w:tabs>
          <w:tab w:leader="none" w:pos="1252" w:val="left"/>
        </w:tabs>
        <w:numPr>
          <w:ilvl w:val="1"/>
          <w:numId w:val="61"/>
        </w:numPr>
        <w:rPr>
          <w:rFonts w:ascii="Arial" w:cs="Arial" w:eastAsia="Arial" w:hAnsi="Arial"/>
          <w:sz w:val="18"/>
          <w:szCs w:val="18"/>
          <w:color w:val="010000"/>
        </w:rPr>
      </w:pPr>
      <w:r>
        <w:rPr>
          <w:rFonts w:ascii="Arial" w:cs="Arial" w:eastAsia="Arial" w:hAnsi="Arial"/>
          <w:sz w:val="18"/>
          <w:szCs w:val="18"/>
          <w:u w:val="single" w:color="auto"/>
          <w:color w:val="auto"/>
        </w:rPr>
        <w:t>Grants</w:t>
      </w:r>
      <w:r>
        <w:rPr>
          <w:rFonts w:ascii="Arial" w:cs="Arial" w:eastAsia="Arial" w:hAnsi="Arial"/>
          <w:sz w:val="18"/>
          <w:szCs w:val="18"/>
          <w:color w:val="auto"/>
        </w:rPr>
        <w:t>. The Committee may, from time to time, grant Awards to one or more Eligible Persons.</w:t>
      </w:r>
    </w:p>
    <w:p>
      <w:pPr>
        <w:spacing w:after="0" w:line="225" w:lineRule="exact"/>
        <w:rPr>
          <w:rFonts w:ascii="Arial" w:cs="Arial" w:eastAsia="Arial" w:hAnsi="Arial"/>
          <w:sz w:val="18"/>
          <w:szCs w:val="18"/>
          <w:color w:val="010000"/>
        </w:rPr>
      </w:pPr>
    </w:p>
    <w:p>
      <w:pPr>
        <w:jc w:val="both"/>
        <w:ind w:left="552" w:firstLine="195"/>
        <w:spacing w:after="0" w:line="293" w:lineRule="auto"/>
        <w:tabs>
          <w:tab w:leader="none" w:pos="1410" w:val="left"/>
        </w:tabs>
        <w:numPr>
          <w:ilvl w:val="1"/>
          <w:numId w:val="61"/>
        </w:numPr>
        <w:rPr>
          <w:rFonts w:ascii="Arial" w:cs="Arial" w:eastAsia="Arial" w:hAnsi="Arial"/>
          <w:sz w:val="16"/>
          <w:szCs w:val="16"/>
          <w:color w:val="010000"/>
        </w:rPr>
      </w:pPr>
      <w:r>
        <w:rPr>
          <w:rFonts w:ascii="Arial" w:cs="Arial" w:eastAsia="Arial" w:hAnsi="Arial"/>
          <w:sz w:val="16"/>
          <w:szCs w:val="16"/>
          <w:u w:val="single" w:color="auto"/>
          <w:color w:val="auto"/>
        </w:rPr>
        <w:t>Share Reserve</w:t>
      </w:r>
      <w:r>
        <w:rPr>
          <w:rFonts w:ascii="Arial" w:cs="Arial" w:eastAsia="Arial" w:hAnsi="Arial"/>
          <w:sz w:val="16"/>
          <w:szCs w:val="16"/>
          <w:color w:val="auto"/>
        </w:rPr>
        <w:t xml:space="preserve">. Subject to Section 11 of the Plan and section 5(g) below, a number shares of Common Stock shall initially be available for Awards under the Plan equal to the sum of (1) 2,000,000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(2) the number of shares that remain available for grant under the Prior Plan as of the Effective Date (the “</w:t>
      </w:r>
      <w:r>
        <w:rPr>
          <w:rFonts w:ascii="Arial" w:cs="Arial" w:eastAsia="Arial" w:hAnsi="Arial"/>
          <w:sz w:val="16"/>
          <w:szCs w:val="16"/>
          <w:u w:val="single" w:color="auto"/>
          <w:color w:val="auto"/>
        </w:rPr>
        <w:t>Plan Share Reserve</w:t>
      </w:r>
      <w:r>
        <w:rPr>
          <w:rFonts w:ascii="Arial" w:cs="Arial" w:eastAsia="Arial" w:hAnsi="Arial"/>
          <w:sz w:val="16"/>
          <w:szCs w:val="16"/>
          <w:color w:val="auto"/>
        </w:rPr>
        <w:t>”), and from and after the Effective Date, no further grants shall be made under the Prior Plan. Further, the number of shares of Common Stock underlying any award granted under the Prior Plan that expires, terminates or is canceled or forfeited for any reason whatsoever under the terms of the Prior Plan, shall increase the Plan Share Reserve. Each Award granted under the Plan will reduce the Plan Share Reserve by the number of shares of Common Stock underlying the Award.</w:t>
      </w:r>
    </w:p>
    <w:p>
      <w:pPr>
        <w:spacing w:after="0" w:line="164" w:lineRule="exact"/>
        <w:rPr>
          <w:rFonts w:ascii="Arial" w:cs="Arial" w:eastAsia="Arial" w:hAnsi="Arial"/>
          <w:sz w:val="16"/>
          <w:szCs w:val="16"/>
          <w:color w:val="010000"/>
        </w:rPr>
      </w:pPr>
    </w:p>
    <w:p>
      <w:pPr>
        <w:jc w:val="both"/>
        <w:ind w:left="552" w:firstLine="195"/>
        <w:spacing w:after="0" w:line="275" w:lineRule="auto"/>
        <w:tabs>
          <w:tab w:leader="none" w:pos="1306" w:val="left"/>
        </w:tabs>
        <w:numPr>
          <w:ilvl w:val="1"/>
          <w:numId w:val="61"/>
        </w:numPr>
        <w:rPr>
          <w:rFonts w:ascii="Arial" w:cs="Arial" w:eastAsia="Arial" w:hAnsi="Arial"/>
          <w:sz w:val="17"/>
          <w:szCs w:val="17"/>
          <w:color w:val="010000"/>
        </w:rPr>
      </w:pPr>
      <w:r>
        <w:rPr>
          <w:rFonts w:ascii="Arial" w:cs="Arial" w:eastAsia="Arial" w:hAnsi="Arial"/>
          <w:sz w:val="17"/>
          <w:szCs w:val="17"/>
          <w:u w:val="single" w:color="auto"/>
          <w:color w:val="auto"/>
        </w:rPr>
        <w:t>Additional Limits</w:t>
      </w:r>
      <w:r>
        <w:rPr>
          <w:rFonts w:ascii="Arial" w:cs="Arial" w:eastAsia="Arial" w:hAnsi="Arial"/>
          <w:sz w:val="17"/>
          <w:szCs w:val="17"/>
          <w:color w:val="auto"/>
        </w:rPr>
        <w:t>. Subject to Section 11 of the Plan and Section 5(g) below, no more than the number of shares of Common Stock equal to the Plan Share Reserve may be issued in the aggregate pursuant to the exercise of Incentive Stock Options granted under the Plan. The maximum number of shares of Common Stock subject to Awards granted during a single fiscal year to any Non-Employee Director, taken together with any cash fees paid to such Non-Employee Director during the fiscal year, shall not exceed $500,000 in total value (calculating the value of any such Awards based on the grant date fair value of such Awards for financial reporting purposes).</w:t>
      </w:r>
    </w:p>
    <w:p>
      <w:pPr>
        <w:spacing w:after="0" w:line="176" w:lineRule="exact"/>
        <w:rPr>
          <w:rFonts w:ascii="Arial" w:cs="Arial" w:eastAsia="Arial" w:hAnsi="Arial"/>
          <w:sz w:val="17"/>
          <w:szCs w:val="17"/>
          <w:color w:val="010000"/>
        </w:rPr>
      </w:pPr>
    </w:p>
    <w:p>
      <w:pPr>
        <w:jc w:val="both"/>
        <w:ind w:left="552" w:firstLine="195"/>
        <w:spacing w:after="0" w:line="291" w:lineRule="auto"/>
        <w:tabs>
          <w:tab w:leader="none" w:pos="1410" w:val="left"/>
        </w:tabs>
        <w:numPr>
          <w:ilvl w:val="1"/>
          <w:numId w:val="61"/>
        </w:numPr>
        <w:rPr>
          <w:rFonts w:ascii="Arial" w:cs="Arial" w:eastAsia="Arial" w:hAnsi="Arial"/>
          <w:sz w:val="16"/>
          <w:szCs w:val="16"/>
          <w:color w:val="010000"/>
        </w:rPr>
      </w:pPr>
      <w:r>
        <w:rPr>
          <w:rFonts w:ascii="Arial" w:cs="Arial" w:eastAsia="Arial" w:hAnsi="Arial"/>
          <w:sz w:val="16"/>
          <w:szCs w:val="16"/>
          <w:u w:val="single" w:color="auto"/>
          <w:color w:val="auto"/>
        </w:rPr>
        <w:t>Share Counting</w:t>
      </w:r>
      <w:r>
        <w:rPr>
          <w:rFonts w:ascii="Arial" w:cs="Arial" w:eastAsia="Arial" w:hAnsi="Arial"/>
          <w:sz w:val="16"/>
          <w:szCs w:val="16"/>
          <w:color w:val="auto"/>
        </w:rPr>
        <w:t xml:space="preserve">. Other than with respect to Substitute Awards, to the extent that an Award expires or is canceled, forfeited, or terminated without issuance to the Participant of the full number of shares of Common Stock to which the Award related, the unissued shares will returned for future grant under the Plan. Shares of Common Stock shall be deemed to have been issued in settlement of Awards if the Fair Market Value equivalent of such shares is paid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shares shall be deemed to have been issued in settlement of a SAR, Other Equity-Based Award or Restricted Stock Unit that only provides for settlement in cash and settles only in cash. Shares withheld in payment of the Exercise Price or taxes relating to an Award and shares equal to the number of shares surrendered in payment of any Exercise Price or taxes relating to an Award shall constitute shares issued to the Participant and shall reduce the Plan Share Reserve.</w:t>
      </w:r>
    </w:p>
    <w:p>
      <w:pPr>
        <w:spacing w:after="0" w:line="166" w:lineRule="exact"/>
        <w:rPr>
          <w:rFonts w:ascii="Arial" w:cs="Arial" w:eastAsia="Arial" w:hAnsi="Arial"/>
          <w:sz w:val="16"/>
          <w:szCs w:val="16"/>
          <w:color w:val="010000"/>
        </w:rPr>
      </w:pPr>
    </w:p>
    <w:p>
      <w:pPr>
        <w:ind w:left="552" w:firstLine="195"/>
        <w:spacing w:after="0" w:line="342" w:lineRule="auto"/>
        <w:tabs>
          <w:tab w:leader="none" w:pos="1265" w:val="left"/>
        </w:tabs>
        <w:numPr>
          <w:ilvl w:val="1"/>
          <w:numId w:val="61"/>
        </w:numPr>
        <w:rPr>
          <w:rFonts w:ascii="Arial" w:cs="Arial" w:eastAsia="Arial" w:hAnsi="Arial"/>
          <w:sz w:val="16"/>
          <w:szCs w:val="16"/>
          <w:color w:val="010000"/>
        </w:rPr>
      </w:pPr>
      <w:r>
        <w:rPr>
          <w:rFonts w:ascii="Arial" w:cs="Arial" w:eastAsia="Arial" w:hAnsi="Arial"/>
          <w:sz w:val="16"/>
          <w:szCs w:val="16"/>
          <w:u w:val="single" w:color="auto"/>
          <w:color w:val="auto"/>
        </w:rPr>
        <w:t>Source of Shares</w:t>
      </w:r>
      <w:r>
        <w:rPr>
          <w:rFonts w:ascii="Arial" w:cs="Arial" w:eastAsia="Arial" w:hAnsi="Arial"/>
          <w:sz w:val="16"/>
          <w:szCs w:val="16"/>
          <w:color w:val="auto"/>
        </w:rPr>
        <w:t>. Shares of Common Stock issued by the Company in settlement of Awards may be authorized and unissued shares, shares held in the treasury of the Company, shares purchased on the open market or by private purchase or a combination of the foregoing.</w:t>
      </w:r>
    </w:p>
    <w:p>
      <w:pPr>
        <w:spacing w:after="0" w:line="326"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92"/>
          </w:cols>
          <w:pgMar w:left="328" w:top="341" w:right="679" w:bottom="1440" w:gutter="0" w:footer="0" w:header="0"/>
        </w:sectPr>
      </w:pPr>
    </w:p>
    <w:bookmarkStart w:id="40" w:name="page41"/>
    <w:bookmarkEnd w:id="40"/>
    <w:p>
      <w:pPr>
        <w:jc w:val="both"/>
        <w:ind w:left="560" w:right="40" w:firstLine="195"/>
        <w:spacing w:after="0" w:line="270" w:lineRule="auto"/>
        <w:tabs>
          <w:tab w:leader="none" w:pos="1456" w:val="left"/>
        </w:tabs>
        <w:numPr>
          <w:ilvl w:val="0"/>
          <w:numId w:val="62"/>
        </w:numPr>
        <w:rPr>
          <w:rFonts w:ascii="Arial" w:cs="Arial" w:eastAsia="Arial" w:hAnsi="Arial"/>
          <w:sz w:val="17"/>
          <w:szCs w:val="17"/>
          <w:color w:val="010000"/>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Arial" w:cs="Arial" w:eastAsia="Arial" w:hAnsi="Arial"/>
          <w:sz w:val="17"/>
          <w:szCs w:val="17"/>
          <w:u w:val="single" w:color="auto"/>
          <w:color w:val="auto"/>
        </w:rPr>
        <w:t>Substitute Awards</w:t>
      </w:r>
      <w:r>
        <w:rPr>
          <w:rFonts w:ascii="Arial" w:cs="Arial" w:eastAsia="Arial" w:hAnsi="Arial"/>
          <w:sz w:val="17"/>
          <w:szCs w:val="17"/>
          <w:color w:val="auto"/>
        </w:rPr>
        <w:t xml:space="preserve">”). Substitute Awards shall not be counted against the Plan Share Reserve; </w:t>
      </w:r>
      <w:r>
        <w:rPr>
          <w:rFonts w:ascii="Arial" w:cs="Arial" w:eastAsia="Arial" w:hAnsi="Arial"/>
          <w:sz w:val="17"/>
          <w:szCs w:val="17"/>
          <w:i w:val="1"/>
          <w:iCs w:val="1"/>
          <w:color w:val="auto"/>
        </w:rPr>
        <w:t>provided</w:t>
      </w:r>
      <w:r>
        <w:rPr>
          <w:rFonts w:ascii="Arial" w:cs="Arial" w:eastAsia="Arial" w:hAnsi="Arial"/>
          <w:sz w:val="17"/>
          <w:szCs w:val="17"/>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180" w:lineRule="exact"/>
        <w:rPr>
          <w:rFonts w:ascii="Arial" w:cs="Arial" w:eastAsia="Arial" w:hAnsi="Arial"/>
          <w:sz w:val="17"/>
          <w:szCs w:val="17"/>
          <w:color w:val="010000"/>
        </w:rPr>
      </w:pPr>
    </w:p>
    <w:p>
      <w:pPr>
        <w:jc w:val="both"/>
        <w:ind w:left="560" w:right="40" w:firstLine="195"/>
        <w:spacing w:after="0" w:line="263" w:lineRule="auto"/>
        <w:tabs>
          <w:tab w:leader="none" w:pos="132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Limits and Assumption Date</w:t>
      </w:r>
      <w:r>
        <w:rPr>
          <w:rFonts w:ascii="Arial" w:cs="Arial" w:eastAsia="Arial" w:hAnsi="Arial"/>
          <w:sz w:val="18"/>
          <w:szCs w:val="18"/>
          <w:color w:val="auto"/>
        </w:rPr>
        <w:t>. In all cases with respect to each of the foregoing limits in Sections 5(b) and 5(c) above the specified limits or values will be reduced by the amount of any PRA Health Sciences Inc. common stock that was issued in settlement of the respective outstanding awards under the Plan prior to the Assumption Date.</w:t>
      </w:r>
    </w:p>
    <w:p>
      <w:pPr>
        <w:spacing w:after="0" w:line="180" w:lineRule="exact"/>
        <w:rPr>
          <w:sz w:val="20"/>
          <w:szCs w:val="20"/>
          <w:color w:val="auto"/>
        </w:rPr>
      </w:pPr>
    </w:p>
    <w:p>
      <w:pPr>
        <w:ind w:left="560" w:hanging="552"/>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Participation in the Plan shall be limited to Eligible Persons.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b w:val="1"/>
          <w:bCs w:val="1"/>
          <w:color w:val="auto"/>
        </w:rPr>
        <w:t>Options</w:t>
      </w:r>
      <w:r>
        <w:rPr>
          <w:rFonts w:ascii="Arial" w:cs="Arial" w:eastAsia="Arial" w:hAnsi="Arial"/>
          <w:sz w:val="16"/>
          <w:szCs w:val="16"/>
          <w:color w:val="auto"/>
        </w:rPr>
        <w:t>.</w:t>
      </w:r>
    </w:p>
    <w:p>
      <w:pPr>
        <w:spacing w:after="0" w:line="229" w:lineRule="exact"/>
        <w:rPr>
          <w:rFonts w:ascii="Arial" w:cs="Arial" w:eastAsia="Arial" w:hAnsi="Arial"/>
          <w:sz w:val="18"/>
          <w:szCs w:val="18"/>
          <w:color w:val="auto"/>
        </w:rPr>
      </w:pPr>
    </w:p>
    <w:p>
      <w:pPr>
        <w:jc w:val="both"/>
        <w:ind w:left="560" w:right="40" w:firstLine="195"/>
        <w:spacing w:after="0" w:line="286" w:lineRule="auto"/>
        <w:tabs>
          <w:tab w:leader="none" w:pos="1273" w:val="left"/>
        </w:tabs>
        <w:numPr>
          <w:ilvl w:val="1"/>
          <w:numId w:val="63"/>
        </w:numPr>
        <w:rPr>
          <w:rFonts w:ascii="Arial" w:cs="Arial" w:eastAsia="Arial" w:hAnsi="Arial"/>
          <w:sz w:val="16"/>
          <w:szCs w:val="16"/>
          <w:color w:val="010000"/>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73" w:lineRule="exact"/>
        <w:rPr>
          <w:rFonts w:ascii="Arial" w:cs="Arial" w:eastAsia="Arial" w:hAnsi="Arial"/>
          <w:sz w:val="16"/>
          <w:szCs w:val="16"/>
          <w:color w:val="010000"/>
        </w:rPr>
      </w:pPr>
    </w:p>
    <w:p>
      <w:pPr>
        <w:jc w:val="both"/>
        <w:ind w:left="560" w:right="40" w:firstLine="195"/>
        <w:spacing w:after="0" w:line="257" w:lineRule="auto"/>
        <w:tabs>
          <w:tab w:leader="none" w:pos="1418" w:val="left"/>
        </w:tabs>
        <w:numPr>
          <w:ilvl w:val="1"/>
          <w:numId w:val="63"/>
        </w:numPr>
        <w:rPr>
          <w:rFonts w:ascii="Arial" w:cs="Arial" w:eastAsia="Arial" w:hAnsi="Arial"/>
          <w:sz w:val="18"/>
          <w:szCs w:val="18"/>
          <w:color w:val="010000"/>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Except as otherwise provided by the Committee in the case of Substitute Awards, the exercise price (“</w:t>
      </w: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xml:space="preserve">”) per share of Common Stock for each Option shall not be less than 100% of the Grant Date Fair Market Value of such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an Incentive Stock Option granted to an employee who, at the time of the grant of such Option,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more than 10% of the voting power of all classes of stock of any member of the Company Group, the Exercise Price per share shall not be less than 110% of the Grant Date Fair Market Value per share.</w:t>
      </w:r>
    </w:p>
    <w:p>
      <w:pPr>
        <w:spacing w:after="0" w:line="187" w:lineRule="exact"/>
        <w:rPr>
          <w:rFonts w:ascii="Arial" w:cs="Arial" w:eastAsia="Arial" w:hAnsi="Arial"/>
          <w:sz w:val="18"/>
          <w:szCs w:val="18"/>
          <w:color w:val="010000"/>
        </w:rPr>
      </w:pPr>
    </w:p>
    <w:p>
      <w:pPr>
        <w:ind w:left="1260" w:hanging="505"/>
        <w:spacing w:after="0"/>
        <w:tabs>
          <w:tab w:leader="none" w:pos="1260" w:val="left"/>
        </w:tabs>
        <w:numPr>
          <w:ilvl w:val="1"/>
          <w:numId w:val="63"/>
        </w:numPr>
        <w:rPr>
          <w:rFonts w:ascii="Arial" w:cs="Arial" w:eastAsia="Arial" w:hAnsi="Arial"/>
          <w:sz w:val="18"/>
          <w:szCs w:val="18"/>
          <w:color w:val="010000"/>
        </w:rPr>
      </w:pPr>
      <w:r>
        <w:rPr>
          <w:rFonts w:ascii="Arial" w:cs="Arial" w:eastAsia="Arial" w:hAnsi="Arial"/>
          <w:sz w:val="18"/>
          <w:szCs w:val="18"/>
          <w:u w:val="single" w:color="auto"/>
          <w:color w:val="auto"/>
        </w:rPr>
        <w:t>Vesting and Expiration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80" w:firstLine="642"/>
        <w:spacing w:after="0" w:line="277" w:lineRule="auto"/>
        <w:tabs>
          <w:tab w:leader="none" w:pos="1893" w:val="left"/>
        </w:tabs>
        <w:numPr>
          <w:ilvl w:val="2"/>
          <w:numId w:val="63"/>
        </w:numPr>
        <w:rPr>
          <w:rFonts w:ascii="Arial" w:cs="Arial" w:eastAsia="Arial" w:hAnsi="Arial"/>
          <w:sz w:val="18"/>
          <w:szCs w:val="18"/>
          <w:color w:val="010000"/>
        </w:rPr>
      </w:pPr>
      <w:r>
        <w:rPr>
          <w:rFonts w:ascii="Arial" w:cs="Arial" w:eastAsia="Arial" w:hAnsi="Arial"/>
          <w:sz w:val="18"/>
          <w:szCs w:val="18"/>
          <w:color w:val="auto"/>
        </w:rPr>
        <w:t>Subject to the Minimum Vesting Condition, Options shall vest and become exercisable in such manner and on such date or dates or upon such event or events as determined by the Committee.</w:t>
      </w:r>
    </w:p>
    <w:p>
      <w:pPr>
        <w:spacing w:after="0" w:line="37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41" w:right="639" w:bottom="1440" w:gutter="0" w:footer="0" w:header="0"/>
        </w:sectPr>
      </w:pPr>
    </w:p>
    <w:bookmarkStart w:id="41" w:name="page42"/>
    <w:bookmarkEnd w:id="41"/>
    <w:p>
      <w:pPr>
        <w:jc w:val="both"/>
        <w:ind w:left="120" w:firstLine="642"/>
        <w:spacing w:after="0" w:line="254" w:lineRule="auto"/>
        <w:tabs>
          <w:tab w:leader="none" w:pos="1410"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Options shall expire upon a date determined by the Committee, not to exceed ten (10) years from the Date of Grant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Option Period (other than in the case of an Incentive Stock Option) would expire at a time when trading in the shares of Common Stock is prohibited by the Company’s securities trading policy (or Company-imposed “blackout period”), then the Option Period shall be automatically extended until the thirtieth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10% of the voting power of all classes of stock of any member of the Company Group.</w:t>
      </w:r>
    </w:p>
    <w:p>
      <w:pPr>
        <w:spacing w:after="0" w:line="194" w:lineRule="exact"/>
        <w:rPr>
          <w:rFonts w:ascii="Arial" w:cs="Arial" w:eastAsia="Arial" w:hAnsi="Arial"/>
          <w:sz w:val="18"/>
          <w:szCs w:val="18"/>
          <w:color w:val="010000"/>
        </w:rPr>
      </w:pPr>
    </w:p>
    <w:p>
      <w:pPr>
        <w:jc w:val="both"/>
        <w:ind w:left="120" w:firstLine="642"/>
        <w:spacing w:after="0" w:line="272" w:lineRule="auto"/>
        <w:tabs>
          <w:tab w:leader="none" w:pos="1582" w:val="left"/>
        </w:tabs>
        <w:numPr>
          <w:ilvl w:val="1"/>
          <w:numId w:val="64"/>
        </w:numPr>
        <w:rPr>
          <w:rFonts w:ascii="Arial" w:cs="Arial" w:eastAsia="Arial" w:hAnsi="Arial"/>
          <w:sz w:val="17"/>
          <w:szCs w:val="17"/>
          <w:color w:val="010000"/>
        </w:rPr>
      </w:pPr>
      <w:r>
        <w:rPr>
          <w:rFonts w:ascii="Arial" w:cs="Arial" w:eastAsia="Arial" w:hAnsi="Arial"/>
          <w:sz w:val="17"/>
          <w:szCs w:val="17"/>
          <w:color w:val="auto"/>
        </w:rPr>
        <w:t>Unless otherwise provided by the Committee, whether in an Award Agreement or otherwise,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ninety (90) days thereafter (but in no event beyond the expiration of the Option Period).</w:t>
      </w:r>
    </w:p>
    <w:p>
      <w:pPr>
        <w:spacing w:after="0" w:line="177" w:lineRule="exact"/>
        <w:rPr>
          <w:rFonts w:ascii="Arial" w:cs="Arial" w:eastAsia="Arial" w:hAnsi="Arial"/>
          <w:sz w:val="17"/>
          <w:szCs w:val="17"/>
          <w:color w:val="010000"/>
        </w:rPr>
      </w:pPr>
    </w:p>
    <w:p>
      <w:pPr>
        <w:jc w:val="both"/>
        <w:ind w:right="40" w:firstLine="195"/>
        <w:spacing w:after="0" w:line="285" w:lineRule="auto"/>
        <w:tabs>
          <w:tab w:leader="none" w:pos="750" w:val="left"/>
        </w:tabs>
        <w:numPr>
          <w:ilvl w:val="0"/>
          <w:numId w:val="65"/>
        </w:numPr>
        <w:rPr>
          <w:rFonts w:ascii="Arial" w:cs="Arial" w:eastAsia="Arial" w:hAnsi="Arial"/>
          <w:sz w:val="16"/>
          <w:szCs w:val="16"/>
          <w:color w:val="010000"/>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Subject to applicable law,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Arial" w:cs="Arial" w:eastAsia="Arial" w:hAnsi="Arial"/>
          <w:sz w:val="16"/>
          <w:szCs w:val="16"/>
          <w:i w:val="1"/>
          <w:iCs w:val="1"/>
          <w:color w:val="auto"/>
        </w:rPr>
        <w:t>provided</w:t>
      </w:r>
      <w:r>
        <w:rPr>
          <w:rFonts w:ascii="Arial" w:cs="Arial" w:eastAsia="Arial" w:hAnsi="Arial"/>
          <w:sz w:val="16"/>
          <w:szCs w:val="16"/>
          <w:color w:val="auto"/>
        </w:rPr>
        <w:t>,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(ii) by such other method as the Committee may permit, in its sole discretion, including, without limitation (A) in other property having a fair market value on the date of exercise equal to the Exercise Price; (B)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Any fractional shares of Common Stock shall be settled in cash.</w:t>
      </w:r>
    </w:p>
    <w:p>
      <w:pPr>
        <w:spacing w:after="0" w:line="173" w:lineRule="exact"/>
        <w:rPr>
          <w:rFonts w:ascii="Arial" w:cs="Arial" w:eastAsia="Arial" w:hAnsi="Arial"/>
          <w:sz w:val="16"/>
          <w:szCs w:val="16"/>
          <w:color w:val="010000"/>
        </w:rPr>
      </w:pPr>
    </w:p>
    <w:p>
      <w:pPr>
        <w:jc w:val="both"/>
        <w:ind w:right="40" w:firstLine="195"/>
        <w:spacing w:after="0" w:line="290" w:lineRule="auto"/>
        <w:tabs>
          <w:tab w:leader="none" w:pos="700" w:val="left"/>
        </w:tabs>
        <w:numPr>
          <w:ilvl w:val="0"/>
          <w:numId w:val="65"/>
        </w:numPr>
        <w:rPr>
          <w:rFonts w:ascii="Arial" w:cs="Arial" w:eastAsia="Arial" w:hAnsi="Arial"/>
          <w:sz w:val="16"/>
          <w:szCs w:val="16"/>
          <w:color w:val="010000"/>
        </w:rPr>
      </w:pPr>
      <w:r>
        <w:rPr>
          <w:rFonts w:ascii="Arial" w:cs="Arial" w:eastAsia="Arial" w:hAnsi="Arial"/>
          <w:sz w:val="16"/>
          <w:szCs w:val="16"/>
          <w:u w:val="single" w:color="auto"/>
          <w:color w:val="auto"/>
        </w:rPr>
        <w:t>Notification upon Disqualifying Disposition of an Incentive Stock Option</w:t>
      </w:r>
      <w:r>
        <w:rPr>
          <w:rFonts w:ascii="Arial" w:cs="Arial" w:eastAsia="Arial" w:hAnsi="Arial"/>
          <w:sz w:val="16"/>
          <w:szCs w:val="16"/>
          <w:color w:val="auto"/>
        </w:rPr>
        <w:t>. Each Participant awarded an Incentive Stock Option under the Plan shall notify the Company in writing immediately after the date the Participant makes a disqualifying disposition of any Common Stock acquired pursuant to the exercise of such Incentive Stock Option. A disqualifying disposition is any disposition (including, without limitation, any sale) of such Common Stock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36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42" w:name="page43"/>
    <w:bookmarkEnd w:id="42"/>
    <w:p>
      <w:pPr>
        <w:jc w:val="both"/>
        <w:ind w:left="552" w:right="40" w:firstLine="195"/>
        <w:spacing w:after="0" w:line="279" w:lineRule="auto"/>
        <w:tabs>
          <w:tab w:leader="none" w:pos="1299" w:val="left"/>
        </w:tabs>
        <w:numPr>
          <w:ilvl w:val="0"/>
          <w:numId w:val="66"/>
        </w:numPr>
        <w:rPr>
          <w:rFonts w:ascii="Arial" w:cs="Arial" w:eastAsia="Arial" w:hAnsi="Arial"/>
          <w:sz w:val="17"/>
          <w:szCs w:val="17"/>
          <w:color w:val="010000"/>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67" w:lineRule="exact"/>
        <w:rPr>
          <w:sz w:val="20"/>
          <w:szCs w:val="20"/>
          <w:color w:val="auto"/>
        </w:rPr>
      </w:pPr>
    </w:p>
    <w:p>
      <w:pPr>
        <w:ind w:left="552" w:hanging="552"/>
        <w:spacing w:after="0"/>
        <w:tabs>
          <w:tab w:leader="none" w:pos="552"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right="60" w:firstLine="195"/>
        <w:spacing w:after="0" w:line="263" w:lineRule="auto"/>
        <w:tabs>
          <w:tab w:leader="none" w:pos="1360" w:val="left"/>
        </w:tabs>
        <w:numPr>
          <w:ilvl w:val="1"/>
          <w:numId w:val="67"/>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grant of Restricted Stock and Restricted Stock Units shall be evidenced by an Award Agreement. Each Restricted Stock and Restricted Stock Unit so granted shall be subject to the conditions set forth in this Section 8, and to such other conditions not inconsistent with the Plan as may be reflected in the applicable Award Agreement.</w:t>
      </w:r>
    </w:p>
    <w:p>
      <w:pPr>
        <w:spacing w:after="0" w:line="183" w:lineRule="exact"/>
        <w:rPr>
          <w:rFonts w:ascii="Arial" w:cs="Arial" w:eastAsia="Arial" w:hAnsi="Arial"/>
          <w:sz w:val="18"/>
          <w:szCs w:val="18"/>
          <w:color w:val="010000"/>
        </w:rPr>
      </w:pPr>
    </w:p>
    <w:p>
      <w:pPr>
        <w:jc w:val="both"/>
        <w:ind w:left="552" w:right="40" w:firstLine="195"/>
        <w:spacing w:after="0" w:line="269" w:lineRule="auto"/>
        <w:tabs>
          <w:tab w:leader="none" w:pos="1262" w:val="left"/>
        </w:tabs>
        <w:numPr>
          <w:ilvl w:val="1"/>
          <w:numId w:val="67"/>
        </w:numPr>
        <w:rPr>
          <w:rFonts w:ascii="Arial" w:cs="Arial" w:eastAsia="Arial" w:hAnsi="Arial"/>
          <w:sz w:val="17"/>
          <w:szCs w:val="17"/>
          <w:color w:val="010000"/>
        </w:rPr>
      </w:pPr>
      <w:r>
        <w:rPr>
          <w:rFonts w:ascii="Arial" w:cs="Arial" w:eastAsia="Arial" w:hAnsi="Arial"/>
          <w:sz w:val="17"/>
          <w:szCs w:val="17"/>
          <w:u w:val="single" w:color="auto"/>
          <w:color w:val="auto"/>
        </w:rPr>
        <w:t>Stock Certificates and Book-Entry; Escrow or Similar Arrangement</w:t>
      </w:r>
      <w:r>
        <w:rPr>
          <w:rFonts w:ascii="Arial" w:cs="Arial" w:eastAsia="Arial" w:hAnsi="Arial"/>
          <w:sz w:val="17"/>
          <w:szCs w:val="17"/>
          <w:color w:val="auto"/>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Subject to the restrictions set forth in this Section 8, Section 13(c)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178" w:lineRule="exact"/>
        <w:rPr>
          <w:rFonts w:ascii="Arial" w:cs="Arial" w:eastAsia="Arial" w:hAnsi="Arial"/>
          <w:sz w:val="17"/>
          <w:szCs w:val="17"/>
          <w:color w:val="010000"/>
        </w:rPr>
      </w:pPr>
    </w:p>
    <w:p>
      <w:pPr>
        <w:ind w:left="552" w:right="40" w:firstLine="195"/>
        <w:spacing w:after="0" w:line="308" w:lineRule="auto"/>
        <w:tabs>
          <w:tab w:leader="none" w:pos="1387" w:val="left"/>
        </w:tabs>
        <w:numPr>
          <w:ilvl w:val="1"/>
          <w:numId w:val="67"/>
        </w:numPr>
        <w:rPr>
          <w:rFonts w:ascii="Arial" w:cs="Arial" w:eastAsia="Arial" w:hAnsi="Arial"/>
          <w:sz w:val="17"/>
          <w:szCs w:val="17"/>
          <w:color w:val="010000"/>
        </w:rPr>
      </w:pPr>
      <w:r>
        <w:rPr>
          <w:rFonts w:ascii="Arial" w:cs="Arial" w:eastAsia="Arial" w:hAnsi="Arial"/>
          <w:sz w:val="17"/>
          <w:szCs w:val="17"/>
          <w:u w:val="single" w:color="auto"/>
          <w:color w:val="auto"/>
        </w:rPr>
        <w:t>Vesting</w:t>
      </w:r>
      <w:r>
        <w:rPr>
          <w:rFonts w:ascii="Arial" w:cs="Arial" w:eastAsia="Arial" w:hAnsi="Arial"/>
          <w:sz w:val="17"/>
          <w:szCs w:val="17"/>
          <w:color w:val="auto"/>
        </w:rPr>
        <w:t>. Subject to the Minimum Vesting Condition, Restricted Stock and Restricted Stock Units shall vest, and any applicable Restricted Period shall lapse, in such manner and on such date or dates or upon such event or events as determined by the Committee.</w:t>
      </w:r>
    </w:p>
    <w:p>
      <w:pPr>
        <w:spacing w:after="0" w:line="146" w:lineRule="exact"/>
        <w:rPr>
          <w:rFonts w:ascii="Arial" w:cs="Arial" w:eastAsia="Arial" w:hAnsi="Arial"/>
          <w:sz w:val="17"/>
          <w:szCs w:val="17"/>
          <w:color w:val="010000"/>
        </w:rPr>
      </w:pPr>
    </w:p>
    <w:p>
      <w:pPr>
        <w:ind w:left="1272" w:hanging="525"/>
        <w:spacing w:after="0"/>
        <w:tabs>
          <w:tab w:leader="none" w:pos="1272" w:val="left"/>
        </w:tabs>
        <w:numPr>
          <w:ilvl w:val="1"/>
          <w:numId w:val="67"/>
        </w:numPr>
        <w:rPr>
          <w:rFonts w:ascii="Arial" w:cs="Arial" w:eastAsia="Arial" w:hAnsi="Arial"/>
          <w:sz w:val="18"/>
          <w:szCs w:val="18"/>
          <w:color w:val="010000"/>
        </w:rPr>
      </w:pPr>
      <w:r>
        <w:rPr>
          <w:rFonts w:ascii="Arial" w:cs="Arial" w:eastAsia="Arial" w:hAnsi="Arial"/>
          <w:sz w:val="18"/>
          <w:szCs w:val="18"/>
          <w:u w:val="single" w:color="auto"/>
          <w:color w:val="auto"/>
        </w:rPr>
        <w:t>Issuance of Restricted Stock and Settlement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72" w:firstLine="642"/>
        <w:spacing w:after="0" w:line="255" w:lineRule="auto"/>
        <w:tabs>
          <w:tab w:leader="none" w:pos="1899" w:val="left"/>
        </w:tabs>
        <w:numPr>
          <w:ilvl w:val="2"/>
          <w:numId w:val="67"/>
        </w:numPr>
        <w:rPr>
          <w:rFonts w:ascii="Arial" w:cs="Arial" w:eastAsia="Arial" w:hAnsi="Arial"/>
          <w:sz w:val="18"/>
          <w:szCs w:val="18"/>
          <w:color w:val="010000"/>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w:t>
      </w:r>
    </w:p>
    <w:p>
      <w:pPr>
        <w:spacing w:after="0" w:line="192" w:lineRule="exact"/>
        <w:rPr>
          <w:rFonts w:ascii="Arial" w:cs="Arial" w:eastAsia="Arial" w:hAnsi="Arial"/>
          <w:sz w:val="18"/>
          <w:szCs w:val="18"/>
          <w:color w:val="010000"/>
        </w:rPr>
      </w:pPr>
    </w:p>
    <w:p>
      <w:pPr>
        <w:jc w:val="both"/>
        <w:ind w:left="672" w:firstLine="642"/>
        <w:spacing w:after="0" w:line="289" w:lineRule="auto"/>
        <w:tabs>
          <w:tab w:leader="none" w:pos="1962" w:val="left"/>
        </w:tabs>
        <w:numPr>
          <w:ilvl w:val="2"/>
          <w:numId w:val="67"/>
        </w:numPr>
        <w:rPr>
          <w:rFonts w:ascii="Arial" w:cs="Arial" w:eastAsia="Arial" w:hAnsi="Arial"/>
          <w:sz w:val="16"/>
          <w:szCs w:val="16"/>
          <w:color w:val="010000"/>
        </w:rPr>
      </w:pPr>
      <w:r>
        <w:rPr>
          <w:rFonts w:ascii="Arial" w:cs="Arial" w:eastAsia="Arial" w:hAnsi="Arial"/>
          <w:sz w:val="16"/>
          <w:szCs w:val="16"/>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of Common Stock (or other securities or other property, as applicable) for each such outstanding Restricted Stock Unit;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spacing w:after="0" w:line="369"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43" w:name="page44"/>
    <w:bookmarkEnd w:id="43"/>
    <w:p>
      <w:pPr>
        <w:jc w:val="both"/>
        <w:ind w:left="560" w:right="340" w:firstLine="195"/>
        <w:spacing w:after="0" w:line="263" w:lineRule="auto"/>
        <w:tabs>
          <w:tab w:leader="none" w:pos="1354" w:val="left"/>
        </w:tabs>
        <w:numPr>
          <w:ilvl w:val="0"/>
          <w:numId w:val="68"/>
        </w:numPr>
        <w:rPr>
          <w:rFonts w:ascii="Arial" w:cs="Arial" w:eastAsia="Arial" w:hAnsi="Arial"/>
          <w:sz w:val="18"/>
          <w:szCs w:val="18"/>
          <w:color w:val="010000"/>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w:t>
      </w:r>
    </w:p>
    <w:p>
      <w:pPr>
        <w:spacing w:after="0" w:line="184" w:lineRule="exact"/>
        <w:rPr>
          <w:sz w:val="20"/>
          <w:szCs w:val="20"/>
          <w:color w:val="auto"/>
        </w:rPr>
      </w:pPr>
    </w:p>
    <w:p>
      <w:pPr>
        <w:jc w:val="both"/>
        <w:ind w:left="560" w:right="260"/>
        <w:spacing w:after="0" w:line="259" w:lineRule="auto"/>
        <w:rPr>
          <w:sz w:val="20"/>
          <w:szCs w:val="20"/>
          <w:color w:val="auto"/>
        </w:rPr>
      </w:pPr>
      <w:r>
        <w:rPr>
          <w:rFonts w:ascii="Arial" w:cs="Arial" w:eastAsia="Arial" w:hAnsi="Arial"/>
          <w:sz w:val="18"/>
          <w:szCs w:val="18"/>
          <w:color w:val="auto"/>
        </w:rPr>
        <w:t>TRANSFER OF THIS CERTIFICATE AND THE SHARES OF COMMON STOCK REPRESENTED HEREBY IS RESTRICTED PURSUANT TO THE TERMS OF THE PRA HEALTH SCIENCES, INC. 2018 SHARE INCENTIVE PLAN AND A RESTRICTED STOCK AWARD AGREEMENT BETWEEN PRA HEALTH SCIENCES, INC. AND PARTICIPANT. A COPY OF SUCH PLAN AND AWARD AGREEMENT IS ON FILE AT THE PRINCIPAL EXECUTIVE OFFICES OF PRA HEALTH SCIENCES, INC.</w:t>
      </w:r>
    </w:p>
    <w:p>
      <w:pPr>
        <w:spacing w:after="0" w:line="183" w:lineRule="exact"/>
        <w:rPr>
          <w:sz w:val="20"/>
          <w:szCs w:val="20"/>
          <w:color w:val="auto"/>
        </w:rPr>
      </w:pPr>
    </w:p>
    <w:p>
      <w:pPr>
        <w:jc w:val="both"/>
        <w:ind w:left="560" w:hanging="552"/>
        <w:spacing w:after="0" w:line="277"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Other Equity-Based Awards</w:t>
      </w:r>
      <w:r>
        <w:rPr>
          <w:rFonts w:ascii="Arial" w:cs="Arial" w:eastAsia="Arial" w:hAnsi="Arial"/>
          <w:sz w:val="17"/>
          <w:szCs w:val="17"/>
          <w:color w:val="auto"/>
        </w:rPr>
        <w:t>. The Committee may grant Other Equity-Based Awards under the Plan, denominated in shares of Common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based upon the value or otherwise related to the of shares of Common Stock, to Eligible Persons, alone or in tandem with other Awards, in such amounts and, subject to the Minimum Vesting Condition, dependent on such other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spacing w:after="0" w:line="168" w:lineRule="exact"/>
        <w:rPr>
          <w:sz w:val="20"/>
          <w:szCs w:val="20"/>
          <w:color w:val="auto"/>
        </w:rPr>
      </w:pPr>
    </w:p>
    <w:p>
      <w:pPr>
        <w:ind w:left="560" w:hanging="552"/>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Non-Employee Director Grants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560" w:right="340" w:firstLine="195"/>
        <w:spacing w:after="0" w:line="277" w:lineRule="auto"/>
        <w:tabs>
          <w:tab w:leader="none" w:pos="1314"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The Committee may, subject to Section 5(c) hereof, grant Awards to Non- Employee Directors (a “</w:t>
      </w:r>
      <w:r>
        <w:rPr>
          <w:rFonts w:ascii="Arial" w:cs="Arial" w:eastAsia="Arial" w:hAnsi="Arial"/>
          <w:sz w:val="18"/>
          <w:szCs w:val="18"/>
          <w:u w:val="single" w:color="auto"/>
          <w:color w:val="auto"/>
        </w:rPr>
        <w:t>Director Award</w:t>
      </w:r>
      <w:r>
        <w:rPr>
          <w:rFonts w:ascii="Arial" w:cs="Arial" w:eastAsia="Arial" w:hAnsi="Arial"/>
          <w:sz w:val="18"/>
          <w:szCs w:val="18"/>
          <w:color w:val="auto"/>
        </w:rPr>
        <w:t>”), subject to the terms of this Section 10.</w:t>
      </w:r>
    </w:p>
    <w:p>
      <w:pPr>
        <w:spacing w:after="0" w:line="170" w:lineRule="exact"/>
        <w:rPr>
          <w:rFonts w:ascii="Arial" w:cs="Arial" w:eastAsia="Arial" w:hAnsi="Arial"/>
          <w:sz w:val="18"/>
          <w:szCs w:val="18"/>
          <w:color w:val="010000"/>
        </w:rPr>
      </w:pPr>
    </w:p>
    <w:p>
      <w:pPr>
        <w:jc w:val="both"/>
        <w:ind w:left="560" w:right="340" w:firstLine="195"/>
        <w:spacing w:after="0" w:line="289" w:lineRule="auto"/>
        <w:tabs>
          <w:tab w:leader="none" w:pos="1297" w:val="left"/>
        </w:tabs>
        <w:numPr>
          <w:ilvl w:val="1"/>
          <w:numId w:val="70"/>
        </w:numPr>
        <w:rPr>
          <w:rFonts w:ascii="Arial" w:cs="Arial" w:eastAsia="Arial" w:hAnsi="Arial"/>
          <w:sz w:val="16"/>
          <w:szCs w:val="16"/>
          <w:color w:val="010000"/>
        </w:rPr>
      </w:pPr>
      <w:r>
        <w:rPr>
          <w:rFonts w:ascii="Arial" w:cs="Arial" w:eastAsia="Arial" w:hAnsi="Arial"/>
          <w:sz w:val="16"/>
          <w:szCs w:val="16"/>
          <w:color w:val="auto"/>
        </w:rPr>
        <w:t>The form of any Director Award, as well as the vesting and other applicable conditions of a Director Award, shall be determined by the Board prior to the applicable Date of Grant. Notwithstanding anything contained in the Plan to the contrary, in the event that a Non-Employee Director undergoes a Terminationon the date of a regularly scheduled annual meeting of the stockholders of the Company that is prior to the first anniversary of the Date of Grant of any Director Award as a result of such Non-Employee Director not being reelected for another term as a Non-Employee Director, the Director Award (or portion thereof) otherwise scheduled to vest on such first anniversary of the Date of Grant shall immediately vest upon such Termination, and such Director Award (or portion thereof) that vests as a result of this sentence shall count against the Minimum Vesting Condition Carve Out Amount (and to the extent that the number of shares of Common Stock subject to any such vesting would exceed the remaining Minimum Vesting Condition Carve Out Amount, vesting shall not occur with respect to any any such shares in excess of such Minimum Vesting Condition Carve Out Amount and shall be forfeited).</w:t>
      </w:r>
    </w:p>
    <w:p>
      <w:pPr>
        <w:spacing w:after="0" w:line="162" w:lineRule="exact"/>
        <w:rPr>
          <w:rFonts w:ascii="Arial" w:cs="Arial" w:eastAsia="Arial" w:hAnsi="Arial"/>
          <w:sz w:val="16"/>
          <w:szCs w:val="16"/>
          <w:color w:val="010000"/>
        </w:rPr>
      </w:pPr>
    </w:p>
    <w:p>
      <w:pPr>
        <w:ind w:left="560" w:hanging="552"/>
        <w:spacing w:after="0" w:line="282" w:lineRule="auto"/>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Changes in Capital Structure and Similar Events</w:t>
      </w:r>
      <w:r>
        <w:rPr>
          <w:rFonts w:ascii="Arial" w:cs="Arial" w:eastAsia="Arial" w:hAnsi="Arial"/>
          <w:sz w:val="18"/>
          <w:szCs w:val="18"/>
          <w:color w:val="auto"/>
        </w:rPr>
        <w:t>. Notwithstanding any other provision in this Plan to the contrary, the following provisions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all Awards granted hereunder</w:t>
      </w:r>
    </w:p>
    <w:p>
      <w:pPr>
        <w:spacing w:after="0" w:line="165" w:lineRule="exact"/>
        <w:rPr>
          <w:rFonts w:ascii="Arial" w:cs="Arial" w:eastAsia="Arial" w:hAnsi="Arial"/>
          <w:sz w:val="18"/>
          <w:szCs w:val="18"/>
          <w:color w:val="auto"/>
        </w:rPr>
      </w:pPr>
    </w:p>
    <w:p>
      <w:pPr>
        <w:ind w:left="1280" w:hanging="525"/>
        <w:spacing w:after="0"/>
        <w:tabs>
          <w:tab w:leader="none" w:pos="1280" w:val="left"/>
        </w:tabs>
        <w:numPr>
          <w:ilvl w:val="1"/>
          <w:numId w:val="70"/>
        </w:numPr>
        <w:rPr>
          <w:rFonts w:ascii="Arial" w:cs="Arial" w:eastAsia="Arial" w:hAnsi="Arial"/>
          <w:sz w:val="17"/>
          <w:szCs w:val="17"/>
          <w:color w:val="010000"/>
        </w:rPr>
      </w:pPr>
      <w:r>
        <w:rPr>
          <w:rFonts w:ascii="Arial" w:cs="Arial" w:eastAsia="Arial" w:hAnsi="Arial"/>
          <w:sz w:val="17"/>
          <w:szCs w:val="17"/>
          <w:u w:val="single" w:color="auto"/>
          <w:color w:val="auto"/>
        </w:rPr>
        <w:t>General</w:t>
      </w:r>
      <w:r>
        <w:rPr>
          <w:rFonts w:ascii="Arial" w:cs="Arial" w:eastAsia="Arial" w:hAnsi="Arial"/>
          <w:sz w:val="17"/>
          <w:szCs w:val="17"/>
          <w:color w:val="auto"/>
        </w:rPr>
        <w:t>. In the event of (i) any dividend (other than regular cash dividends) or other distribution (whether in the form of cash, shares</w:t>
      </w:r>
    </w:p>
    <w:p>
      <w:pPr>
        <w:spacing w:after="0" w:line="35" w:lineRule="exact"/>
        <w:rPr>
          <w:sz w:val="20"/>
          <w:szCs w:val="20"/>
          <w:color w:val="auto"/>
        </w:rPr>
      </w:pPr>
    </w:p>
    <w:p>
      <w:pPr>
        <w:jc w:val="both"/>
        <w:ind w:left="560" w:right="340"/>
        <w:spacing w:after="0" w:line="284" w:lineRule="auto"/>
        <w:rPr>
          <w:sz w:val="20"/>
          <w:szCs w:val="20"/>
          <w:color w:val="auto"/>
        </w:rPr>
      </w:pPr>
      <w:r>
        <w:rPr>
          <w:rFonts w:ascii="Arial" w:cs="Arial" w:eastAsia="Arial" w:hAnsi="Arial"/>
          <w:sz w:val="16"/>
          <w:szCs w:val="16"/>
          <w:color w:val="auto"/>
        </w:rPr>
        <w:t>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Arial" w:cs="Arial" w:eastAsia="Arial" w:hAnsi="Arial"/>
          <w:sz w:val="16"/>
          <w:szCs w:val="16"/>
          <w:u w:val="single" w:color="auto"/>
          <w:color w:val="auto"/>
        </w:rPr>
        <w:t>Adjustment Event</w:t>
      </w:r>
      <w:r>
        <w:rPr>
          <w:rFonts w:ascii="Arial" w:cs="Arial" w:eastAsia="Arial" w:hAnsi="Arial"/>
          <w:sz w:val="16"/>
          <w:szCs w:val="16"/>
          <w:color w:val="auto"/>
        </w:rPr>
        <w:t xml:space="preserve">”), the Committee shall, in respect of any such Adjustment Event, make such proportionate substitution or adjustment, if any, as it deems equitable, to any or all of (A) the Plan Share Reserve, or any other limit applicable under the Plan with respect to the number of Awards which may be granted hereunder; (B) the number of shares of Common Stock or other securities of the Company (or number and kind of other securities or other property) which may be issued in respect of Awards or with respect to which Awards may be granted under the Plan or any Sub- Plan; and (C) the terms of any outstanding Award, including, without limitation, (I) the number of shares of Common Stock or other securities of the Company (or number and kind of other securities or other property) subject to outstanding Awards or to which outstanding Awards relate; (II) the Exercise Price or SAR Base Price with respect to any Option or SAR, as applicable or any amount payable as a condition of issuance of shares of Common Stock (in the case of any other Award) (provided that in no event shall the per share price of an award be reduced to an amount that is lower than the nominal value of a Share); or (III) any applicable performance measures;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right="40" w:firstLine="195"/>
        <w:spacing w:after="0" w:line="263" w:lineRule="auto"/>
        <w:tabs>
          <w:tab w:leader="none" w:pos="831" w:val="left"/>
        </w:tabs>
        <w:numPr>
          <w:ilvl w:val="0"/>
          <w:numId w:val="71"/>
        </w:numPr>
        <w:rPr>
          <w:rFonts w:ascii="Arial" w:cs="Arial" w:eastAsia="Arial" w:hAnsi="Arial"/>
          <w:sz w:val="18"/>
          <w:szCs w:val="18"/>
          <w:color w:val="010000"/>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without limiting the foregoing and unless otherwise determined by the Committee (which determination may not include any accelerated vesting, except as provided in this Section 11(b)), in its sole discretion, the following provisions shall apply.</w:t>
      </w:r>
    </w:p>
    <w:p>
      <w:pPr>
        <w:spacing w:after="0" w:line="183" w:lineRule="exact"/>
        <w:rPr>
          <w:rFonts w:ascii="Arial" w:cs="Arial" w:eastAsia="Arial" w:hAnsi="Arial"/>
          <w:sz w:val="18"/>
          <w:szCs w:val="18"/>
          <w:color w:val="010000"/>
        </w:rPr>
      </w:pPr>
    </w:p>
    <w:p>
      <w:pPr>
        <w:jc w:val="both"/>
        <w:ind w:left="120" w:firstLine="642"/>
        <w:spacing w:after="0" w:line="272" w:lineRule="auto"/>
        <w:tabs>
          <w:tab w:leader="none" w:pos="1266" w:val="left"/>
        </w:tabs>
        <w:numPr>
          <w:ilvl w:val="1"/>
          <w:numId w:val="71"/>
        </w:numPr>
        <w:rPr>
          <w:rFonts w:ascii="Arial" w:cs="Arial" w:eastAsia="Arial" w:hAnsi="Arial"/>
          <w:sz w:val="17"/>
          <w:szCs w:val="17"/>
          <w:color w:val="010000"/>
        </w:rPr>
      </w:pPr>
      <w:r>
        <w:rPr>
          <w:rFonts w:ascii="Arial" w:cs="Arial" w:eastAsia="Arial" w:hAnsi="Arial"/>
          <w:sz w:val="17"/>
          <w:szCs w:val="17"/>
          <w:u w:val="single" w:color="auto"/>
          <w:color w:val="auto"/>
        </w:rPr>
        <w:t>Outstanding Awards with Time-Based Vesting</w:t>
      </w:r>
      <w:r>
        <w:rPr>
          <w:rFonts w:ascii="Arial" w:cs="Arial" w:eastAsia="Arial" w:hAnsi="Arial"/>
          <w:sz w:val="17"/>
          <w:szCs w:val="17"/>
          <w:color w:val="auto"/>
        </w:rPr>
        <w:t>. All outstanding Awards subject to vesting based on the Participant’s continued service over a period of time (“</w:t>
      </w:r>
      <w:r>
        <w:rPr>
          <w:rFonts w:ascii="Arial" w:cs="Arial" w:eastAsia="Arial" w:hAnsi="Arial"/>
          <w:sz w:val="17"/>
          <w:szCs w:val="17"/>
          <w:u w:val="single" w:color="auto"/>
          <w:color w:val="auto"/>
        </w:rPr>
        <w:t>Time-Based Awards</w:t>
      </w:r>
      <w:r>
        <w:rPr>
          <w:rFonts w:ascii="Arial" w:cs="Arial" w:eastAsia="Arial" w:hAnsi="Arial"/>
          <w:sz w:val="17"/>
          <w:szCs w:val="17"/>
          <w:color w:val="auto"/>
        </w:rPr>
        <w:t>”) shall be assumed by the surviving or acquiring entity, or its Affiliates (the “</w:t>
      </w:r>
      <w:r>
        <w:rPr>
          <w:rFonts w:ascii="Arial" w:cs="Arial" w:eastAsia="Arial" w:hAnsi="Arial"/>
          <w:sz w:val="17"/>
          <w:szCs w:val="17"/>
          <w:u w:val="single" w:color="auto"/>
          <w:color w:val="auto"/>
        </w:rPr>
        <w:t>Continuing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Entity</w:t>
      </w:r>
      <w:r>
        <w:rPr>
          <w:rFonts w:ascii="Arial" w:cs="Arial" w:eastAsia="Arial" w:hAnsi="Arial"/>
          <w:sz w:val="17"/>
          <w:szCs w:val="17"/>
          <w:color w:val="auto"/>
        </w:rPr>
        <w:t>”), or substituted for new cash or equity-based awards of such Continuing Entity, as provided in the merger or acquisition agreement, or if no such assumption or substitution is provided for, all outstanding Time-Based Awards shall become fully vested and, to the extent applicable, exercisable and all forfeiture restrictions on such Awards shall lapse. To the extent that any Time-Based Awards are to be assumed or substituted, the Committee may provide that the vesting of any unvested portion of any one or more of such Awards will automatically accelerate upon a Participant’s Qualifying Termination.</w:t>
      </w:r>
    </w:p>
    <w:p>
      <w:pPr>
        <w:spacing w:after="0" w:line="177" w:lineRule="exact"/>
        <w:rPr>
          <w:rFonts w:ascii="Arial" w:cs="Arial" w:eastAsia="Arial" w:hAnsi="Arial"/>
          <w:sz w:val="17"/>
          <w:szCs w:val="17"/>
          <w:color w:val="010000"/>
        </w:rPr>
      </w:pPr>
    </w:p>
    <w:p>
      <w:pPr>
        <w:jc w:val="both"/>
        <w:ind w:left="120" w:firstLine="642"/>
        <w:spacing w:after="0" w:line="269" w:lineRule="auto"/>
        <w:tabs>
          <w:tab w:leader="none" w:pos="1451" w:val="left"/>
        </w:tabs>
        <w:numPr>
          <w:ilvl w:val="1"/>
          <w:numId w:val="71"/>
        </w:numPr>
        <w:rPr>
          <w:rFonts w:ascii="Arial" w:cs="Arial" w:eastAsia="Arial" w:hAnsi="Arial"/>
          <w:sz w:val="17"/>
          <w:szCs w:val="17"/>
          <w:color w:val="010000"/>
        </w:rPr>
      </w:pPr>
      <w:r>
        <w:rPr>
          <w:rFonts w:ascii="Arial" w:cs="Arial" w:eastAsia="Arial" w:hAnsi="Arial"/>
          <w:sz w:val="17"/>
          <w:szCs w:val="17"/>
          <w:u w:val="single" w:color="auto"/>
          <w:color w:val="auto"/>
        </w:rPr>
        <w:t>Outstanding Awards with Performance-Based Vesting</w:t>
      </w:r>
      <w:r>
        <w:rPr>
          <w:rFonts w:ascii="Arial" w:cs="Arial" w:eastAsia="Arial" w:hAnsi="Arial"/>
          <w:sz w:val="17"/>
          <w:szCs w:val="17"/>
          <w:color w:val="auto"/>
        </w:rPr>
        <w:t>. All outstanding unvested Awards subject to vesting based on the achievement of performance criteria (“</w:t>
      </w:r>
      <w:r>
        <w:rPr>
          <w:rFonts w:ascii="Arial" w:cs="Arial" w:eastAsia="Arial" w:hAnsi="Arial"/>
          <w:sz w:val="17"/>
          <w:szCs w:val="17"/>
          <w:u w:val="single" w:color="auto"/>
          <w:color w:val="auto"/>
        </w:rPr>
        <w:t>Performance-Based Awards</w:t>
      </w:r>
      <w:r>
        <w:rPr>
          <w:rFonts w:ascii="Arial" w:cs="Arial" w:eastAsia="Arial" w:hAnsi="Arial"/>
          <w:sz w:val="17"/>
          <w:szCs w:val="17"/>
          <w:color w:val="auto"/>
        </w:rPr>
        <w:t>”) shall vest as of the effective date of the Change in Control (A) at the target level, pro-rated to reflect the portion of the performance period that has elapsed as of the effective date of the Change in Control or (B) at the actual achievement level, based on the actual achievement of such performance criteria, as of the effective date of the Change in Control or the most recent practicable date immediately prior to the effective date of the Change in Control on which the performance criteria may be measured prior to such effective date, as reasonably determined by the Committee in good faith, including any reasonable assumptions, adjustments or projections related to such performance criteria. The level of vesting for each outstanding Performance-Based Award on a Change in Control as between clause (A) or (B) above shall be the level that provides the greatest value under each Performance-Based Award, which may be different with respect to each outstanding Performance-Based Award. Any unvested portion of any outstanding Performance- Based Award that does not become vested in connection with a Change in Control in accordance with this Section 11(b)(ii) shall terminate and cease to be outstanding as of the effective date of the Change in Control, without payment of any consideration to the Participant.</w:t>
      </w:r>
    </w:p>
    <w:p>
      <w:pPr>
        <w:spacing w:after="0" w:line="178" w:lineRule="exact"/>
        <w:rPr>
          <w:rFonts w:ascii="Arial" w:cs="Arial" w:eastAsia="Arial" w:hAnsi="Arial"/>
          <w:sz w:val="17"/>
          <w:szCs w:val="17"/>
          <w:color w:val="010000"/>
        </w:rPr>
      </w:pPr>
    </w:p>
    <w:p>
      <w:pPr>
        <w:jc w:val="both"/>
        <w:ind w:left="120" w:firstLine="642"/>
        <w:spacing w:after="0" w:line="285" w:lineRule="auto"/>
        <w:tabs>
          <w:tab w:leader="none" w:pos="1393" w:val="left"/>
        </w:tabs>
        <w:numPr>
          <w:ilvl w:val="1"/>
          <w:numId w:val="71"/>
        </w:numPr>
        <w:rPr>
          <w:rFonts w:ascii="Arial" w:cs="Arial" w:eastAsia="Arial" w:hAnsi="Arial"/>
          <w:sz w:val="16"/>
          <w:szCs w:val="16"/>
          <w:color w:val="010000"/>
        </w:rPr>
      </w:pPr>
      <w:r>
        <w:rPr>
          <w:rFonts w:ascii="Arial" w:cs="Arial" w:eastAsia="Arial" w:hAnsi="Arial"/>
          <w:sz w:val="16"/>
          <w:szCs w:val="16"/>
          <w:u w:val="single" w:color="auto"/>
          <w:color w:val="auto"/>
        </w:rPr>
        <w:t>Cancellation of Awards</w:t>
      </w:r>
      <w:r>
        <w:rPr>
          <w:rFonts w:ascii="Arial" w:cs="Arial" w:eastAsia="Arial" w:hAnsi="Arial"/>
          <w:sz w:val="16"/>
          <w:szCs w:val="16"/>
          <w:color w:val="auto"/>
        </w:rPr>
        <w:t>. In connection with a Change in Control, the Committee may, in its sole discretion, but shall not be obligated to, provide for cancellation of all or any portion of any one or more outstanding Awards and payment to the holders of such Awards, with respect to the portion of such Awards that are vested as of such cancellation (including, without limitation, any Awards that would vest in accordance with the terms of such Award or in accordance with this Section 11(b)(i) or (ii) hereof, as applicable), the value of the vested portion of such Awards, if any, as determined by the Committee (which value, if applicable, may be based upon the per- share consideration received or to be received by the holders of the shares of Common Stock upon the occurrence of the Change in Control (the “</w:t>
      </w:r>
      <w:r>
        <w:rPr>
          <w:rFonts w:ascii="Arial" w:cs="Arial" w:eastAsia="Arial" w:hAnsi="Arial"/>
          <w:sz w:val="16"/>
          <w:szCs w:val="16"/>
          <w:u w:val="single" w:color="auto"/>
          <w:color w:val="auto"/>
        </w:rPr>
        <w:t>Change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 Consideration</w:t>
      </w:r>
      <w:r>
        <w:rPr>
          <w:rFonts w:ascii="Arial" w:cs="Arial" w:eastAsia="Arial" w:hAnsi="Arial"/>
          <w:sz w:val="16"/>
          <w:szCs w:val="16"/>
          <w:color w:val="auto"/>
        </w:rPr>
        <w:t>”), including, without limitation, in the case of an outstanding Option or SAR, a cash payment in an amount equal to the excess, if any, of the Change in Control Consideration over the per-share Exercise Price or SAR Base Price, as applicable, of such Option or SAR, multiplied by the number of shares of Common Stock underlying the vested portion of each such Option or SAR. Payments to holders with respect to the vested portion of such cancelled Awards pursuant to this Section 11(b)(iii) shall be made in cash or, in the sole discretion of the Committee, in such other form of consideration necessary for such holders to receive the property, cash, securities, and/or other consideration (or any combination thereof) as such holders would have been entitled to receive upon the occurrence of the Change in Control as if such holders had been, immediately prior to such Change in Control, the holder of the number of shares of Common Stock covered by the vested portion of such cancelled Awards (less any applicable Exercise or SAR Base Price). The unvested portion of any outstanding Award, and the vested portion of any Option or SAR having an Exercise or Strike Price equal to, or in excess of, the Change in Control Consideration, may be canceled and terminated without any payment or consideration therefor.</w:t>
      </w:r>
    </w:p>
    <w:p>
      <w:pPr>
        <w:spacing w:after="0" w:line="37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45" w:name="page46"/>
    <w:bookmarkEnd w:id="45"/>
    <w:p>
      <w:pPr>
        <w:jc w:val="both"/>
        <w:ind w:left="572"/>
        <w:spacing w:after="0" w:line="254" w:lineRule="auto"/>
        <w:rPr>
          <w:sz w:val="20"/>
          <w:szCs w:val="20"/>
          <w:color w:val="auto"/>
        </w:rPr>
      </w:pPr>
      <w:r>
        <w:rPr>
          <w:rFonts w:ascii="Arial" w:cs="Arial" w:eastAsia="Arial" w:hAnsi="Arial"/>
          <w:sz w:val="18"/>
          <w:szCs w:val="18"/>
          <w:color w:val="auto"/>
        </w:rPr>
        <w:t>For purposes of Section 11(b)(i) above, the assumption or substitution of an Award may include conversion of the shares of Common Stock underlying such Award into shares of the Continuing Entity, or, subject to any limitations or reductions as may be necessary to comply with Section 409A of the Code, into cash, property or other securities having an equivalent value as the Award, which conversion shall not affect any continued vesting requirements of the Award (other than as provided in clause (i) above upon a Participant’s Qualifying Termination). For the avoidance of doubt, any such substitution of an Award shall not provide for the acceleration of any vesting requirements of the Award (other than as provided in clause (i) above upon a Participant’s Termination) and no Awards shall vest solely as a result of such assumption or substitution.</w:t>
      </w:r>
    </w:p>
    <w:p>
      <w:pPr>
        <w:spacing w:after="0" w:line="195" w:lineRule="exact"/>
        <w:rPr>
          <w:sz w:val="20"/>
          <w:szCs w:val="20"/>
          <w:color w:val="auto"/>
        </w:rPr>
      </w:pPr>
    </w:p>
    <w:p>
      <w:pPr>
        <w:jc w:val="both"/>
        <w:ind w:left="552" w:firstLine="195"/>
        <w:spacing w:after="0" w:line="296" w:lineRule="auto"/>
        <w:tabs>
          <w:tab w:leader="none" w:pos="1468" w:val="left"/>
        </w:tabs>
        <w:numPr>
          <w:ilvl w:val="0"/>
          <w:numId w:val="72"/>
        </w:numPr>
        <w:rPr>
          <w:rFonts w:ascii="Arial" w:cs="Arial" w:eastAsia="Arial" w:hAnsi="Arial"/>
          <w:sz w:val="16"/>
          <w:szCs w:val="16"/>
          <w:color w:val="010000"/>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Prior to any payment or adjustment contemplated under this Section 11,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161" w:lineRule="exact"/>
        <w:rPr>
          <w:rFonts w:ascii="Arial" w:cs="Arial" w:eastAsia="Arial" w:hAnsi="Arial"/>
          <w:sz w:val="16"/>
          <w:szCs w:val="16"/>
          <w:color w:val="010000"/>
        </w:rPr>
      </w:pPr>
    </w:p>
    <w:p>
      <w:pPr>
        <w:ind w:left="552" w:firstLine="195"/>
        <w:spacing w:after="0" w:line="277" w:lineRule="auto"/>
        <w:tabs>
          <w:tab w:leader="none" w:pos="1289" w:val="left"/>
        </w:tabs>
        <w:numPr>
          <w:ilvl w:val="0"/>
          <w:numId w:val="72"/>
        </w:numPr>
        <w:rPr>
          <w:rFonts w:ascii="Arial" w:cs="Arial" w:eastAsia="Arial" w:hAnsi="Arial"/>
          <w:sz w:val="18"/>
          <w:szCs w:val="18"/>
          <w:color w:val="010000"/>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Any adjustment provided under this Section 11 may provide for the elimination of any fractional share that might otherwise become subject to an Award.</w:t>
      </w:r>
    </w:p>
    <w:p>
      <w:pPr>
        <w:spacing w:after="0" w:line="170" w:lineRule="exact"/>
        <w:rPr>
          <w:rFonts w:ascii="Arial" w:cs="Arial" w:eastAsia="Arial" w:hAnsi="Arial"/>
          <w:sz w:val="18"/>
          <w:szCs w:val="18"/>
          <w:color w:val="010000"/>
        </w:rPr>
      </w:pPr>
    </w:p>
    <w:p>
      <w:pPr>
        <w:ind w:left="552" w:firstLine="195"/>
        <w:spacing w:after="0" w:line="277" w:lineRule="auto"/>
        <w:tabs>
          <w:tab w:leader="none" w:pos="1319" w:val="left"/>
        </w:tabs>
        <w:numPr>
          <w:ilvl w:val="0"/>
          <w:numId w:val="72"/>
        </w:numPr>
        <w:rPr>
          <w:rFonts w:ascii="Arial" w:cs="Arial" w:eastAsia="Arial" w:hAnsi="Arial"/>
          <w:sz w:val="18"/>
          <w:szCs w:val="18"/>
          <w:color w:val="010000"/>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adjustment, substitution, determination of value or other action taken by the Committee under this Section 11 shall be conclusive and binding for all purposes.</w:t>
      </w:r>
    </w:p>
    <w:p>
      <w:pPr>
        <w:spacing w:after="0" w:line="166" w:lineRule="exact"/>
        <w:rPr>
          <w:sz w:val="20"/>
          <w:szCs w:val="20"/>
          <w:color w:val="auto"/>
        </w:rPr>
      </w:pPr>
    </w:p>
    <w:p>
      <w:pPr>
        <w:ind w:left="552" w:hanging="552"/>
        <w:spacing w:after="0"/>
        <w:tabs>
          <w:tab w:leader="none" w:pos="552"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firstLine="195"/>
        <w:spacing w:after="0" w:line="269" w:lineRule="auto"/>
        <w:tabs>
          <w:tab w:leader="none" w:pos="1333" w:val="left"/>
        </w:tabs>
        <w:numPr>
          <w:ilvl w:val="1"/>
          <w:numId w:val="73"/>
        </w:numPr>
        <w:rPr>
          <w:rFonts w:ascii="Arial" w:cs="Arial" w:eastAsia="Arial" w:hAnsi="Arial"/>
          <w:sz w:val="17"/>
          <w:szCs w:val="17"/>
          <w:color w:val="010000"/>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 xml:space="preserve">. The Board may amend, alter, suspend, discontinue, or terminate the Plan or any portion thereof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 5 or 11 of the Plan); or (iii) it would materially modify the requirements for participation in the Plan; </w:t>
      </w:r>
      <w:r>
        <w:rPr>
          <w:rFonts w:ascii="Arial" w:cs="Arial" w:eastAsia="Arial" w:hAnsi="Arial"/>
          <w:sz w:val="17"/>
          <w:szCs w:val="17"/>
          <w:i w:val="1"/>
          <w:iCs w:val="1"/>
          <w:color w:val="auto"/>
        </w:rPr>
        <w:t>provided, further</w:t>
      </w:r>
      <w:r>
        <w:rPr>
          <w:rFonts w:ascii="Arial" w:cs="Arial" w:eastAsia="Arial" w:hAnsi="Arial"/>
          <w:sz w:val="17"/>
          <w:szCs w:val="17"/>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12(c) of the Plan without stockholder approval.</w:t>
      </w:r>
    </w:p>
    <w:p>
      <w:pPr>
        <w:spacing w:after="0" w:line="388"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92"/>
          </w:cols>
          <w:pgMar w:left="328" w:top="341" w:right="679" w:bottom="1440" w:gutter="0" w:footer="0" w:header="0"/>
        </w:sectPr>
      </w:pPr>
    </w:p>
    <w:bookmarkStart w:id="46" w:name="page47"/>
    <w:bookmarkEnd w:id="46"/>
    <w:p>
      <w:pPr>
        <w:jc w:val="both"/>
        <w:ind w:left="552" w:right="40" w:firstLine="195"/>
        <w:spacing w:after="0" w:line="255" w:lineRule="auto"/>
        <w:tabs>
          <w:tab w:leader="none" w:pos="1397" w:val="left"/>
        </w:tabs>
        <w:numPr>
          <w:ilvl w:val="0"/>
          <w:numId w:val="74"/>
        </w:numPr>
        <w:rPr>
          <w:rFonts w:ascii="Arial" w:cs="Arial" w:eastAsia="Arial" w:hAnsi="Arial"/>
          <w:sz w:val="18"/>
          <w:szCs w:val="18"/>
          <w:color w:val="010000"/>
        </w:rPr>
      </w:pP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Arial" w:cs="Arial" w:eastAsia="Arial" w:hAnsi="Arial"/>
          <w:sz w:val="18"/>
          <w:szCs w:val="18"/>
          <w:i w:val="1"/>
          <w:iCs w:val="1"/>
          <w:color w:val="auto"/>
        </w:rPr>
        <w:t>provided</w:t>
      </w:r>
      <w:r>
        <w:rPr>
          <w:rFonts w:ascii="Arial" w:cs="Arial" w:eastAsia="Arial" w:hAnsi="Arial"/>
          <w:sz w:val="18"/>
          <w:szCs w:val="18"/>
          <w:color w:val="auto"/>
        </w:rPr>
        <w:t>, that, other than pursuant to Section 11,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192" w:lineRule="exact"/>
        <w:rPr>
          <w:rFonts w:ascii="Arial" w:cs="Arial" w:eastAsia="Arial" w:hAnsi="Arial"/>
          <w:sz w:val="18"/>
          <w:szCs w:val="18"/>
          <w:color w:val="010000"/>
        </w:rPr>
      </w:pPr>
    </w:p>
    <w:p>
      <w:pPr>
        <w:jc w:val="both"/>
        <w:ind w:left="552" w:right="40" w:firstLine="195"/>
        <w:spacing w:after="0" w:line="293" w:lineRule="auto"/>
        <w:tabs>
          <w:tab w:leader="none" w:pos="1360" w:val="left"/>
        </w:tabs>
        <w:numPr>
          <w:ilvl w:val="0"/>
          <w:numId w:val="74"/>
        </w:numPr>
        <w:rPr>
          <w:rFonts w:ascii="Arial" w:cs="Arial" w:eastAsia="Arial" w:hAnsi="Arial"/>
          <w:sz w:val="16"/>
          <w:szCs w:val="16"/>
          <w:color w:val="010000"/>
        </w:rPr>
      </w:pPr>
      <w:r>
        <w:rPr>
          <w:rFonts w:ascii="Arial" w:cs="Arial" w:eastAsia="Arial" w:hAnsi="Arial"/>
          <w:sz w:val="16"/>
          <w:szCs w:val="16"/>
          <w:u w:val="single" w:color="auto"/>
          <w:color w:val="auto"/>
        </w:rPr>
        <w:t>No Repricing</w:t>
      </w:r>
      <w:r>
        <w:rPr>
          <w:rFonts w:ascii="Arial" w:cs="Arial" w:eastAsia="Arial" w:hAnsi="Arial"/>
          <w:sz w:val="16"/>
          <w:szCs w:val="16"/>
          <w:color w:val="auto"/>
        </w:rPr>
        <w:t>. Notwithstanding anything in the Plan to the contrary, without stockholder approval, except as otherwise permitted under Section 11 of the Plan, (i) no amendment or modification may reduce the Exercise Price of any Option or the SAR Base Price of any SAR; (ii) the Committee may not cancel any outstanding Option or SAR and replace it with a new Option or SAR (with a lower Exercise Price or SAR Base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 dealer quotation system on which the securities of the Company are listed or quoted.</w:t>
      </w:r>
    </w:p>
    <w:p>
      <w:pPr>
        <w:spacing w:after="0" w:line="160" w:lineRule="exact"/>
        <w:rPr>
          <w:sz w:val="20"/>
          <w:szCs w:val="20"/>
          <w:color w:val="auto"/>
        </w:rPr>
      </w:pPr>
    </w:p>
    <w:p>
      <w:pPr>
        <w:ind w:left="552" w:hanging="552"/>
        <w:spacing w:after="0"/>
        <w:tabs>
          <w:tab w:leader="none" w:pos="552"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52" w:right="40" w:firstLine="195"/>
        <w:spacing w:after="0" w:line="254" w:lineRule="auto"/>
        <w:tabs>
          <w:tab w:leader="none" w:pos="1441" w:val="left"/>
        </w:tabs>
        <w:numPr>
          <w:ilvl w:val="1"/>
          <w:numId w:val="75"/>
        </w:numPr>
        <w:rPr>
          <w:rFonts w:ascii="Arial" w:cs="Arial" w:eastAsia="Arial" w:hAnsi="Arial"/>
          <w:sz w:val="18"/>
          <w:szCs w:val="18"/>
          <w:color w:val="010000"/>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194" w:lineRule="exact"/>
        <w:rPr>
          <w:rFonts w:ascii="Arial" w:cs="Arial" w:eastAsia="Arial" w:hAnsi="Arial"/>
          <w:sz w:val="18"/>
          <w:szCs w:val="18"/>
          <w:color w:val="010000"/>
        </w:rPr>
      </w:pPr>
    </w:p>
    <w:p>
      <w:pPr>
        <w:ind w:left="1272" w:hanging="525"/>
        <w:spacing w:after="0"/>
        <w:tabs>
          <w:tab w:leader="none" w:pos="1272" w:val="left"/>
        </w:tabs>
        <w:numPr>
          <w:ilvl w:val="1"/>
          <w:numId w:val="75"/>
        </w:numPr>
        <w:rPr>
          <w:rFonts w:ascii="Arial" w:cs="Arial" w:eastAsia="Arial" w:hAnsi="Arial"/>
          <w:sz w:val="18"/>
          <w:szCs w:val="18"/>
          <w:color w:val="010000"/>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72" w:firstLine="642"/>
        <w:spacing w:after="0" w:line="254" w:lineRule="auto"/>
        <w:tabs>
          <w:tab w:leader="none" w:pos="1845" w:val="left"/>
        </w:tabs>
        <w:numPr>
          <w:ilvl w:val="2"/>
          <w:numId w:val="75"/>
        </w:numPr>
        <w:rPr>
          <w:rFonts w:ascii="Arial" w:cs="Arial" w:eastAsia="Arial" w:hAnsi="Arial"/>
          <w:sz w:val="18"/>
          <w:szCs w:val="18"/>
          <w:color w:val="010000"/>
        </w:rPr>
      </w:pPr>
      <w:r>
        <w:rPr>
          <w:rFonts w:ascii="Arial" w:cs="Arial" w:eastAsia="Arial" w:hAnsi="Arial"/>
          <w:sz w:val="18"/>
          <w:szCs w:val="18"/>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Arial" w:cs="Arial" w:eastAsia="Arial" w:hAnsi="Arial"/>
          <w:sz w:val="18"/>
          <w:szCs w:val="18"/>
          <w:i w:val="1"/>
          <w:iCs w:val="1"/>
          <w:color w:val="auto"/>
        </w:rPr>
        <w:t>provided</w:t>
      </w:r>
      <w:r>
        <w:rPr>
          <w:rFonts w:ascii="Arial" w:cs="Arial" w:eastAsia="Arial" w:hAnsi="Arial"/>
          <w:sz w:val="18"/>
          <w:szCs w:val="18"/>
          <w:color w:val="auto"/>
        </w:rPr>
        <w:t>, that the designation of a beneficiary shall not constitute an assignment, alienation, pledge, attachment, sale, transfer or</w:t>
      </w:r>
      <w:r>
        <w:rPr>
          <w:rFonts w:ascii="Arial" w:cs="Arial" w:eastAsia="Arial" w:hAnsi="Arial"/>
          <w:sz w:val="18"/>
          <w:szCs w:val="18"/>
          <w:i w:val="1"/>
          <w:iCs w:val="1"/>
          <w:color w:val="auto"/>
        </w:rPr>
        <w:t xml:space="preserve"> </w:t>
      </w:r>
      <w:r>
        <w:rPr>
          <w:rFonts w:ascii="Arial" w:cs="Arial" w:eastAsia="Arial" w:hAnsi="Arial"/>
          <w:sz w:val="18"/>
          <w:szCs w:val="18"/>
          <w:color w:val="auto"/>
        </w:rPr>
        <w:t>encumbrance.</w:t>
      </w:r>
    </w:p>
    <w:p>
      <w:pPr>
        <w:spacing w:after="0" w:line="194" w:lineRule="exact"/>
        <w:rPr>
          <w:rFonts w:ascii="Arial" w:cs="Arial" w:eastAsia="Arial" w:hAnsi="Arial"/>
          <w:sz w:val="18"/>
          <w:szCs w:val="18"/>
          <w:color w:val="010000"/>
        </w:rPr>
      </w:pPr>
    </w:p>
    <w:p>
      <w:pPr>
        <w:jc w:val="both"/>
        <w:ind w:left="672" w:firstLine="642"/>
        <w:spacing w:after="0" w:line="288" w:lineRule="auto"/>
        <w:tabs>
          <w:tab w:leader="none" w:pos="1854" w:val="left"/>
        </w:tabs>
        <w:numPr>
          <w:ilvl w:val="2"/>
          <w:numId w:val="75"/>
        </w:numPr>
        <w:rPr>
          <w:rFonts w:ascii="Arial" w:cs="Arial" w:eastAsia="Arial" w:hAnsi="Arial"/>
          <w:sz w:val="16"/>
          <w:szCs w:val="16"/>
          <w:color w:val="010000"/>
        </w:rPr>
      </w:pPr>
      <w:r>
        <w:rPr>
          <w:rFonts w:ascii="Arial" w:cs="Arial" w:eastAsia="Arial" w:hAnsi="Arial"/>
          <w:sz w:val="16"/>
          <w:szCs w:val="16"/>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Arial" w:cs="Arial" w:eastAsia="Arial" w:hAnsi="Arial"/>
          <w:sz w:val="16"/>
          <w:szCs w:val="16"/>
          <w:u w:val="single" w:color="auto"/>
          <w:color w:val="auto"/>
        </w:rPr>
        <w:t>Immediate Family Members</w:t>
      </w:r>
      <w:r>
        <w:rPr>
          <w:rFonts w:ascii="Arial" w:cs="Arial" w:eastAsia="Arial" w:hAnsi="Arial"/>
          <w:sz w:val="16"/>
          <w:szCs w:val="16"/>
          <w:color w:val="auto"/>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37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41" w:right="639" w:bottom="1440" w:gutter="0" w:footer="0" w:header="0"/>
        </w:sectPr>
      </w:pPr>
    </w:p>
    <w:bookmarkStart w:id="47" w:name="page48"/>
    <w:bookmarkEnd w:id="47"/>
    <w:p>
      <w:pPr>
        <w:jc w:val="both"/>
        <w:ind w:left="6" w:firstLine="642"/>
        <w:spacing w:after="0" w:line="291" w:lineRule="auto"/>
        <w:tabs>
          <w:tab w:leader="none" w:pos="1333" w:val="left"/>
        </w:tabs>
        <w:numPr>
          <w:ilvl w:val="2"/>
          <w:numId w:val="76"/>
        </w:numPr>
        <w:rPr>
          <w:rFonts w:ascii="Arial" w:cs="Arial" w:eastAsia="Arial" w:hAnsi="Arial"/>
          <w:sz w:val="16"/>
          <w:szCs w:val="16"/>
          <w:color w:val="010000"/>
        </w:rPr>
      </w:pPr>
      <w:r>
        <w:rPr>
          <w:rFonts w:ascii="Arial" w:cs="Arial" w:eastAsia="Arial" w:hAnsi="Arial"/>
          <w:sz w:val="16"/>
          <w:szCs w:val="16"/>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w:t>
      </w:r>
    </w:p>
    <w:p>
      <w:pPr>
        <w:jc w:val="both"/>
        <w:ind w:left="6" w:hanging="6"/>
        <w:spacing w:after="0" w:line="251" w:lineRule="auto"/>
        <w:tabs>
          <w:tab w:leader="none" w:pos="3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97" w:lineRule="exact"/>
        <w:rPr>
          <w:rFonts w:ascii="Arial" w:cs="Arial" w:eastAsia="Arial" w:hAnsi="Arial"/>
          <w:sz w:val="18"/>
          <w:szCs w:val="18"/>
          <w:color w:val="auto"/>
        </w:rPr>
      </w:pPr>
    </w:p>
    <w:p>
      <w:pPr>
        <w:ind w:left="586" w:hanging="505"/>
        <w:spacing w:after="0"/>
        <w:tabs>
          <w:tab w:leader="none" w:pos="586" w:val="left"/>
        </w:tabs>
        <w:numPr>
          <w:ilvl w:val="1"/>
          <w:numId w:val="77"/>
        </w:numPr>
        <w:rPr>
          <w:rFonts w:ascii="Arial" w:cs="Arial" w:eastAsia="Arial" w:hAnsi="Arial"/>
          <w:sz w:val="18"/>
          <w:szCs w:val="18"/>
          <w:color w:val="010000"/>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 w:firstLine="642"/>
        <w:spacing w:after="0" w:line="257" w:lineRule="auto"/>
        <w:tabs>
          <w:tab w:leader="none" w:pos="1179" w:val="left"/>
        </w:tabs>
        <w:numPr>
          <w:ilvl w:val="2"/>
          <w:numId w:val="77"/>
        </w:numPr>
        <w:rPr>
          <w:rFonts w:ascii="Arial" w:cs="Arial" w:eastAsia="Arial" w:hAnsi="Arial"/>
          <w:sz w:val="18"/>
          <w:szCs w:val="18"/>
          <w:color w:val="010000"/>
        </w:rPr>
      </w:pPr>
      <w:r>
        <w:rPr>
          <w:rFonts w:ascii="Arial" w:cs="Arial" w:eastAsia="Arial" w:hAnsi="Arial"/>
          <w:sz w:val="18"/>
          <w:szCs w:val="18"/>
          <w:color w:val="auto"/>
        </w:rPr>
        <w:t>The Committee may, in its sole discretion,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w:t>
      </w:r>
    </w:p>
    <w:p>
      <w:pPr>
        <w:spacing w:after="0" w:line="188" w:lineRule="exact"/>
        <w:rPr>
          <w:sz w:val="20"/>
          <w:szCs w:val="20"/>
          <w:color w:val="auto"/>
        </w:rPr>
      </w:pPr>
    </w:p>
    <w:p>
      <w:pPr>
        <w:jc w:val="both"/>
        <w:ind w:left="6" w:firstLine="642"/>
        <w:spacing w:after="0" w:line="311" w:lineRule="auto"/>
        <w:tabs>
          <w:tab w:leader="none" w:pos="1350" w:val="left"/>
        </w:tabs>
        <w:numPr>
          <w:ilvl w:val="1"/>
          <w:numId w:val="78"/>
        </w:numPr>
        <w:rPr>
          <w:rFonts w:ascii="Arial" w:cs="Arial" w:eastAsia="Arial" w:hAnsi="Arial"/>
          <w:sz w:val="16"/>
          <w:szCs w:val="16"/>
          <w:color w:val="010000"/>
        </w:rPr>
      </w:pPr>
      <w:r>
        <w:rPr>
          <w:rFonts w:ascii="Arial" w:cs="Arial" w:eastAsia="Arial" w:hAnsi="Arial"/>
          <w:sz w:val="16"/>
          <w:szCs w:val="16"/>
          <w:color w:val="auto"/>
        </w:rPr>
        <w:t>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w:t>
      </w:r>
    </w:p>
    <w:p>
      <w:pPr>
        <w:spacing w:after="0" w:line="148" w:lineRule="exact"/>
        <w:rPr>
          <w:rFonts w:ascii="Arial" w:cs="Arial" w:eastAsia="Arial" w:hAnsi="Arial"/>
          <w:sz w:val="16"/>
          <w:szCs w:val="16"/>
          <w:color w:val="010000"/>
        </w:rPr>
      </w:pPr>
    </w:p>
    <w:p>
      <w:pPr>
        <w:jc w:val="both"/>
        <w:ind w:left="6" w:firstLine="642"/>
        <w:spacing w:after="0" w:line="271" w:lineRule="auto"/>
        <w:tabs>
          <w:tab w:leader="none" w:pos="1373" w:val="left"/>
        </w:tabs>
        <w:numPr>
          <w:ilvl w:val="1"/>
          <w:numId w:val="78"/>
        </w:numPr>
        <w:rPr>
          <w:rFonts w:ascii="Arial" w:cs="Arial" w:eastAsia="Arial" w:hAnsi="Arial"/>
          <w:sz w:val="17"/>
          <w:szCs w:val="17"/>
          <w:color w:val="010000"/>
        </w:rPr>
      </w:pPr>
      <w:r>
        <w:rPr>
          <w:rFonts w:ascii="Arial" w:cs="Arial" w:eastAsia="Arial" w:hAnsi="Arial"/>
          <w:sz w:val="17"/>
          <w:szCs w:val="17"/>
          <w:color w:val="auto"/>
        </w:rPr>
        <w:t>To the extent provided in an Award Agreement, the holder of outstanding Restricted Stock Units shall be entitled to be credited with dividend equivalent payments (upon the payment by the Company of dividends on shares of Common Stock) either in cash or, in the sole discretion of the Committee, in shares of Common Stock having a Fair Market Value equal to the amount of such dividends (and interest may, in the sole discretion of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date on which the Restricted Period lapses with respect to such Restricted Stock Units, and, if such Restricted Stock Units are forfeited, the Participant shall have no right to such dividend equivalent payments (or interest thereon, if applicable).</w:t>
      </w:r>
    </w:p>
    <w:p>
      <w:pPr>
        <w:spacing w:after="0" w:line="178" w:lineRule="exact"/>
        <w:rPr>
          <w:rFonts w:ascii="Arial" w:cs="Arial" w:eastAsia="Arial" w:hAnsi="Arial"/>
          <w:sz w:val="17"/>
          <w:szCs w:val="17"/>
          <w:color w:val="010000"/>
        </w:rPr>
      </w:pPr>
    </w:p>
    <w:p>
      <w:pPr>
        <w:ind w:left="606" w:hanging="525"/>
        <w:spacing w:after="0"/>
        <w:tabs>
          <w:tab w:leader="none" w:pos="606" w:val="left"/>
        </w:tabs>
        <w:numPr>
          <w:ilvl w:val="0"/>
          <w:numId w:val="79"/>
        </w:numPr>
        <w:rPr>
          <w:rFonts w:ascii="Arial" w:cs="Arial" w:eastAsia="Arial" w:hAnsi="Arial"/>
          <w:sz w:val="18"/>
          <w:szCs w:val="18"/>
          <w:color w:val="010000"/>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 w:firstLine="642"/>
        <w:spacing w:after="0" w:line="301" w:lineRule="auto"/>
        <w:tabs>
          <w:tab w:leader="none" w:pos="1152" w:val="left"/>
        </w:tabs>
        <w:numPr>
          <w:ilvl w:val="1"/>
          <w:numId w:val="79"/>
        </w:numPr>
        <w:rPr>
          <w:rFonts w:ascii="Arial" w:cs="Arial" w:eastAsia="Arial" w:hAnsi="Arial"/>
          <w:sz w:val="16"/>
          <w:szCs w:val="16"/>
          <w:color w:val="010000"/>
        </w:rPr>
      </w:pPr>
      <w:r>
        <w:rPr>
          <w:rFonts w:ascii="Arial" w:cs="Arial" w:eastAsia="Arial" w:hAnsi="Arial"/>
          <w:sz w:val="16"/>
          <w:szCs w:val="16"/>
          <w:color w:val="auto"/>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spacing w:after="0" w:line="157" w:lineRule="exact"/>
        <w:rPr>
          <w:rFonts w:ascii="Arial" w:cs="Arial" w:eastAsia="Arial" w:hAnsi="Arial"/>
          <w:sz w:val="16"/>
          <w:szCs w:val="16"/>
          <w:color w:val="010000"/>
        </w:rPr>
      </w:pPr>
    </w:p>
    <w:p>
      <w:pPr>
        <w:jc w:val="both"/>
        <w:ind w:left="6" w:firstLine="642"/>
        <w:spacing w:after="0" w:line="289" w:lineRule="auto"/>
        <w:tabs>
          <w:tab w:leader="none" w:pos="1364" w:val="left"/>
        </w:tabs>
        <w:numPr>
          <w:ilvl w:val="1"/>
          <w:numId w:val="79"/>
        </w:numPr>
        <w:rPr>
          <w:rFonts w:ascii="Arial" w:cs="Arial" w:eastAsia="Arial" w:hAnsi="Arial"/>
          <w:sz w:val="16"/>
          <w:szCs w:val="16"/>
          <w:color w:val="010000"/>
        </w:rPr>
      </w:pPr>
      <w:r>
        <w:rPr>
          <w:rFonts w:ascii="Arial" w:cs="Arial" w:eastAsia="Arial" w:hAnsi="Arial"/>
          <w:sz w:val="16"/>
          <w:szCs w:val="16"/>
          <w:color w:val="auto"/>
        </w:rPr>
        <w:t>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spacing w:after="0" w:line="3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48895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6"/>
          </w:cols>
          <w:pgMar w:left="994" w:top="341" w:right="639" w:bottom="1440" w:gutter="0" w:footer="0" w:header="0"/>
        </w:sectPr>
      </w:pPr>
    </w:p>
    <w:bookmarkStart w:id="48" w:name="page49"/>
    <w:bookmarkEnd w:id="48"/>
    <w:p>
      <w:pPr>
        <w:jc w:val="both"/>
        <w:ind w:left="120" w:firstLine="642"/>
        <w:spacing w:after="0" w:line="254" w:lineRule="auto"/>
        <w:tabs>
          <w:tab w:leader="none" w:pos="1528" w:val="left"/>
        </w:tabs>
        <w:numPr>
          <w:ilvl w:val="1"/>
          <w:numId w:val="80"/>
        </w:numPr>
        <w:rPr>
          <w:rFonts w:ascii="Arial" w:cs="Arial" w:eastAsia="Arial" w:hAnsi="Arial"/>
          <w:sz w:val="18"/>
          <w:szCs w:val="18"/>
          <w:color w:val="010000"/>
        </w:rPr>
      </w:pPr>
      <w:r>
        <w:rPr>
          <w:rFonts w:ascii="Arial" w:cs="Arial" w:eastAsia="Arial" w:hAnsi="Arial"/>
          <w:sz w:val="18"/>
          <w:szCs w:val="18"/>
          <w:color w:val="auto"/>
        </w:rPr>
        <w:t>The Committee, subject to its having considered the applicable accounting impact of any such determination,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194" w:lineRule="exact"/>
        <w:rPr>
          <w:rFonts w:ascii="Arial" w:cs="Arial" w:eastAsia="Arial" w:hAnsi="Arial"/>
          <w:sz w:val="18"/>
          <w:szCs w:val="18"/>
          <w:color w:val="010000"/>
        </w:rPr>
      </w:pPr>
    </w:p>
    <w:p>
      <w:pPr>
        <w:jc w:val="both"/>
        <w:ind w:right="40" w:firstLine="195"/>
        <w:spacing w:after="0" w:line="296" w:lineRule="auto"/>
        <w:tabs>
          <w:tab w:leader="none" w:pos="727" w:val="left"/>
        </w:tabs>
        <w:numPr>
          <w:ilvl w:val="0"/>
          <w:numId w:val="81"/>
        </w:numPr>
        <w:rPr>
          <w:rFonts w:ascii="Arial" w:cs="Arial" w:eastAsia="Arial" w:hAnsi="Arial"/>
          <w:sz w:val="16"/>
          <w:szCs w:val="16"/>
          <w:color w:val="010000"/>
        </w:rPr>
      </w:pPr>
      <w:r>
        <w:rPr>
          <w:rFonts w:ascii="Arial" w:cs="Arial" w:eastAsia="Arial" w:hAnsi="Arial"/>
          <w:sz w:val="16"/>
          <w:szCs w:val="16"/>
          <w:u w:val="single" w:color="auto"/>
          <w:color w:val="auto"/>
        </w:rPr>
        <w:t>Data Protection</w:t>
      </w:r>
      <w:r>
        <w:rPr>
          <w:rFonts w:ascii="Arial" w:cs="Arial" w:eastAsia="Arial" w:hAnsi="Arial"/>
          <w:sz w:val="16"/>
          <w:szCs w:val="16"/>
          <w:color w:val="auto"/>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spacing w:after="0" w:line="161" w:lineRule="exact"/>
        <w:rPr>
          <w:rFonts w:ascii="Arial" w:cs="Arial" w:eastAsia="Arial" w:hAnsi="Arial"/>
          <w:sz w:val="16"/>
          <w:szCs w:val="16"/>
          <w:color w:val="010000"/>
        </w:rPr>
      </w:pPr>
    </w:p>
    <w:p>
      <w:pPr>
        <w:jc w:val="both"/>
        <w:ind w:right="40" w:firstLine="195"/>
        <w:spacing w:after="0" w:line="268" w:lineRule="auto"/>
        <w:tabs>
          <w:tab w:leader="none" w:pos="734" w:val="left"/>
        </w:tabs>
        <w:numPr>
          <w:ilvl w:val="0"/>
          <w:numId w:val="81"/>
        </w:numPr>
        <w:rPr>
          <w:rFonts w:ascii="Arial" w:cs="Arial" w:eastAsia="Arial" w:hAnsi="Arial"/>
          <w:sz w:val="17"/>
          <w:szCs w:val="17"/>
          <w:color w:val="010000"/>
        </w:rPr>
      </w:pPr>
      <w:r>
        <w:rPr>
          <w:rFonts w:ascii="Arial" w:cs="Arial" w:eastAsia="Arial" w:hAnsi="Arial"/>
          <w:sz w:val="17"/>
          <w:szCs w:val="17"/>
          <w:u w:val="single" w:color="auto"/>
          <w:color w:val="auto"/>
        </w:rPr>
        <w:t>No Claim to Awards; No Rights to Continued Employment; Waiver</w:t>
      </w:r>
      <w:r>
        <w:rPr>
          <w:rFonts w:ascii="Arial" w:cs="Arial" w:eastAsia="Arial" w:hAnsi="Arial"/>
          <w:sz w:val="17"/>
          <w:szCs w:val="17"/>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184" w:lineRule="exact"/>
        <w:rPr>
          <w:rFonts w:ascii="Arial" w:cs="Arial" w:eastAsia="Arial" w:hAnsi="Arial"/>
          <w:sz w:val="17"/>
          <w:szCs w:val="17"/>
          <w:color w:val="010000"/>
        </w:rPr>
      </w:pPr>
    </w:p>
    <w:p>
      <w:pPr>
        <w:jc w:val="both"/>
        <w:ind w:right="40" w:firstLine="195"/>
        <w:spacing w:after="0" w:line="259" w:lineRule="auto"/>
        <w:tabs>
          <w:tab w:leader="none" w:pos="777" w:val="left"/>
        </w:tabs>
        <w:numPr>
          <w:ilvl w:val="0"/>
          <w:numId w:val="81"/>
        </w:numPr>
        <w:rPr>
          <w:rFonts w:ascii="Arial" w:cs="Arial" w:eastAsia="Arial" w:hAnsi="Arial"/>
          <w:sz w:val="18"/>
          <w:szCs w:val="18"/>
          <w:color w:val="010000"/>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spacing w:after="0" w:line="186" w:lineRule="exact"/>
        <w:rPr>
          <w:rFonts w:ascii="Arial" w:cs="Arial" w:eastAsia="Arial" w:hAnsi="Arial"/>
          <w:sz w:val="18"/>
          <w:szCs w:val="18"/>
          <w:color w:val="010000"/>
        </w:rPr>
      </w:pPr>
    </w:p>
    <w:p>
      <w:pPr>
        <w:jc w:val="both"/>
        <w:ind w:right="40" w:firstLine="195"/>
        <w:spacing w:after="0" w:line="291" w:lineRule="auto"/>
        <w:tabs>
          <w:tab w:leader="none" w:pos="737" w:val="left"/>
        </w:tabs>
        <w:numPr>
          <w:ilvl w:val="0"/>
          <w:numId w:val="81"/>
        </w:numPr>
        <w:rPr>
          <w:rFonts w:ascii="Arial" w:cs="Arial" w:eastAsia="Arial" w:hAnsi="Arial"/>
          <w:sz w:val="16"/>
          <w:szCs w:val="16"/>
          <w:color w:val="010000"/>
        </w:rPr>
      </w:pPr>
      <w:r>
        <w:rPr>
          <w:rFonts w:ascii="Arial" w:cs="Arial" w:eastAsia="Arial" w:hAnsi="Arial"/>
          <w:sz w:val="16"/>
          <w:szCs w:val="16"/>
          <w:u w:val="single" w:color="auto"/>
          <w:color w:val="auto"/>
        </w:rPr>
        <w:t>Designation and Change of Beneficiary</w:t>
      </w:r>
      <w:r>
        <w:rPr>
          <w:rFonts w:ascii="Arial" w:cs="Arial" w:eastAsia="Arial" w:hAnsi="Arial"/>
          <w:sz w:val="16"/>
          <w:szCs w:val="16"/>
          <w:color w:val="auto"/>
        </w:rPr>
        <w:t xml:space="preserve">. Each Participant may file with the Committee a written designation of one or more Persons as the beneficiary(ies)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designation, or change or revocation thereof, shall be effective unless received by the Committee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spacing w:after="0" w:line="36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49" w:name="page50"/>
    <w:bookmarkEnd w:id="49"/>
    <w:p>
      <w:pPr>
        <w:jc w:val="both"/>
        <w:ind w:right="40" w:firstLine="195"/>
        <w:spacing w:after="0" w:line="288" w:lineRule="auto"/>
        <w:tabs>
          <w:tab w:leader="none" w:pos="791" w:val="left"/>
        </w:tabs>
        <w:numPr>
          <w:ilvl w:val="0"/>
          <w:numId w:val="82"/>
        </w:numPr>
        <w:rPr>
          <w:rFonts w:ascii="Arial" w:cs="Arial" w:eastAsia="Arial" w:hAnsi="Arial"/>
          <w:sz w:val="16"/>
          <w:szCs w:val="16"/>
          <w:color w:val="010000"/>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member of the Company Group to employment or service with another member of the Company Group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member of the Company Group immediately following such transaction, such Participant shall be deemed to have suffered a Termination hereunder as of the date of the consummation of such transaction.</w:t>
      </w:r>
    </w:p>
    <w:p>
      <w:pPr>
        <w:spacing w:after="0" w:line="168" w:lineRule="exact"/>
        <w:rPr>
          <w:rFonts w:ascii="Arial" w:cs="Arial" w:eastAsia="Arial" w:hAnsi="Arial"/>
          <w:sz w:val="16"/>
          <w:szCs w:val="16"/>
          <w:color w:val="010000"/>
        </w:rPr>
      </w:pPr>
    </w:p>
    <w:p>
      <w:pPr>
        <w:jc w:val="both"/>
        <w:ind w:right="40" w:firstLine="195"/>
        <w:spacing w:after="0" w:line="263" w:lineRule="auto"/>
        <w:tabs>
          <w:tab w:leader="none" w:pos="805" w:val="left"/>
        </w:tabs>
        <w:numPr>
          <w:ilvl w:val="0"/>
          <w:numId w:val="82"/>
        </w:numPr>
        <w:rPr>
          <w:rFonts w:ascii="Arial" w:cs="Arial" w:eastAsia="Arial" w:hAnsi="Arial"/>
          <w:sz w:val="18"/>
          <w:szCs w:val="18"/>
          <w:color w:val="010000"/>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183" w:lineRule="exact"/>
        <w:rPr>
          <w:rFonts w:ascii="Arial" w:cs="Arial" w:eastAsia="Arial" w:hAnsi="Arial"/>
          <w:sz w:val="18"/>
          <w:szCs w:val="18"/>
          <w:color w:val="010000"/>
        </w:rPr>
      </w:pPr>
    </w:p>
    <w:p>
      <w:pPr>
        <w:ind w:left="720" w:hanging="525"/>
        <w:spacing w:after="0"/>
        <w:tabs>
          <w:tab w:leader="none" w:pos="720" w:val="left"/>
        </w:tabs>
        <w:numPr>
          <w:ilvl w:val="0"/>
          <w:numId w:val="82"/>
        </w:numPr>
        <w:rPr>
          <w:rFonts w:ascii="Arial" w:cs="Arial" w:eastAsia="Arial" w:hAnsi="Arial"/>
          <w:sz w:val="18"/>
          <w:szCs w:val="18"/>
          <w:color w:val="010000"/>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firstLine="642"/>
        <w:spacing w:after="0" w:line="267" w:lineRule="auto"/>
        <w:tabs>
          <w:tab w:leader="none" w:pos="1360" w:val="left"/>
        </w:tabs>
        <w:numPr>
          <w:ilvl w:val="1"/>
          <w:numId w:val="82"/>
        </w:numPr>
        <w:rPr>
          <w:rFonts w:ascii="Arial" w:cs="Arial" w:eastAsia="Arial" w:hAnsi="Arial"/>
          <w:sz w:val="17"/>
          <w:szCs w:val="17"/>
          <w:color w:val="010000"/>
        </w:rPr>
      </w:pPr>
      <w:r>
        <w:rPr>
          <w:rFonts w:ascii="Arial" w:cs="Arial" w:eastAsia="Arial" w:hAnsi="Arial"/>
          <w:sz w:val="17"/>
          <w:szCs w:val="17"/>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8 of the Plan, the Committee may cause a legend or legends to be put on certificates representing shares of Common Stock issued under the Plan to make appropriate reference to such restrictions or may cause such Common Stock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50" w:name="page51"/>
    <w:bookmarkEnd w:id="50"/>
    <w:p>
      <w:pPr>
        <w:jc w:val="both"/>
        <w:ind w:left="120" w:firstLine="642"/>
        <w:spacing w:after="0" w:line="268" w:lineRule="auto"/>
        <w:tabs>
          <w:tab w:leader="none" w:pos="1046" w:val="left"/>
        </w:tabs>
        <w:numPr>
          <w:ilvl w:val="1"/>
          <w:numId w:val="83"/>
        </w:numPr>
        <w:rPr>
          <w:rFonts w:ascii="Arial" w:cs="Arial" w:eastAsia="Arial" w:hAnsi="Arial"/>
          <w:sz w:val="17"/>
          <w:szCs w:val="17"/>
          <w:color w:val="010000"/>
        </w:rPr>
      </w:pPr>
      <w:r>
        <w:rPr>
          <w:rFonts w:ascii="Arial" w:cs="Arial" w:eastAsia="Arial" w:hAnsi="Arial"/>
          <w:sz w:val="17"/>
          <w:szCs w:val="17"/>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in the case of Options or SARs, provide the Participant with a cash payment or grant of shares of Common Stock, subject to deferred vesting and delivery consistent with the vesting restrictions applicable to such Award,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SAR Base Price (in the case of an Option or SAR, respectively) or any amount payable to the Company as a condition of issuance of shares of Common Stock (in the case of any other Award), or (B) in the case of Restricted Stock, Restricted Stock Units or Other Equity-Based Awards, provide the Participant with a cash payment or grant of shares of Common Stock, subject to deferred vesting and delivery consistent with the vesting restrictions applicable to such Award, equal to the value of such Award or the underlying shares in respect thereof.</w:t>
      </w:r>
    </w:p>
    <w:p>
      <w:pPr>
        <w:spacing w:after="0" w:line="184" w:lineRule="exact"/>
        <w:rPr>
          <w:rFonts w:ascii="Arial" w:cs="Arial" w:eastAsia="Arial" w:hAnsi="Arial"/>
          <w:sz w:val="17"/>
          <w:szCs w:val="17"/>
          <w:color w:val="010000"/>
        </w:rPr>
      </w:pPr>
    </w:p>
    <w:p>
      <w:pPr>
        <w:jc w:val="both"/>
        <w:ind w:right="40" w:firstLine="195"/>
        <w:spacing w:after="0" w:line="273" w:lineRule="auto"/>
        <w:tabs>
          <w:tab w:leader="none" w:pos="710" w:val="left"/>
        </w:tabs>
        <w:numPr>
          <w:ilvl w:val="0"/>
          <w:numId w:val="84"/>
        </w:numPr>
        <w:rPr>
          <w:rFonts w:ascii="Arial" w:cs="Arial" w:eastAsia="Arial" w:hAnsi="Arial"/>
          <w:sz w:val="17"/>
          <w:szCs w:val="17"/>
          <w:color w:val="010000"/>
        </w:rPr>
      </w:pPr>
      <w:r>
        <w:rPr>
          <w:rFonts w:ascii="Arial" w:cs="Arial" w:eastAsia="Arial" w:hAnsi="Arial"/>
          <w:sz w:val="17"/>
          <w:szCs w:val="17"/>
          <w:u w:val="single" w:color="auto"/>
          <w:color w:val="auto"/>
        </w:rPr>
        <w:t>No Section 83(b) Elections Without Consent of Company</w:t>
      </w:r>
      <w:r>
        <w:rPr>
          <w:rFonts w:ascii="Arial" w:cs="Arial" w:eastAsia="Arial" w:hAnsi="Arial"/>
          <w:sz w:val="17"/>
          <w:szCs w:val="17"/>
          <w:color w:val="auto"/>
        </w:rPr>
        <w:t>. No election under Section 83(b) of the Code or under a similar provision of law may be made unless expressly permitted by the terms of the applicable Award Agreement or by action of the Committee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177" w:lineRule="exact"/>
        <w:rPr>
          <w:rFonts w:ascii="Arial" w:cs="Arial" w:eastAsia="Arial" w:hAnsi="Arial"/>
          <w:sz w:val="17"/>
          <w:szCs w:val="17"/>
          <w:color w:val="010000"/>
        </w:rPr>
      </w:pPr>
    </w:p>
    <w:p>
      <w:pPr>
        <w:jc w:val="both"/>
        <w:ind w:right="40" w:firstLine="195"/>
        <w:spacing w:after="0" w:line="273" w:lineRule="auto"/>
        <w:tabs>
          <w:tab w:leader="none" w:pos="773" w:val="left"/>
        </w:tabs>
        <w:numPr>
          <w:ilvl w:val="0"/>
          <w:numId w:val="84"/>
        </w:numPr>
        <w:rPr>
          <w:rFonts w:ascii="Arial" w:cs="Arial" w:eastAsia="Arial" w:hAnsi="Arial"/>
          <w:sz w:val="17"/>
          <w:szCs w:val="17"/>
          <w:color w:val="010000"/>
        </w:rPr>
      </w:pPr>
      <w:r>
        <w:rPr>
          <w:rFonts w:ascii="Arial" w:cs="Arial" w:eastAsia="Arial" w:hAnsi="Arial"/>
          <w:sz w:val="17"/>
          <w:szCs w:val="17"/>
          <w:u w:val="single" w:color="auto"/>
          <w:color w:val="auto"/>
        </w:rPr>
        <w:t>Payments to Persons Other Than Participants</w:t>
      </w:r>
      <w:r>
        <w:rPr>
          <w:rFonts w:ascii="Arial" w:cs="Arial" w:eastAsia="Arial" w:hAnsi="Arial"/>
          <w:sz w:val="17"/>
          <w:szCs w:val="17"/>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77" w:lineRule="exact"/>
        <w:rPr>
          <w:rFonts w:ascii="Arial" w:cs="Arial" w:eastAsia="Arial" w:hAnsi="Arial"/>
          <w:sz w:val="17"/>
          <w:szCs w:val="17"/>
          <w:color w:val="010000"/>
        </w:rPr>
      </w:pPr>
    </w:p>
    <w:p>
      <w:pPr>
        <w:jc w:val="both"/>
        <w:ind w:right="40" w:firstLine="195"/>
        <w:spacing w:after="0" w:line="259" w:lineRule="auto"/>
        <w:tabs>
          <w:tab w:leader="none" w:pos="764"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186" w:lineRule="exact"/>
        <w:rPr>
          <w:rFonts w:ascii="Arial" w:cs="Arial" w:eastAsia="Arial" w:hAnsi="Arial"/>
          <w:sz w:val="18"/>
          <w:szCs w:val="18"/>
          <w:color w:val="010000"/>
        </w:rPr>
      </w:pPr>
    </w:p>
    <w:p>
      <w:pPr>
        <w:jc w:val="both"/>
        <w:ind w:right="40" w:firstLine="195"/>
        <w:spacing w:after="0" w:line="271" w:lineRule="auto"/>
        <w:tabs>
          <w:tab w:leader="none" w:pos="737" w:val="left"/>
        </w:tabs>
        <w:numPr>
          <w:ilvl w:val="0"/>
          <w:numId w:val="84"/>
        </w:numPr>
        <w:rPr>
          <w:rFonts w:ascii="Arial" w:cs="Arial" w:eastAsia="Arial" w:hAnsi="Arial"/>
          <w:sz w:val="17"/>
          <w:szCs w:val="17"/>
          <w:color w:val="010000"/>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178" w:lineRule="exact"/>
        <w:rPr>
          <w:rFonts w:ascii="Arial" w:cs="Arial" w:eastAsia="Arial" w:hAnsi="Arial"/>
          <w:sz w:val="17"/>
          <w:szCs w:val="17"/>
          <w:color w:val="010000"/>
        </w:rPr>
      </w:pPr>
    </w:p>
    <w:p>
      <w:pPr>
        <w:jc w:val="both"/>
        <w:ind w:right="40" w:firstLine="195"/>
        <w:spacing w:after="0" w:line="259" w:lineRule="auto"/>
        <w:tabs>
          <w:tab w:leader="none" w:pos="710"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51" w:name="page52"/>
    <w:bookmarkEnd w:id="51"/>
    <w:p>
      <w:pPr>
        <w:jc w:val="both"/>
        <w:ind w:right="40" w:firstLine="195"/>
        <w:spacing w:after="0" w:line="263" w:lineRule="auto"/>
        <w:tabs>
          <w:tab w:leader="none" w:pos="872"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183" w:lineRule="exact"/>
        <w:rPr>
          <w:rFonts w:ascii="Arial" w:cs="Arial" w:eastAsia="Arial" w:hAnsi="Arial"/>
          <w:sz w:val="18"/>
          <w:szCs w:val="18"/>
          <w:color w:val="010000"/>
        </w:rPr>
      </w:pPr>
    </w:p>
    <w:p>
      <w:pPr>
        <w:jc w:val="both"/>
        <w:ind w:right="40" w:firstLine="195"/>
        <w:spacing w:after="0" w:line="257" w:lineRule="auto"/>
        <w:tabs>
          <w:tab w:leader="none" w:pos="869"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187" w:lineRule="exact"/>
        <w:rPr>
          <w:rFonts w:ascii="Arial" w:cs="Arial" w:eastAsia="Arial" w:hAnsi="Arial"/>
          <w:sz w:val="18"/>
          <w:szCs w:val="18"/>
          <w:color w:val="010000"/>
        </w:rPr>
      </w:pPr>
    </w:p>
    <w:p>
      <w:pPr>
        <w:jc w:val="both"/>
        <w:ind w:right="40" w:firstLine="195"/>
        <w:spacing w:after="0" w:line="255" w:lineRule="auto"/>
        <w:tabs>
          <w:tab w:leader="none" w:pos="784"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92" w:lineRule="exact"/>
        <w:rPr>
          <w:rFonts w:ascii="Arial" w:cs="Arial" w:eastAsia="Arial" w:hAnsi="Arial"/>
          <w:sz w:val="18"/>
          <w:szCs w:val="18"/>
          <w:color w:val="010000"/>
        </w:rPr>
      </w:pPr>
    </w:p>
    <w:p>
      <w:pPr>
        <w:jc w:val="both"/>
        <w:ind w:right="40" w:firstLine="195"/>
        <w:spacing w:after="0" w:line="263" w:lineRule="auto"/>
        <w:tabs>
          <w:tab w:leader="none" w:pos="697"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3" w:lineRule="exact"/>
        <w:rPr>
          <w:rFonts w:ascii="Arial" w:cs="Arial" w:eastAsia="Arial" w:hAnsi="Arial"/>
          <w:sz w:val="18"/>
          <w:szCs w:val="18"/>
          <w:color w:val="010000"/>
        </w:rPr>
      </w:pPr>
    </w:p>
    <w:p>
      <w:pPr>
        <w:ind w:left="720" w:hanging="525"/>
        <w:spacing w:after="0"/>
        <w:tabs>
          <w:tab w:leader="none" w:pos="720"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120" w:firstLine="642"/>
        <w:spacing w:after="0" w:line="253" w:lineRule="auto"/>
        <w:tabs>
          <w:tab w:leader="none" w:pos="1306" w:val="left"/>
        </w:tabs>
        <w:numPr>
          <w:ilvl w:val="1"/>
          <w:numId w:val="85"/>
        </w:numPr>
        <w:rPr>
          <w:rFonts w:ascii="Arial" w:cs="Arial" w:eastAsia="Arial" w:hAnsi="Arial"/>
          <w:sz w:val="18"/>
          <w:szCs w:val="18"/>
          <w:color w:val="010000"/>
        </w:rPr>
      </w:pPr>
      <w:r>
        <w:rPr>
          <w:rFonts w:ascii="Arial" w:cs="Arial" w:eastAsia="Arial" w:hAnsi="Arial"/>
          <w:sz w:val="18"/>
          <w:szCs w:val="18"/>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a payment.</w:t>
      </w:r>
    </w:p>
    <w:p>
      <w:pPr>
        <w:spacing w:after="0" w:line="194" w:lineRule="exact"/>
        <w:rPr>
          <w:rFonts w:ascii="Arial" w:cs="Arial" w:eastAsia="Arial" w:hAnsi="Arial"/>
          <w:sz w:val="18"/>
          <w:szCs w:val="18"/>
          <w:color w:val="010000"/>
        </w:rPr>
      </w:pPr>
    </w:p>
    <w:p>
      <w:pPr>
        <w:jc w:val="both"/>
        <w:ind w:left="120" w:firstLine="642"/>
        <w:spacing w:after="0" w:line="273" w:lineRule="auto"/>
        <w:tabs>
          <w:tab w:leader="none" w:pos="1316" w:val="left"/>
        </w:tabs>
        <w:numPr>
          <w:ilvl w:val="1"/>
          <w:numId w:val="85"/>
        </w:numPr>
        <w:rPr>
          <w:rFonts w:ascii="Arial" w:cs="Arial" w:eastAsia="Arial" w:hAnsi="Arial"/>
          <w:sz w:val="17"/>
          <w:szCs w:val="17"/>
          <w:color w:val="010000"/>
        </w:rPr>
      </w:pPr>
      <w:r>
        <w:rPr>
          <w:rFonts w:ascii="Arial" w:cs="Arial" w:eastAsia="Arial" w:hAnsi="Arial"/>
          <w:sz w:val="17"/>
          <w:szCs w:val="17"/>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spacing w:after="0" w:line="38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48895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52" w:name="page53"/>
    <w:bookmarkEnd w:id="52"/>
    <w:p>
      <w:pPr>
        <w:jc w:val="both"/>
        <w:ind w:left="120" w:right="120" w:firstLine="642"/>
        <w:spacing w:after="0" w:line="273" w:lineRule="auto"/>
        <w:tabs>
          <w:tab w:leader="none" w:pos="1352" w:val="left"/>
        </w:tabs>
        <w:numPr>
          <w:ilvl w:val="2"/>
          <w:numId w:val="86"/>
        </w:numPr>
        <w:rPr>
          <w:rFonts w:ascii="Arial" w:cs="Arial" w:eastAsia="Arial" w:hAnsi="Arial"/>
          <w:sz w:val="17"/>
          <w:szCs w:val="17"/>
          <w:color w:val="010000"/>
        </w:rPr>
      </w:pPr>
      <w:r>
        <w:rPr>
          <w:rFonts w:ascii="Arial" w:cs="Arial" w:eastAsia="Arial" w:hAnsi="Arial"/>
          <w:sz w:val="17"/>
          <w:szCs w:val="17"/>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177" w:lineRule="exact"/>
        <w:rPr>
          <w:rFonts w:ascii="Arial" w:cs="Arial" w:eastAsia="Arial" w:hAnsi="Arial"/>
          <w:sz w:val="17"/>
          <w:szCs w:val="17"/>
          <w:color w:val="010000"/>
        </w:rPr>
      </w:pPr>
    </w:p>
    <w:p>
      <w:pPr>
        <w:jc w:val="both"/>
        <w:ind w:right="40" w:firstLine="195"/>
        <w:spacing w:after="0" w:line="291" w:lineRule="auto"/>
        <w:tabs>
          <w:tab w:leader="none" w:pos="818" w:val="left"/>
        </w:tabs>
        <w:numPr>
          <w:ilvl w:val="1"/>
          <w:numId w:val="87"/>
        </w:numPr>
        <w:rPr>
          <w:rFonts w:ascii="Arial" w:cs="Arial" w:eastAsia="Arial" w:hAnsi="Arial"/>
          <w:sz w:val="16"/>
          <w:szCs w:val="16"/>
          <w:color w:val="010000"/>
        </w:rPr>
      </w:pPr>
      <w:r>
        <w:rPr>
          <w:rFonts w:ascii="Arial" w:cs="Arial" w:eastAsia="Arial" w:hAnsi="Arial"/>
          <w:sz w:val="16"/>
          <w:szCs w:val="16"/>
          <w:u w:val="single" w:color="auto"/>
          <w:color w:val="auto"/>
        </w:rPr>
        <w:t>Clawback/Repayment</w:t>
      </w:r>
      <w:r>
        <w:rPr>
          <w:rFonts w:ascii="Arial" w:cs="Arial" w:eastAsia="Arial" w:hAnsi="Arial"/>
          <w:sz w:val="16"/>
          <w:szCs w:val="16"/>
          <w:color w:val="auto"/>
        </w:rPr>
        <w:t>. All Awards shall be subject to reduction, cancellation, forfeiture or recoupment to the extent necessary to comply with (i) any clawback, forfeiture or other similar policy adopted by the Board or the Committee and as in effect from time to time; and</w:t>
      </w:r>
    </w:p>
    <w:p>
      <w:pPr>
        <w:jc w:val="both"/>
        <w:ind w:right="40" w:firstLine="10"/>
        <w:spacing w:after="0" w:line="277" w:lineRule="auto"/>
        <w:tabs>
          <w:tab w:leader="none" w:pos="269" w:val="left"/>
        </w:tabs>
        <w:numPr>
          <w:ilvl w:val="0"/>
          <w:numId w:val="88"/>
        </w:numPr>
        <w:rPr>
          <w:rFonts w:ascii="Arial" w:cs="Arial" w:eastAsia="Arial" w:hAnsi="Arial"/>
          <w:sz w:val="17"/>
          <w:szCs w:val="17"/>
          <w:color w:val="auto"/>
        </w:rPr>
      </w:pPr>
      <w:r>
        <w:rPr>
          <w:rFonts w:ascii="Arial" w:cs="Arial" w:eastAsia="Arial" w:hAnsi="Arial"/>
          <w:sz w:val="17"/>
          <w:szCs w:val="17"/>
          <w:color w:val="auto"/>
        </w:rPr>
        <w:t>applicable 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72" w:lineRule="exact"/>
        <w:rPr>
          <w:rFonts w:ascii="Arial" w:cs="Arial" w:eastAsia="Arial" w:hAnsi="Arial"/>
          <w:sz w:val="17"/>
          <w:szCs w:val="17"/>
          <w:color w:val="auto"/>
        </w:rPr>
      </w:pPr>
    </w:p>
    <w:p>
      <w:pPr>
        <w:ind w:right="40" w:firstLine="195"/>
        <w:spacing w:after="0" w:line="308" w:lineRule="auto"/>
        <w:tabs>
          <w:tab w:leader="none" w:pos="844" w:val="left"/>
        </w:tabs>
        <w:numPr>
          <w:ilvl w:val="1"/>
          <w:numId w:val="88"/>
        </w:numPr>
        <w:rPr>
          <w:rFonts w:ascii="Arial" w:cs="Arial" w:eastAsia="Arial" w:hAnsi="Arial"/>
          <w:sz w:val="17"/>
          <w:szCs w:val="17"/>
          <w:color w:val="010000"/>
        </w:rPr>
      </w:pPr>
      <w:r>
        <w:rPr>
          <w:rFonts w:ascii="Arial" w:cs="Arial" w:eastAsia="Arial" w:hAnsi="Arial"/>
          <w:sz w:val="17"/>
          <w:szCs w:val="17"/>
          <w:u w:val="single" w:color="auto"/>
          <w:color w:val="auto"/>
        </w:rPr>
        <w:t>Detrimental Activity</w:t>
      </w:r>
      <w:r>
        <w:rPr>
          <w:rFonts w:ascii="Arial" w:cs="Arial" w:eastAsia="Arial" w:hAnsi="Arial"/>
          <w:sz w:val="17"/>
          <w:szCs w:val="17"/>
          <w:color w:val="auto"/>
        </w:rPr>
        <w:t>. Notwithstanding anything to the contrary contained herein, if a Participant has engaged in any Detrimental Activity, as determined by the Committee, the Committee may, in its sole discretion, provide for one or more of the following:</w:t>
      </w:r>
    </w:p>
    <w:p>
      <w:pPr>
        <w:spacing w:after="0" w:line="146" w:lineRule="exact"/>
        <w:rPr>
          <w:rFonts w:ascii="Arial" w:cs="Arial" w:eastAsia="Arial" w:hAnsi="Arial"/>
          <w:sz w:val="17"/>
          <w:szCs w:val="17"/>
          <w:color w:val="010000"/>
        </w:rPr>
      </w:pPr>
    </w:p>
    <w:p>
      <w:pPr>
        <w:ind w:left="1240" w:hanging="478"/>
        <w:spacing w:after="0"/>
        <w:tabs>
          <w:tab w:leader="none" w:pos="1240" w:val="left"/>
        </w:tabs>
        <w:numPr>
          <w:ilvl w:val="2"/>
          <w:numId w:val="88"/>
        </w:numPr>
        <w:rPr>
          <w:rFonts w:ascii="Arial" w:cs="Arial" w:eastAsia="Arial" w:hAnsi="Arial"/>
          <w:sz w:val="18"/>
          <w:szCs w:val="18"/>
          <w:color w:val="010000"/>
        </w:rPr>
      </w:pPr>
      <w:r>
        <w:rPr>
          <w:rFonts w:ascii="Arial" w:cs="Arial" w:eastAsia="Arial" w:hAnsi="Arial"/>
          <w:sz w:val="18"/>
          <w:szCs w:val="18"/>
          <w:color w:val="auto"/>
        </w:rPr>
        <w:t>cancellation of any or all of such Participant’s outstanding Awards; and</w:t>
      </w:r>
    </w:p>
    <w:p>
      <w:pPr>
        <w:spacing w:after="0" w:line="225" w:lineRule="exact"/>
        <w:rPr>
          <w:rFonts w:ascii="Arial" w:cs="Arial" w:eastAsia="Arial" w:hAnsi="Arial"/>
          <w:sz w:val="18"/>
          <w:szCs w:val="18"/>
          <w:color w:val="010000"/>
        </w:rPr>
      </w:pPr>
    </w:p>
    <w:p>
      <w:pPr>
        <w:ind w:left="120" w:firstLine="642"/>
        <w:spacing w:after="0" w:line="277" w:lineRule="auto"/>
        <w:tabs>
          <w:tab w:leader="none" w:pos="1302" w:val="left"/>
        </w:tabs>
        <w:numPr>
          <w:ilvl w:val="2"/>
          <w:numId w:val="88"/>
        </w:numPr>
        <w:rPr>
          <w:rFonts w:ascii="Arial" w:cs="Arial" w:eastAsia="Arial" w:hAnsi="Arial"/>
          <w:sz w:val="18"/>
          <w:szCs w:val="18"/>
          <w:color w:val="010000"/>
        </w:rPr>
      </w:pPr>
      <w:r>
        <w:rPr>
          <w:rFonts w:ascii="Arial" w:cs="Arial" w:eastAsia="Arial" w:hAnsi="Arial"/>
          <w:sz w:val="18"/>
          <w:szCs w:val="18"/>
          <w:color w:val="auto"/>
        </w:rPr>
        <w:t>forfeiture and prompt repayment to the Company by the Participant, of any gain realized on the vesting, exercise or settlement of any Awards previously granted to such Participant.</w:t>
      </w:r>
    </w:p>
    <w:p>
      <w:pPr>
        <w:spacing w:after="0" w:line="170" w:lineRule="exact"/>
        <w:rPr>
          <w:rFonts w:ascii="Arial" w:cs="Arial" w:eastAsia="Arial" w:hAnsi="Arial"/>
          <w:sz w:val="18"/>
          <w:szCs w:val="18"/>
          <w:color w:val="010000"/>
        </w:rPr>
      </w:pPr>
    </w:p>
    <w:p>
      <w:pPr>
        <w:jc w:val="both"/>
        <w:ind w:right="40" w:firstLine="195"/>
        <w:spacing w:after="0" w:line="290" w:lineRule="auto"/>
        <w:tabs>
          <w:tab w:leader="none" w:pos="858" w:val="left"/>
        </w:tabs>
        <w:numPr>
          <w:ilvl w:val="1"/>
          <w:numId w:val="88"/>
        </w:numPr>
        <w:rPr>
          <w:rFonts w:ascii="Arial" w:cs="Arial" w:eastAsia="Arial" w:hAnsi="Arial"/>
          <w:sz w:val="16"/>
          <w:szCs w:val="16"/>
          <w:color w:val="010000"/>
        </w:rPr>
      </w:pPr>
      <w:r>
        <w:rPr>
          <w:rFonts w:ascii="Arial" w:cs="Arial" w:eastAsia="Arial" w:hAnsi="Arial"/>
          <w:sz w:val="16"/>
          <w:szCs w:val="16"/>
          <w:u w:val="single" w:color="auto"/>
          <w:color w:val="auto"/>
        </w:rPr>
        <w:t>Right of Offset</w:t>
      </w:r>
      <w:r>
        <w:rPr>
          <w:rFonts w:ascii="Arial" w:cs="Arial" w:eastAsia="Arial" w:hAnsi="Arial"/>
          <w:sz w:val="16"/>
          <w:szCs w:val="16"/>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165" w:lineRule="exact"/>
        <w:rPr>
          <w:rFonts w:ascii="Arial" w:cs="Arial" w:eastAsia="Arial" w:hAnsi="Arial"/>
          <w:sz w:val="16"/>
          <w:szCs w:val="16"/>
          <w:color w:val="010000"/>
        </w:rPr>
      </w:pPr>
    </w:p>
    <w:p>
      <w:pPr>
        <w:jc w:val="both"/>
        <w:ind w:right="40" w:firstLine="195"/>
        <w:spacing w:after="0" w:line="263" w:lineRule="auto"/>
        <w:tabs>
          <w:tab w:leader="none" w:pos="872" w:val="left"/>
        </w:tabs>
        <w:numPr>
          <w:ilvl w:val="1"/>
          <w:numId w:val="88"/>
        </w:numPr>
        <w:rPr>
          <w:rFonts w:ascii="Arial" w:cs="Arial" w:eastAsia="Arial" w:hAnsi="Arial"/>
          <w:sz w:val="18"/>
          <w:szCs w:val="18"/>
          <w:color w:val="010000"/>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183" w:lineRule="exact"/>
        <w:rPr>
          <w:rFonts w:ascii="Arial" w:cs="Arial" w:eastAsia="Arial" w:hAnsi="Arial"/>
          <w:sz w:val="18"/>
          <w:szCs w:val="18"/>
          <w:color w:val="010000"/>
        </w:rPr>
      </w:pPr>
    </w:p>
    <w:p>
      <w:pPr>
        <w:jc w:val="both"/>
        <w:ind w:right="40" w:firstLine="195"/>
        <w:spacing w:after="0" w:line="257" w:lineRule="auto"/>
        <w:tabs>
          <w:tab w:leader="none" w:pos="727"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Notwithstanding any other provision of this Plan, (a) the Company shall not be obliged to issue any Shares pursuant to an Award unless at least the nominal value of each such newly issued Share has been fully paid in advance in accordance with applicable law (which requirement may mean the holder of an award is obliged to make such payment) and (b) the Company shall not be obliged to issue or deliver any Shares in satisfaction of Awards until all legal and regulatory requirements associated with such issue or delivery have been complied with to the satisfaction of the Committee.</w:t>
      </w:r>
    </w:p>
    <w:p>
      <w:pPr>
        <w:spacing w:after="0" w:line="18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186055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380"/>
          </w:cols>
          <w:pgMar w:left="880" w:top="341" w:right="6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 2014 OMNIBUS INCENTIVE PLAN</w:t>
      </w:r>
    </w:p>
    <w:p>
      <w:pPr>
        <w:spacing w:after="0" w:line="198" w:lineRule="exact"/>
        <w:rPr>
          <w:sz w:val="20"/>
          <w:szCs w:val="20"/>
          <w:color w:val="auto"/>
        </w:rPr>
      </w:pPr>
    </w:p>
    <w:p>
      <w:pPr>
        <w:ind w:left="560" w:hanging="552"/>
        <w:spacing w:after="0"/>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180" w:firstLine="644"/>
        <w:spacing w:after="0" w:line="238" w:lineRule="auto"/>
        <w:tabs>
          <w:tab w:leader="none" w:pos="149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Plan, which was initially adopted by PRA Health Sciences, Inc., was amended and restated in its current form in connection with the transaction entered into by ICON plc (the "Company"), ICON US Holdings Inc., Indigo Merger Sub, Inc. and PRA Health Sciences, Inc., pursuant to which PRA Health Sciences, Inc. became a Subsidiary of the Company, a public limited company incorporated in Ireland, and the Plan, together with all awards granted thereunder, was assumed by the Company with effect from 1 July 2021 (the "Assumption Date").</w:t>
      </w:r>
    </w:p>
    <w:p>
      <w:pPr>
        <w:spacing w:after="0" w:line="188" w:lineRule="exact"/>
        <w:rPr>
          <w:rFonts w:ascii="Arial" w:cs="Arial" w:eastAsia="Arial" w:hAnsi="Arial"/>
          <w:sz w:val="18"/>
          <w:szCs w:val="18"/>
          <w:color w:val="auto"/>
        </w:rPr>
      </w:pPr>
    </w:p>
    <w:p>
      <w:pPr>
        <w:jc w:val="both"/>
        <w:ind w:left="180" w:firstLine="644"/>
        <w:spacing w:after="0" w:line="237" w:lineRule="auto"/>
        <w:tabs>
          <w:tab w:leader="none" w:pos="14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purpose of the PRA Health Sciences, Inc. 2014 Omnibus Incentive Plan is to provide a means through which the Company and its Affiliates may attract and retain key personnel and to provide a means whereby directors, officers, employees, consultants and advisors (and prospective directors, officers, employees, consultants and advisors) of the Company and its Affiliates can acquire and maintain an equity interest in the Company, or be paid incentive compensation, including incentive compensation measured by reference to the value of Common Stock, thereby strengthening their commitment to the welfare of the Company and its Affiliates and aligning their interests with those of the Company's stockholders.</w:t>
      </w:r>
    </w:p>
    <w:p>
      <w:pPr>
        <w:spacing w:after="0" w:line="169" w:lineRule="exact"/>
        <w:rPr>
          <w:sz w:val="20"/>
          <w:szCs w:val="20"/>
          <w:color w:val="auto"/>
        </w:rPr>
      </w:pPr>
    </w:p>
    <w:p>
      <w:pPr>
        <w:ind w:left="560" w:hanging="552"/>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shall be applicable throughout the Plan.</w:t>
      </w:r>
    </w:p>
    <w:p>
      <w:pPr>
        <w:spacing w:after="0" w:line="220" w:lineRule="exact"/>
        <w:rPr>
          <w:rFonts w:ascii="Arial" w:cs="Arial" w:eastAsia="Arial" w:hAnsi="Arial"/>
          <w:sz w:val="18"/>
          <w:szCs w:val="18"/>
          <w:color w:val="auto"/>
        </w:rPr>
      </w:pPr>
    </w:p>
    <w:p>
      <w:pPr>
        <w:ind w:left="1340" w:hanging="516"/>
        <w:spacing w:after="0"/>
        <w:tabs>
          <w:tab w:leader="none" w:pos="1340"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Absolute Share Limit</w:t>
      </w:r>
      <w:r>
        <w:rPr>
          <w:rFonts w:ascii="Arial" w:cs="Arial" w:eastAsia="Arial" w:hAnsi="Arial"/>
          <w:sz w:val="18"/>
          <w:szCs w:val="18"/>
          <w:color w:val="auto"/>
        </w:rPr>
        <w:t>" has the meaning given such term in Section 5(a) of the Plan.</w:t>
      </w:r>
    </w:p>
    <w:p>
      <w:pPr>
        <w:spacing w:after="0" w:line="198" w:lineRule="exact"/>
        <w:rPr>
          <w:rFonts w:ascii="Arial" w:cs="Arial" w:eastAsia="Arial" w:hAnsi="Arial"/>
          <w:sz w:val="18"/>
          <w:szCs w:val="18"/>
          <w:color w:val="010000"/>
        </w:rPr>
      </w:pPr>
    </w:p>
    <w:p>
      <w:pPr>
        <w:jc w:val="both"/>
        <w:ind w:left="660" w:right="340" w:firstLine="167"/>
        <w:spacing w:after="0" w:line="238" w:lineRule="auto"/>
        <w:tabs>
          <w:tab w:leader="none" w:pos="1459"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91" w:lineRule="exact"/>
        <w:rPr>
          <w:rFonts w:ascii="Arial" w:cs="Arial" w:eastAsia="Arial" w:hAnsi="Arial"/>
          <w:sz w:val="18"/>
          <w:szCs w:val="18"/>
          <w:color w:val="010000"/>
        </w:rPr>
      </w:pPr>
    </w:p>
    <w:p>
      <w:pPr>
        <w:jc w:val="both"/>
        <w:ind w:left="660" w:right="420" w:firstLine="167"/>
        <w:spacing w:after="0"/>
        <w:tabs>
          <w:tab w:leader="none" w:pos="1381"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Other Stock-Based Award and Performance Compensation Award granted under the Plan.</w:t>
      </w:r>
    </w:p>
    <w:p>
      <w:pPr>
        <w:spacing w:after="0" w:line="189" w:lineRule="exact"/>
        <w:rPr>
          <w:rFonts w:ascii="Arial" w:cs="Arial" w:eastAsia="Arial" w:hAnsi="Arial"/>
          <w:sz w:val="18"/>
          <w:szCs w:val="18"/>
          <w:color w:val="010000"/>
        </w:rPr>
      </w:pPr>
    </w:p>
    <w:p>
      <w:pPr>
        <w:ind w:left="1340" w:hanging="513"/>
        <w:spacing w:after="0"/>
        <w:tabs>
          <w:tab w:leader="none" w:pos="1340"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document or documents by which each Award is evidenced.</w:t>
      </w:r>
    </w:p>
    <w:p>
      <w:pPr>
        <w:spacing w:after="0" w:line="198" w:lineRule="exact"/>
        <w:rPr>
          <w:rFonts w:ascii="Arial" w:cs="Arial" w:eastAsia="Arial" w:hAnsi="Arial"/>
          <w:sz w:val="18"/>
          <w:szCs w:val="18"/>
          <w:color w:val="010000"/>
        </w:rPr>
      </w:pPr>
    </w:p>
    <w:p>
      <w:pPr>
        <w:ind w:left="1340" w:hanging="513"/>
        <w:spacing w:after="0"/>
        <w:tabs>
          <w:tab w:leader="none" w:pos="1340"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98" w:lineRule="exact"/>
        <w:rPr>
          <w:rFonts w:ascii="Arial" w:cs="Arial" w:eastAsia="Arial" w:hAnsi="Arial"/>
          <w:sz w:val="18"/>
          <w:szCs w:val="18"/>
          <w:color w:val="010000"/>
        </w:rPr>
      </w:pPr>
    </w:p>
    <w:p>
      <w:pPr>
        <w:jc w:val="both"/>
        <w:ind w:left="660" w:right="300" w:firstLine="167"/>
        <w:spacing w:after="0" w:line="236" w:lineRule="auto"/>
        <w:tabs>
          <w:tab w:leader="none" w:pos="1378" w:val="left"/>
        </w:tabs>
        <w:numPr>
          <w:ilvl w:val="1"/>
          <w:numId w:val="9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as to any Participant, unless the applicable Award Agreement states otherwise, (i) "Cause", as defined in any employment or consulting agreement between the Participant and the Service Recipient in effect at the time of such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or could reasonably be expected to result in, material harm to the business or reputation of the Company or any Affiliate; (C) conviction of, or plea of guilty or no contest to, (I) any felony; or (II) any other crime that results, or could reasonably be expected to result in, material harm to the business or reputation of the Company or any Affiliate;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Affiliate; or (F) act of personal dishonesty that involves personal profit in connection with the Participant's employment or service to the Service Recipient.</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4" w:name="page55"/>
    <w:bookmarkEnd w:id="54"/>
    <w:p>
      <w:pPr>
        <w:ind w:left="720" w:hanging="562"/>
        <w:spacing w:after="0"/>
        <w:tabs>
          <w:tab w:leader="none" w:pos="720"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198" w:lineRule="exact"/>
        <w:rPr>
          <w:rFonts w:ascii="Arial" w:cs="Arial" w:eastAsia="Arial" w:hAnsi="Arial"/>
          <w:sz w:val="18"/>
          <w:szCs w:val="18"/>
          <w:color w:val="010000"/>
        </w:rPr>
      </w:pPr>
    </w:p>
    <w:p>
      <w:pPr>
        <w:jc w:val="both"/>
        <w:ind w:left="80" w:right="20" w:firstLine="654"/>
        <w:spacing w:after="0" w:line="236" w:lineRule="auto"/>
        <w:tabs>
          <w:tab w:leader="none" w:pos="1373"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192" w:lineRule="exact"/>
        <w:rPr>
          <w:rFonts w:ascii="Arial" w:cs="Arial" w:eastAsia="Arial" w:hAnsi="Arial"/>
          <w:sz w:val="18"/>
          <w:szCs w:val="18"/>
          <w:color w:val="010000"/>
        </w:rPr>
      </w:pPr>
    </w:p>
    <w:p>
      <w:pPr>
        <w:jc w:val="both"/>
        <w:ind w:left="80" w:right="20" w:firstLine="654"/>
        <w:spacing w:after="0" w:line="236" w:lineRule="auto"/>
        <w:tabs>
          <w:tab w:leader="none" w:pos="1345"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during any period of twelve (12) months, individuals who, at the beginning of such period, constitute the Board (the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193" w:lineRule="exact"/>
        <w:rPr>
          <w:rFonts w:ascii="Arial" w:cs="Arial" w:eastAsia="Arial" w:hAnsi="Arial"/>
          <w:sz w:val="18"/>
          <w:szCs w:val="18"/>
          <w:color w:val="010000"/>
        </w:rPr>
      </w:pPr>
    </w:p>
    <w:p>
      <w:pPr>
        <w:ind w:left="80" w:right="80" w:firstLine="654"/>
        <w:spacing w:after="0" w:line="246" w:lineRule="auto"/>
        <w:tabs>
          <w:tab w:leader="none" w:pos="1318"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the sale, transfer or other disposition of all or substantially all of the assets of the Company to any Person that is not an Affiliate of the Company.</w:t>
      </w:r>
    </w:p>
    <w:p>
      <w:pPr>
        <w:spacing w:after="0" w:line="183" w:lineRule="exact"/>
        <w:rPr>
          <w:rFonts w:ascii="Arial" w:cs="Arial" w:eastAsia="Arial" w:hAnsi="Arial"/>
          <w:sz w:val="18"/>
          <w:szCs w:val="18"/>
          <w:color w:val="010000"/>
        </w:rPr>
      </w:pPr>
    </w:p>
    <w:p>
      <w:pPr>
        <w:jc w:val="both"/>
        <w:ind w:right="20" w:firstLine="167"/>
        <w:spacing w:after="0"/>
        <w:tabs>
          <w:tab w:leader="none" w:pos="758"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89" w:lineRule="exact"/>
        <w:rPr>
          <w:rFonts w:ascii="Arial" w:cs="Arial" w:eastAsia="Arial" w:hAnsi="Arial"/>
          <w:sz w:val="18"/>
          <w:szCs w:val="18"/>
          <w:color w:val="010000"/>
        </w:rPr>
      </w:pPr>
    </w:p>
    <w:p>
      <w:pPr>
        <w:ind w:right="20" w:firstLine="167"/>
        <w:spacing w:after="0" w:line="246" w:lineRule="auto"/>
        <w:tabs>
          <w:tab w:leader="none" w:pos="69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properly delegated subcommittee thereof or, if no such Compensation Committee or subcommittee thereof exists, the Board.</w:t>
      </w:r>
    </w:p>
    <w:p>
      <w:pPr>
        <w:spacing w:after="0" w:line="183" w:lineRule="exact"/>
        <w:rPr>
          <w:rFonts w:ascii="Arial" w:cs="Arial" w:eastAsia="Arial" w:hAnsi="Arial"/>
          <w:sz w:val="18"/>
          <w:szCs w:val="18"/>
          <w:color w:val="010000"/>
        </w:rPr>
      </w:pPr>
    </w:p>
    <w:p>
      <w:pPr>
        <w:ind w:firstLine="167"/>
        <w:spacing w:after="0" w:line="246" w:lineRule="auto"/>
        <w:tabs>
          <w:tab w:leader="none" w:pos="73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shares in the capital of the Company (or ordinary shares as represented by American Depository Shares and as evidenced by American Depository Receipts).</w:t>
      </w:r>
    </w:p>
    <w:p>
      <w:pPr>
        <w:spacing w:after="0" w:line="183" w:lineRule="exact"/>
        <w:rPr>
          <w:rFonts w:ascii="Arial" w:cs="Arial" w:eastAsia="Arial" w:hAnsi="Arial"/>
          <w:sz w:val="18"/>
          <w:szCs w:val="18"/>
          <w:color w:val="010000"/>
        </w:rPr>
      </w:pPr>
    </w:p>
    <w:p>
      <w:pPr>
        <w:ind w:left="680" w:hanging="513"/>
        <w:spacing w:after="0"/>
        <w:tabs>
          <w:tab w:leader="none" w:pos="680"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ICON plc, a public limited company registered in Ireland, and any successor thereto.</w:t>
      </w:r>
    </w:p>
    <w:p>
      <w:pPr>
        <w:spacing w:after="0" w:line="198" w:lineRule="exact"/>
        <w:rPr>
          <w:rFonts w:ascii="Arial" w:cs="Arial" w:eastAsia="Arial" w:hAnsi="Arial"/>
          <w:sz w:val="18"/>
          <w:szCs w:val="18"/>
          <w:color w:val="010000"/>
        </w:rPr>
      </w:pPr>
    </w:p>
    <w:p>
      <w:pPr>
        <w:ind w:right="120" w:firstLine="167"/>
        <w:spacing w:after="0" w:line="246" w:lineRule="auto"/>
        <w:tabs>
          <w:tab w:leader="none" w:pos="856"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the granting of an Award is authorized, or such other date as may be specified in such authorization.</w:t>
      </w:r>
    </w:p>
    <w:p>
      <w:pPr>
        <w:spacing w:after="0" w:line="183" w:lineRule="exact"/>
        <w:rPr>
          <w:rFonts w:ascii="Arial" w:cs="Arial" w:eastAsia="Arial" w:hAnsi="Arial"/>
          <w:sz w:val="18"/>
          <w:szCs w:val="18"/>
          <w:color w:val="010000"/>
        </w:rPr>
      </w:pPr>
    </w:p>
    <w:p>
      <w:pPr>
        <w:ind w:right="40" w:firstLine="167"/>
        <w:spacing w:after="0" w:line="246" w:lineRule="auto"/>
        <w:tabs>
          <w:tab w:leader="none" w:pos="704"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Designated Foreign Subsidiaries</w:t>
      </w:r>
      <w:r>
        <w:rPr>
          <w:rFonts w:ascii="Arial" w:cs="Arial" w:eastAsia="Arial" w:hAnsi="Arial"/>
          <w:sz w:val="18"/>
          <w:szCs w:val="18"/>
          <w:color w:val="auto"/>
        </w:rPr>
        <w:t>" means all Affiliates organized under the laws of any jurisdiction or country other than the United States of America that may be designated by the Board or the Committee from time to time.</w:t>
      </w:r>
    </w:p>
    <w:p>
      <w:pPr>
        <w:spacing w:after="0" w:line="183" w:lineRule="exact"/>
        <w:rPr>
          <w:rFonts w:ascii="Arial" w:cs="Arial" w:eastAsia="Arial" w:hAnsi="Arial"/>
          <w:sz w:val="18"/>
          <w:szCs w:val="18"/>
          <w:color w:val="010000"/>
        </w:rPr>
      </w:pPr>
    </w:p>
    <w:p>
      <w:pPr>
        <w:jc w:val="both"/>
        <w:ind w:right="140" w:firstLine="167"/>
        <w:spacing w:after="0" w:line="238" w:lineRule="auto"/>
        <w:tabs>
          <w:tab w:leader="none" w:pos="920"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 the following: (i) unauthorized disclosure of any confidential or proprietary information of the Company or its Affiliates; (ii) any activity that would be grounds to terminate the Participant's employment or service with the Service Recipient for Cause; (iii) the breach of any noncompetition, nonsolicitation or other agreement containing restrictive covenants, with the Company or its Affiliates; or (iv) fraud or conduct contributing to any financial restatements or irregularities, as determined by the Committee in its sole discretion.</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980" w:top="355" w:right="619" w:bottom="1440" w:gutter="0" w:footer="0" w:header="0"/>
        </w:sectPr>
      </w:pPr>
    </w:p>
    <w:bookmarkStart w:id="55" w:name="page56"/>
    <w:bookmarkEnd w:id="55"/>
    <w:p>
      <w:pPr>
        <w:jc w:val="both"/>
        <w:ind w:right="60" w:firstLine="167"/>
        <w:spacing w:after="0" w:line="237" w:lineRule="auto"/>
        <w:tabs>
          <w:tab w:leader="none" w:pos="745"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as to any Participant, unless the applicable Award Agreement states otherwise, (i) "Disability", as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Any determination of whether Disability exists shall be made by the Company in its sole and absolute discretion.</w:t>
      </w:r>
    </w:p>
    <w:p>
      <w:pPr>
        <w:spacing w:after="0" w:line="189" w:lineRule="exact"/>
        <w:rPr>
          <w:rFonts w:ascii="Arial" w:cs="Arial" w:eastAsia="Arial" w:hAnsi="Arial"/>
          <w:sz w:val="18"/>
          <w:szCs w:val="18"/>
          <w:color w:val="010000"/>
        </w:rPr>
      </w:pPr>
    </w:p>
    <w:p>
      <w:pPr>
        <w:ind w:left="680" w:hanging="513"/>
        <w:spacing w:after="0"/>
        <w:tabs>
          <w:tab w:leader="none" w:pos="68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October 31, 2014.</w:t>
      </w:r>
    </w:p>
    <w:p>
      <w:pPr>
        <w:spacing w:after="0" w:line="198" w:lineRule="exact"/>
        <w:rPr>
          <w:rFonts w:ascii="Arial" w:cs="Arial" w:eastAsia="Arial" w:hAnsi="Arial"/>
          <w:sz w:val="18"/>
          <w:szCs w:val="18"/>
          <w:color w:val="010000"/>
        </w:rPr>
      </w:pPr>
    </w:p>
    <w:p>
      <w:pPr>
        <w:jc w:val="both"/>
        <w:ind w:right="40" w:firstLine="167"/>
        <w:spacing w:after="0" w:line="236" w:lineRule="auto"/>
        <w:tabs>
          <w:tab w:leader="none" w:pos="691"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Eligible Director</w:t>
      </w:r>
      <w:r>
        <w:rPr>
          <w:rFonts w:ascii="Arial" w:cs="Arial" w:eastAsia="Arial" w:hAnsi="Arial"/>
          <w:sz w:val="18"/>
          <w:szCs w:val="18"/>
          <w:color w:val="auto"/>
        </w:rPr>
        <w:t>" means a person who is (i) with respect to actions intended to obtain an exemption from Section 16(b) of the Exchange Act pursuant to Rule 16b-3 under the Exchange Act, a "non-employee director" within the meaning of Rule 16b-3 under the Exchange Act; (ii) with respect to actions intended to obtain the exception for performance- based compensation under 162(m) of the Code, an "outside director" within the meaning of Section 162(m) of the Code; and (iii) with respect to actions undertaken to comply with the rules of the NASDAQ or any other securities exchange or inter-dealer quotation system on which the Common Stock is listed or quoted, an "independent director" under the rules of the NASDAQ or any other securities exchange or inter-dealer quotation system on which the Common Stock is listed or quoted, or a person meeting any similar requirement under any successor rule or regulation.</w:t>
      </w:r>
    </w:p>
    <w:p>
      <w:pPr>
        <w:spacing w:after="0" w:line="176" w:lineRule="exact"/>
        <w:rPr>
          <w:rFonts w:ascii="Arial" w:cs="Arial" w:eastAsia="Arial" w:hAnsi="Arial"/>
          <w:sz w:val="18"/>
          <w:szCs w:val="18"/>
          <w:color w:val="010000"/>
        </w:rPr>
      </w:pPr>
    </w:p>
    <w:p>
      <w:pPr>
        <w:jc w:val="both"/>
        <w:ind w:right="40" w:firstLine="167"/>
        <w:spacing w:after="0" w:line="237" w:lineRule="auto"/>
        <w:tabs>
          <w:tab w:leader="none" w:pos="768"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Eligible Person</w:t>
      </w:r>
      <w:r>
        <w:rPr>
          <w:rFonts w:ascii="Arial" w:cs="Arial" w:eastAsia="Arial" w:hAnsi="Arial"/>
          <w:sz w:val="18"/>
          <w:szCs w:val="18"/>
          <w:color w:val="auto"/>
        </w:rPr>
        <w:t xml:space="preserve">" means any (i) individual employed by the Company or an Affiliate;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the Company or an Affiliate; (iii) consultant or advisor to the Company or an Affiliate who may be offered securities registrable pursuant to a registration statement on Form S-8 under the Securities Act; or (iv) any prospective employees, directors, officers, consultants or advisors who have accepted offers of employment or consultancy from the Company or one of its Affiliates (and would satisfy the provisions of clauses (i) through (iii) above once he or she begins employment with or providing services to the Company or one of its Affiliates), who, in the case of each of clauses (i) through (iv) above has entered into an Award Agreement or who has received written notification from the Committee or its designee that they have been selected to participate in the Plan. Solely for purposes of this Section 2(r), "Affiliate" shall be limited to: (1) a Subsidiary; (2) any parent corporation of the Company within the meaning of Section 424(e) of the Code ("</w:t>
      </w:r>
      <w:r>
        <w:rPr>
          <w:rFonts w:ascii="Arial" w:cs="Arial" w:eastAsia="Arial" w:hAnsi="Arial"/>
          <w:sz w:val="18"/>
          <w:szCs w:val="18"/>
          <w:u w:val="single" w:color="auto"/>
          <w:color w:val="auto"/>
        </w:rPr>
        <w:t>Parent</w:t>
      </w:r>
      <w:r>
        <w:rPr>
          <w:rFonts w:ascii="Arial" w:cs="Arial" w:eastAsia="Arial" w:hAnsi="Arial"/>
          <w:sz w:val="18"/>
          <w:szCs w:val="18"/>
          <w:color w:val="auto"/>
        </w:rPr>
        <w:t>"); (3) any corporation, trade or business of which 50% or more of the combined voting power of such entity's outstanding securities is directly or indirectly controlled by the Company or any Subsidiary or Parent; or (4) any corporation, trade or business which, directly or indirectly, controls 50% or more of the combined voting power of the outstanding securities of the Company.</w:t>
      </w:r>
    </w:p>
    <w:p>
      <w:pPr>
        <w:spacing w:after="0" w:line="193" w:lineRule="exact"/>
        <w:rPr>
          <w:rFonts w:ascii="Arial" w:cs="Arial" w:eastAsia="Arial" w:hAnsi="Arial"/>
          <w:sz w:val="18"/>
          <w:szCs w:val="18"/>
          <w:color w:val="010000"/>
        </w:rPr>
      </w:pPr>
    </w:p>
    <w:p>
      <w:pPr>
        <w:jc w:val="both"/>
        <w:ind w:firstLine="167"/>
        <w:spacing w:after="0" w:line="238" w:lineRule="auto"/>
        <w:tabs>
          <w:tab w:leader="none" w:pos="811"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91" w:lineRule="exact"/>
        <w:rPr>
          <w:rFonts w:ascii="Arial" w:cs="Arial" w:eastAsia="Arial" w:hAnsi="Arial"/>
          <w:sz w:val="18"/>
          <w:szCs w:val="18"/>
          <w:color w:val="010000"/>
        </w:rPr>
      </w:pPr>
    </w:p>
    <w:p>
      <w:pPr>
        <w:ind w:left="720" w:hanging="562"/>
        <w:spacing w:after="0"/>
        <w:tabs>
          <w:tab w:leader="none" w:pos="72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given such term in Section 7(b) of the Plan.</w:t>
      </w: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355" w:right="719" w:bottom="1440" w:gutter="0" w:footer="0" w:header="0"/>
        </w:sectPr>
      </w:pPr>
    </w:p>
    <w:bookmarkStart w:id="56" w:name="page57"/>
    <w:bookmarkEnd w:id="56"/>
    <w:p>
      <w:pPr>
        <w:jc w:val="both"/>
        <w:ind w:firstLine="167"/>
        <w:spacing w:after="0" w:line="236" w:lineRule="auto"/>
        <w:tabs>
          <w:tab w:leader="none" w:pos="772"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means, on a given date, if (i)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the Common Stock is not listed on any national securities exchange but is quoted in an inter- dealer quotation system on a last sale basis, the average between the closing bid price and ask price reported on such date, or, if there is no such sale on that date, then on the last preceding date on which a sale was reported; or (iii) the Common Stock is not listed on a national securities exchange or quoted in an inter-dealer quotation system on a last sale basis, the amount determined by the Committee in good faith to be the fair market value of the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as to any Awards granted on or with a Date of Grant of the date of the pricing of the Company's initial public offering, "Fair Market Value" shall be equal to the per share price the Common Stock is offered to the public in connection with such initial public offering.</w:t>
      </w:r>
    </w:p>
    <w:p>
      <w:pPr>
        <w:spacing w:after="0" w:line="192" w:lineRule="exact"/>
        <w:rPr>
          <w:rFonts w:ascii="Arial" w:cs="Arial" w:eastAsia="Arial" w:hAnsi="Arial"/>
          <w:sz w:val="18"/>
          <w:szCs w:val="18"/>
          <w:color w:val="010000"/>
        </w:rPr>
      </w:pPr>
    </w:p>
    <w:p>
      <w:pPr>
        <w:ind w:left="720" w:hanging="553"/>
        <w:spacing w:after="0"/>
        <w:tabs>
          <w:tab w:leader="none" w:pos="72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given such term in Section 14(b) of the Plan</w:t>
      </w:r>
    </w:p>
    <w:p>
      <w:pPr>
        <w:spacing w:after="0" w:line="198" w:lineRule="exact"/>
        <w:rPr>
          <w:rFonts w:ascii="Arial" w:cs="Arial" w:eastAsia="Arial" w:hAnsi="Arial"/>
          <w:sz w:val="18"/>
          <w:szCs w:val="18"/>
          <w:color w:val="010000"/>
        </w:rPr>
      </w:pPr>
    </w:p>
    <w:p>
      <w:pPr>
        <w:ind w:left="720" w:hanging="553"/>
        <w:spacing w:after="0"/>
        <w:tabs>
          <w:tab w:leader="none" w:pos="72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given such term in Section 14(b) of the Plan.</w:t>
      </w:r>
    </w:p>
    <w:p>
      <w:pPr>
        <w:spacing w:after="0" w:line="180" w:lineRule="exact"/>
        <w:rPr>
          <w:rFonts w:ascii="Arial" w:cs="Arial" w:eastAsia="Arial" w:hAnsi="Arial"/>
          <w:sz w:val="18"/>
          <w:szCs w:val="18"/>
          <w:color w:val="010000"/>
        </w:rPr>
      </w:pPr>
    </w:p>
    <w:p>
      <w:pPr>
        <w:ind w:firstLine="167"/>
        <w:spacing w:after="0" w:line="267" w:lineRule="auto"/>
        <w:tabs>
          <w:tab w:leader="none" w:pos="829"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xml:space="preserve">" means an Option which is designated by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as an incentive stock option as described in Section 422 of the Code and otherwise meets the requirements set forth in the Plan.</w:t>
      </w:r>
    </w:p>
    <w:p>
      <w:pPr>
        <w:spacing w:after="0" w:line="164" w:lineRule="exact"/>
        <w:rPr>
          <w:rFonts w:ascii="Arial" w:cs="Arial" w:eastAsia="Arial" w:hAnsi="Arial"/>
          <w:sz w:val="18"/>
          <w:szCs w:val="18"/>
          <w:color w:val="010000"/>
        </w:rPr>
      </w:pPr>
    </w:p>
    <w:p>
      <w:pPr>
        <w:ind w:left="680" w:hanging="513"/>
        <w:spacing w:after="0"/>
        <w:tabs>
          <w:tab w:leader="none" w:pos="68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given such term in Section 4(e) of the Plan.</w:t>
      </w:r>
    </w:p>
    <w:p>
      <w:pPr>
        <w:spacing w:after="0" w:line="198" w:lineRule="exact"/>
        <w:rPr>
          <w:rFonts w:ascii="Arial" w:cs="Arial" w:eastAsia="Arial" w:hAnsi="Arial"/>
          <w:sz w:val="18"/>
          <w:szCs w:val="18"/>
          <w:color w:val="010000"/>
        </w:rPr>
      </w:pPr>
    </w:p>
    <w:p>
      <w:pPr>
        <w:ind w:left="680" w:hanging="513"/>
        <w:spacing w:after="0"/>
        <w:tabs>
          <w:tab w:leader="none" w:pos="68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Market.</w:t>
      </w:r>
    </w:p>
    <w:p>
      <w:pPr>
        <w:spacing w:after="0" w:line="198" w:lineRule="exact"/>
        <w:rPr>
          <w:sz w:val="20"/>
          <w:szCs w:val="20"/>
          <w:color w:val="auto"/>
        </w:rPr>
      </w:pPr>
    </w:p>
    <w:p>
      <w:pPr>
        <w:ind w:firstLine="167"/>
        <w:spacing w:after="0" w:line="246" w:lineRule="auto"/>
        <w:tabs>
          <w:tab w:leader="none" w:pos="785" w:val="left"/>
        </w:tabs>
        <w:numPr>
          <w:ilvl w:val="0"/>
          <w:numId w:val="94"/>
        </w:numPr>
        <w:rPr>
          <w:rFonts w:ascii="Arial" w:cs="Arial" w:eastAsia="Arial" w:hAnsi="Arial"/>
          <w:sz w:val="18"/>
          <w:szCs w:val="18"/>
          <w:color w:val="010000"/>
        </w:rPr>
      </w:pPr>
      <w:r>
        <w:rPr>
          <w:rFonts w:ascii="Arial" w:cs="Arial" w:eastAsia="Arial" w:hAnsi="Arial"/>
          <w:sz w:val="18"/>
          <w:szCs w:val="18"/>
          <w:color w:val="010000"/>
        </w:rPr>
        <w:t>"</w:t>
      </w:r>
      <w:r>
        <w:rPr>
          <w:rFonts w:ascii="Arial" w:cs="Arial" w:eastAsia="Arial" w:hAnsi="Arial"/>
          <w:sz w:val="18"/>
          <w:szCs w:val="18"/>
          <w:u w:val="single" w:color="auto"/>
          <w:color w:val="010000"/>
        </w:rPr>
        <w:t>Negative Discretion</w:t>
      </w:r>
      <w:r>
        <w:rPr>
          <w:rFonts w:ascii="Arial" w:cs="Arial" w:eastAsia="Arial" w:hAnsi="Arial"/>
          <w:sz w:val="18"/>
          <w:szCs w:val="18"/>
          <w:color w:val="010000"/>
        </w:rPr>
        <w:t>" means the discretion authorized by the Plan to be applied by the Committee to eliminate or reduce the size of a Performance Compensation Award consistent with Section 162(m) of the Code.</w:t>
      </w:r>
    </w:p>
    <w:p>
      <w:pPr>
        <w:spacing w:after="0" w:line="178" w:lineRule="exact"/>
        <w:rPr>
          <w:rFonts w:ascii="Arial" w:cs="Arial" w:eastAsia="Arial" w:hAnsi="Arial"/>
          <w:sz w:val="18"/>
          <w:szCs w:val="18"/>
          <w:color w:val="010000"/>
        </w:rPr>
      </w:pPr>
    </w:p>
    <w:p>
      <w:pPr>
        <w:ind w:left="760" w:hanging="593"/>
        <w:spacing w:after="0"/>
        <w:tabs>
          <w:tab w:leader="none" w:pos="76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which is not designated by the Committee as an Incentive Stock</w:t>
      </w:r>
    </w:p>
    <w:p>
      <w:pPr>
        <w:spacing w:after="0"/>
        <w:rPr>
          <w:rFonts w:ascii="Arial" w:cs="Arial" w:eastAsia="Arial" w:hAnsi="Arial"/>
          <w:sz w:val="18"/>
          <w:szCs w:val="18"/>
          <w:color w:val="010000"/>
        </w:rPr>
      </w:pPr>
      <w:r>
        <w:rPr>
          <w:rFonts w:ascii="Arial" w:cs="Arial" w:eastAsia="Arial" w:hAnsi="Arial"/>
          <w:sz w:val="18"/>
          <w:szCs w:val="18"/>
          <w:color w:val="auto"/>
        </w:rPr>
        <w:t>Option.</w:t>
      </w:r>
    </w:p>
    <w:p>
      <w:pPr>
        <w:spacing w:after="0" w:line="198" w:lineRule="exact"/>
        <w:rPr>
          <w:rFonts w:ascii="Arial" w:cs="Arial" w:eastAsia="Arial" w:hAnsi="Arial"/>
          <w:sz w:val="18"/>
          <w:szCs w:val="18"/>
          <w:color w:val="010000"/>
        </w:rPr>
      </w:pPr>
    </w:p>
    <w:p>
      <w:pPr>
        <w:ind w:left="660" w:hanging="493"/>
        <w:spacing w:after="0"/>
        <w:tabs>
          <w:tab w:leader="none" w:pos="660" w:val="left"/>
        </w:tabs>
        <w:numPr>
          <w:ilvl w:val="0"/>
          <w:numId w:val="94"/>
        </w:numPr>
        <w:rPr>
          <w:rFonts w:ascii="Arial" w:cs="Arial" w:eastAsia="Arial" w:hAnsi="Arial"/>
          <w:sz w:val="18"/>
          <w:szCs w:val="18"/>
          <w:color w:val="010000"/>
        </w:rPr>
      </w:pPr>
      <w:r>
        <w:rPr>
          <w:rFonts w:ascii="Arial" w:cs="Arial" w:eastAsia="Arial" w:hAnsi="Arial"/>
          <w:sz w:val="18"/>
          <w:szCs w:val="18"/>
          <w:color w:val="010000"/>
        </w:rPr>
        <w:t>"</w:t>
      </w:r>
      <w:r>
        <w:rPr>
          <w:rFonts w:ascii="Arial" w:cs="Arial" w:eastAsia="Arial" w:hAnsi="Arial"/>
          <w:sz w:val="18"/>
          <w:szCs w:val="18"/>
          <w:u w:val="single" w:color="auto"/>
          <w:color w:val="010000"/>
        </w:rPr>
        <w:t>Non-Employee Director</w:t>
      </w:r>
      <w:r>
        <w:rPr>
          <w:rFonts w:ascii="Arial" w:cs="Arial" w:eastAsia="Arial" w:hAnsi="Arial"/>
          <w:sz w:val="18"/>
          <w:szCs w:val="18"/>
          <w:color w:val="010000"/>
        </w:rPr>
        <w:t>" means a member of the Board who is not an employee of the Company or any Affiliate.</w:t>
      </w:r>
    </w:p>
    <w:p>
      <w:pPr>
        <w:spacing w:after="0" w:line="198" w:lineRule="exact"/>
        <w:rPr>
          <w:rFonts w:ascii="Arial" w:cs="Arial" w:eastAsia="Arial" w:hAnsi="Arial"/>
          <w:sz w:val="18"/>
          <w:szCs w:val="18"/>
          <w:color w:val="010000"/>
        </w:rPr>
      </w:pPr>
    </w:p>
    <w:p>
      <w:pPr>
        <w:ind w:left="680" w:hanging="513"/>
        <w:spacing w:after="0"/>
        <w:tabs>
          <w:tab w:leader="none" w:pos="68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198" w:lineRule="exact"/>
        <w:rPr>
          <w:rFonts w:ascii="Arial" w:cs="Arial" w:eastAsia="Arial" w:hAnsi="Arial"/>
          <w:sz w:val="18"/>
          <w:szCs w:val="18"/>
          <w:color w:val="010000"/>
        </w:rPr>
      </w:pPr>
    </w:p>
    <w:p>
      <w:pPr>
        <w:ind w:left="680" w:hanging="513"/>
        <w:spacing w:after="0"/>
        <w:tabs>
          <w:tab w:leader="none" w:pos="68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given such term in Section 7(c) of the Plan.</w:t>
      </w:r>
    </w:p>
    <w:p>
      <w:pPr>
        <w:spacing w:after="0" w:line="198" w:lineRule="exact"/>
        <w:rPr>
          <w:rFonts w:ascii="Arial" w:cs="Arial" w:eastAsia="Arial" w:hAnsi="Arial"/>
          <w:sz w:val="18"/>
          <w:szCs w:val="18"/>
          <w:color w:val="010000"/>
        </w:rPr>
      </w:pPr>
    </w:p>
    <w:p>
      <w:pPr>
        <w:ind w:left="740" w:hanging="576"/>
        <w:spacing w:after="0"/>
        <w:tabs>
          <w:tab w:leader="none" w:pos="74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an Award granted under Section 10 of the Plan.</w:t>
      </w:r>
    </w:p>
    <w:p>
      <w:pPr>
        <w:spacing w:after="0" w:line="198" w:lineRule="exact"/>
        <w:rPr>
          <w:rFonts w:ascii="Arial" w:cs="Arial" w:eastAsia="Arial" w:hAnsi="Arial"/>
          <w:sz w:val="18"/>
          <w:szCs w:val="18"/>
          <w:color w:val="010000"/>
        </w:rPr>
      </w:pPr>
    </w:p>
    <w:p>
      <w:pPr>
        <w:ind w:firstLine="167"/>
        <w:spacing w:after="0" w:line="246" w:lineRule="auto"/>
        <w:tabs>
          <w:tab w:leader="none" w:pos="772"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Person who has been selected by the Committee to participate in the Plan and to receive an Award pursuant to the Plan.</w:t>
      </w:r>
    </w:p>
    <w:p>
      <w:pPr>
        <w:spacing w:after="0" w:line="183" w:lineRule="exact"/>
        <w:rPr>
          <w:rFonts w:ascii="Arial" w:cs="Arial" w:eastAsia="Arial" w:hAnsi="Arial"/>
          <w:sz w:val="18"/>
          <w:szCs w:val="18"/>
          <w:color w:val="010000"/>
        </w:rPr>
      </w:pPr>
    </w:p>
    <w:p>
      <w:pPr>
        <w:ind w:firstLine="167"/>
        <w:spacing w:after="0" w:line="246" w:lineRule="auto"/>
        <w:tabs>
          <w:tab w:leader="none" w:pos="691"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Compensation Award</w:t>
      </w:r>
      <w:r>
        <w:rPr>
          <w:rFonts w:ascii="Arial" w:cs="Arial" w:eastAsia="Arial" w:hAnsi="Arial"/>
          <w:sz w:val="18"/>
          <w:szCs w:val="18"/>
          <w:color w:val="auto"/>
        </w:rPr>
        <w:t>" means any Award designated by the Committee as a Performance Compensation Award pursuant to Section 11 of the Plan.</w:t>
      </w:r>
    </w:p>
    <w:p>
      <w:pPr>
        <w:spacing w:after="0" w:line="183" w:lineRule="exact"/>
        <w:rPr>
          <w:rFonts w:ascii="Arial" w:cs="Arial" w:eastAsia="Arial" w:hAnsi="Arial"/>
          <w:sz w:val="18"/>
          <w:szCs w:val="18"/>
          <w:color w:val="010000"/>
        </w:rPr>
      </w:pPr>
    </w:p>
    <w:p>
      <w:pPr>
        <w:ind w:firstLine="167"/>
        <w:spacing w:after="0" w:line="246" w:lineRule="auto"/>
        <w:tabs>
          <w:tab w:leader="none" w:pos="752"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means the criterion or criteria that the Committee shall select for purposes of establishing the Performance Goals for a Performance Period with respect to any Performance Compensation Award under the Plan.</w:t>
      </w:r>
    </w:p>
    <w:p>
      <w:pPr>
        <w:spacing w:after="0" w:line="183" w:lineRule="exact"/>
        <w:rPr>
          <w:rFonts w:ascii="Arial" w:cs="Arial" w:eastAsia="Arial" w:hAnsi="Arial"/>
          <w:sz w:val="18"/>
          <w:szCs w:val="18"/>
          <w:color w:val="010000"/>
        </w:rPr>
      </w:pPr>
    </w:p>
    <w:p>
      <w:pPr>
        <w:jc w:val="both"/>
        <w:ind w:firstLine="167"/>
        <w:spacing w:after="0" w:line="238" w:lineRule="auto"/>
        <w:tabs>
          <w:tab w:leader="none" w:pos="819"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Formula</w:t>
      </w:r>
      <w:r>
        <w:rPr>
          <w:rFonts w:ascii="Arial" w:cs="Arial" w:eastAsia="Arial" w:hAnsi="Arial"/>
          <w:sz w:val="18"/>
          <w:szCs w:val="18"/>
          <w:color w:val="auto"/>
        </w:rPr>
        <w:t>" means,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91" w:lineRule="exact"/>
        <w:rPr>
          <w:rFonts w:ascii="Arial" w:cs="Arial" w:eastAsia="Arial" w:hAnsi="Arial"/>
          <w:sz w:val="18"/>
          <w:szCs w:val="18"/>
          <w:color w:val="010000"/>
        </w:rPr>
      </w:pPr>
    </w:p>
    <w:p>
      <w:pPr>
        <w:ind w:firstLine="167"/>
        <w:spacing w:after="0" w:line="246" w:lineRule="auto"/>
        <w:tabs>
          <w:tab w:leader="none" w:pos="725"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Goals</w:t>
      </w:r>
      <w:r>
        <w:rPr>
          <w:rFonts w:ascii="Arial" w:cs="Arial" w:eastAsia="Arial" w:hAnsi="Arial"/>
          <w:sz w:val="18"/>
          <w:szCs w:val="18"/>
          <w:color w:val="auto"/>
        </w:rPr>
        <w:t>" means, for a Performance Period, the one or more goals established by the Committee for the Performance Period based upon the Performance Criteria.</w:t>
      </w:r>
    </w:p>
    <w:p>
      <w:pPr>
        <w:spacing w:after="0" w:line="39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355" w:right="719" w:bottom="1440" w:gutter="0" w:footer="0" w:header="0"/>
        </w:sectPr>
      </w:pPr>
    </w:p>
    <w:bookmarkStart w:id="57" w:name="page58"/>
    <w:bookmarkEnd w:id="57"/>
    <w:p>
      <w:pPr>
        <w:jc w:val="both"/>
        <w:ind w:firstLine="167"/>
        <w:spacing w:after="0"/>
        <w:tabs>
          <w:tab w:leader="none" w:pos="671"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one or more periods of time of not less than 12 months, as the Committee may select, over which the attainment of one or more Performance Goals will be measured for the purpose of determining a Participant's right to, and the payment of, a Performance Compensation Award.</w:t>
      </w:r>
    </w:p>
    <w:p>
      <w:pPr>
        <w:spacing w:after="0" w:line="189" w:lineRule="exact"/>
        <w:rPr>
          <w:rFonts w:ascii="Arial" w:cs="Arial" w:eastAsia="Arial" w:hAnsi="Arial"/>
          <w:sz w:val="18"/>
          <w:szCs w:val="18"/>
          <w:color w:val="010000"/>
        </w:rPr>
      </w:pPr>
    </w:p>
    <w:p>
      <w:pPr>
        <w:ind w:left="680" w:hanging="513"/>
        <w:spacing w:after="0"/>
        <w:tabs>
          <w:tab w:leader="none" w:pos="68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given such term in Section 14(b) of the Plan.</w:t>
      </w:r>
    </w:p>
    <w:p>
      <w:pPr>
        <w:spacing w:after="0" w:line="198" w:lineRule="exact"/>
        <w:rPr>
          <w:rFonts w:ascii="Arial" w:cs="Arial" w:eastAsia="Arial" w:hAnsi="Arial"/>
          <w:sz w:val="18"/>
          <w:szCs w:val="18"/>
          <w:color w:val="010000"/>
        </w:rPr>
      </w:pPr>
    </w:p>
    <w:p>
      <w:pPr>
        <w:ind w:firstLine="167"/>
        <w:spacing w:after="0" w:line="246" w:lineRule="auto"/>
        <w:tabs>
          <w:tab w:leader="none" w:pos="812"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Section 14(d)(2) of the Exchange Act).</w:t>
      </w:r>
    </w:p>
    <w:p>
      <w:pPr>
        <w:spacing w:after="0" w:line="183" w:lineRule="exact"/>
        <w:rPr>
          <w:rFonts w:ascii="Arial" w:cs="Arial" w:eastAsia="Arial" w:hAnsi="Arial"/>
          <w:sz w:val="18"/>
          <w:szCs w:val="18"/>
          <w:color w:val="010000"/>
        </w:rPr>
      </w:pPr>
    </w:p>
    <w:p>
      <w:pPr>
        <w:ind w:left="680" w:hanging="513"/>
        <w:spacing w:after="0"/>
        <w:tabs>
          <w:tab w:leader="none" w:pos="68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PRA Health Sciences, Inc. 2014 Omnibus Incentive Plan, as it may be amended from time to time.</w:t>
      </w:r>
    </w:p>
    <w:p>
      <w:pPr>
        <w:spacing w:after="0" w:line="198" w:lineRule="exact"/>
        <w:rPr>
          <w:rFonts w:ascii="Arial" w:cs="Arial" w:eastAsia="Arial" w:hAnsi="Arial"/>
          <w:sz w:val="18"/>
          <w:szCs w:val="18"/>
          <w:color w:val="010000"/>
        </w:rPr>
      </w:pPr>
    </w:p>
    <w:p>
      <w:pPr>
        <w:jc w:val="both"/>
        <w:ind w:firstLine="167"/>
        <w:spacing w:after="0"/>
        <w:tabs>
          <w:tab w:leader="none" w:pos="812"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89" w:lineRule="exact"/>
        <w:rPr>
          <w:rFonts w:ascii="Arial" w:cs="Arial" w:eastAsia="Arial" w:hAnsi="Arial"/>
          <w:sz w:val="18"/>
          <w:szCs w:val="18"/>
          <w:color w:val="010000"/>
        </w:rPr>
      </w:pPr>
    </w:p>
    <w:p>
      <w:pPr>
        <w:jc w:val="both"/>
        <w:ind w:firstLine="167"/>
        <w:spacing w:after="0"/>
        <w:tabs>
          <w:tab w:leader="none" w:pos="691"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Common Stock, subject to certain specified restrictions (which may include, without limitation, a requirement that the Participant remain continuously employed or provide continuous services for a specified period of time), granted under Section 9 of the Plan.</w:t>
      </w:r>
    </w:p>
    <w:p>
      <w:pPr>
        <w:spacing w:after="0" w:line="189" w:lineRule="exact"/>
        <w:rPr>
          <w:rFonts w:ascii="Arial" w:cs="Arial" w:eastAsia="Arial" w:hAnsi="Arial"/>
          <w:sz w:val="18"/>
          <w:szCs w:val="18"/>
          <w:color w:val="010000"/>
        </w:rPr>
      </w:pPr>
    </w:p>
    <w:p>
      <w:pPr>
        <w:jc w:val="both"/>
        <w:ind w:firstLine="167"/>
        <w:spacing w:after="0" w:line="238" w:lineRule="auto"/>
        <w:tabs>
          <w:tab w:leader="none" w:pos="764"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9 of the Plan.</w:t>
      </w:r>
    </w:p>
    <w:p>
      <w:pPr>
        <w:spacing w:after="0" w:line="191" w:lineRule="exact"/>
        <w:rPr>
          <w:rFonts w:ascii="Arial" w:cs="Arial" w:eastAsia="Arial" w:hAnsi="Arial"/>
          <w:sz w:val="18"/>
          <w:szCs w:val="18"/>
          <w:color w:val="010000"/>
        </w:rPr>
      </w:pPr>
    </w:p>
    <w:p>
      <w:pPr>
        <w:ind w:left="660" w:hanging="493"/>
        <w:spacing w:after="0"/>
        <w:tabs>
          <w:tab w:leader="none" w:pos="66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SAR Period</w:t>
      </w:r>
      <w:r>
        <w:rPr>
          <w:rFonts w:ascii="Arial" w:cs="Arial" w:eastAsia="Arial" w:hAnsi="Arial"/>
          <w:sz w:val="18"/>
          <w:szCs w:val="18"/>
          <w:color w:val="auto"/>
        </w:rPr>
        <w:t>" has the meaning given such term in Section 8(c) of the Plan.</w:t>
      </w:r>
    </w:p>
    <w:p>
      <w:pPr>
        <w:spacing w:after="0" w:line="198" w:lineRule="exact"/>
        <w:rPr>
          <w:rFonts w:ascii="Arial" w:cs="Arial" w:eastAsia="Arial" w:hAnsi="Arial"/>
          <w:sz w:val="18"/>
          <w:szCs w:val="18"/>
          <w:color w:val="010000"/>
        </w:rPr>
      </w:pPr>
    </w:p>
    <w:p>
      <w:pPr>
        <w:jc w:val="both"/>
        <w:ind w:firstLine="167"/>
        <w:spacing w:after="0" w:line="238" w:lineRule="auto"/>
        <w:tabs>
          <w:tab w:leader="none" w:pos="758"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91" w:lineRule="exact"/>
        <w:rPr>
          <w:rFonts w:ascii="Arial" w:cs="Arial" w:eastAsia="Arial" w:hAnsi="Arial"/>
          <w:sz w:val="18"/>
          <w:szCs w:val="18"/>
          <w:color w:val="010000"/>
        </w:rPr>
      </w:pPr>
    </w:p>
    <w:p>
      <w:pPr>
        <w:jc w:val="both"/>
        <w:ind w:firstLine="167"/>
        <w:spacing w:after="0" w:line="261" w:lineRule="auto"/>
        <w:tabs>
          <w:tab w:leader="none" w:pos="691" w:val="left"/>
        </w:tabs>
        <w:numPr>
          <w:ilvl w:val="0"/>
          <w:numId w:val="95"/>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u w:val="single" w:color="auto"/>
          <w:color w:val="auto"/>
        </w:rPr>
        <w:t>Service Recipient</w:t>
      </w:r>
      <w:r>
        <w:rPr>
          <w:rFonts w:ascii="Arial" w:cs="Arial" w:eastAsia="Arial" w:hAnsi="Arial"/>
          <w:sz w:val="17"/>
          <w:szCs w:val="17"/>
          <w:color w:val="auto"/>
        </w:rPr>
        <w:t>" means, with respect to a Participant holding a given Award, either the Company or an Affiliate of the Company by which the original recipient of such Award is, or following a Termination was most recently, principally employed or to which such original recipient provides, or following a Termination was most recently providing, services, as applicable.</w:t>
      </w:r>
    </w:p>
    <w:p>
      <w:pPr>
        <w:spacing w:after="0" w:line="172" w:lineRule="exact"/>
        <w:rPr>
          <w:rFonts w:ascii="Arial" w:cs="Arial" w:eastAsia="Arial" w:hAnsi="Arial"/>
          <w:sz w:val="17"/>
          <w:szCs w:val="17"/>
          <w:color w:val="010000"/>
        </w:rPr>
      </w:pPr>
    </w:p>
    <w:p>
      <w:pPr>
        <w:ind w:left="720" w:hanging="553"/>
        <w:spacing w:after="0"/>
        <w:tabs>
          <w:tab w:leader="none" w:pos="72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Plan.</w:t>
      </w:r>
    </w:p>
    <w:p>
      <w:pPr>
        <w:spacing w:after="0" w:line="198" w:lineRule="exact"/>
        <w:rPr>
          <w:rFonts w:ascii="Arial" w:cs="Arial" w:eastAsia="Arial" w:hAnsi="Arial"/>
          <w:sz w:val="18"/>
          <w:szCs w:val="18"/>
          <w:color w:val="010000"/>
        </w:rPr>
      </w:pPr>
    </w:p>
    <w:p>
      <w:pPr>
        <w:ind w:left="700" w:hanging="533"/>
        <w:spacing w:after="0"/>
        <w:tabs>
          <w:tab w:leader="none" w:pos="70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Strike Price</w:t>
      </w:r>
      <w:r>
        <w:rPr>
          <w:rFonts w:ascii="Arial" w:cs="Arial" w:eastAsia="Arial" w:hAnsi="Arial"/>
          <w:sz w:val="18"/>
          <w:szCs w:val="18"/>
          <w:color w:val="auto"/>
        </w:rPr>
        <w:t>" has the meaning given such term in Section 8(b) of the Plan.</w:t>
      </w:r>
    </w:p>
    <w:p>
      <w:pPr>
        <w:spacing w:after="0" w:line="198" w:lineRule="exact"/>
        <w:rPr>
          <w:rFonts w:ascii="Arial" w:cs="Arial" w:eastAsia="Arial" w:hAnsi="Arial"/>
          <w:sz w:val="18"/>
          <w:szCs w:val="18"/>
          <w:color w:val="010000"/>
        </w:rPr>
      </w:pPr>
    </w:p>
    <w:p>
      <w:pPr>
        <w:ind w:left="720" w:hanging="562"/>
        <w:spacing w:after="0"/>
        <w:tabs>
          <w:tab w:leader="none" w:pos="72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198" w:lineRule="exact"/>
        <w:rPr>
          <w:rFonts w:ascii="Arial" w:cs="Arial" w:eastAsia="Arial" w:hAnsi="Arial"/>
          <w:sz w:val="18"/>
          <w:szCs w:val="18"/>
          <w:color w:val="010000"/>
        </w:rPr>
      </w:pPr>
    </w:p>
    <w:p>
      <w:pPr>
        <w:jc w:val="both"/>
        <w:ind w:left="100" w:right="20" w:firstLine="652"/>
        <w:spacing w:after="0" w:line="238" w:lineRule="auto"/>
        <w:tabs>
          <w:tab w:leader="none" w:pos="1258" w:val="left"/>
        </w:tabs>
        <w:numPr>
          <w:ilvl w:val="2"/>
          <w:numId w:val="95"/>
        </w:numPr>
        <w:rPr>
          <w:rFonts w:ascii="Arial" w:cs="Arial" w:eastAsia="Arial" w:hAnsi="Arial"/>
          <w:sz w:val="18"/>
          <w:szCs w:val="18"/>
          <w:color w:val="010000"/>
        </w:rPr>
      </w:pPr>
      <w:r>
        <w:rPr>
          <w:rFonts w:ascii="Arial" w:cs="Arial" w:eastAsia="Arial" w:hAnsi="Arial"/>
          <w:sz w:val="18"/>
          <w:szCs w:val="18"/>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91" w:lineRule="exact"/>
        <w:rPr>
          <w:rFonts w:ascii="Arial" w:cs="Arial" w:eastAsia="Arial" w:hAnsi="Arial"/>
          <w:sz w:val="18"/>
          <w:szCs w:val="18"/>
          <w:color w:val="010000"/>
        </w:rPr>
      </w:pPr>
    </w:p>
    <w:p>
      <w:pPr>
        <w:jc w:val="both"/>
        <w:ind w:left="100" w:right="100" w:firstLine="652"/>
        <w:spacing w:after="0" w:line="238" w:lineRule="auto"/>
        <w:tabs>
          <w:tab w:leader="none" w:pos="1500" w:val="left"/>
        </w:tabs>
        <w:numPr>
          <w:ilvl w:val="2"/>
          <w:numId w:val="95"/>
        </w:numPr>
        <w:rPr>
          <w:rFonts w:ascii="Arial" w:cs="Arial" w:eastAsia="Arial" w:hAnsi="Arial"/>
          <w:sz w:val="18"/>
          <w:szCs w:val="18"/>
          <w:color w:val="010000"/>
        </w:rPr>
      </w:pPr>
      <w:r>
        <w:rPr>
          <w:rFonts w:ascii="Arial" w:cs="Arial" w:eastAsia="Arial" w:hAnsi="Arial"/>
          <w:sz w:val="18"/>
          <w:szCs w:val="18"/>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91" w:lineRule="exact"/>
        <w:rPr>
          <w:rFonts w:ascii="Arial" w:cs="Arial" w:eastAsia="Arial" w:hAnsi="Arial"/>
          <w:sz w:val="18"/>
          <w:szCs w:val="18"/>
          <w:color w:val="010000"/>
        </w:rPr>
      </w:pPr>
    </w:p>
    <w:p>
      <w:pPr>
        <w:ind w:left="740" w:hanging="556"/>
        <w:spacing w:after="0"/>
        <w:tabs>
          <w:tab w:leader="none" w:pos="740" w:val="left"/>
        </w:tabs>
        <w:numPr>
          <w:ilvl w:val="1"/>
          <w:numId w:val="9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w:t>
      </w:r>
      <w:r>
        <w:rPr>
          <w:rFonts w:ascii="Arial" w:cs="Arial" w:eastAsia="Arial" w:hAnsi="Arial"/>
          <w:sz w:val="18"/>
          <w:szCs w:val="18"/>
          <w:color w:val="auto"/>
        </w:rPr>
        <w:t>" has the meaning given such term in Section 5(e) of the Plan.</w:t>
      </w: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355" w:right="719" w:bottom="1440" w:gutter="0" w:footer="0" w:header="0"/>
        </w:sectPr>
      </w:pPr>
    </w:p>
    <w:bookmarkStart w:id="58" w:name="page59"/>
    <w:bookmarkEnd w:id="58"/>
    <w:p>
      <w:pPr>
        <w:jc w:val="both"/>
        <w:ind w:left="652" w:right="60" w:firstLine="184"/>
        <w:spacing w:after="0" w:line="237" w:lineRule="auto"/>
        <w:tabs>
          <w:tab w:leader="none" w:pos="1353"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Sub-Plans</w:t>
      </w:r>
      <w:r>
        <w:rPr>
          <w:rFonts w:ascii="Arial" w:cs="Arial" w:eastAsia="Arial" w:hAnsi="Arial"/>
          <w:sz w:val="18"/>
          <w:szCs w:val="18"/>
          <w:color w:val="auto"/>
        </w:rPr>
        <w:t>" means any sub-plan to this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shall apply in the aggregate to the Plan and any Sub-Plan adopted hereunder.</w:t>
      </w:r>
    </w:p>
    <w:p>
      <w:pPr>
        <w:spacing w:after="0" w:line="186" w:lineRule="exact"/>
        <w:rPr>
          <w:rFonts w:ascii="Arial" w:cs="Arial" w:eastAsia="Arial" w:hAnsi="Arial"/>
          <w:sz w:val="18"/>
          <w:szCs w:val="18"/>
          <w:color w:val="010000"/>
        </w:rPr>
      </w:pPr>
    </w:p>
    <w:p>
      <w:pPr>
        <w:ind w:left="1432" w:hanging="595"/>
        <w:spacing w:after="0"/>
        <w:tabs>
          <w:tab w:leader="none" w:pos="1432"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the termination of a Participant's employment or service, as applicable, with the Service</w:t>
      </w:r>
    </w:p>
    <w:p>
      <w:pPr>
        <w:ind w:left="552"/>
        <w:spacing w:after="0"/>
        <w:rPr>
          <w:rFonts w:ascii="Arial" w:cs="Arial" w:eastAsia="Arial" w:hAnsi="Arial"/>
          <w:sz w:val="18"/>
          <w:szCs w:val="18"/>
          <w:color w:val="010000"/>
        </w:rPr>
      </w:pPr>
      <w:r>
        <w:rPr>
          <w:rFonts w:ascii="Arial" w:cs="Arial" w:eastAsia="Arial" w:hAnsi="Arial"/>
          <w:sz w:val="18"/>
          <w:szCs w:val="18"/>
          <w:color w:val="auto"/>
        </w:rPr>
        <w:t>Recipient.</w:t>
      </w:r>
    </w:p>
    <w:p>
      <w:pPr>
        <w:spacing w:after="0" w:line="176" w:lineRule="exact"/>
        <w:rPr>
          <w:sz w:val="20"/>
          <w:szCs w:val="20"/>
          <w:color w:val="auto"/>
        </w:rPr>
      </w:pPr>
    </w:p>
    <w:p>
      <w:pPr>
        <w:jc w:val="both"/>
        <w:ind w:left="552" w:right="20" w:hanging="552"/>
        <w:spacing w:after="0" w:line="244" w:lineRule="auto"/>
        <w:tabs>
          <w:tab w:leader="none" w:pos="552"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Effective Date; Duration</w:t>
      </w:r>
      <w:r>
        <w:rPr>
          <w:rFonts w:ascii="Arial" w:cs="Arial" w:eastAsia="Arial" w:hAnsi="Arial"/>
          <w:sz w:val="18"/>
          <w:szCs w:val="18"/>
          <w:color w:val="auto"/>
        </w:rPr>
        <w:t>. The Plan became effective as of the Effective Date. The expiration date of the Plan shall be the tenth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anniversary of the Effective Date, subject to earlier termination by the Committee pursuant to Section 13(a);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expiration shall not affect Awards then outstanding, and the terms and conditions of the Plan shall continue to apply to such Awards; and provided further that on and after the Assumption Date no new Awards have been or shall be granted hereunder.</w:t>
      </w:r>
    </w:p>
    <w:p>
      <w:pPr>
        <w:spacing w:after="0" w:line="163" w:lineRule="exact"/>
        <w:rPr>
          <w:sz w:val="20"/>
          <w:szCs w:val="20"/>
          <w:color w:val="auto"/>
        </w:rPr>
      </w:pPr>
    </w:p>
    <w:p>
      <w:pPr>
        <w:ind w:left="552" w:hanging="552"/>
        <w:spacing w:after="0"/>
        <w:tabs>
          <w:tab w:leader="none" w:pos="552"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right="20" w:firstLine="285"/>
        <w:spacing w:after="0" w:line="237" w:lineRule="auto"/>
        <w:tabs>
          <w:tab w:leader="none" w:pos="1590" w:val="left"/>
        </w:tabs>
        <w:numPr>
          <w:ilvl w:val="2"/>
          <w:numId w:val="98"/>
        </w:numPr>
        <w:rPr>
          <w:rFonts w:ascii="Arial" w:cs="Arial" w:eastAsia="Arial" w:hAnsi="Arial"/>
          <w:sz w:val="18"/>
          <w:szCs w:val="18"/>
          <w:color w:val="010000"/>
        </w:rPr>
      </w:pPr>
      <w:r>
        <w:rPr>
          <w:rFonts w:ascii="Arial" w:cs="Arial" w:eastAsia="Arial" w:hAnsi="Arial"/>
          <w:sz w:val="18"/>
          <w:szCs w:val="18"/>
          <w:color w:val="auto"/>
        </w:rPr>
        <w:t>The Committee shall administer the Plan. To the extent required to comply with the provisions of Rule 16b-3 promulgated under the Exchange Act (if the Board is not acting as the Committee under the Plan) or necessary to obtain the exception for performance-based compensation under Section 162(m) of the Code, as applicable, it is intended that each member of the Committee shall, at the time he or she takes any action with respect to an Award under the Plan that is subject to Rule 16b-3 or Section 162(m) of the Code, as applicable, be an Eligible Director. However, the fact that a Committee member shall fail to qualify as an Eligible Director shall not invalidate any Award granted by the Committee that is otherwise validly granted under the Plan.</w:t>
      </w:r>
    </w:p>
    <w:p>
      <w:pPr>
        <w:spacing w:after="0" w:line="189" w:lineRule="exact"/>
        <w:rPr>
          <w:rFonts w:ascii="Arial" w:cs="Arial" w:eastAsia="Arial" w:hAnsi="Arial"/>
          <w:sz w:val="18"/>
          <w:szCs w:val="18"/>
          <w:color w:val="010000"/>
        </w:rPr>
      </w:pPr>
    </w:p>
    <w:p>
      <w:pPr>
        <w:jc w:val="both"/>
        <w:ind w:left="552" w:firstLine="285"/>
        <w:spacing w:after="0" w:line="235" w:lineRule="auto"/>
        <w:tabs>
          <w:tab w:leader="none" w:pos="1428" w:val="left"/>
        </w:tabs>
        <w:numPr>
          <w:ilvl w:val="2"/>
          <w:numId w:val="98"/>
        </w:numPr>
        <w:rPr>
          <w:rFonts w:ascii="Arial" w:cs="Arial" w:eastAsia="Arial" w:hAnsi="Arial"/>
          <w:sz w:val="18"/>
          <w:szCs w:val="18"/>
          <w:color w:val="010000"/>
        </w:rPr>
      </w:pPr>
      <w:r>
        <w:rPr>
          <w:rFonts w:ascii="Arial" w:cs="Arial" w:eastAsia="Arial" w:hAnsi="Arial"/>
          <w:sz w:val="18"/>
          <w:szCs w:val="18"/>
          <w:color w:val="auto"/>
        </w:rPr>
        <w:t>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make any other determination and take any other action that the Committee deems necessary or desirable for the administration of the Plan; and (x) adopt Sub-Plans.</w:t>
      </w:r>
    </w:p>
    <w:p>
      <w:pPr>
        <w:spacing w:after="0" w:line="200" w:lineRule="exact"/>
        <w:rPr>
          <w:rFonts w:ascii="Arial" w:cs="Arial" w:eastAsia="Arial" w:hAnsi="Arial"/>
          <w:sz w:val="18"/>
          <w:szCs w:val="18"/>
          <w:color w:val="010000"/>
        </w:rPr>
      </w:pPr>
    </w:p>
    <w:p>
      <w:pPr>
        <w:jc w:val="both"/>
        <w:ind w:left="552" w:firstLine="285"/>
        <w:spacing w:after="0" w:line="234" w:lineRule="auto"/>
        <w:tabs>
          <w:tab w:leader="none" w:pos="1377" w:val="left"/>
        </w:tabs>
        <w:numPr>
          <w:ilvl w:val="2"/>
          <w:numId w:val="98"/>
        </w:numPr>
        <w:rPr>
          <w:rFonts w:ascii="Arial" w:cs="Arial" w:eastAsia="Arial" w:hAnsi="Arial"/>
          <w:sz w:val="18"/>
          <w:szCs w:val="18"/>
          <w:color w:val="010000"/>
        </w:rPr>
      </w:pPr>
      <w:r>
        <w:rPr>
          <w:rFonts w:ascii="Arial" w:cs="Arial" w:eastAsia="Arial" w:hAnsi="Arial"/>
          <w:sz w:val="18"/>
          <w:szCs w:val="18"/>
          <w:color w:val="auto"/>
        </w:rPr>
        <w:t>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the Company or any Subsidiary, the authority to act on behalf of the Committee with respect to any matter, right, obligation, or election which is the responsibility of, or which is allocated to, the Committee herein, and which may be so delegated as a matter of law, except for grants of Awards to persons (i) who are Non-Employee Directors or otherwise are subject to Section 16 of the Exchange Act or</w:t>
      </w:r>
    </w:p>
    <w:p>
      <w:pPr>
        <w:spacing w:after="0" w:line="5" w:lineRule="exact"/>
        <w:rPr>
          <w:rFonts w:ascii="Arial" w:cs="Arial" w:eastAsia="Arial" w:hAnsi="Arial"/>
          <w:sz w:val="18"/>
          <w:szCs w:val="18"/>
          <w:color w:val="010000"/>
        </w:rPr>
      </w:pPr>
    </w:p>
    <w:p>
      <w:pPr>
        <w:ind w:left="812" w:hanging="250"/>
        <w:spacing w:after="0"/>
        <w:tabs>
          <w:tab w:leader="none" w:pos="812" w:val="left"/>
        </w:tabs>
        <w:numPr>
          <w:ilvl w:val="1"/>
          <w:numId w:val="99"/>
        </w:numPr>
        <w:rPr>
          <w:rFonts w:ascii="Arial" w:cs="Arial" w:eastAsia="Arial" w:hAnsi="Arial"/>
          <w:sz w:val="18"/>
          <w:szCs w:val="18"/>
          <w:color w:val="auto"/>
        </w:rPr>
      </w:pPr>
      <w:r>
        <w:rPr>
          <w:rFonts w:ascii="Arial" w:cs="Arial" w:eastAsia="Arial" w:hAnsi="Arial"/>
          <w:sz w:val="18"/>
          <w:szCs w:val="18"/>
          <w:color w:val="auto"/>
        </w:rPr>
        <w:t>who are, or who are reasonably expected to be, "covered employees" for purposes of Section 162(m) of the Code.</w:t>
      </w:r>
    </w:p>
    <w:p>
      <w:pPr>
        <w:spacing w:after="0" w:line="200" w:lineRule="exact"/>
        <w:rPr>
          <w:sz w:val="20"/>
          <w:szCs w:val="20"/>
          <w:color w:val="auto"/>
        </w:rPr>
      </w:pPr>
    </w:p>
    <w:p>
      <w:pPr>
        <w:spacing w:after="0" w:line="214"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328" w:top="355" w:right="699" w:bottom="1440" w:gutter="0" w:footer="0" w:header="0"/>
        </w:sectPr>
      </w:pPr>
    </w:p>
    <w:bookmarkStart w:id="59" w:name="page60"/>
    <w:bookmarkEnd w:id="59"/>
    <w:p>
      <w:pPr>
        <w:jc w:val="both"/>
        <w:ind w:left="552" w:firstLine="285"/>
        <w:spacing w:after="0" w:line="238" w:lineRule="auto"/>
        <w:tabs>
          <w:tab w:leader="none" w:pos="1401"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of its Affiliates, any Participant, any holder or beneficiary of any Award, and any stockholder of the Company.</w:t>
      </w:r>
    </w:p>
    <w:p>
      <w:pPr>
        <w:spacing w:after="0" w:line="188" w:lineRule="exact"/>
        <w:rPr>
          <w:rFonts w:ascii="Arial" w:cs="Arial" w:eastAsia="Arial" w:hAnsi="Arial"/>
          <w:sz w:val="18"/>
          <w:szCs w:val="18"/>
          <w:color w:val="010000"/>
        </w:rPr>
      </w:pPr>
    </w:p>
    <w:p>
      <w:pPr>
        <w:jc w:val="both"/>
        <w:ind w:left="552" w:firstLine="285"/>
        <w:spacing w:after="0" w:line="235" w:lineRule="auto"/>
        <w:tabs>
          <w:tab w:leader="none" w:pos="1455"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No member of the Board, the Committee or any employee or agent of the Company or any Subsidiary (each such person, an "</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Company's or any Subsidiary's organizational documents.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198" w:lineRule="exact"/>
        <w:rPr>
          <w:rFonts w:ascii="Arial" w:cs="Arial" w:eastAsia="Arial" w:hAnsi="Arial"/>
          <w:sz w:val="18"/>
          <w:szCs w:val="18"/>
          <w:color w:val="010000"/>
        </w:rPr>
      </w:pPr>
    </w:p>
    <w:p>
      <w:pPr>
        <w:jc w:val="both"/>
        <w:ind w:left="552" w:firstLine="285"/>
        <w:spacing w:after="0" w:line="238" w:lineRule="auto"/>
        <w:tabs>
          <w:tab w:leader="none" w:pos="1428"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Notwithstanding anything to the contrary contained in the Plan, the Board may, in its sole discretion, at any time and from time to time, grant Awards and administer the Plan with respect to such Awards. Any such actions by the Board shall be subject to the applicable rules of the NASDAQ or any other securities exchange or inter-dealer quotation system on which the Common Stock is listed or quoted. In any such case, the Board shall have all the authority granted to the Committee under the Plan.</w:t>
      </w:r>
    </w:p>
    <w:p>
      <w:pPr>
        <w:spacing w:after="0" w:line="167" w:lineRule="exact"/>
        <w:rPr>
          <w:sz w:val="20"/>
          <w:szCs w:val="20"/>
          <w:color w:val="auto"/>
        </w:rPr>
      </w:pPr>
    </w:p>
    <w:p>
      <w:pPr>
        <w:ind w:left="552" w:hanging="552"/>
        <w:spacing w:after="0"/>
        <w:tabs>
          <w:tab w:leader="none" w:pos="552"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 Limitations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352" w:hanging="515"/>
        <w:spacing w:after="0"/>
        <w:tabs>
          <w:tab w:leader="none" w:pos="1352" w:val="left"/>
        </w:tabs>
        <w:numPr>
          <w:ilvl w:val="1"/>
          <w:numId w:val="101"/>
        </w:numPr>
        <w:rPr>
          <w:rFonts w:ascii="Arial" w:cs="Arial" w:eastAsia="Arial" w:hAnsi="Arial"/>
          <w:sz w:val="18"/>
          <w:szCs w:val="18"/>
          <w:color w:val="010000"/>
        </w:rPr>
      </w:pPr>
      <w:r>
        <w:rPr>
          <w:rFonts w:ascii="Arial" w:cs="Arial" w:eastAsia="Arial" w:hAnsi="Arial"/>
          <w:sz w:val="18"/>
          <w:szCs w:val="18"/>
          <w:color w:val="auto"/>
        </w:rPr>
        <w:t>The Committee may, from time to time, grant Awards to one or more Eligible Persons.</w:t>
      </w:r>
    </w:p>
    <w:p>
      <w:pPr>
        <w:spacing w:after="0" w:line="200" w:lineRule="exact"/>
        <w:rPr>
          <w:sz w:val="20"/>
          <w:szCs w:val="20"/>
          <w:color w:val="auto"/>
        </w:rPr>
      </w:pPr>
    </w:p>
    <w:p>
      <w:pPr>
        <w:spacing w:after="0" w:line="214"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328" w:top="355" w:right="699" w:bottom="1440" w:gutter="0" w:footer="0" w:header="0"/>
        </w:sectPr>
      </w:pPr>
    </w:p>
    <w:bookmarkStart w:id="60" w:name="page61"/>
    <w:bookmarkEnd w:id="60"/>
    <w:p>
      <w:pPr>
        <w:jc w:val="both"/>
        <w:ind w:firstLine="285"/>
        <w:spacing w:after="0" w:line="235" w:lineRule="auto"/>
        <w:tabs>
          <w:tab w:leader="none" w:pos="862"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Awards granted under the Plan shall be subject to the following limitations and the proviso at the end of this Section 5(b): (i) subject to Section 12 of the Plan, no more than 3,200,000 shares of Common Stock, plus any shares of Common Stock subject to outstanding awards granted under the 2013 Stock Incentive Plan for Key Employees of PRA Health Sciences, Inc. and its Subsidiaries that, after the Effective Date, expire or are otherwise forfeited or terminated in accordance with their terms, in each case, without the delivery of shares of Common Stock in settlement thereof (the "</w:t>
      </w:r>
      <w:r>
        <w:rPr>
          <w:rFonts w:ascii="Arial" w:cs="Arial" w:eastAsia="Arial" w:hAnsi="Arial"/>
          <w:sz w:val="18"/>
          <w:szCs w:val="18"/>
          <w:u w:val="single" w:color="auto"/>
          <w:color w:val="auto"/>
        </w:rPr>
        <w:t>Absolute Share Limit</w:t>
      </w:r>
      <w:r>
        <w:rPr>
          <w:rFonts w:ascii="Arial" w:cs="Arial" w:eastAsia="Arial" w:hAnsi="Arial"/>
          <w:sz w:val="18"/>
          <w:szCs w:val="18"/>
          <w:color w:val="auto"/>
        </w:rPr>
        <w:t xml:space="preserve">"), shall be available for Awards under the Plan; (ii) subject to Section 12 of the Plan, grants of Options or SARs under the Plan in respect of no more than 1,000,000 shares of Common Stock may be made to any individual Participant during any single fiscal year of the Company (for this purpose, if a SAR is granted in tandem with an Option (such that the SAR expires with respect to the number of shares of Common Stock for which the Option is exercised), only the shares underlying the Option shall count against this limitation); (iii) subject to Section 12 of the Plan, no more than 3,200,000 shares of Common Stock may be issued in the aggregate pursuant to the exercise of Incentive Stock Options granted under the Plan; (iv) subject to Section 12 of the Plan, no more than 2,000,000 shares of Common Stock may be issued in respect of Performance Compensation Awards denominated in shares of Common Stock granted pursuant to Section 11 of the Plan to any individual Participant for a single fiscal year during a Performance Period (or with respect to each single fiscal year in the event a Performance Period extends beyond a single fiscal year), or in the event such share denominated Performance Compensation Award is paid in cash, other securities, other Awards or other property, no more than the Fair Market Value of such shares of Common Stock on the last day of the Performance Period to which such Award relates; (v) the maximum number of shares of Common Stock subject to Awards granted during a single fiscal year to any Non- Employee Director, taken together with any cash fees paid to such Non-Employee Director during the fiscal year, shall not exceed $500,000 in total value (calculating the value of any such Awards based on the grant date fair value of such Awards for financial reporting purposes); and (vi) the maximum amount that can be paid to any individual Participant for a single fiscal year during a Performance Period (or with respect to each single fiscal year in the event a Performance Period extends beyond a single fiscal year) pursuant to a Performance Compensation Award denominated in cash (described in Section 11(a) of the Plan) shall be $7,500,000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all cases with respect to each of the foregoing limits in parts (i), (ii), (iii), (iv), (v) and (vi) the specified limits or values will be reduced by the amount of any PRA Health Sciences Inc. common stock that was issued in settlement of the respective outstanding awards under the Plan prior to the Assumption Date.</w:t>
      </w:r>
    </w:p>
    <w:p>
      <w:pPr>
        <w:spacing w:after="0" w:line="198" w:lineRule="exact"/>
        <w:rPr>
          <w:rFonts w:ascii="Arial" w:cs="Arial" w:eastAsia="Arial" w:hAnsi="Arial"/>
          <w:sz w:val="18"/>
          <w:szCs w:val="18"/>
          <w:color w:val="010000"/>
        </w:rPr>
      </w:pPr>
    </w:p>
    <w:p>
      <w:pPr>
        <w:jc w:val="both"/>
        <w:ind w:firstLine="285"/>
        <w:spacing w:after="0" w:line="236" w:lineRule="auto"/>
        <w:tabs>
          <w:tab w:leader="none" w:pos="825"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 xml:space="preserve">Other than with respect to Substitute Awards, to the extent that an Award expires or is canceled, forfeited, terminated, settled in cash, or otherwise is settled without delivery to the Participant of the full number of shares of Common Stock to which the Award related, the undelivered shares will again be available for grant. Shares of Common Stock withheld in payment of the exercise price or taxes relating to an Award and shares equal to the number of shares surrendered in payment of any Exercise Price or Strike Price, or taxes relating to an Award, shall be deemed to constitute shares not issued to the Participant and shall be deemed to again be available for Awards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shares shall not become available for issuance hereunder if either: (i) the applicable shares are withheld or surrendered following the termination of the Plan; or (ii) at the time the applicable shares are withheld or surrendered, it would constitute a material revision of the Plan subject to stockholder approval under any then-applicable rules of the national securities exchange on which the Common Stock is listed.</w:t>
      </w:r>
    </w:p>
    <w:p>
      <w:pPr>
        <w:spacing w:after="0" w:line="193" w:lineRule="exact"/>
        <w:rPr>
          <w:rFonts w:ascii="Arial" w:cs="Arial" w:eastAsia="Arial" w:hAnsi="Arial"/>
          <w:sz w:val="18"/>
          <w:szCs w:val="18"/>
          <w:color w:val="010000"/>
        </w:rPr>
      </w:pPr>
    </w:p>
    <w:p>
      <w:pPr>
        <w:jc w:val="both"/>
        <w:ind w:firstLine="285"/>
        <w:spacing w:after="0"/>
        <w:tabs>
          <w:tab w:leader="none" w:pos="876"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Shares of Common Stock issued by the Company in settlement of Awards may be authorized and unissued shares, shares held in the treasury of the Company, shares purchased on the open market or by private purchase or a combination of the foregoing.</w:t>
      </w:r>
    </w:p>
    <w:p>
      <w:pPr>
        <w:spacing w:after="0" w:line="189" w:lineRule="exact"/>
        <w:rPr>
          <w:rFonts w:ascii="Arial" w:cs="Arial" w:eastAsia="Arial" w:hAnsi="Arial"/>
          <w:sz w:val="18"/>
          <w:szCs w:val="18"/>
          <w:color w:val="010000"/>
        </w:rPr>
      </w:pPr>
    </w:p>
    <w:p>
      <w:pPr>
        <w:jc w:val="both"/>
        <w:ind w:firstLine="285"/>
        <w:spacing w:after="0" w:line="236" w:lineRule="auto"/>
        <w:tabs>
          <w:tab w:leader="none" w:pos="822"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Awards may, in the sole discretion of the Committee, be granted under the Plan in assumption of, or in substitution for, outstanding awards previously granted by an entity directly or indirectly acquired by the Company or with which the Company combines ("</w:t>
      </w: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Substitute Awards shall not be counted against the Absolute Share Limit; </w:t>
      </w:r>
      <w:r>
        <w:rPr>
          <w:rFonts w:ascii="Arial" w:cs="Arial" w:eastAsia="Arial" w:hAnsi="Arial"/>
          <w:sz w:val="18"/>
          <w:szCs w:val="18"/>
          <w:i w:val="1"/>
          <w:iCs w:val="1"/>
          <w:color w:val="auto"/>
        </w:rPr>
        <w:t>provided</w:t>
      </w:r>
      <w:r>
        <w:rPr>
          <w:rFonts w:ascii="Arial" w:cs="Arial" w:eastAsia="Arial" w:hAnsi="Arial"/>
          <w:sz w:val="18"/>
          <w:szCs w:val="18"/>
          <w:color w:val="auto"/>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 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200" w:lineRule="exact"/>
        <w:rPr>
          <w:sz w:val="20"/>
          <w:szCs w:val="20"/>
          <w:color w:val="auto"/>
        </w:rPr>
      </w:pPr>
    </w:p>
    <w:p>
      <w:pPr>
        <w:spacing w:after="0" w:line="20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880" w:top="355" w:right="699" w:bottom="1440" w:gutter="0" w:footer="0" w:header="0"/>
        </w:sectPr>
      </w:pPr>
    </w:p>
    <w:bookmarkStart w:id="61" w:name="page62"/>
    <w:bookmarkEnd w:id="61"/>
    <w:p>
      <w:pPr>
        <w:ind w:left="560" w:hanging="552"/>
        <w:spacing w:after="0"/>
        <w:tabs>
          <w:tab w:leader="none" w:pos="5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Participation in the Plan shall be limited to Eligible Persons.</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8"/>
          <w:szCs w:val="18"/>
          <w:b w:val="1"/>
          <w:bCs w:val="1"/>
          <w:color w:val="auto"/>
        </w:rPr>
        <w:t>Options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60" w:firstLine="285"/>
        <w:spacing w:after="0" w:line="235" w:lineRule="auto"/>
        <w:tabs>
          <w:tab w:leader="none" w:pos="1368" w:val="left"/>
        </w:tabs>
        <w:numPr>
          <w:ilvl w:val="1"/>
          <w:numId w:val="103"/>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Each Option granted under the Plan shall be evidenced by an Award Agreement, in written or electronic form,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99" w:lineRule="exact"/>
        <w:rPr>
          <w:rFonts w:ascii="Arial" w:cs="Arial" w:eastAsia="Arial" w:hAnsi="Arial"/>
          <w:sz w:val="18"/>
          <w:szCs w:val="18"/>
          <w:color w:val="010000"/>
        </w:rPr>
      </w:pPr>
    </w:p>
    <w:p>
      <w:pPr>
        <w:jc w:val="both"/>
        <w:ind w:left="560" w:firstLine="285"/>
        <w:spacing w:after="0" w:line="237" w:lineRule="auto"/>
        <w:tabs>
          <w:tab w:leader="none" w:pos="1436" w:val="left"/>
        </w:tabs>
        <w:numPr>
          <w:ilvl w:val="1"/>
          <w:numId w:val="103"/>
        </w:numPr>
        <w:rPr>
          <w:rFonts w:ascii="Arial" w:cs="Arial" w:eastAsia="Arial" w:hAnsi="Arial"/>
          <w:sz w:val="18"/>
          <w:szCs w:val="18"/>
          <w:color w:val="010000"/>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Except as otherwise provided by the Committee in the case of Substitute Awards, the exercise price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per share of Common Stock for each Option shall not be less than 100% of the Fair Market Value of such share (determined as of the Date of Grant);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an Incentive Stock Option granted to an employee who, at the time of the grant of such Option, owns stock representing more than 10% of the voting power of all classes of stock of the Company or any Affiliate, the Exercise Price per share shall be no less than 110% of the Fair Market Value per share on the Date of Grant.</w:t>
      </w:r>
    </w:p>
    <w:p>
      <w:pPr>
        <w:spacing w:after="0" w:line="191" w:lineRule="exact"/>
        <w:rPr>
          <w:rFonts w:ascii="Arial" w:cs="Arial" w:eastAsia="Arial" w:hAnsi="Arial"/>
          <w:sz w:val="18"/>
          <w:szCs w:val="18"/>
          <w:color w:val="010000"/>
        </w:rPr>
      </w:pPr>
    </w:p>
    <w:p>
      <w:pPr>
        <w:ind w:left="1400" w:hanging="555"/>
        <w:spacing w:after="0"/>
        <w:tabs>
          <w:tab w:leader="none" w:pos="1400" w:val="left"/>
        </w:tabs>
        <w:numPr>
          <w:ilvl w:val="1"/>
          <w:numId w:val="103"/>
        </w:numPr>
        <w:rPr>
          <w:rFonts w:ascii="Arial" w:cs="Arial" w:eastAsia="Arial" w:hAnsi="Arial"/>
          <w:sz w:val="18"/>
          <w:szCs w:val="18"/>
          <w:color w:val="010000"/>
        </w:rPr>
      </w:pPr>
      <w:r>
        <w:rPr>
          <w:rFonts w:ascii="Arial" w:cs="Arial" w:eastAsia="Arial" w:hAnsi="Arial"/>
          <w:sz w:val="18"/>
          <w:szCs w:val="18"/>
          <w:u w:val="single" w:color="auto"/>
          <w:color w:val="auto"/>
        </w:rPr>
        <w:t>Vesting and Expiration; Termination</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740" w:right="80" w:firstLine="654"/>
        <w:spacing w:after="0" w:line="236" w:lineRule="auto"/>
        <w:tabs>
          <w:tab w:leader="none" w:pos="1938" w:val="left"/>
        </w:tabs>
        <w:numPr>
          <w:ilvl w:val="2"/>
          <w:numId w:val="103"/>
        </w:numPr>
        <w:rPr>
          <w:rFonts w:ascii="Arial" w:cs="Arial" w:eastAsia="Arial" w:hAnsi="Arial"/>
          <w:sz w:val="18"/>
          <w:szCs w:val="18"/>
          <w:color w:val="010000"/>
        </w:rPr>
      </w:pPr>
      <w:r>
        <w:rPr>
          <w:rFonts w:ascii="Arial" w:cs="Arial" w:eastAsia="Arial" w:hAnsi="Arial"/>
          <w:sz w:val="18"/>
          <w:szCs w:val="18"/>
          <w:color w:val="auto"/>
        </w:rPr>
        <w:t xml:space="preserve">Options shall vest and become exercisable in such manner and on such date or dates or upon such events as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any such vesting dates or events, the Committee may in its sole discretion accelerate the vesting of any Options at any time and for any reason. Options shall expire upon a date determined by the Committee, not to exceed ten (10) years from the Date of Grant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Option Period (other than in the case of an Incentive Stock Option) would expire at a time when trading in the shares of Common Stock is prohibited by the Company's insider trading policy (or Company- imposed "blackout period"), then the Option Period shall be automatically extended until the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10% of the voting power of all classes of stock of the Company or any Affiliate.</w:t>
      </w:r>
    </w:p>
    <w:p>
      <w:pPr>
        <w:spacing w:after="0" w:line="192" w:lineRule="exact"/>
        <w:rPr>
          <w:rFonts w:ascii="Arial" w:cs="Arial" w:eastAsia="Arial" w:hAnsi="Arial"/>
          <w:sz w:val="18"/>
          <w:szCs w:val="18"/>
          <w:color w:val="010000"/>
        </w:rPr>
      </w:pPr>
    </w:p>
    <w:p>
      <w:pPr>
        <w:jc w:val="both"/>
        <w:ind w:left="740" w:right="80" w:firstLine="654"/>
        <w:spacing w:after="0" w:line="236" w:lineRule="auto"/>
        <w:tabs>
          <w:tab w:leader="none" w:pos="1938" w:val="left"/>
        </w:tabs>
        <w:numPr>
          <w:ilvl w:val="2"/>
          <w:numId w:val="103"/>
        </w:numPr>
        <w:rPr>
          <w:rFonts w:ascii="Arial" w:cs="Arial" w:eastAsia="Arial" w:hAnsi="Arial"/>
          <w:sz w:val="18"/>
          <w:szCs w:val="18"/>
          <w:color w:val="010000"/>
        </w:rPr>
      </w:pPr>
      <w:r>
        <w:rPr>
          <w:rFonts w:ascii="Arial" w:cs="Arial" w:eastAsia="Arial" w:hAnsi="Arial"/>
          <w:sz w:val="18"/>
          <w:szCs w:val="18"/>
          <w:color w:val="auto"/>
        </w:rPr>
        <w:t>Unless otherwise provided by the Committee, whether in an Award Agreement or otherwise,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ninety (90) days thereafter (but in no event beyond the expiration of the Option Period).</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33" w:right="699" w:bottom="1440" w:gutter="0" w:footer="0" w:header="0"/>
        </w:sectPr>
      </w:pPr>
    </w:p>
    <w:bookmarkStart w:id="62" w:name="page63"/>
    <w:bookmarkEnd w:id="62"/>
    <w:p>
      <w:pPr>
        <w:jc w:val="both"/>
        <w:ind w:left="552" w:firstLine="285"/>
        <w:spacing w:after="0" w:line="235" w:lineRule="auto"/>
        <w:tabs>
          <w:tab w:leader="none" w:pos="1360"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Method of Exercise and Form of Payment</w:t>
      </w:r>
      <w:r>
        <w:rPr>
          <w:rFonts w:ascii="Arial" w:cs="Arial" w:eastAsia="Arial" w:hAnsi="Arial"/>
          <w:sz w:val="18"/>
          <w:szCs w:val="18"/>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Subject to applicable law,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such shares of Common Stock are not subject to any pledge or other security interest; or (ii) by such other method as the Committee may permit in its sole discretion, including, without limitation: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and all applicable required withholding and any other applicable taxes. Any fractional shares of Common Stock shall be settled in cash.</w:t>
      </w:r>
    </w:p>
    <w:p>
      <w:pPr>
        <w:spacing w:after="0" w:line="199" w:lineRule="exact"/>
        <w:rPr>
          <w:rFonts w:ascii="Arial" w:cs="Arial" w:eastAsia="Arial" w:hAnsi="Arial"/>
          <w:sz w:val="18"/>
          <w:szCs w:val="18"/>
          <w:color w:val="010000"/>
        </w:rPr>
      </w:pPr>
    </w:p>
    <w:p>
      <w:pPr>
        <w:jc w:val="both"/>
        <w:ind w:left="552" w:firstLine="285"/>
        <w:spacing w:after="0" w:line="236" w:lineRule="auto"/>
        <w:tabs>
          <w:tab w:leader="none" w:pos="1401"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Notification upon Disqualifying Disposition of an Incentive Stock Option</w:t>
      </w:r>
      <w:r>
        <w:rPr>
          <w:rFonts w:ascii="Arial" w:cs="Arial" w:eastAsia="Arial" w:hAnsi="Arial"/>
          <w:sz w:val="18"/>
          <w:szCs w:val="18"/>
          <w:color w:val="auto"/>
        </w:rPr>
        <w:t>. Each Participant awarded an Incentive Stock Option under the Plan shall notify the Company in writing immediately after the date he or she makes a disqualifying disposition of any Common Stock acquired pursuant to the exercise of such Incentive Stock Option. A disqualifying disposition is any disposition (including, without limitation, any sale) of such Common Stock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193" w:lineRule="exact"/>
        <w:rPr>
          <w:rFonts w:ascii="Arial" w:cs="Arial" w:eastAsia="Arial" w:hAnsi="Arial"/>
          <w:sz w:val="18"/>
          <w:szCs w:val="18"/>
          <w:color w:val="010000"/>
        </w:rPr>
      </w:pPr>
    </w:p>
    <w:p>
      <w:pPr>
        <w:jc w:val="both"/>
        <w:ind w:left="552" w:firstLine="285"/>
        <w:spacing w:after="0" w:line="238" w:lineRule="auto"/>
        <w:tabs>
          <w:tab w:leader="none" w:pos="1401" w:val="left"/>
        </w:tabs>
        <w:numPr>
          <w:ilvl w:val="0"/>
          <w:numId w:val="104"/>
        </w:numPr>
        <w:rPr>
          <w:rFonts w:ascii="Arial" w:cs="Arial" w:eastAsia="Arial" w:hAnsi="Arial"/>
          <w:sz w:val="18"/>
          <w:szCs w:val="18"/>
          <w:color w:val="010000"/>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67" w:lineRule="exact"/>
        <w:rPr>
          <w:sz w:val="20"/>
          <w:szCs w:val="20"/>
          <w:color w:val="auto"/>
        </w:rPr>
      </w:pPr>
    </w:p>
    <w:p>
      <w:pPr>
        <w:ind w:left="552" w:hanging="552"/>
        <w:spacing w:after="0"/>
        <w:tabs>
          <w:tab w:leader="none" w:pos="552"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right="20" w:firstLine="267"/>
        <w:spacing w:after="0" w:line="238" w:lineRule="auto"/>
        <w:tabs>
          <w:tab w:leader="none" w:pos="1329" w:val="left"/>
        </w:tabs>
        <w:numPr>
          <w:ilvl w:val="1"/>
          <w:numId w:val="105"/>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200" w:lineRule="exact"/>
        <w:rPr>
          <w:sz w:val="20"/>
          <w:szCs w:val="20"/>
          <w:color w:val="auto"/>
        </w:rPr>
      </w:pPr>
    </w:p>
    <w:p>
      <w:pPr>
        <w:spacing w:after="0" w:line="207"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328" w:top="355" w:right="699" w:bottom="1440" w:gutter="0" w:footer="0" w:header="0"/>
        </w:sectPr>
      </w:pPr>
    </w:p>
    <w:bookmarkStart w:id="63" w:name="page64"/>
    <w:bookmarkEnd w:id="63"/>
    <w:p>
      <w:pPr>
        <w:jc w:val="both"/>
        <w:ind w:left="552" w:firstLine="267"/>
        <w:spacing w:after="0" w:line="238" w:lineRule="auto"/>
        <w:tabs>
          <w:tab w:leader="none" w:pos="1383"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Strike Price</w:t>
      </w:r>
      <w:r>
        <w:rPr>
          <w:rFonts w:ascii="Arial" w:cs="Arial" w:eastAsia="Arial" w:hAnsi="Arial"/>
          <w:sz w:val="18"/>
          <w:szCs w:val="18"/>
          <w:color w:val="auto"/>
        </w:rPr>
        <w:t>. Except as otherwise provided by the Committee in the case of Substitute Awards, the strike price ("</w:t>
      </w:r>
      <w:r>
        <w:rPr>
          <w:rFonts w:ascii="Arial" w:cs="Arial" w:eastAsia="Arial" w:hAnsi="Arial"/>
          <w:sz w:val="18"/>
          <w:szCs w:val="18"/>
          <w:u w:val="single" w:color="auto"/>
          <w:color w:val="auto"/>
        </w:rPr>
        <w:t>Strike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per share of Common Stock for each SAR shall not be less than 100% of the Fair Market Value of such share (determined as of the Date of Grant). Notwithstanding the foregoing, a SAR granted in tandem with (or in substitution for) an Option previously granted shall have a Strike Price equal to the Exercise Price of the corresponding Option.</w:t>
      </w:r>
    </w:p>
    <w:p>
      <w:pPr>
        <w:spacing w:after="0" w:line="191" w:lineRule="exact"/>
        <w:rPr>
          <w:rFonts w:ascii="Arial" w:cs="Arial" w:eastAsia="Arial" w:hAnsi="Arial"/>
          <w:sz w:val="18"/>
          <w:szCs w:val="18"/>
          <w:color w:val="010000"/>
        </w:rPr>
      </w:pPr>
    </w:p>
    <w:p>
      <w:pPr>
        <w:ind w:left="1372" w:hanging="562"/>
        <w:spacing w:after="0"/>
        <w:tabs>
          <w:tab w:leader="none" w:pos="1372"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Vesting and Expiration; Termination</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732" w:right="140" w:firstLine="654"/>
        <w:spacing w:after="0" w:line="236" w:lineRule="auto"/>
        <w:tabs>
          <w:tab w:leader="none" w:pos="1930" w:val="left"/>
        </w:tabs>
        <w:numPr>
          <w:ilvl w:val="1"/>
          <w:numId w:val="106"/>
        </w:numPr>
        <w:rPr>
          <w:rFonts w:ascii="Arial" w:cs="Arial" w:eastAsia="Arial" w:hAnsi="Arial"/>
          <w:sz w:val="18"/>
          <w:szCs w:val="18"/>
          <w:color w:val="010000"/>
        </w:rPr>
      </w:pPr>
      <w:r>
        <w:rPr>
          <w:rFonts w:ascii="Arial" w:cs="Arial" w:eastAsia="Arial" w:hAnsi="Arial"/>
          <w:sz w:val="18"/>
          <w:szCs w:val="18"/>
          <w:color w:val="auto"/>
        </w:rPr>
        <w:t xml:space="preserve">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events as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any such vesting dates or events, the Committee may,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 the vesting of any SAR at any time and for any reason. SARs shall expire upon a date determined by the Committee, not to exceed ten (10) years from the Date of Grant (the "</w:t>
      </w:r>
      <w:r>
        <w:rPr>
          <w:rFonts w:ascii="Arial" w:cs="Arial" w:eastAsia="Arial" w:hAnsi="Arial"/>
          <w:sz w:val="18"/>
          <w:szCs w:val="18"/>
          <w:u w:val="single" w:color="auto"/>
          <w:color w:val="auto"/>
        </w:rPr>
        <w:t>SAR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SAR Period would expire at a time when trading in the shares of Common Stock is prohibited by the Company's insider trading policy (or Company- imposed "blackout period"), then the SAR Period shall be automatically extended until the 30th day following the expiration of such prohibition.</w:t>
      </w:r>
    </w:p>
    <w:p>
      <w:pPr>
        <w:spacing w:after="0" w:line="193" w:lineRule="exact"/>
        <w:rPr>
          <w:rFonts w:ascii="Arial" w:cs="Arial" w:eastAsia="Arial" w:hAnsi="Arial"/>
          <w:sz w:val="18"/>
          <w:szCs w:val="18"/>
          <w:color w:val="010000"/>
        </w:rPr>
      </w:pPr>
    </w:p>
    <w:p>
      <w:pPr>
        <w:jc w:val="both"/>
        <w:ind w:left="732" w:right="140" w:firstLine="654"/>
        <w:spacing w:after="0" w:line="236" w:lineRule="auto"/>
        <w:tabs>
          <w:tab w:leader="none" w:pos="1930" w:val="left"/>
        </w:tabs>
        <w:numPr>
          <w:ilvl w:val="1"/>
          <w:numId w:val="106"/>
        </w:numPr>
        <w:rPr>
          <w:rFonts w:ascii="Arial" w:cs="Arial" w:eastAsia="Arial" w:hAnsi="Arial"/>
          <w:sz w:val="18"/>
          <w:szCs w:val="18"/>
          <w:color w:val="010000"/>
        </w:rPr>
      </w:pPr>
      <w:r>
        <w:rPr>
          <w:rFonts w:ascii="Arial" w:cs="Arial" w:eastAsia="Arial" w:hAnsi="Arial"/>
          <w:sz w:val="18"/>
          <w:szCs w:val="18"/>
          <w:color w:val="auto"/>
        </w:rPr>
        <w:t>Unless otherwise provided by the Committee, whether in an Award Agreement or otherwise, in the event of: (A) a Participant's Termination by the Service Recipient for Cause, all outstanding SARs granted to such Participant shall immediately terminate and expire; (B) a Participant's Termination due to death or Disability, each outstanding unvested SAR granted to such Participant shall immediately terminate and expire, and each outstanding vested SAR shall remain exercisable for one (1) year thereafter (but in no event beyond the expiration of the SAR Period); and (C) a Participant's Termination for any other reason, each outstanding unvested SAR granted to such Participant shall immediately terminate and expire, and each outstanding vested SAR shall remain exercisable for ninety (90) days thereafter (but in no event beyond the expiration of the SAR Period).</w:t>
      </w:r>
    </w:p>
    <w:p>
      <w:pPr>
        <w:spacing w:after="0" w:line="194" w:lineRule="exact"/>
        <w:rPr>
          <w:rFonts w:ascii="Arial" w:cs="Arial" w:eastAsia="Arial" w:hAnsi="Arial"/>
          <w:sz w:val="18"/>
          <w:szCs w:val="18"/>
          <w:color w:val="010000"/>
        </w:rPr>
      </w:pPr>
    </w:p>
    <w:p>
      <w:pPr>
        <w:jc w:val="both"/>
        <w:ind w:left="652" w:right="40" w:firstLine="167"/>
        <w:spacing w:after="0"/>
        <w:tabs>
          <w:tab w:leader="none" w:pos="1370"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SARs which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89" w:lineRule="exact"/>
        <w:rPr>
          <w:rFonts w:ascii="Arial" w:cs="Arial" w:eastAsia="Arial" w:hAnsi="Arial"/>
          <w:sz w:val="18"/>
          <w:szCs w:val="18"/>
          <w:color w:val="010000"/>
        </w:rPr>
      </w:pPr>
    </w:p>
    <w:p>
      <w:pPr>
        <w:jc w:val="both"/>
        <w:ind w:left="552" w:right="20" w:firstLine="267"/>
        <w:spacing w:after="0" w:line="237" w:lineRule="auto"/>
        <w:tabs>
          <w:tab w:leader="none" w:pos="1424" w:val="left"/>
        </w:tabs>
        <w:numPr>
          <w:ilvl w:val="0"/>
          <w:numId w:val="106"/>
        </w:numPr>
        <w:rPr>
          <w:rFonts w:ascii="Arial" w:cs="Arial" w:eastAsia="Arial" w:hAnsi="Arial"/>
          <w:sz w:val="18"/>
          <w:szCs w:val="18"/>
          <w:color w:val="010000"/>
        </w:rPr>
      </w:pPr>
      <w:r>
        <w:rPr>
          <w:rFonts w:ascii="Arial" w:cs="Arial" w:eastAsia="Arial" w:hAnsi="Arial"/>
          <w:sz w:val="18"/>
          <w:szCs w:val="18"/>
          <w:u w:val="single" w:color="auto"/>
          <w:color w:val="auto"/>
        </w:rPr>
        <w:t>Payment</w:t>
      </w:r>
      <w:r>
        <w:rPr>
          <w:rFonts w:ascii="Arial" w:cs="Arial" w:eastAsia="Arial" w:hAnsi="Arial"/>
          <w:sz w:val="18"/>
          <w:szCs w:val="18"/>
          <w:color w:val="auto"/>
        </w:rPr>
        <w:t>. Upon the exercise of a SAR, the Company shall pay to the Participant an amount equal to the number of shares subject to the SAR that is being exercised multiplied by the excess of the Fair Market Value of one (1) share of Common Stock on the exercise date over the Strike Price, less an amount equal to any Federal, state, local and non-U.S. income, employment and any other applicable taxes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169" w:lineRule="exact"/>
        <w:rPr>
          <w:sz w:val="20"/>
          <w:szCs w:val="20"/>
          <w:color w:val="auto"/>
        </w:rPr>
      </w:pPr>
    </w:p>
    <w:p>
      <w:pPr>
        <w:ind w:left="552" w:hanging="552"/>
        <w:spacing w:after="0"/>
        <w:tabs>
          <w:tab w:leader="none" w:pos="552"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right="40" w:firstLine="267"/>
        <w:spacing w:after="0"/>
        <w:tabs>
          <w:tab w:leader="none" w:pos="1370" w:val="left"/>
        </w:tabs>
        <w:numPr>
          <w:ilvl w:val="1"/>
          <w:numId w:val="107"/>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Each grant of Restricted Stock and Restricted Stock Units shall be evidenced by an Award Agreement. Each Restricted Stock and Restricted Stock Unit so granted shall be subject to the conditions set forth in this Section 9, and to such other conditions not inconsistent with the Plan as may be reflected in the applicable Award Agreement.</w:t>
      </w:r>
    </w:p>
    <w:p>
      <w:pPr>
        <w:spacing w:after="0" w:line="200" w:lineRule="exact"/>
        <w:rPr>
          <w:sz w:val="20"/>
          <w:szCs w:val="20"/>
          <w:color w:val="auto"/>
        </w:rPr>
      </w:pPr>
    </w:p>
    <w:p>
      <w:pPr>
        <w:spacing w:after="0" w:line="205"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55" w:right="639" w:bottom="1440" w:gutter="0" w:footer="0" w:header="0"/>
        </w:sectPr>
      </w:pPr>
    </w:p>
    <w:bookmarkStart w:id="64" w:name="page65"/>
    <w:bookmarkEnd w:id="64"/>
    <w:p>
      <w:pPr>
        <w:jc w:val="both"/>
        <w:ind w:right="20" w:firstLine="267"/>
        <w:spacing w:after="0" w:line="235" w:lineRule="auto"/>
        <w:tabs>
          <w:tab w:leader="none" w:pos="818"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Stock Certificates and Book-Entry; Escrow or Similar Arrangement</w:t>
      </w:r>
      <w:r>
        <w:rPr>
          <w:rFonts w:ascii="Arial" w:cs="Arial" w:eastAsia="Arial" w:hAnsi="Arial"/>
          <w:sz w:val="18"/>
          <w:szCs w:val="18"/>
          <w:color w:val="auto"/>
        </w:rPr>
        <w:t xml:space="preserve">.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and the applicable Award Agreement, the Participant generally shall have the rights and privileges of a stockholder as to such Restricted Stock, including, without limitation, the right to vote such Restricted Stock; </w:t>
      </w:r>
      <w:r>
        <w:rPr>
          <w:rFonts w:ascii="Arial" w:cs="Arial" w:eastAsia="Arial" w:hAnsi="Arial"/>
          <w:sz w:val="18"/>
          <w:szCs w:val="18"/>
          <w:i w:val="1"/>
          <w:iCs w:val="1"/>
          <w:color w:val="auto"/>
        </w:rPr>
        <w:t>provided</w:t>
      </w:r>
      <w:r>
        <w:rPr>
          <w:rFonts w:ascii="Arial" w:cs="Arial" w:eastAsia="Arial" w:hAnsi="Arial"/>
          <w:sz w:val="18"/>
          <w:szCs w:val="18"/>
          <w:color w:val="auto"/>
        </w:rPr>
        <w:t>, that if the lapsing of restrictions with respect to any grant of Restricted Stock is contingent on satisfaction of performance conditions (other than, or in addition to, the passage of time), any dividends payable on such shares of Restricted Stock shall be held by the Company and delivered (without interest) to the Participant within fifteen (15) days following the date on which the restrictions on such Restricted Stock lapse (and the right to any such accumulated dividends shall be forfeited upon the forfeiture of the Restricted Stock to which such dividends relate).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199" w:lineRule="exact"/>
        <w:rPr>
          <w:rFonts w:ascii="Arial" w:cs="Arial" w:eastAsia="Arial" w:hAnsi="Arial"/>
          <w:sz w:val="18"/>
          <w:szCs w:val="18"/>
          <w:color w:val="010000"/>
        </w:rPr>
      </w:pPr>
    </w:p>
    <w:p>
      <w:pPr>
        <w:ind w:left="820" w:hanging="562"/>
        <w:spacing w:after="0"/>
        <w:tabs>
          <w:tab w:leader="none" w:pos="820"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Vesting; Termination</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180" w:right="80" w:firstLine="654"/>
        <w:spacing w:after="0" w:line="238" w:lineRule="auto"/>
        <w:tabs>
          <w:tab w:leader="none" w:pos="1351"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 xml:space="preserve">Restricted Stock and Restricted Stock Units shall vest, and any applicable Restricted Period shall lapse, in such manner and on such date or dates or upon such event or events as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any such dates or events, the Committee may, in its sole discretion, accelerate the vesting of any Restricted Stock or Restricted Stock Unit or the lapsing of any applicable Restricted Period at any time and for any reason.</w:t>
      </w:r>
    </w:p>
    <w:p>
      <w:pPr>
        <w:spacing w:after="0" w:line="191" w:lineRule="exact"/>
        <w:rPr>
          <w:rFonts w:ascii="Arial" w:cs="Arial" w:eastAsia="Arial" w:hAnsi="Arial"/>
          <w:sz w:val="18"/>
          <w:szCs w:val="18"/>
          <w:color w:val="010000"/>
        </w:rPr>
      </w:pPr>
    </w:p>
    <w:p>
      <w:pPr>
        <w:jc w:val="both"/>
        <w:ind w:left="180" w:right="40" w:firstLine="654"/>
        <w:spacing w:after="0" w:line="238" w:lineRule="auto"/>
        <w:tabs>
          <w:tab w:leader="none" w:pos="1459"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Unless otherwise provided by the Committee, whether in an Award Agreement or otherwise, in the event of a Participant's Termination for any reason prior to the time that such Participant's Restricted Stock or Restricted Stock Units, as applicable, have vested, (x) all vesting with respect to such Participant's Restricted Stock or Restricted Stock Units shall cease and (y) unvested shares of Restricted Stock and unvested Restricted Stock Units, as applicable, shall be forfeited to the Company by the Participant for no consideration as of the date of such Termination.</w:t>
      </w:r>
    </w:p>
    <w:p>
      <w:pPr>
        <w:spacing w:after="0" w:line="188" w:lineRule="exact"/>
        <w:rPr>
          <w:rFonts w:ascii="Arial" w:cs="Arial" w:eastAsia="Arial" w:hAnsi="Arial"/>
          <w:sz w:val="18"/>
          <w:szCs w:val="18"/>
          <w:color w:val="010000"/>
        </w:rPr>
      </w:pPr>
    </w:p>
    <w:p>
      <w:pPr>
        <w:ind w:left="820" w:hanging="562"/>
        <w:spacing w:after="0"/>
        <w:tabs>
          <w:tab w:leader="none" w:pos="820" w:val="left"/>
        </w:tabs>
        <w:numPr>
          <w:ilvl w:val="0"/>
          <w:numId w:val="108"/>
        </w:numPr>
        <w:rPr>
          <w:rFonts w:ascii="Arial" w:cs="Arial" w:eastAsia="Arial" w:hAnsi="Arial"/>
          <w:sz w:val="18"/>
          <w:szCs w:val="18"/>
          <w:color w:val="010000"/>
        </w:rPr>
      </w:pPr>
      <w:r>
        <w:rPr>
          <w:rFonts w:ascii="Arial" w:cs="Arial" w:eastAsia="Arial" w:hAnsi="Arial"/>
          <w:sz w:val="18"/>
          <w:szCs w:val="18"/>
          <w:u w:val="single" w:color="auto"/>
          <w:color w:val="auto"/>
        </w:rPr>
        <w:t>Issuance of Restricted Stock and Settlement of Restricted Stock Units</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180" w:firstLine="654"/>
        <w:spacing w:after="0" w:line="236" w:lineRule="auto"/>
        <w:tabs>
          <w:tab w:leader="none" w:pos="1419" w:val="left"/>
        </w:tabs>
        <w:numPr>
          <w:ilvl w:val="1"/>
          <w:numId w:val="108"/>
        </w:numPr>
        <w:rPr>
          <w:rFonts w:ascii="Arial" w:cs="Arial" w:eastAsia="Arial" w:hAnsi="Arial"/>
          <w:sz w:val="18"/>
          <w:szCs w:val="18"/>
          <w:color w:val="010000"/>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his or her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at the sole discretion of the Committee, in shares of Common Stock having a Fair Market Value (on the date of distribution) equal to the amount of such dividends, upon the release of restrictions on such share and, if such share is forfeited, the Participant shall have no right to such dividends.</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880" w:top="355" w:right="639" w:bottom="1440" w:gutter="0" w:footer="0" w:header="0"/>
        </w:sectPr>
      </w:pPr>
    </w:p>
    <w:bookmarkStart w:id="65" w:name="page66"/>
    <w:bookmarkEnd w:id="65"/>
    <w:p>
      <w:pPr>
        <w:jc w:val="both"/>
        <w:ind w:left="740" w:right="300" w:firstLine="654"/>
        <w:spacing w:after="0" w:line="235" w:lineRule="auto"/>
        <w:tabs>
          <w:tab w:leader="none" w:pos="2032" w:val="left"/>
        </w:tabs>
        <w:numPr>
          <w:ilvl w:val="1"/>
          <w:numId w:val="109"/>
        </w:numPr>
        <w:rPr>
          <w:rFonts w:ascii="Arial" w:cs="Arial" w:eastAsia="Arial" w:hAnsi="Arial"/>
          <w:sz w:val="18"/>
          <w:szCs w:val="18"/>
          <w:color w:val="010000"/>
        </w:rPr>
      </w:pPr>
      <w:r>
        <w:rPr>
          <w:rFonts w:ascii="Arial" w:cs="Arial" w:eastAsia="Arial" w:hAnsi="Arial"/>
          <w:sz w:val="18"/>
          <w:szCs w:val="18"/>
          <w:color w:val="auto"/>
        </w:rPr>
        <w:t xml:space="preserve">Unless otherwise provided by the Committee in an Award Agreement or otherwise, upon the expiration of the Restricted Period with respect to any outstanding Restricted Stock Units, the Company shall issue to the Participant or his or her beneficiary, without charge, one (1)share of Common Stock (or other securities or other property, as applicable) for each such outstanding Restricted Stock Unit;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Committee may, in its sole discretion, elect to (i) pay cash or part cash and part shares of Common Stock in lieu of issuing only shares of Common Stock in respect of such Restricted Stock Units; or (ii) defer the issuance of shares of Common Stock (or cash or part shares of Common Stock and part cash, as the case may be) beyond the expiration of the Restricted Period if such extension would not cause adverse tax consequences under Section 409A of the Code. If a cash payment is made in lieu of issuing shares of Common Stock, the amount of such payment shall be equal to the Fair Market Value of the Common Stock as of the date on which the Restricted Period lapsed with respect to such Restricted Stock Units. To the extent provided in an Award Agreement, the holder of outstanding Restricted Stock Units shall be entitled to be credited with dividend equivalent payments (upon the payment by the Company of dividends on shares of Common Stock) either in cash or, at the sole discretion of the Committee, in shares of Common Stock having a Fair Market Value equal to the amount of such dividends (and interest may, at the sole discretion of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release of restrictions on such Restricted Stock Units, and, if such Restricted Stock Units are forfeited, the Participant shall have no right to such dividend equivalent payments.</w:t>
      </w:r>
    </w:p>
    <w:p>
      <w:pPr>
        <w:spacing w:after="0" w:line="199" w:lineRule="exact"/>
        <w:rPr>
          <w:rFonts w:ascii="Arial" w:cs="Arial" w:eastAsia="Arial" w:hAnsi="Arial"/>
          <w:sz w:val="18"/>
          <w:szCs w:val="18"/>
          <w:color w:val="010000"/>
        </w:rPr>
      </w:pPr>
    </w:p>
    <w:p>
      <w:pPr>
        <w:jc w:val="both"/>
        <w:ind w:left="560" w:right="420" w:firstLine="267"/>
        <w:spacing w:after="0"/>
        <w:tabs>
          <w:tab w:leader="none" w:pos="1418" w:val="left"/>
        </w:tabs>
        <w:numPr>
          <w:ilvl w:val="0"/>
          <w:numId w:val="110"/>
        </w:numPr>
        <w:rPr>
          <w:rFonts w:ascii="Arial" w:cs="Arial" w:eastAsia="Arial" w:hAnsi="Arial"/>
          <w:sz w:val="18"/>
          <w:szCs w:val="18"/>
          <w:color w:val="010000"/>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if any, representing Restricted Stock awarded under the Plan, if any, shall bear a legend substantially in the form of the following, in addition to any other information the Company deems appropriate, until the lapse of all restrictions with respect to such shares of Common Stock:</w:t>
      </w:r>
    </w:p>
    <w:p>
      <w:pPr>
        <w:spacing w:after="0" w:line="189" w:lineRule="exact"/>
        <w:rPr>
          <w:sz w:val="20"/>
          <w:szCs w:val="20"/>
          <w:color w:val="auto"/>
        </w:rPr>
      </w:pPr>
    </w:p>
    <w:p>
      <w:pPr>
        <w:jc w:val="both"/>
        <w:ind w:left="560"/>
        <w:spacing w:after="0" w:line="238" w:lineRule="auto"/>
        <w:rPr>
          <w:sz w:val="20"/>
          <w:szCs w:val="20"/>
          <w:color w:val="auto"/>
        </w:rPr>
      </w:pPr>
      <w:r>
        <w:rPr>
          <w:rFonts w:ascii="Arial" w:cs="Arial" w:eastAsia="Arial" w:hAnsi="Arial"/>
          <w:sz w:val="18"/>
          <w:szCs w:val="18"/>
          <w:color w:val="auto"/>
        </w:rPr>
        <w:t>TRANSFER OF THIS CERTIFICATE AND THE SHARES REPRESENTED HEREBY IS RESTRICTED PURSUANT TO THE TERMS OF THE PRA HEALTH SCIENCES, INC. 2014 OMNIBUS INCENTIVE PLAN AND A RESTRICTED STOCK AWARD AGREEMENT BETWEEN PRA HEALTH SCIENCES, INC. AND PARTICIPANT. A COPY OF SUCH PLAN AND AWARD AGREEMENT IS ON FILE AT THE PRINCIPAL EXECUTIVE OFFICES OF PRA HEALTH SCIENCES, INC.</w:t>
      </w:r>
    </w:p>
    <w:p>
      <w:pPr>
        <w:spacing w:after="0" w:line="169" w:lineRule="exact"/>
        <w:rPr>
          <w:sz w:val="20"/>
          <w:szCs w:val="20"/>
          <w:color w:val="auto"/>
        </w:rPr>
      </w:pPr>
    </w:p>
    <w:p>
      <w:pPr>
        <w:jc w:val="both"/>
        <w:ind w:left="640" w:right="400" w:hanging="632"/>
        <w:spacing w:after="0" w:line="242"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Other Stock-Based Awards</w:t>
      </w:r>
      <w:r>
        <w:rPr>
          <w:rFonts w:ascii="Arial" w:cs="Arial" w:eastAsia="Arial" w:hAnsi="Arial"/>
          <w:sz w:val="18"/>
          <w:szCs w:val="18"/>
          <w:color w:val="auto"/>
        </w:rPr>
        <w:t>. The Committee may issue unrestricted Common Stock, rights to receive grants of Awards at a</w:t>
      </w:r>
      <w:r>
        <w:rPr>
          <w:rFonts w:ascii="Arial" w:cs="Arial" w:eastAsia="Arial" w:hAnsi="Arial"/>
          <w:sz w:val="18"/>
          <w:szCs w:val="18"/>
          <w:b w:val="1"/>
          <w:bCs w:val="1"/>
          <w:color w:val="auto"/>
        </w:rPr>
        <w:t xml:space="preserve"> </w:t>
      </w:r>
      <w:r>
        <w:rPr>
          <w:rFonts w:ascii="Arial" w:cs="Arial" w:eastAsia="Arial" w:hAnsi="Arial"/>
          <w:sz w:val="18"/>
          <w:szCs w:val="18"/>
          <w:color w:val="auto"/>
        </w:rPr>
        <w:t>future date, or other Awards denominated in Common Stock (including, without limitation, performance shares or performance units), under the Plan to Eligible Persons, alone or in tandem with other Awards, in such amounts as the Committee shall from time to time in its sole discretion determine. Each Other Stock-Based Award granted under the Plan shall be evidenced by an Award Agreement. Each Other Stock- Based Award so granted shall be subject to such conditions not inconsistent with the Plan as may be reflected in the applicable Award Agreement, including, without limitation, those set forth in Section 14(c) of the Plan.</w:t>
      </w:r>
    </w:p>
    <w:p>
      <w:pPr>
        <w:spacing w:after="0" w:line="165" w:lineRule="exact"/>
        <w:rPr>
          <w:rFonts w:ascii="Arial" w:cs="Arial" w:eastAsia="Arial" w:hAnsi="Arial"/>
          <w:sz w:val="18"/>
          <w:szCs w:val="18"/>
          <w:color w:val="auto"/>
        </w:rPr>
      </w:pPr>
    </w:p>
    <w:p>
      <w:pPr>
        <w:ind w:left="560" w:hanging="552"/>
        <w:spacing w:after="0"/>
        <w:tabs>
          <w:tab w:leader="none" w:pos="5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60" w:right="420" w:firstLine="267"/>
        <w:spacing w:after="0" w:line="236" w:lineRule="auto"/>
        <w:tabs>
          <w:tab w:leader="none" w:pos="1351" w:val="left"/>
        </w:tabs>
        <w:numPr>
          <w:ilvl w:val="1"/>
          <w:numId w:val="111"/>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The Committee shall have the authority, at or before the time of grant of any Award, to designate such Award as a Performance Compensation Award intended to qualify as "performance-based compensation" under Section 162(m) of the Code. The Committee shall also have the authority to make an award of a cash bonus to any Participant and designate such Award as a Performance Compensation Award intended to qualify as "performance-based compensation" under Section 162(m) of the Code. Notwithstanding anything in the Plan to the contrary, if the Company determines that a Participant who has been granted an Award designated as a Performance Compensation Award is not (or is no longer) a "covered employee" (within the meaning of Section 162(m) of the Code), the terms and conditions of such Award may be modified without regard to any restrictions or limitations set forth in this Section 11 (but subject otherwise to the provisions of Section 13 of the Plan).</w:t>
      </w:r>
    </w:p>
    <w:p>
      <w:pPr>
        <w:spacing w:after="0" w:line="194" w:lineRule="exact"/>
        <w:rPr>
          <w:rFonts w:ascii="Arial" w:cs="Arial" w:eastAsia="Arial" w:hAnsi="Arial"/>
          <w:sz w:val="18"/>
          <w:szCs w:val="18"/>
          <w:color w:val="010000"/>
        </w:rPr>
      </w:pPr>
    </w:p>
    <w:p>
      <w:pPr>
        <w:jc w:val="both"/>
        <w:ind w:left="560" w:right="320" w:firstLine="267"/>
        <w:spacing w:after="0" w:line="237" w:lineRule="auto"/>
        <w:tabs>
          <w:tab w:leader="none" w:pos="1391" w:val="left"/>
        </w:tabs>
        <w:numPr>
          <w:ilvl w:val="1"/>
          <w:numId w:val="111"/>
        </w:numPr>
        <w:rPr>
          <w:rFonts w:ascii="Arial" w:cs="Arial" w:eastAsia="Arial" w:hAnsi="Arial"/>
          <w:sz w:val="18"/>
          <w:szCs w:val="18"/>
          <w:color w:val="010000"/>
        </w:rPr>
      </w:pPr>
      <w:r>
        <w:rPr>
          <w:rFonts w:ascii="Arial" w:cs="Arial" w:eastAsia="Arial" w:hAnsi="Arial"/>
          <w:sz w:val="18"/>
          <w:szCs w:val="18"/>
          <w:u w:val="single" w:color="auto"/>
          <w:color w:val="auto"/>
        </w:rPr>
        <w:t>Discretion of Committee with Respect to Performance Compensation Awards</w:t>
      </w:r>
      <w:r>
        <w:rPr>
          <w:rFonts w:ascii="Arial" w:cs="Arial" w:eastAsia="Arial" w:hAnsi="Arial"/>
          <w:sz w:val="18"/>
          <w:szCs w:val="18"/>
          <w:color w:val="auto"/>
        </w:rPr>
        <w:t>. With regard to a particular Performance Period, the Committee shall have sole discretion to select the length of such Performance Period, the type(s) of Performance Compensation Awards to be issued, the Performance Criteria that will be used to establish the Performance Goal(s), the kind(s) and/or level(s) of the Performance Goal(s) that is (are) to apply and the Performance Formula(e). Within the first ninety (90) days of a Performance Period (or, within any other maximum period allowed under Section 162(m) of the Code), the Committee shall, with regard to the Performance Compensation Awards to be issued for such Performance Period, exercise its discretion with respect to each of the matters enumerated in the immediately preceding sentence and record the same in writing.</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ind w:firstLine="267"/>
        <w:spacing w:after="0" w:line="234" w:lineRule="auto"/>
        <w:tabs>
          <w:tab w:leader="none" w:pos="780" w:val="left"/>
        </w:tabs>
        <w:numPr>
          <w:ilvl w:val="1"/>
          <w:numId w:val="112"/>
        </w:numPr>
        <w:rPr>
          <w:rFonts w:ascii="Arial" w:cs="Arial" w:eastAsia="Arial" w:hAnsi="Arial"/>
          <w:sz w:val="18"/>
          <w:szCs w:val="18"/>
          <w:color w:val="010000"/>
        </w:rPr>
      </w:pPr>
      <w:r>
        <w:rPr>
          <w:rFonts w:ascii="Arial" w:cs="Arial" w:eastAsia="Arial" w:hAnsi="Arial"/>
          <w:sz w:val="18"/>
          <w:szCs w:val="18"/>
          <w:u w:val="single" w:color="auto"/>
          <w:color w:val="auto"/>
        </w:rPr>
        <w:t>Performance Criteria</w:t>
      </w:r>
      <w:r>
        <w:rPr>
          <w:rFonts w:ascii="Arial" w:cs="Arial" w:eastAsia="Arial" w:hAnsi="Arial"/>
          <w:sz w:val="18"/>
          <w:szCs w:val="18"/>
          <w:color w:val="auto"/>
        </w:rPr>
        <w:t>. The Performance Criteria that will be used to establish the Performance Goal(s) may be based on the attainment of specific levels of performance of the Company (and/or one or more Affiliates, divisions or operational and/or business units, product lines, brands, business segments, administrative departments, or any combination of the foregoing) and shall be limited to the following, which may be determined in accordance with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or on a non-GAAP basis: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but are not required to be measured on a per share basis; (viii) earnings before or after interest, taxes, depreciation and/or amortization (including EBIT and EBITDA);</w:t>
      </w:r>
    </w:p>
    <w:p>
      <w:pPr>
        <w:spacing w:after="0" w:line="6" w:lineRule="exact"/>
        <w:rPr>
          <w:rFonts w:ascii="Arial" w:cs="Arial" w:eastAsia="Arial" w:hAnsi="Arial"/>
          <w:sz w:val="18"/>
          <w:szCs w:val="18"/>
          <w:color w:val="010000"/>
        </w:rPr>
      </w:pPr>
    </w:p>
    <w:p>
      <w:pPr>
        <w:jc w:val="both"/>
        <w:ind w:firstLine="10"/>
        <w:spacing w:after="0" w:line="234" w:lineRule="auto"/>
        <w:tabs>
          <w:tab w:leader="none" w:pos="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 (xix) stockholder return; (xx) customer/client retention;</w:t>
      </w:r>
    </w:p>
    <w:p>
      <w:pPr>
        <w:spacing w:after="0" w:line="2" w:lineRule="exact"/>
        <w:rPr>
          <w:rFonts w:ascii="Arial" w:cs="Arial" w:eastAsia="Arial" w:hAnsi="Arial"/>
          <w:sz w:val="18"/>
          <w:szCs w:val="18"/>
          <w:color w:val="auto"/>
        </w:rPr>
      </w:pPr>
    </w:p>
    <w:p>
      <w:pPr>
        <w:jc w:val="both"/>
        <w:ind w:firstLine="10"/>
        <w:spacing w:after="0" w:line="235" w:lineRule="auto"/>
        <w:tabs>
          <w:tab w:leader="none" w:pos="40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Performance Criteria may be stated as a percentage of another Performance Criteria, or used on an absolute or relative basis to measure the performance of the Company and/or one or more Affiliates as a whole or any divisions or operational and/or business units, product lines, brands, business segments, administrative departments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ninety (90) days of a Performance Period (or, within any other maximum period allowed under Section 162(m) of the Code), define in an objective fashion the manner of calculating the Performance Criteria it selects to use for such Performance Period.</w:t>
      </w:r>
    </w:p>
    <w:p>
      <w:pPr>
        <w:spacing w:after="0" w:line="199" w:lineRule="exact"/>
        <w:rPr>
          <w:rFonts w:ascii="Arial" w:cs="Arial" w:eastAsia="Arial" w:hAnsi="Arial"/>
          <w:sz w:val="18"/>
          <w:szCs w:val="18"/>
          <w:color w:val="auto"/>
        </w:rPr>
      </w:pPr>
    </w:p>
    <w:p>
      <w:pPr>
        <w:jc w:val="both"/>
        <w:ind w:firstLine="267"/>
        <w:spacing w:after="0" w:line="234" w:lineRule="auto"/>
        <w:tabs>
          <w:tab w:leader="none" w:pos="791" w:val="left"/>
        </w:tabs>
        <w:numPr>
          <w:ilvl w:val="1"/>
          <w:numId w:val="114"/>
        </w:numPr>
        <w:rPr>
          <w:rFonts w:ascii="Arial" w:cs="Arial" w:eastAsia="Arial" w:hAnsi="Arial"/>
          <w:sz w:val="18"/>
          <w:szCs w:val="18"/>
          <w:color w:val="010000"/>
        </w:rPr>
      </w:pPr>
      <w:r>
        <w:rPr>
          <w:rFonts w:ascii="Arial" w:cs="Arial" w:eastAsia="Arial" w:hAnsi="Arial"/>
          <w:sz w:val="18"/>
          <w:szCs w:val="18"/>
          <w:u w:val="single" w:color="auto"/>
          <w:color w:val="auto"/>
        </w:rPr>
        <w:t>Modification of Performance Goal(s)</w:t>
      </w:r>
      <w:r>
        <w:rPr>
          <w:rFonts w:ascii="Arial" w:cs="Arial" w:eastAsia="Arial" w:hAnsi="Arial"/>
          <w:sz w:val="18"/>
          <w:szCs w:val="18"/>
          <w:color w:val="auto"/>
        </w:rPr>
        <w:t>. In the event that applicable tax and/or securities laws change to permit Committee discretion to alter the governing Performance Criteria without obtaining stockholder approval of such alterations, the Committee shall have sole discretion to make such alterations without obtaining stockholder approval. Unless otherwise determined by the Committee at the time a Performance Compensation Award is granted, the Committee shall, during the first ninety (90) days of a Performance Period (or, within any other maximum period allowed under Section 162(m) of the Code), or at any time thereafter to the extent the exercise of such authority at such time would not cause the Performance Compensation Awards granted to any Participant for such Performance Period to fail to qualify as "performance-based compensation" under Section 162(m) of the Code, specify adjustments or modifications to be made to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Standards Codification Topic 225-20 (or any successor pronouncement thereto) and/or in management's discussion and analysis of financial condition and results of operations appearing in the Company's annual report to stockholders for the applicable year;</w:t>
      </w:r>
    </w:p>
    <w:p>
      <w:pPr>
        <w:spacing w:after="0" w:line="8" w:lineRule="exact"/>
        <w:rPr>
          <w:rFonts w:ascii="Arial" w:cs="Arial" w:eastAsia="Arial" w:hAnsi="Arial"/>
          <w:sz w:val="18"/>
          <w:szCs w:val="18"/>
          <w:color w:val="010000"/>
        </w:rPr>
      </w:pPr>
    </w:p>
    <w:p>
      <w:pPr>
        <w:jc w:val="both"/>
        <w:ind w:firstLine="10"/>
        <w:spacing w:after="0"/>
        <w:tabs>
          <w:tab w:leader="none" w:pos="3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acquisitions or divestitures; (vii) any other specific, unusual or nonrecurring events, or objectively determinable category thereof; (viii) foreign exchange gains and losses; (ix) discontinued operations and nonrecurring charges; and (x) a change in the Company's fiscal year.</w:t>
      </w:r>
    </w:p>
    <w:p>
      <w:pPr>
        <w:spacing w:after="0" w:line="200" w:lineRule="exact"/>
        <w:rPr>
          <w:sz w:val="20"/>
          <w:szCs w:val="20"/>
          <w:color w:val="auto"/>
        </w:rPr>
      </w:pP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880" w:top="355" w:right="659" w:bottom="1440" w:gutter="0" w:footer="0" w:header="0"/>
        </w:sectPr>
      </w:pPr>
    </w:p>
    <w:bookmarkStart w:id="67" w:name="page68"/>
    <w:bookmarkEnd w:id="67"/>
    <w:p>
      <w:pPr>
        <w:ind w:left="1340" w:hanging="513"/>
        <w:spacing w:after="0"/>
        <w:tabs>
          <w:tab w:leader="none" w:pos="1340" w:val="left"/>
        </w:tabs>
        <w:numPr>
          <w:ilvl w:val="0"/>
          <w:numId w:val="116"/>
        </w:numPr>
        <w:rPr>
          <w:rFonts w:ascii="Arial" w:cs="Arial" w:eastAsia="Arial" w:hAnsi="Arial"/>
          <w:sz w:val="18"/>
          <w:szCs w:val="18"/>
          <w:color w:val="010000"/>
        </w:rPr>
      </w:pPr>
      <w:r>
        <w:rPr>
          <w:rFonts w:ascii="Arial" w:cs="Arial" w:eastAsia="Arial" w:hAnsi="Arial"/>
          <w:sz w:val="18"/>
          <w:szCs w:val="18"/>
          <w:u w:val="single" w:color="auto"/>
          <w:color w:val="auto"/>
        </w:rPr>
        <w:t>Payment of Performance Compensation Awards</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740" w:right="320" w:firstLine="654"/>
        <w:spacing w:after="0"/>
        <w:tabs>
          <w:tab w:leader="none" w:pos="1992"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Condition to Receipt of Payment</w:t>
      </w:r>
      <w:r>
        <w:rPr>
          <w:rFonts w:ascii="Arial" w:cs="Arial" w:eastAsia="Arial" w:hAnsi="Arial"/>
          <w:sz w:val="18"/>
          <w:szCs w:val="18"/>
          <w:color w:val="auto"/>
        </w:rPr>
        <w:t>. Unless otherwise provided in the applicable Award agreement, a Participant must be employed by the Company on the last day of a Performance Period to be eligible for payment in respect of a Performance Compensation Award for such Performance Period.</w:t>
      </w:r>
    </w:p>
    <w:p>
      <w:pPr>
        <w:spacing w:after="0" w:line="189" w:lineRule="exact"/>
        <w:rPr>
          <w:rFonts w:ascii="Arial" w:cs="Arial" w:eastAsia="Arial" w:hAnsi="Arial"/>
          <w:sz w:val="18"/>
          <w:szCs w:val="18"/>
          <w:color w:val="010000"/>
        </w:rPr>
      </w:pPr>
    </w:p>
    <w:p>
      <w:pPr>
        <w:jc w:val="both"/>
        <w:ind w:left="740" w:right="320" w:firstLine="654"/>
        <w:spacing w:after="0" w:line="238" w:lineRule="auto"/>
        <w:tabs>
          <w:tab w:leader="none" w:pos="1888"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Limitation</w:t>
      </w:r>
      <w:r>
        <w:rPr>
          <w:rFonts w:ascii="Arial" w:cs="Arial" w:eastAsia="Arial" w:hAnsi="Arial"/>
          <w:sz w:val="18"/>
          <w:szCs w:val="18"/>
          <w:color w:val="auto"/>
        </w:rPr>
        <w:t>. Unless otherwise provided in the applicable Award agreement, a Participant shall be eligible to receive payment in respect of a Performance Compensation Award only to the extent that: (A) the Performance Goals for such period are achieved; and (B) all or some of the portion of such Participant's Performance Compensation Award has been earned for the Performance Period based on the application of the Performance Formula to such achieved Performance Goals.</w:t>
      </w:r>
    </w:p>
    <w:p>
      <w:pPr>
        <w:spacing w:after="0" w:line="191" w:lineRule="exact"/>
        <w:rPr>
          <w:rFonts w:ascii="Arial" w:cs="Arial" w:eastAsia="Arial" w:hAnsi="Arial"/>
          <w:sz w:val="18"/>
          <w:szCs w:val="18"/>
          <w:color w:val="010000"/>
        </w:rPr>
      </w:pPr>
    </w:p>
    <w:p>
      <w:pPr>
        <w:jc w:val="both"/>
        <w:ind w:left="740" w:right="320" w:firstLine="654"/>
        <w:spacing w:after="0" w:line="238" w:lineRule="auto"/>
        <w:tabs>
          <w:tab w:leader="none" w:pos="1941"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Certification</w:t>
      </w:r>
      <w:r>
        <w:rPr>
          <w:rFonts w:ascii="Arial" w:cs="Arial" w:eastAsia="Arial" w:hAnsi="Arial"/>
          <w:sz w:val="18"/>
          <w:szCs w:val="18"/>
          <w:color w:val="auto"/>
        </w:rPr>
        <w:t>. Following the completion of a Performance Period, the Committee shall review and certify in writing whether, 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 and, in so doing, may apply Negative Discretion.</w:t>
      </w:r>
    </w:p>
    <w:p>
      <w:pPr>
        <w:spacing w:after="0" w:line="188" w:lineRule="exact"/>
        <w:rPr>
          <w:rFonts w:ascii="Arial" w:cs="Arial" w:eastAsia="Arial" w:hAnsi="Arial"/>
          <w:sz w:val="18"/>
          <w:szCs w:val="18"/>
          <w:color w:val="010000"/>
        </w:rPr>
      </w:pPr>
    </w:p>
    <w:p>
      <w:pPr>
        <w:jc w:val="both"/>
        <w:ind w:left="740" w:right="320" w:firstLine="654"/>
        <w:spacing w:after="0" w:line="237" w:lineRule="auto"/>
        <w:tabs>
          <w:tab w:leader="none" w:pos="2167" w:val="left"/>
        </w:tabs>
        <w:numPr>
          <w:ilvl w:val="1"/>
          <w:numId w:val="116"/>
        </w:numPr>
        <w:rPr>
          <w:rFonts w:ascii="Arial" w:cs="Arial" w:eastAsia="Arial" w:hAnsi="Arial"/>
          <w:sz w:val="18"/>
          <w:szCs w:val="18"/>
          <w:color w:val="010000"/>
        </w:rPr>
      </w:pPr>
      <w:r>
        <w:rPr>
          <w:rFonts w:ascii="Arial" w:cs="Arial" w:eastAsia="Arial" w:hAnsi="Arial"/>
          <w:sz w:val="18"/>
          <w:szCs w:val="18"/>
          <w:u w:val="single" w:color="auto"/>
          <w:color w:val="auto"/>
        </w:rPr>
        <w:t>Use of Negative Discretion</w:t>
      </w:r>
      <w:r>
        <w:rPr>
          <w:rFonts w:ascii="Arial" w:cs="Arial" w:eastAsia="Arial" w:hAnsi="Arial"/>
          <w:sz w:val="18"/>
          <w:szCs w:val="18"/>
          <w:color w:val="auto"/>
        </w:rPr>
        <w:t>. In determining the actual amount of an individual Participant's Performance Compensation Award for a Performance Period, the Committee may reduce or eliminate the amount of the Performance Compensation Award earned under the Performance Formula in the Performance Period through the use of Negative Discretion. Unless otherwise provided in the applicable Award Agreement, the Committee shall not have the discretion to: (A) grant or provide payment in respect of Performance Compensation Awards for a Performance Period if the Performance Goals for such Performance Period have not been attained; or (B) increase a Performance Compensation Award above the applicable limitations set forth in Section 5 of the Plan.</w:t>
      </w:r>
    </w:p>
    <w:p>
      <w:pPr>
        <w:spacing w:after="0" w:line="189" w:lineRule="exact"/>
        <w:rPr>
          <w:rFonts w:ascii="Arial" w:cs="Arial" w:eastAsia="Arial" w:hAnsi="Arial"/>
          <w:sz w:val="18"/>
          <w:szCs w:val="18"/>
          <w:color w:val="010000"/>
        </w:rPr>
      </w:pPr>
    </w:p>
    <w:p>
      <w:pPr>
        <w:jc w:val="both"/>
        <w:ind w:left="560" w:right="320" w:firstLine="267"/>
        <w:spacing w:after="0" w:line="236" w:lineRule="auto"/>
        <w:tabs>
          <w:tab w:leader="none" w:pos="1351" w:val="left"/>
        </w:tabs>
        <w:numPr>
          <w:ilvl w:val="0"/>
          <w:numId w:val="116"/>
        </w:numPr>
        <w:rPr>
          <w:rFonts w:ascii="Arial" w:cs="Arial" w:eastAsia="Arial" w:hAnsi="Arial"/>
          <w:sz w:val="18"/>
          <w:szCs w:val="18"/>
          <w:color w:val="010000"/>
        </w:rPr>
      </w:pPr>
      <w:r>
        <w:rPr>
          <w:rFonts w:ascii="Arial" w:cs="Arial" w:eastAsia="Arial" w:hAnsi="Arial"/>
          <w:sz w:val="18"/>
          <w:szCs w:val="18"/>
          <w:u w:val="single" w:color="auto"/>
          <w:color w:val="auto"/>
        </w:rPr>
        <w:t>Timing of Award Payments</w:t>
      </w:r>
      <w:r>
        <w:rPr>
          <w:rFonts w:ascii="Arial" w:cs="Arial" w:eastAsia="Arial" w:hAnsi="Arial"/>
          <w:sz w:val="18"/>
          <w:szCs w:val="18"/>
          <w:color w:val="auto"/>
        </w:rPr>
        <w:t>. Unless otherwise provided in the applicable Award Agreement, Performance Compensation Awards granted for a Performance Period shall be paid to Participants as soon as administratively practicable following completion of the certifications required by this Section 11. Any Performance Compensation Award that has been deferred shall not (between the date as of which the Award is deferred and the payment date) increase (i) with respect to a Performance Compensation Award that is payable in cash, by a measuring factor for each fiscal year greater than a reasonable rate of interest set by the Committee or (ii) with respect to a Performance Compensation Award that is payable in shares of Common Stock, by an amount greater than the appreciation of a share of Common Stock from the date such Award is deferred to the payment date. Any Performance Compensation Award that is deferred and is otherwise payable in shares of Common Stock shall be credited (during the period between the date as of which the Award is deferred and the payment date) with dividend equivalents (in a manner consistent with the methodology set forth in the last sentence of Section 9(d)(ii) of the Plan).</w:t>
      </w:r>
    </w:p>
    <w:p>
      <w:pPr>
        <w:spacing w:after="0" w:line="170" w:lineRule="exact"/>
        <w:rPr>
          <w:sz w:val="20"/>
          <w:szCs w:val="20"/>
          <w:color w:val="auto"/>
        </w:rPr>
      </w:pPr>
    </w:p>
    <w:p>
      <w:pPr>
        <w:jc w:val="both"/>
        <w:ind w:left="560" w:hanging="552"/>
        <w:spacing w:after="0" w:line="238" w:lineRule="auto"/>
        <w:tabs>
          <w:tab w:leader="none" w:pos="5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Changes in Capital Structure and Similar Events</w:t>
      </w:r>
      <w:r>
        <w:rPr>
          <w:rFonts w:ascii="Arial" w:cs="Arial" w:eastAsia="Arial" w:hAnsi="Arial"/>
          <w:sz w:val="18"/>
          <w:szCs w:val="18"/>
          <w:color w:val="auto"/>
        </w:rPr>
        <w:t>. In the event of (a) any dividend (other than regular cash dividends)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jc w:val="both"/>
        <w:ind w:left="160" w:firstLine="726"/>
        <w:spacing w:after="0" w:line="236" w:lineRule="auto"/>
        <w:tabs>
          <w:tab w:leader="none" w:pos="153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adjusting any or all of (A) the Absolute Share Limit, or any other limit applicable under the Plan with respect to the number of Awards which may be granted hereunder; (B) the number of shares of Common Stock or other securities of the Company (or number and kind of other securities or other property) which may be issued in respect of Awards or with respect to which Awards may be granted under the Plan (including, without limitation, adjusting any or all of the limitations under Section 5 of the Plan); and (C)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(provided that in no event shall the per share price of an award be reduced to an amount that is lower than the nominal value of a share); or (3) any applicable performance measures (including, without limitation, Performance Criteria and Performance Goals);</w:t>
      </w:r>
    </w:p>
    <w:p>
      <w:pPr>
        <w:spacing w:after="0" w:line="193" w:lineRule="exact"/>
        <w:rPr>
          <w:rFonts w:ascii="Arial" w:cs="Arial" w:eastAsia="Arial" w:hAnsi="Arial"/>
          <w:sz w:val="18"/>
          <w:szCs w:val="18"/>
          <w:color w:val="auto"/>
        </w:rPr>
      </w:pPr>
    </w:p>
    <w:p>
      <w:pPr>
        <w:jc w:val="both"/>
        <w:ind w:left="160" w:firstLine="726"/>
        <w:spacing w:after="0" w:line="238" w:lineRule="auto"/>
        <w:tabs>
          <w:tab w:leader="none" w:pos="17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providing for a substitution or assumption of Awards (or awards of an acquiring company), accelerating the exercisability of, lapse of restrictions on, or termination of, Awards or providing for a period of time (which shall not be required to be more than ten (10) days) for Participants to exercise outstanding Awards prior to the occurrence of such event (and any such Award not so exercised shall terminate upon the occurrence of such event); and</w:t>
      </w:r>
    </w:p>
    <w:p>
      <w:pPr>
        <w:spacing w:after="0" w:line="191" w:lineRule="exact"/>
        <w:rPr>
          <w:rFonts w:ascii="Arial" w:cs="Arial" w:eastAsia="Arial" w:hAnsi="Arial"/>
          <w:sz w:val="18"/>
          <w:szCs w:val="18"/>
          <w:color w:val="auto"/>
        </w:rPr>
      </w:pPr>
    </w:p>
    <w:p>
      <w:pPr>
        <w:jc w:val="both"/>
        <w:ind w:left="160" w:firstLine="726"/>
        <w:spacing w:after="0" w:line="236" w:lineRule="auto"/>
        <w:tabs>
          <w:tab w:leader="none" w:pos="162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cancelling any one or more outstanding Awards and causing to be paid to the holders holding vested Awards (including any Awards that would vest as a result of the occurrence of such event but for such cancellation)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share of Common Stock subject thereto may be cancelled and terminated without any payment or consideration therefor);</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the case of any "equity restructuring" (within the meaning of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Topic 718 (or any successor pronouncement thereto)), the Committee shall make an equitable or proportionate adjustment to outstanding Awards to reflect such equity restructuring.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which does not adversely affect the exemption provided pursuant to Rule 16b-3 under the Exchange Act. Any such adjustment shall be conclusive and binding for all purposes Payments holders pursuant to clause (iii)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 In addition, prior to any payment or adjustment contemplated under this Section 12, the Committee may require a Participant to (A) represent and warrant as to the unencumbered title to his or her Awards; (B) bear such Participant's pro rata share of any post-closing indemnity obligations, and be subject to the same post-closing purchase price adjustments, escrow terms, offset rights, holdback terms, and similar conditions as the other holders of Common Stock and (C) deliver customary transfer documentation as reasonably determined by the Committee.</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00" w:top="355" w:right="339" w:bottom="1440" w:gutter="0" w:footer="0" w:header="0"/>
        </w:sectPr>
      </w:pPr>
    </w:p>
    <w:bookmarkStart w:id="69" w:name="page70"/>
    <w:bookmarkEnd w:id="69"/>
    <w:p>
      <w:pPr>
        <w:ind w:left="552" w:hanging="552"/>
        <w:spacing w:after="0"/>
        <w:tabs>
          <w:tab w:leader="none" w:pos="55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firstLine="285"/>
        <w:spacing w:after="0" w:line="236" w:lineRule="auto"/>
        <w:tabs>
          <w:tab w:leader="none" w:pos="1401" w:val="left"/>
        </w:tabs>
        <w:numPr>
          <w:ilvl w:val="2"/>
          <w:numId w:val="119"/>
        </w:numPr>
        <w:rPr>
          <w:rFonts w:ascii="Arial" w:cs="Arial" w:eastAsia="Arial" w:hAnsi="Arial"/>
          <w:sz w:val="18"/>
          <w:szCs w:val="18"/>
          <w:color w:val="010000"/>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 xml:space="preserve">. The Board may amend, alter, suspend, discontinue, or terminate the Plan or any portion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alteration, suspension, discontinuation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 5 or 12 of the Plan) or (iii) it would materially modify the requirements for participation in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such amendment, alteration, suspension, discontinuance or termination that would materially and adversely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rights of any Participant or any holder or beneficiary of any Award theretofore granted shall not to that extent be effective without the consent of the affected Participant, holder or beneficiary. Notwithstanding the foregoing, no amendment shall be made to the last proviso of Section 13(b) of the Plan without stockholder approval.</w:t>
      </w:r>
    </w:p>
    <w:p>
      <w:pPr>
        <w:spacing w:after="0" w:line="191" w:lineRule="exact"/>
        <w:rPr>
          <w:rFonts w:ascii="Arial" w:cs="Arial" w:eastAsia="Arial" w:hAnsi="Arial"/>
          <w:sz w:val="18"/>
          <w:szCs w:val="18"/>
          <w:color w:val="010000"/>
        </w:rPr>
      </w:pPr>
    </w:p>
    <w:p>
      <w:pPr>
        <w:jc w:val="both"/>
        <w:ind w:left="552" w:firstLine="285"/>
        <w:spacing w:after="0" w:line="236" w:lineRule="auto"/>
        <w:tabs>
          <w:tab w:leader="none" w:pos="1347" w:val="left"/>
        </w:tabs>
        <w:numPr>
          <w:ilvl w:val="2"/>
          <w:numId w:val="119"/>
        </w:numPr>
        <w:rPr>
          <w:rFonts w:ascii="Arial" w:cs="Arial" w:eastAsia="Arial" w:hAnsi="Arial"/>
          <w:sz w:val="18"/>
          <w:szCs w:val="18"/>
          <w:color w:val="010000"/>
        </w:rPr>
      </w:pP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Arial" w:cs="Arial" w:eastAsia="Arial" w:hAnsi="Arial"/>
          <w:sz w:val="18"/>
          <w:szCs w:val="18"/>
          <w:i w:val="1"/>
          <w:iCs w:val="1"/>
          <w:color w:val="auto"/>
        </w:rPr>
        <w:t>provided, further</w:t>
      </w:r>
      <w:r>
        <w:rPr>
          <w:rFonts w:ascii="Arial" w:cs="Arial" w:eastAsia="Arial" w:hAnsi="Arial"/>
          <w:sz w:val="18"/>
          <w:szCs w:val="18"/>
          <w:color w:val="auto"/>
        </w:rPr>
        <w:t>, that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pacing w:after="0" w:line="168" w:lineRule="exact"/>
        <w:rPr>
          <w:rFonts w:ascii="Arial" w:cs="Arial" w:eastAsia="Arial" w:hAnsi="Arial"/>
          <w:sz w:val="18"/>
          <w:szCs w:val="18"/>
          <w:color w:val="010000"/>
        </w:rPr>
      </w:pPr>
    </w:p>
    <w:p>
      <w:pPr>
        <w:ind w:left="552" w:hanging="552"/>
        <w:spacing w:after="0"/>
        <w:tabs>
          <w:tab w:leader="none" w:pos="55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left="552" w:firstLine="267"/>
        <w:spacing w:after="0" w:line="237" w:lineRule="auto"/>
        <w:tabs>
          <w:tab w:leader="none" w:pos="1343" w:val="left"/>
        </w:tabs>
        <w:numPr>
          <w:ilvl w:val="1"/>
          <w:numId w:val="119"/>
        </w:numPr>
        <w:rPr>
          <w:rFonts w:ascii="Arial" w:cs="Arial" w:eastAsia="Arial" w:hAnsi="Arial"/>
          <w:sz w:val="18"/>
          <w:szCs w:val="18"/>
          <w:color w:val="010000"/>
        </w:rPr>
      </w:pPr>
      <w:r>
        <w:rPr>
          <w:rFonts w:ascii="Arial" w:cs="Arial" w:eastAsia="Arial" w:hAnsi="Arial"/>
          <w:sz w:val="18"/>
          <w:szCs w:val="18"/>
          <w:u w:val="single" w:color="auto"/>
          <w:color w:val="auto"/>
        </w:rPr>
        <w:t>Award Agreements</w:t>
      </w:r>
      <w:r>
        <w:rPr>
          <w:rFonts w:ascii="Arial" w:cs="Arial" w:eastAsia="Arial" w:hAnsi="Arial"/>
          <w:sz w:val="18"/>
          <w:szCs w:val="18"/>
          <w:color w:val="auto"/>
        </w:rPr>
        <w:t>. Each Award under the Plan shall be evidenced by an Award Agreement, which shall be delivered to the Participant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189" w:lineRule="exact"/>
        <w:rPr>
          <w:rFonts w:ascii="Arial" w:cs="Arial" w:eastAsia="Arial" w:hAnsi="Arial"/>
          <w:sz w:val="18"/>
          <w:szCs w:val="18"/>
          <w:color w:val="010000"/>
        </w:rPr>
      </w:pPr>
    </w:p>
    <w:p>
      <w:pPr>
        <w:ind w:left="1372" w:hanging="562"/>
        <w:spacing w:after="0"/>
        <w:tabs>
          <w:tab w:leader="none" w:pos="1372" w:val="left"/>
        </w:tabs>
        <w:numPr>
          <w:ilvl w:val="1"/>
          <w:numId w:val="119"/>
        </w:numPr>
        <w:rPr>
          <w:rFonts w:ascii="Arial" w:cs="Arial" w:eastAsia="Arial" w:hAnsi="Arial"/>
          <w:sz w:val="18"/>
          <w:szCs w:val="18"/>
          <w:color w:val="010000"/>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732" w:right="40" w:firstLine="654"/>
        <w:spacing w:after="0" w:line="237" w:lineRule="auto"/>
        <w:tabs>
          <w:tab w:leader="none" w:pos="1984" w:val="left"/>
        </w:tabs>
        <w:numPr>
          <w:ilvl w:val="3"/>
          <w:numId w:val="119"/>
        </w:numPr>
        <w:rPr>
          <w:rFonts w:ascii="Arial" w:cs="Arial" w:eastAsia="Arial" w:hAnsi="Arial"/>
          <w:sz w:val="18"/>
          <w:szCs w:val="18"/>
          <w:color w:val="010000"/>
        </w:rPr>
      </w:pPr>
      <w:r>
        <w:rPr>
          <w:rFonts w:ascii="Arial" w:cs="Arial" w:eastAsia="Arial" w:hAnsi="Arial"/>
          <w:sz w:val="18"/>
          <w:szCs w:val="18"/>
          <w:color w:val="auto"/>
        </w:rPr>
        <w:t xml:space="preserve">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(including, without limitation, except as may be prohibited by applicable law, pursuant to a domestic relations order) other than by will or by the laws of descent and distribution and any such purported assignment, alienation, pledge, attachment, sale, transfer or encumbrance shall be void and unenforceable against the Company or an Affiliate; </w:t>
      </w:r>
      <w:r>
        <w:rPr>
          <w:rFonts w:ascii="Arial" w:cs="Arial" w:eastAsia="Arial" w:hAnsi="Arial"/>
          <w:sz w:val="18"/>
          <w:szCs w:val="18"/>
          <w:i w:val="1"/>
          <w:iCs w:val="1"/>
          <w:color w:val="auto"/>
        </w:rPr>
        <w:t>provided</w:t>
      </w:r>
      <w:r>
        <w:rPr>
          <w:rFonts w:ascii="Arial" w:cs="Arial" w:eastAsia="Arial" w:hAnsi="Arial"/>
          <w:sz w:val="18"/>
          <w:szCs w:val="18"/>
          <w:color w:val="auto"/>
        </w:rPr>
        <w:t>, that the designation of a beneficiary shall not constitute an assignment, alienation, pledge, attachment, sale, transfer or encumbrance.</w:t>
      </w:r>
    </w:p>
    <w:p>
      <w:pPr>
        <w:spacing w:after="0" w:line="200" w:lineRule="exact"/>
        <w:rPr>
          <w:sz w:val="20"/>
          <w:szCs w:val="20"/>
          <w:color w:val="auto"/>
        </w:rPr>
      </w:pPr>
    </w:p>
    <w:p>
      <w:pPr>
        <w:spacing w:after="0" w:line="205"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32"/>
          </w:cols>
          <w:pgMar w:left="328" w:top="333" w:right="639" w:bottom="1440" w:gutter="0" w:footer="0" w:header="0"/>
        </w:sectPr>
      </w:pPr>
    </w:p>
    <w:bookmarkStart w:id="70" w:name="page71"/>
    <w:bookmarkEnd w:id="70"/>
    <w:p>
      <w:pPr>
        <w:jc w:val="both"/>
        <w:ind w:left="80" w:right="40" w:firstLine="654"/>
        <w:spacing w:after="0" w:line="234" w:lineRule="auto"/>
        <w:tabs>
          <w:tab w:leader="none" w:pos="1386" w:val="left"/>
        </w:tabs>
        <w:numPr>
          <w:ilvl w:val="2"/>
          <w:numId w:val="120"/>
        </w:numPr>
        <w:rPr>
          <w:rFonts w:ascii="Arial" w:cs="Arial" w:eastAsia="Arial" w:hAnsi="Arial"/>
          <w:sz w:val="18"/>
          <w:szCs w:val="18"/>
          <w:color w:val="010000"/>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Arial" w:cs="Arial" w:eastAsia="Arial" w:hAnsi="Arial"/>
          <w:sz w:val="18"/>
          <w:szCs w:val="18"/>
          <w:u w:val="single" w:color="auto"/>
          <w:color w:val="auto"/>
        </w:rPr>
        <w:t>Immediate Family</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Members</w:t>
      </w:r>
      <w:r>
        <w:rPr>
          <w:rFonts w:ascii="Arial" w:cs="Arial" w:eastAsia="Arial" w:hAnsi="Arial"/>
          <w:sz w:val="18"/>
          <w:szCs w:val="18"/>
          <w:color w:val="auto"/>
        </w:rPr>
        <w:t>"); (B) a trust solely for the benefit of the Participant and his or her Immediate Family Members; (C) a partnership or limited liability company whose only partners or stockholders are the Participant and his or her Immediate Family Members; or</w:t>
      </w:r>
    </w:p>
    <w:p>
      <w:pPr>
        <w:spacing w:after="0" w:line="4" w:lineRule="exact"/>
        <w:rPr>
          <w:rFonts w:ascii="Arial" w:cs="Arial" w:eastAsia="Arial" w:hAnsi="Arial"/>
          <w:sz w:val="18"/>
          <w:szCs w:val="18"/>
          <w:color w:val="010000"/>
        </w:rPr>
      </w:pPr>
    </w:p>
    <w:p>
      <w:pPr>
        <w:jc w:val="both"/>
        <w:ind w:left="80" w:right="20" w:firstLine="6"/>
        <w:spacing w:after="0" w:line="238" w:lineRule="auto"/>
        <w:tabs>
          <w:tab w:leader="none" w:pos="4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beneficiary to whom donations are eligible to be treated as "charitable contributions" for federal income tax purposes (each transferee described in clauses (A), (B), (C) and (D) above is hereinafter referred to as a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the Participant gives the Committee advance written notice describing the terms and conditions of the proposed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and the Committee notifies the Participant in writing that such a transfer would comply with the requirements of the Plan.</w:t>
      </w:r>
    </w:p>
    <w:p>
      <w:pPr>
        <w:spacing w:after="0" w:line="188" w:lineRule="exact"/>
        <w:rPr>
          <w:rFonts w:ascii="Arial" w:cs="Arial" w:eastAsia="Arial" w:hAnsi="Arial"/>
          <w:sz w:val="18"/>
          <w:szCs w:val="18"/>
          <w:color w:val="auto"/>
        </w:rPr>
      </w:pPr>
    </w:p>
    <w:p>
      <w:pPr>
        <w:jc w:val="both"/>
        <w:ind w:left="80" w:right="40" w:firstLine="654"/>
        <w:spacing w:after="0" w:line="236" w:lineRule="auto"/>
        <w:tabs>
          <w:tab w:leader="none" w:pos="1385" w:val="left"/>
        </w:tabs>
        <w:numPr>
          <w:ilvl w:val="2"/>
          <w:numId w:val="121"/>
        </w:numPr>
        <w:rPr>
          <w:rFonts w:ascii="Arial" w:cs="Arial" w:eastAsia="Arial" w:hAnsi="Arial"/>
          <w:sz w:val="18"/>
          <w:szCs w:val="18"/>
          <w:color w:val="010000"/>
        </w:rPr>
      </w:pPr>
      <w:r>
        <w:rPr>
          <w:rFonts w:ascii="Arial" w:cs="Arial" w:eastAsia="Arial" w:hAnsi="Arial"/>
          <w:sz w:val="18"/>
          <w:szCs w:val="18"/>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90" w:lineRule="exact"/>
        <w:rPr>
          <w:rFonts w:ascii="Arial" w:cs="Arial" w:eastAsia="Arial" w:hAnsi="Arial"/>
          <w:sz w:val="18"/>
          <w:szCs w:val="18"/>
          <w:color w:val="010000"/>
        </w:rPr>
      </w:pPr>
    </w:p>
    <w:p>
      <w:pPr>
        <w:jc w:val="both"/>
        <w:ind w:right="20" w:firstLine="167"/>
        <w:spacing w:after="0" w:line="236" w:lineRule="auto"/>
        <w:tabs>
          <w:tab w:leader="none" w:pos="815" w:val="left"/>
        </w:tabs>
        <w:numPr>
          <w:ilvl w:val="1"/>
          <w:numId w:val="121"/>
        </w:numPr>
        <w:rPr>
          <w:rFonts w:ascii="Arial" w:cs="Arial" w:eastAsia="Arial" w:hAnsi="Arial"/>
          <w:sz w:val="18"/>
          <w:szCs w:val="18"/>
          <w:color w:val="010000"/>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 xml:space="preserve">. The Committee, in its sole discretion, may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 </w:t>
      </w:r>
      <w:r>
        <w:rPr>
          <w:rFonts w:ascii="Arial" w:cs="Arial" w:eastAsia="Arial" w:hAnsi="Arial"/>
          <w:sz w:val="18"/>
          <w:szCs w:val="18"/>
          <w:i w:val="1"/>
          <w:iCs w:val="1"/>
          <w:color w:val="auto"/>
        </w:rPr>
        <w:t>provided</w:t>
      </w:r>
      <w:r>
        <w:rPr>
          <w:rFonts w:ascii="Arial" w:cs="Arial" w:eastAsia="Arial" w:hAnsi="Arial"/>
          <w:sz w:val="18"/>
          <w:szCs w:val="18"/>
          <w:color w:val="auto"/>
        </w:rPr>
        <w:t>, that no dividends, dividend equivalents or other similar payments shall be payable in respect of outstanding (i) Options or SARs; or (ii) unearned Performance Compensation Awards or other unearned Awards subject to performance conditions (other than, or in addition to, the passage of time) (although dividends, dividend equivalents or other similar payments may be accumulated in respect of unearned Awards and paid within fifteen (15) days after such Awards are earned and become payable or distributable).</w:t>
      </w:r>
    </w:p>
    <w:p>
      <w:pPr>
        <w:spacing w:after="0" w:line="192" w:lineRule="exact"/>
        <w:rPr>
          <w:rFonts w:ascii="Arial" w:cs="Arial" w:eastAsia="Arial" w:hAnsi="Arial"/>
          <w:sz w:val="18"/>
          <w:szCs w:val="18"/>
          <w:color w:val="010000"/>
        </w:rPr>
      </w:pPr>
    </w:p>
    <w:p>
      <w:pPr>
        <w:ind w:left="800" w:hanging="642"/>
        <w:spacing w:after="0"/>
        <w:tabs>
          <w:tab w:leader="none" w:pos="800" w:val="left"/>
        </w:tabs>
        <w:numPr>
          <w:ilvl w:val="1"/>
          <w:numId w:val="121"/>
        </w:numPr>
        <w:rPr>
          <w:rFonts w:ascii="Arial" w:cs="Arial" w:eastAsia="Arial" w:hAnsi="Arial"/>
          <w:sz w:val="18"/>
          <w:szCs w:val="18"/>
          <w:color w:val="010000"/>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80" w:firstLine="654"/>
        <w:spacing w:after="0" w:line="237" w:lineRule="auto"/>
        <w:tabs>
          <w:tab w:leader="none" w:pos="1386" w:val="left"/>
        </w:tabs>
        <w:numPr>
          <w:ilvl w:val="2"/>
          <w:numId w:val="122"/>
        </w:numPr>
        <w:rPr>
          <w:rFonts w:ascii="Arial" w:cs="Arial" w:eastAsia="Arial" w:hAnsi="Arial"/>
          <w:sz w:val="18"/>
          <w:szCs w:val="18"/>
          <w:color w:val="010000"/>
        </w:rPr>
      </w:pPr>
      <w:r>
        <w:rPr>
          <w:rFonts w:ascii="Arial" w:cs="Arial" w:eastAsia="Arial" w:hAnsi="Arial"/>
          <w:sz w:val="18"/>
          <w:szCs w:val="18"/>
          <w:color w:val="auto"/>
        </w:rPr>
        <w:t>A Participant shall be required to pay to the Company or any Affiliate, and the Company or any Affiliate shall have the right and is hereby authorized to withhold, from any cash, shares of Common Stock, other securities or other property issuable or deliverable under any Award or from any compensation or other amounts owing to a Participant, the amount (in cash, shares of Common Stock, other securities or other property) of any required withholding or any other applicable taxes in respect of an Award, its exercise, or any payment or transfer under an Award or under the Plan and to take such other action as may be necessary in the opinion of the Committee or the Company to satisfy all obligations for the payment of such withholding or any other applicable taxes.</w:t>
      </w:r>
    </w:p>
    <w:p>
      <w:pPr>
        <w:spacing w:after="0" w:line="189" w:lineRule="exact"/>
        <w:rPr>
          <w:sz w:val="20"/>
          <w:szCs w:val="20"/>
          <w:color w:val="auto"/>
        </w:rPr>
      </w:pPr>
    </w:p>
    <w:p>
      <w:pPr>
        <w:jc w:val="both"/>
        <w:ind w:left="80" w:right="20" w:firstLine="654"/>
        <w:spacing w:after="0" w:line="237" w:lineRule="auto"/>
        <w:tabs>
          <w:tab w:leader="none" w:pos="1345"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Without limiting the generality of clause (i) above, the Committee may, in its sole discretion, permit a Participant to satisfy, in whole or in part, the foregoing withholding liability by (A) the delivery of shares of Common Stock (which are not subject to any pledge or other security interest) owned by the Participant having a Fair Market Value equal to such withholding liability or (B) having the Company withhold from the number of shares of Common Stock otherwise issuable or deliverable pursuant to the exercise or settlement of the Award a number of shares with a Fair Market Value equal to such withholding liability, provided that with respect to shares withheld pursuant to clause (B), the number of such shares may not have a Fair Market Value greater than the minimum required statutory withholding liability.</w:t>
      </w:r>
    </w:p>
    <w:p>
      <w:pPr>
        <w:spacing w:after="0" w:line="200" w:lineRule="exact"/>
        <w:rPr>
          <w:sz w:val="20"/>
          <w:szCs w:val="20"/>
          <w:color w:val="auto"/>
        </w:r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355" w:right="639" w:bottom="1440" w:gutter="0" w:footer="0" w:header="0"/>
        </w:sectPr>
      </w:pPr>
    </w:p>
    <w:bookmarkStart w:id="71" w:name="page72"/>
    <w:bookmarkEnd w:id="71"/>
    <w:p>
      <w:pPr>
        <w:jc w:val="both"/>
        <w:ind w:firstLine="167"/>
        <w:spacing w:after="0" w:line="235" w:lineRule="auto"/>
        <w:tabs>
          <w:tab w:leader="none" w:pos="785" w:val="left"/>
        </w:tabs>
        <w:numPr>
          <w:ilvl w:val="0"/>
          <w:numId w:val="124"/>
        </w:numPr>
        <w:rPr>
          <w:rFonts w:ascii="Arial" w:cs="Arial" w:eastAsia="Arial" w:hAnsi="Arial"/>
          <w:sz w:val="18"/>
          <w:szCs w:val="18"/>
          <w:color w:val="010000"/>
        </w:rPr>
      </w:pPr>
      <w:r>
        <w:rPr>
          <w:rFonts w:ascii="Arial" w:cs="Arial" w:eastAsia="Arial" w:hAnsi="Arial"/>
          <w:sz w:val="18"/>
          <w:szCs w:val="18"/>
          <w:u w:val="single" w:color="auto"/>
          <w:color w:val="auto"/>
        </w:rPr>
        <w:t>No Claim to Awards; No Rights to Continued Employment; Waiver</w:t>
      </w:r>
      <w:r>
        <w:rPr>
          <w:rFonts w:ascii="Arial" w:cs="Arial" w:eastAsia="Arial" w:hAnsi="Arial"/>
          <w:sz w:val="18"/>
          <w:szCs w:val="18"/>
          <w:color w:val="auto"/>
        </w:rPr>
        <w:t>. No employee of the Company or any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any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Company and its Affiliates and the Participant, whether any such agreement is executed before, on or after the Date of Grant.</w:t>
      </w:r>
    </w:p>
    <w:p>
      <w:pPr>
        <w:spacing w:after="0" w:line="200" w:lineRule="exact"/>
        <w:rPr>
          <w:rFonts w:ascii="Arial" w:cs="Arial" w:eastAsia="Arial" w:hAnsi="Arial"/>
          <w:sz w:val="18"/>
          <w:szCs w:val="18"/>
          <w:color w:val="010000"/>
        </w:rPr>
      </w:pPr>
    </w:p>
    <w:p>
      <w:pPr>
        <w:jc w:val="both"/>
        <w:ind w:right="200" w:firstLine="167"/>
        <w:spacing w:after="0" w:line="238" w:lineRule="auto"/>
        <w:tabs>
          <w:tab w:leader="none" w:pos="691" w:val="left"/>
        </w:tabs>
        <w:numPr>
          <w:ilvl w:val="0"/>
          <w:numId w:val="124"/>
        </w:numPr>
        <w:rPr>
          <w:rFonts w:ascii="Arial" w:cs="Arial" w:eastAsia="Arial" w:hAnsi="Arial"/>
          <w:sz w:val="18"/>
          <w:szCs w:val="18"/>
          <w:color w:val="010000"/>
        </w:rPr>
      </w:pPr>
      <w:r>
        <w:rPr>
          <w:rFonts w:ascii="Arial" w:cs="Arial" w:eastAsia="Arial" w:hAnsi="Arial"/>
          <w:sz w:val="18"/>
          <w:szCs w:val="18"/>
          <w:u w:val="single" w:color="auto"/>
          <w:color w:val="auto"/>
        </w:rPr>
        <w:t>International Participants</w:t>
      </w:r>
      <w:r>
        <w:rPr>
          <w:rFonts w:ascii="Arial" w:cs="Arial" w:eastAsia="Arial" w:hAnsi="Arial"/>
          <w:sz w:val="18"/>
          <w:szCs w:val="18"/>
          <w:color w:val="auto"/>
        </w:rPr>
        <w:t>. With respect to Participants who reside or work outside of the United States of America and who are not (and who are not expected to be) "covered employees" within the meaning of Section 162(m) of the Code,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the Company or its Affiliates.</w:t>
      </w:r>
    </w:p>
    <w:p>
      <w:pPr>
        <w:spacing w:after="0" w:line="188" w:lineRule="exact"/>
        <w:rPr>
          <w:rFonts w:ascii="Arial" w:cs="Arial" w:eastAsia="Arial" w:hAnsi="Arial"/>
          <w:sz w:val="18"/>
          <w:szCs w:val="18"/>
          <w:color w:val="010000"/>
        </w:rPr>
      </w:pPr>
    </w:p>
    <w:p>
      <w:pPr>
        <w:jc w:val="both"/>
        <w:ind w:firstLine="167"/>
        <w:spacing w:after="0" w:line="236" w:lineRule="auto"/>
        <w:tabs>
          <w:tab w:leader="none" w:pos="772" w:val="left"/>
        </w:tabs>
        <w:numPr>
          <w:ilvl w:val="0"/>
          <w:numId w:val="124"/>
        </w:numPr>
        <w:rPr>
          <w:rFonts w:ascii="Arial" w:cs="Arial" w:eastAsia="Arial" w:hAnsi="Arial"/>
          <w:sz w:val="18"/>
          <w:szCs w:val="18"/>
          <w:color w:val="010000"/>
        </w:rPr>
      </w:pPr>
      <w:r>
        <w:rPr>
          <w:rFonts w:ascii="Arial" w:cs="Arial" w:eastAsia="Arial" w:hAnsi="Arial"/>
          <w:sz w:val="18"/>
          <w:szCs w:val="18"/>
          <w:u w:val="single" w:color="auto"/>
          <w:color w:val="auto"/>
        </w:rPr>
        <w:t>Designation and Change of Beneficiary</w:t>
      </w:r>
      <w:r>
        <w:rPr>
          <w:rFonts w:ascii="Arial" w:cs="Arial" w:eastAsia="Arial" w:hAnsi="Arial"/>
          <w:sz w:val="18"/>
          <w:szCs w:val="18"/>
          <w:color w:val="auto"/>
        </w:rPr>
        <w:t xml:space="preserve">. Each Participant may file with the Committee a written designation of one or more persons as the beneficiary(ies) who shall be entitled to receive the amounts payable with respect to an Award, if any, due under the Plan upon his or her death. A Participant may, from time to time, revoke or change his or her beneficiary designation without the consent of any prior beneficiary by filing a new designation with the Committee. The last such designation received by the Committee shall be controlling;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194" w:lineRule="exact"/>
        <w:rPr>
          <w:rFonts w:ascii="Arial" w:cs="Arial" w:eastAsia="Arial" w:hAnsi="Arial"/>
          <w:sz w:val="18"/>
          <w:szCs w:val="18"/>
          <w:color w:val="010000"/>
        </w:rPr>
      </w:pPr>
    </w:p>
    <w:p>
      <w:pPr>
        <w:jc w:val="both"/>
        <w:ind w:firstLine="167"/>
        <w:spacing w:after="0" w:line="236" w:lineRule="auto"/>
        <w:tabs>
          <w:tab w:leader="none" w:pos="758" w:val="left"/>
        </w:tabs>
        <w:numPr>
          <w:ilvl w:val="0"/>
          <w:numId w:val="124"/>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 Participant continues to provide services to the Company and its Affiliates in a non-employee capacity, such change in status shall not be considered a Termination for purposes of the Plan. Further, unless otherwise determined by the Committee, in the event that any Service Recipient ceases to be an Affiliate of the Company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200" w:lineRule="exact"/>
        <w:rPr>
          <w:sz w:val="20"/>
          <w:szCs w:val="20"/>
          <w:color w:val="auto"/>
        </w:rPr>
      </w:pPr>
    </w:p>
    <w:p>
      <w:pPr>
        <w:spacing w:after="0" w:line="2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355" w:right="639" w:bottom="1440" w:gutter="0" w:footer="0" w:header="0"/>
        </w:sectPr>
      </w:pPr>
    </w:p>
    <w:bookmarkStart w:id="72" w:name="page73"/>
    <w:bookmarkEnd w:id="72"/>
    <w:p>
      <w:pPr>
        <w:jc w:val="both"/>
        <w:ind w:right="340" w:firstLine="167"/>
        <w:spacing w:after="0"/>
        <w:tabs>
          <w:tab w:leader="none" w:pos="865" w:val="left"/>
        </w:tabs>
        <w:numPr>
          <w:ilvl w:val="0"/>
          <w:numId w:val="125"/>
        </w:numPr>
        <w:rPr>
          <w:rFonts w:ascii="Arial" w:cs="Arial" w:eastAsia="Arial" w:hAnsi="Arial"/>
          <w:sz w:val="18"/>
          <w:szCs w:val="18"/>
          <w:color w:val="010000"/>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189" w:lineRule="exact"/>
        <w:rPr>
          <w:rFonts w:ascii="Arial" w:cs="Arial" w:eastAsia="Arial" w:hAnsi="Arial"/>
          <w:sz w:val="18"/>
          <w:szCs w:val="18"/>
          <w:color w:val="010000"/>
        </w:rPr>
      </w:pPr>
    </w:p>
    <w:p>
      <w:pPr>
        <w:ind w:left="720" w:hanging="553"/>
        <w:spacing w:after="0"/>
        <w:tabs>
          <w:tab w:leader="none" w:pos="720" w:val="left"/>
        </w:tabs>
        <w:numPr>
          <w:ilvl w:val="0"/>
          <w:numId w:val="125"/>
        </w:numPr>
        <w:rPr>
          <w:rFonts w:ascii="Arial" w:cs="Arial" w:eastAsia="Arial" w:hAnsi="Arial"/>
          <w:sz w:val="18"/>
          <w:szCs w:val="18"/>
          <w:color w:val="010000"/>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80" w:firstLine="654"/>
        <w:spacing w:after="0" w:line="235" w:lineRule="auto"/>
        <w:tabs>
          <w:tab w:leader="none" w:pos="1426"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issued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9 of the Plan, the Committee may cause a legend or legends to be put on certificates representing shares of Common Stock or other securities of the Company or any Affiliate issued under the Plan to make appropriate reference to such restrictions or may cause such Common Stock or other securities of the Company or any Affiliate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98" w:lineRule="exact"/>
        <w:rPr>
          <w:rFonts w:ascii="Arial" w:cs="Arial" w:eastAsia="Arial" w:hAnsi="Arial"/>
          <w:sz w:val="18"/>
          <w:szCs w:val="18"/>
          <w:color w:val="010000"/>
        </w:rPr>
      </w:pPr>
    </w:p>
    <w:p>
      <w:pPr>
        <w:jc w:val="both"/>
        <w:ind w:left="80" w:right="40" w:firstLine="654"/>
        <w:spacing w:after="0" w:line="236" w:lineRule="auto"/>
        <w:tabs>
          <w:tab w:leader="none" w:pos="1385" w:val="left"/>
        </w:tabs>
        <w:numPr>
          <w:ilvl w:val="1"/>
          <w:numId w:val="125"/>
        </w:numPr>
        <w:rPr>
          <w:rFonts w:ascii="Arial" w:cs="Arial" w:eastAsia="Arial" w:hAnsi="Arial"/>
          <w:sz w:val="18"/>
          <w:szCs w:val="18"/>
          <w:color w:val="010000"/>
        </w:rPr>
      </w:pPr>
      <w:r>
        <w:rPr>
          <w:rFonts w:ascii="Arial" w:cs="Arial" w:eastAsia="Arial" w:hAnsi="Arial"/>
          <w:sz w:val="18"/>
          <w:szCs w:val="18"/>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issued, as applicable), over (B) the aggregate Exercise Price or Strike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w:t>
      </w:r>
    </w:p>
    <w:p>
      <w:pPr>
        <w:spacing w:after="0" w:line="200" w:lineRule="exact"/>
        <w:rPr>
          <w:sz w:val="20"/>
          <w:szCs w:val="20"/>
          <w:color w:val="auto"/>
        </w:rPr>
      </w:pP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980" w:top="355" w:right="619" w:bottom="1440" w:gutter="0" w:footer="0" w:header="0"/>
        </w:sectPr>
      </w:pPr>
    </w:p>
    <w:bookmarkStart w:id="73" w:name="page74"/>
    <w:bookmarkEnd w:id="73"/>
    <w:p>
      <w:pPr>
        <w:jc w:val="both"/>
        <w:ind w:firstLine="167"/>
        <w:spacing w:after="0" w:line="237" w:lineRule="auto"/>
        <w:tabs>
          <w:tab w:leader="none" w:pos="680"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No Section 83(b) Elections Without Consent of Company</w:t>
      </w:r>
      <w:r>
        <w:rPr>
          <w:rFonts w:ascii="Arial" w:cs="Arial" w:eastAsia="Arial" w:hAnsi="Arial"/>
          <w:sz w:val="18"/>
          <w:szCs w:val="18"/>
          <w:color w:val="auto"/>
        </w:rPr>
        <w:t>. No election under Section 83(b) of the Code or under a similar provision of law may be made unless expressly permitted by the terms of the applicable Award Agreement or by action of the Committee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189" w:lineRule="exact"/>
        <w:rPr>
          <w:rFonts w:ascii="Arial" w:cs="Arial" w:eastAsia="Arial" w:hAnsi="Arial"/>
          <w:sz w:val="18"/>
          <w:szCs w:val="18"/>
          <w:color w:val="010000"/>
        </w:rPr>
      </w:pPr>
    </w:p>
    <w:p>
      <w:pPr>
        <w:jc w:val="both"/>
        <w:ind w:firstLine="167"/>
        <w:spacing w:after="0" w:line="237" w:lineRule="auto"/>
        <w:tabs>
          <w:tab w:leader="none" w:pos="842"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Payments to Persons Other Than Participants</w:t>
      </w:r>
      <w:r>
        <w:rPr>
          <w:rFonts w:ascii="Arial" w:cs="Arial" w:eastAsia="Arial" w:hAnsi="Arial"/>
          <w:sz w:val="18"/>
          <w:szCs w:val="18"/>
          <w:color w:val="auto"/>
        </w:rPr>
        <w:t>. If the Committee shall find that any person to whom any amount is payable under the Plan is unable to care for his or her affairs because of illness or accident, or is a minor, or has died, then any payment due to such person or his or her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9" w:lineRule="exact"/>
        <w:rPr>
          <w:rFonts w:ascii="Arial" w:cs="Arial" w:eastAsia="Arial" w:hAnsi="Arial"/>
          <w:sz w:val="18"/>
          <w:szCs w:val="18"/>
          <w:color w:val="010000"/>
        </w:rPr>
      </w:pPr>
    </w:p>
    <w:p>
      <w:pPr>
        <w:jc w:val="both"/>
        <w:ind w:right="140" w:firstLine="167"/>
        <w:spacing w:after="0" w:line="238" w:lineRule="auto"/>
        <w:tabs>
          <w:tab w:leader="none" w:pos="812"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91" w:lineRule="exact"/>
        <w:rPr>
          <w:rFonts w:ascii="Arial" w:cs="Arial" w:eastAsia="Arial" w:hAnsi="Arial"/>
          <w:sz w:val="18"/>
          <w:szCs w:val="18"/>
          <w:color w:val="010000"/>
        </w:rPr>
      </w:pPr>
    </w:p>
    <w:p>
      <w:pPr>
        <w:jc w:val="both"/>
        <w:ind w:firstLine="167"/>
        <w:spacing w:after="0" w:line="236" w:lineRule="auto"/>
        <w:tabs>
          <w:tab w:leader="none" w:pos="691"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193" w:lineRule="exact"/>
        <w:rPr>
          <w:rFonts w:ascii="Arial" w:cs="Arial" w:eastAsia="Arial" w:hAnsi="Arial"/>
          <w:sz w:val="18"/>
          <w:szCs w:val="18"/>
          <w:color w:val="010000"/>
        </w:rPr>
      </w:pPr>
    </w:p>
    <w:p>
      <w:pPr>
        <w:jc w:val="both"/>
        <w:ind w:right="140" w:firstLine="167"/>
        <w:spacing w:after="0" w:line="238" w:lineRule="auto"/>
        <w:tabs>
          <w:tab w:leader="none" w:pos="691"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agent of the Company or the Committee or the Board, other than himself.</w:t>
      </w:r>
    </w:p>
    <w:p>
      <w:pPr>
        <w:spacing w:after="0" w:line="191" w:lineRule="exact"/>
        <w:rPr>
          <w:rFonts w:ascii="Arial" w:cs="Arial" w:eastAsia="Arial" w:hAnsi="Arial"/>
          <w:sz w:val="18"/>
          <w:szCs w:val="18"/>
          <w:color w:val="010000"/>
        </w:rPr>
      </w:pPr>
    </w:p>
    <w:p>
      <w:pPr>
        <w:jc w:val="both"/>
        <w:ind w:right="240" w:firstLine="167"/>
        <w:spacing w:after="0"/>
        <w:tabs>
          <w:tab w:leader="none" w:pos="758"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189" w:lineRule="exact"/>
        <w:rPr>
          <w:rFonts w:ascii="Arial" w:cs="Arial" w:eastAsia="Arial" w:hAnsi="Arial"/>
          <w:sz w:val="18"/>
          <w:szCs w:val="18"/>
          <w:color w:val="010000"/>
        </w:rPr>
      </w:pPr>
    </w:p>
    <w:p>
      <w:pPr>
        <w:jc w:val="both"/>
        <w:ind w:right="380" w:firstLine="167"/>
        <w:spacing w:after="0"/>
        <w:tabs>
          <w:tab w:leader="none" w:pos="731"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189" w:lineRule="exact"/>
        <w:rPr>
          <w:rFonts w:ascii="Arial" w:cs="Arial" w:eastAsia="Arial" w:hAnsi="Arial"/>
          <w:sz w:val="18"/>
          <w:szCs w:val="18"/>
          <w:color w:val="010000"/>
        </w:rPr>
      </w:pPr>
    </w:p>
    <w:p>
      <w:pPr>
        <w:jc w:val="both"/>
        <w:ind w:right="60" w:firstLine="167"/>
        <w:spacing w:after="0" w:line="237" w:lineRule="auto"/>
        <w:tabs>
          <w:tab w:leader="none" w:pos="755" w:val="left"/>
        </w:tabs>
        <w:numPr>
          <w:ilvl w:val="0"/>
          <w:numId w:val="126"/>
        </w:numPr>
        <w:rPr>
          <w:rFonts w:ascii="Arial" w:cs="Arial" w:eastAsia="Arial" w:hAnsi="Arial"/>
          <w:sz w:val="18"/>
          <w:szCs w:val="18"/>
          <w:color w:val="010000"/>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200" w:lineRule="exact"/>
        <w:rPr>
          <w:sz w:val="20"/>
          <w:szCs w:val="20"/>
          <w:color w:val="auto"/>
        </w:rPr>
      </w:pPr>
    </w:p>
    <w:p>
      <w:pPr>
        <w:spacing w:after="0" w:line="2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355" w:right="639" w:bottom="1440" w:gutter="0" w:footer="0" w:header="0"/>
        </w:sectPr>
      </w:pPr>
    </w:p>
    <w:bookmarkStart w:id="74" w:name="page75"/>
    <w:bookmarkEnd w:id="74"/>
    <w:p>
      <w:pPr>
        <w:jc w:val="both"/>
        <w:ind w:right="40" w:firstLine="167"/>
        <w:spacing w:after="0"/>
        <w:tabs>
          <w:tab w:leader="none" w:pos="960" w:val="left"/>
        </w:tabs>
        <w:numPr>
          <w:ilvl w:val="0"/>
          <w:numId w:val="127"/>
        </w:numPr>
        <w:rPr>
          <w:rFonts w:ascii="Arial" w:cs="Arial" w:eastAsia="Arial" w:hAnsi="Arial"/>
          <w:sz w:val="18"/>
          <w:szCs w:val="18"/>
          <w:color w:val="010000"/>
        </w:rPr>
      </w:pPr>
      <w:r>
        <w:rPr>
          <w:rFonts w:ascii="Arial" w:cs="Arial" w:eastAsia="Arial" w:hAnsi="Arial"/>
          <w:sz w:val="18"/>
          <w:szCs w:val="18"/>
          <w:u w:val="single" w:color="auto"/>
          <w:color w:val="auto"/>
        </w:rPr>
        <w:t>Obligations Binding on Successors</w:t>
      </w:r>
      <w:r>
        <w:rPr>
          <w:rFonts w:ascii="Arial" w:cs="Arial" w:eastAsia="Arial" w:hAnsi="Arial"/>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9" w:lineRule="exact"/>
        <w:rPr>
          <w:rFonts w:ascii="Arial" w:cs="Arial" w:eastAsia="Arial" w:hAnsi="Arial"/>
          <w:sz w:val="18"/>
          <w:szCs w:val="18"/>
          <w:color w:val="010000"/>
        </w:rPr>
      </w:pPr>
    </w:p>
    <w:p>
      <w:pPr>
        <w:ind w:left="800" w:hanging="642"/>
        <w:spacing w:after="0"/>
        <w:tabs>
          <w:tab w:leader="none" w:pos="800" w:val="left"/>
        </w:tabs>
        <w:numPr>
          <w:ilvl w:val="0"/>
          <w:numId w:val="127"/>
        </w:numPr>
        <w:rPr>
          <w:rFonts w:ascii="Arial" w:cs="Arial" w:eastAsia="Arial" w:hAnsi="Arial"/>
          <w:sz w:val="18"/>
          <w:szCs w:val="18"/>
          <w:color w:val="010000"/>
        </w:rPr>
      </w:pPr>
      <w:r>
        <w:rPr>
          <w:rFonts w:ascii="Arial" w:cs="Arial" w:eastAsia="Arial" w:hAnsi="Arial"/>
          <w:sz w:val="18"/>
          <w:szCs w:val="18"/>
          <w:u w:val="single" w:color="auto"/>
          <w:color w:val="auto"/>
        </w:rPr>
        <w:t>409A of the Code</w:t>
      </w:r>
      <w:r>
        <w:rPr>
          <w:rFonts w:ascii="Arial" w:cs="Arial" w:eastAsia="Arial" w:hAnsi="Arial"/>
          <w:sz w:val="18"/>
          <w:szCs w:val="18"/>
          <w:color w:val="auto"/>
        </w:rPr>
        <w:t>.</w:t>
      </w:r>
    </w:p>
    <w:p>
      <w:pPr>
        <w:spacing w:after="0" w:line="198" w:lineRule="exact"/>
        <w:rPr>
          <w:rFonts w:ascii="Arial" w:cs="Arial" w:eastAsia="Arial" w:hAnsi="Arial"/>
          <w:sz w:val="18"/>
          <w:szCs w:val="18"/>
          <w:color w:val="010000"/>
        </w:rPr>
      </w:pPr>
    </w:p>
    <w:p>
      <w:pPr>
        <w:jc w:val="both"/>
        <w:ind w:left="80" w:right="20" w:firstLine="654"/>
        <w:spacing w:after="0" w:line="236" w:lineRule="auto"/>
        <w:tabs>
          <w:tab w:leader="none" w:pos="1359"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Notwithstanding any provision of the Plan to the contrary, it is intended that the provisions of this Plan comply with Section 409A of the Code, and all provisions of this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this Plan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payments.</w:t>
      </w:r>
    </w:p>
    <w:p>
      <w:pPr>
        <w:spacing w:after="0" w:line="192" w:lineRule="exact"/>
        <w:rPr>
          <w:rFonts w:ascii="Arial" w:cs="Arial" w:eastAsia="Arial" w:hAnsi="Arial"/>
          <w:sz w:val="18"/>
          <w:szCs w:val="18"/>
          <w:color w:val="010000"/>
        </w:rPr>
      </w:pPr>
    </w:p>
    <w:p>
      <w:pPr>
        <w:jc w:val="both"/>
        <w:ind w:left="80" w:right="40" w:firstLine="654"/>
        <w:spacing w:after="0" w:line="237" w:lineRule="auto"/>
        <w:tabs>
          <w:tab w:leader="none" w:pos="1534"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months after the date of such Participant's "separation from service" or, if earlier, the Participant's date of death. Following any applicable six month delay, all such delayed payments will be paid in a single lump sum on the earliest date permitted under Section 409A of the Code that is also a business day.</w:t>
      </w:r>
    </w:p>
    <w:p>
      <w:pPr>
        <w:spacing w:after="0" w:line="189" w:lineRule="exact"/>
        <w:rPr>
          <w:rFonts w:ascii="Arial" w:cs="Arial" w:eastAsia="Arial" w:hAnsi="Arial"/>
          <w:sz w:val="18"/>
          <w:szCs w:val="18"/>
          <w:color w:val="010000"/>
        </w:rPr>
      </w:pPr>
    </w:p>
    <w:p>
      <w:pPr>
        <w:jc w:val="both"/>
        <w:ind w:left="80" w:right="200" w:firstLine="654"/>
        <w:spacing w:after="0" w:line="236" w:lineRule="auto"/>
        <w:tabs>
          <w:tab w:leader="none" w:pos="1328"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 xml:space="preserve">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w:t>
      </w:r>
      <w:r>
        <w:rPr>
          <w:rFonts w:ascii="Arial" w:cs="Arial" w:eastAsia="Arial" w:hAnsi="Arial"/>
          <w:sz w:val="18"/>
          <w:szCs w:val="18"/>
          <w:color w:val="010000"/>
        </w:rPr>
        <w:t>(ii)</w:t>
      </w:r>
      <w:r>
        <w:rPr>
          <w:rFonts w:ascii="Arial" w:cs="Arial" w:eastAsia="Arial" w:hAnsi="Arial"/>
          <w:sz w:val="18"/>
          <w:szCs w:val="18"/>
          <w:color w:val="auto"/>
        </w:rPr>
        <w:t xml:space="preserve">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94" w:lineRule="exact"/>
        <w:rPr>
          <w:rFonts w:ascii="Arial" w:cs="Arial" w:eastAsia="Arial" w:hAnsi="Arial"/>
          <w:sz w:val="18"/>
          <w:szCs w:val="18"/>
          <w:color w:val="010000"/>
        </w:rPr>
      </w:pPr>
    </w:p>
    <w:p>
      <w:pPr>
        <w:jc w:val="both"/>
        <w:ind w:firstLine="167"/>
        <w:spacing w:after="0" w:line="236" w:lineRule="auto"/>
        <w:tabs>
          <w:tab w:leader="none" w:pos="731" w:val="left"/>
        </w:tabs>
        <w:numPr>
          <w:ilvl w:val="0"/>
          <w:numId w:val="127"/>
        </w:numPr>
        <w:rPr>
          <w:rFonts w:ascii="Arial" w:cs="Arial" w:eastAsia="Arial" w:hAnsi="Arial"/>
          <w:sz w:val="18"/>
          <w:szCs w:val="18"/>
          <w:color w:val="010000"/>
        </w:rPr>
      </w:pPr>
      <w:r>
        <w:rPr>
          <w:rFonts w:ascii="Arial" w:cs="Arial" w:eastAsia="Arial" w:hAnsi="Arial"/>
          <w:sz w:val="18"/>
          <w:szCs w:val="18"/>
          <w:u w:val="single" w:color="auto"/>
          <w:color w:val="auto"/>
        </w:rPr>
        <w:t>Clawback/Forfeiture</w:t>
      </w:r>
      <w:r>
        <w:rPr>
          <w:rFonts w:ascii="Arial" w:cs="Arial" w:eastAsia="Arial" w:hAnsi="Arial"/>
          <w:sz w:val="18"/>
          <w:szCs w:val="18"/>
          <w:color w:val="auto"/>
        </w:rPr>
        <w:t>. Notwithstanding anything to the contrary contained herein, an Award Agreement may provide that the Committee may, in its sole discretion, cancel such Award if the Participant has engaged in or engages in any Detrimental Activity. The Committee may also provide in an Award Agreement that if the Participant otherwise has engaged in or engages in any Detrimental Activity, the Participant will forfeit any gain realized on the vesting or exercise of such Award, and must repay the gain to the Company. The Committee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Without limiting the foregoing, all Awards shall be subject to reduction, cancellation, forfeiture or recoupment to the extent necessary to comply with applicable law.</w:t>
      </w:r>
    </w:p>
    <w:p>
      <w:pPr>
        <w:spacing w:after="0" w:line="200" w:lineRule="exact"/>
        <w:rPr>
          <w:sz w:val="20"/>
          <w:szCs w:val="20"/>
          <w:color w:val="auto"/>
        </w:rPr>
      </w:pPr>
    </w:p>
    <w:p>
      <w:pPr>
        <w:spacing w:after="0" w:line="2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355" w:right="639" w:bottom="1440" w:gutter="0" w:footer="0" w:header="0"/>
        </w:sectPr>
      </w:pPr>
    </w:p>
    <w:bookmarkStart w:id="75" w:name="page76"/>
    <w:bookmarkEnd w:id="75"/>
    <w:p>
      <w:pPr>
        <w:jc w:val="both"/>
        <w:ind w:right="20" w:firstLine="167"/>
        <w:spacing w:after="0" w:line="236" w:lineRule="auto"/>
        <w:tabs>
          <w:tab w:leader="none" w:pos="771" w:val="left"/>
        </w:tabs>
        <w:numPr>
          <w:ilvl w:val="0"/>
          <w:numId w:val="128"/>
        </w:numPr>
        <w:rPr>
          <w:rFonts w:ascii="Arial" w:cs="Arial" w:eastAsia="Arial" w:hAnsi="Arial"/>
          <w:sz w:val="18"/>
          <w:szCs w:val="18"/>
          <w:color w:val="010000"/>
        </w:rPr>
      </w:pPr>
      <w:r>
        <w:rPr>
          <w:rFonts w:ascii="Arial" w:cs="Arial" w:eastAsia="Arial" w:hAnsi="Arial"/>
          <w:sz w:val="18"/>
          <w:szCs w:val="18"/>
          <w:u w:val="single" w:color="auto"/>
          <w:color w:val="auto"/>
        </w:rPr>
        <w:t>Right of Offset</w:t>
      </w:r>
      <w:r>
        <w:rPr>
          <w:rFonts w:ascii="Arial" w:cs="Arial" w:eastAsia="Arial" w:hAnsi="Arial"/>
          <w:sz w:val="18"/>
          <w:szCs w:val="18"/>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the Company or an Affiliate, as applicable,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193" w:lineRule="exact"/>
        <w:rPr>
          <w:rFonts w:ascii="Arial" w:cs="Arial" w:eastAsia="Arial" w:hAnsi="Arial"/>
          <w:sz w:val="18"/>
          <w:szCs w:val="18"/>
          <w:color w:val="010000"/>
        </w:rPr>
      </w:pPr>
    </w:p>
    <w:p>
      <w:pPr>
        <w:jc w:val="both"/>
        <w:ind w:firstLine="167"/>
        <w:spacing w:after="0" w:line="238" w:lineRule="auto"/>
        <w:tabs>
          <w:tab w:leader="none" w:pos="761" w:val="left"/>
        </w:tabs>
        <w:numPr>
          <w:ilvl w:val="0"/>
          <w:numId w:val="128"/>
        </w:numPr>
        <w:rPr>
          <w:rFonts w:ascii="Arial" w:cs="Arial" w:eastAsia="Arial" w:hAnsi="Arial"/>
          <w:sz w:val="18"/>
          <w:szCs w:val="18"/>
          <w:color w:val="010000"/>
        </w:rPr>
      </w:pPr>
      <w:r>
        <w:rPr>
          <w:rFonts w:ascii="Arial" w:cs="Arial" w:eastAsia="Arial" w:hAnsi="Arial"/>
          <w:sz w:val="18"/>
          <w:szCs w:val="18"/>
          <w:u w:val="single" w:color="auto"/>
          <w:color w:val="auto"/>
        </w:rPr>
        <w:t>Expenses; Gender; Titles and Headings</w:t>
      </w:r>
      <w:r>
        <w:rPr>
          <w:rFonts w:ascii="Arial" w:cs="Arial" w:eastAsia="Arial" w:hAnsi="Arial"/>
          <w:sz w:val="18"/>
          <w:szCs w:val="18"/>
          <w:color w:val="auto"/>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91" w:lineRule="exact"/>
        <w:rPr>
          <w:sz w:val="20"/>
          <w:szCs w:val="20"/>
          <w:color w:val="auto"/>
        </w:rPr>
      </w:pPr>
    </w:p>
    <w:p>
      <w:pPr>
        <w:jc w:val="both"/>
        <w:ind w:firstLine="167"/>
        <w:spacing w:after="0" w:line="238" w:lineRule="auto"/>
        <w:tabs>
          <w:tab w:leader="none" w:pos="691" w:val="left"/>
        </w:tabs>
        <w:numPr>
          <w:ilvl w:val="0"/>
          <w:numId w:val="129"/>
        </w:numPr>
        <w:rPr>
          <w:rFonts w:ascii="Arial" w:cs="Arial" w:eastAsia="Arial" w:hAnsi="Arial"/>
          <w:sz w:val="18"/>
          <w:szCs w:val="18"/>
          <w:color w:val="010000"/>
        </w:rPr>
      </w:pPr>
      <w:r>
        <w:rPr>
          <w:rFonts w:ascii="Arial" w:cs="Arial" w:eastAsia="Arial" w:hAnsi="Arial"/>
          <w:sz w:val="18"/>
          <w:szCs w:val="18"/>
          <w:u w:val="single" w:color="auto"/>
          <w:color w:val="auto"/>
        </w:rPr>
        <w:t>Compliance</w:t>
      </w:r>
      <w:r>
        <w:rPr>
          <w:rFonts w:ascii="Arial" w:cs="Arial" w:eastAsia="Arial" w:hAnsi="Arial"/>
          <w:sz w:val="18"/>
          <w:szCs w:val="18"/>
          <w:color w:val="auto"/>
        </w:rPr>
        <w:t>. Notwithstanding any other provision of this Plan, (a) the Company shall not be obliged to issue any Shares pursuant to an Award unless at least the nominal value of each such newly issued Share has been fully paid in advance in accordance with applicable law (which requirement may mean the holder of an award is obliged to make such payment) and (b) the Company shall not be obliged to issue or deliver any Shares in satisfaction of Awards until all legal and regulatory requirements associated with such issue or delivery have been complied with to the satisfaction of the Committee.</w:t>
      </w:r>
    </w:p>
    <w:p>
      <w:pPr>
        <w:spacing w:after="0" w:line="18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168910</wp:posOffset>
            </wp:positionV>
            <wp:extent cx="71323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220"/>
          </w:cols>
          <w:pgMar w:left="980" w:top="355" w:right="699" w:bottom="1440" w:gutter="0" w:footer="0" w:header="0"/>
        </w:sectPr>
      </w:pPr>
    </w:p>
    <w:bookmarkStart w:id="76" w:name="page77"/>
    <w:bookmarkEnd w:id="76"/>
    <w:p>
      <w:pPr>
        <w:ind w:left="10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88340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883400" cy="43180"/>
                    </a:xfrm>
                    <a:prstGeom prst="rect">
                      <a:avLst/>
                    </a:prstGeom>
                    <a:noFill/>
                  </pic:spPr>
                </pic:pic>
              </a:graphicData>
            </a:graphic>
          </wp:anchor>
        </w:drawing>
        <w:t>Exhibit 4.4</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2013 STOCK INCENTIVE PLAN FOR KEY EMPLOYEES OF</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PRA HEALTH SCIENCES, INC. AND ITS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known as the 2013 Stock Incentive Plan For Key Employees of PRA Global Holdings, Inc. and its Subsidiaries)</w:t>
      </w:r>
    </w:p>
    <w:p>
      <w:pPr>
        <w:spacing w:after="0" w:line="225" w:lineRule="exact"/>
        <w:rPr>
          <w:sz w:val="20"/>
          <w:szCs w:val="20"/>
          <w:color w:val="auto"/>
        </w:rPr>
      </w:pPr>
    </w:p>
    <w:p>
      <w:pPr>
        <w:ind w:left="560" w:hanging="552"/>
        <w:spacing w:after="0"/>
        <w:tabs>
          <w:tab w:leader="none" w:pos="5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Purpose of Plan</w:t>
      </w:r>
    </w:p>
    <w:p>
      <w:pPr>
        <w:spacing w:after="0" w:line="225" w:lineRule="exact"/>
        <w:rPr>
          <w:rFonts w:ascii="Arial" w:cs="Arial" w:eastAsia="Arial" w:hAnsi="Arial"/>
          <w:sz w:val="18"/>
          <w:szCs w:val="18"/>
          <w:color w:val="auto"/>
        </w:rPr>
      </w:pPr>
    </w:p>
    <w:p>
      <w:pPr>
        <w:jc w:val="both"/>
        <w:ind w:left="560"/>
        <w:spacing w:after="0" w:line="279" w:lineRule="auto"/>
        <w:rPr>
          <w:rFonts w:ascii="Arial" w:cs="Arial" w:eastAsia="Arial" w:hAnsi="Arial"/>
          <w:sz w:val="18"/>
          <w:szCs w:val="18"/>
          <w:color w:val="auto"/>
        </w:rPr>
      </w:pPr>
      <w:r>
        <w:rPr>
          <w:rFonts w:ascii="Arial" w:cs="Arial" w:eastAsia="Arial" w:hAnsi="Arial"/>
          <w:sz w:val="17"/>
          <w:szCs w:val="17"/>
          <w:color w:val="auto"/>
        </w:rPr>
        <w:t>The Plan, which was initially adopted by PRA Health Sciences, Inc., was amended and restated in its current form in connection with the transaction entered into by ICON plc (the "Company"), ICON US Holdings Inc., Indigo Merger Sub, Inc. and PRA Health Sciences, Inc., pursuant to which PRA Health Sciences, Inc. became a Subsidiary of the Company, a public limited company incorporated in Ireland, and the Plan, together with all awards granted thereunder, was assumed by the Company with effect from 1July 2021 (the "Assumption Date").</w:t>
      </w:r>
    </w:p>
    <w:p>
      <w:pPr>
        <w:spacing w:after="0" w:line="17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2013 Stock Incentive Plan for Key Employees of PRA Health Sciences, Inc. and its Subsidiaries (the "</w:t>
      </w:r>
      <w:r>
        <w:rPr>
          <w:rFonts w:ascii="Arial" w:cs="Arial" w:eastAsia="Arial" w:hAnsi="Arial"/>
          <w:sz w:val="18"/>
          <w:szCs w:val="18"/>
          <w:u w:val="single" w:color="auto"/>
          <w:color w:val="auto"/>
        </w:rPr>
        <w:t>Plan</w:t>
      </w:r>
      <w:r>
        <w:rPr>
          <w:rFonts w:ascii="Arial" w:cs="Arial" w:eastAsia="Arial" w:hAnsi="Arial"/>
          <w:sz w:val="18"/>
          <w:szCs w:val="18"/>
          <w:color w:val="auto"/>
        </w:rPr>
        <w:t>") is designed:</w:t>
      </w:r>
    </w:p>
    <w:p>
      <w:pPr>
        <w:spacing w:after="0" w:line="225" w:lineRule="exact"/>
        <w:rPr>
          <w:rFonts w:ascii="Arial" w:cs="Arial" w:eastAsia="Arial" w:hAnsi="Arial"/>
          <w:sz w:val="18"/>
          <w:szCs w:val="18"/>
          <w:color w:val="auto"/>
        </w:rPr>
      </w:pPr>
    </w:p>
    <w:p>
      <w:pPr>
        <w:jc w:val="both"/>
        <w:ind w:left="560" w:right="300" w:firstLine="204"/>
        <w:spacing w:after="0" w:line="263" w:lineRule="auto"/>
        <w:tabs>
          <w:tab w:leader="none" w:pos="130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promote the long term financial interests and growth of the Company and its Subsidiaries by attracting and retaining management and other personnel and key service providers with the training, experience and ability to enable them to make a substantial contribution to the success of the business;</w:t>
      </w:r>
    </w:p>
    <w:p>
      <w:pPr>
        <w:spacing w:after="0" w:line="183" w:lineRule="exact"/>
        <w:rPr>
          <w:rFonts w:ascii="Arial" w:cs="Arial" w:eastAsia="Arial" w:hAnsi="Arial"/>
          <w:sz w:val="18"/>
          <w:szCs w:val="18"/>
          <w:color w:val="auto"/>
        </w:rPr>
      </w:pPr>
    </w:p>
    <w:p>
      <w:pPr>
        <w:ind w:left="1280" w:hanging="516"/>
        <w:spacing w:after="0"/>
        <w:tabs>
          <w:tab w:leader="none" w:pos="12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motivate management personnel by means of growth-related incentives to achieve long range goals; and</w:t>
      </w:r>
    </w:p>
    <w:p>
      <w:pPr>
        <w:spacing w:after="0" w:line="225" w:lineRule="exact"/>
        <w:rPr>
          <w:rFonts w:ascii="Arial" w:cs="Arial" w:eastAsia="Arial" w:hAnsi="Arial"/>
          <w:sz w:val="18"/>
          <w:szCs w:val="18"/>
          <w:color w:val="auto"/>
        </w:rPr>
      </w:pPr>
    </w:p>
    <w:p>
      <w:pPr>
        <w:ind w:left="560" w:right="280" w:firstLine="204"/>
        <w:spacing w:after="0" w:line="277" w:lineRule="auto"/>
        <w:tabs>
          <w:tab w:leader="none" w:pos="128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further the alignment of interests of participants with those of the stockholders of the Company through opportunities for increased stock, or stock-based ownership in the Company.</w:t>
      </w:r>
    </w:p>
    <w:p>
      <w:pPr>
        <w:spacing w:after="0" w:line="170" w:lineRule="exact"/>
        <w:rPr>
          <w:sz w:val="20"/>
          <w:szCs w:val="20"/>
          <w:color w:val="auto"/>
        </w:rPr>
      </w:pPr>
    </w:p>
    <w:p>
      <w:pPr>
        <w:ind w:left="560" w:hanging="552"/>
        <w:spacing w:after="0"/>
        <w:tabs>
          <w:tab w:leader="none" w:pos="5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560"/>
        <w:spacing w:after="0" w:line="277" w:lineRule="auto"/>
        <w:rPr>
          <w:rFonts w:ascii="Arial" w:cs="Arial" w:eastAsia="Arial" w:hAnsi="Arial"/>
          <w:sz w:val="18"/>
          <w:szCs w:val="18"/>
          <w:color w:val="auto"/>
        </w:rPr>
      </w:pPr>
      <w:r>
        <w:rPr>
          <w:rFonts w:ascii="Arial" w:cs="Arial" w:eastAsia="Arial" w:hAnsi="Arial"/>
          <w:sz w:val="18"/>
          <w:szCs w:val="18"/>
          <w:color w:val="auto"/>
        </w:rPr>
        <w:t>As used in the Plan, the following words shall have the following meanings. Any capitalized terms used herein but not otherwise defined shall have the meanings set forth in the Management Stockholder's Agreement:</w:t>
      </w:r>
    </w:p>
    <w:p>
      <w:pPr>
        <w:spacing w:after="0" w:line="170" w:lineRule="exact"/>
        <w:rPr>
          <w:sz w:val="20"/>
          <w:szCs w:val="20"/>
          <w:color w:val="auto"/>
        </w:rPr>
      </w:pPr>
    </w:p>
    <w:p>
      <w:pPr>
        <w:ind w:left="560" w:right="720" w:firstLine="204"/>
        <w:spacing w:after="0" w:line="277" w:lineRule="auto"/>
        <w:tabs>
          <w:tab w:leader="none" w:pos="140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entity directly or indirectly controlling, controlled by or under common control with such Person.</w:t>
      </w:r>
    </w:p>
    <w:p>
      <w:pPr>
        <w:spacing w:after="0" w:line="170" w:lineRule="exact"/>
        <w:rPr>
          <w:rFonts w:ascii="Arial" w:cs="Arial" w:eastAsia="Arial" w:hAnsi="Arial"/>
          <w:sz w:val="18"/>
          <w:szCs w:val="18"/>
          <w:color w:val="auto"/>
        </w:rPr>
      </w:pPr>
    </w:p>
    <w:p>
      <w:pPr>
        <w:ind w:left="560" w:right="440" w:firstLine="204"/>
        <w:spacing w:after="0" w:line="277" w:lineRule="auto"/>
        <w:tabs>
          <w:tab w:leader="none" w:pos="12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(or any committee thereof delegated the authority to act in its place pursuant to the terms of this Plan).</w:t>
      </w:r>
    </w:p>
    <w:p>
      <w:pPr>
        <w:spacing w:after="0" w:line="170" w:lineRule="exact"/>
        <w:rPr>
          <w:rFonts w:ascii="Arial" w:cs="Arial" w:eastAsia="Arial" w:hAnsi="Arial"/>
          <w:sz w:val="18"/>
          <w:szCs w:val="18"/>
          <w:color w:val="auto"/>
        </w:rPr>
      </w:pPr>
    </w:p>
    <w:p>
      <w:pPr>
        <w:jc w:val="both"/>
        <w:ind w:left="560" w:right="280" w:firstLine="204"/>
        <w:spacing w:after="0" w:line="257" w:lineRule="auto"/>
        <w:tabs>
          <w:tab w:leader="none" w:pos="13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the sale of all or substantially all (i.e., at least 80%) of the assets (in one transaction or a series of related transactions) of the Company to any person (or group of persons acting in concert) or (ii) a merger, recapitalization or other sale (in one transaction or a series of related transactions) of the Company to a person (or group of persons acting in concert) of Common Stock that results in any person (or group of persons acting in concert) owning more than 50% of Common Stock (or the equity securities of any resulting company after a merger).</w:t>
      </w:r>
    </w:p>
    <w:p>
      <w:pPr>
        <w:spacing w:after="0" w:line="187" w:lineRule="exact"/>
        <w:rPr>
          <w:rFonts w:ascii="Arial" w:cs="Arial" w:eastAsia="Arial" w:hAnsi="Arial"/>
          <w:sz w:val="18"/>
          <w:szCs w:val="18"/>
          <w:color w:val="auto"/>
        </w:rPr>
      </w:pPr>
    </w:p>
    <w:p>
      <w:pPr>
        <w:ind w:left="1420" w:hanging="656"/>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if no such committee is appointed,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77" w:name="page78"/>
    <w:bookmarkEnd w:id="77"/>
    <w:p>
      <w:pPr>
        <w:ind w:left="-90" w:firstLine="104"/>
        <w:spacing w:after="0" w:line="277" w:lineRule="auto"/>
        <w:tabs>
          <w:tab w:leader="none" w:pos="5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shares in the capital of the Company (or ordinary shares as represented by American Depository Shares and as evidenced by American Depository Receipts).</w:t>
      </w:r>
    </w:p>
    <w:p>
      <w:pPr>
        <w:spacing w:after="0" w:line="170" w:lineRule="exact"/>
        <w:rPr>
          <w:rFonts w:ascii="Arial" w:cs="Arial" w:eastAsia="Arial" w:hAnsi="Arial"/>
          <w:sz w:val="18"/>
          <w:szCs w:val="18"/>
          <w:color w:val="auto"/>
        </w:rPr>
      </w:pPr>
    </w:p>
    <w:p>
      <w:pPr>
        <w:jc w:val="both"/>
        <w:ind w:left="-90" w:right="80" w:firstLine="104"/>
        <w:spacing w:after="0" w:line="263" w:lineRule="auto"/>
        <w:tabs>
          <w:tab w:leader="none" w:pos="55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including an officer, in the regular employment of the Company or any other Service Recipient who, in the opinion of the Committee, is, or is expected to have involvement in the management, growth or protection of some part or all of the business of the Company or any other Service Recipient.</w:t>
      </w:r>
    </w:p>
    <w:p>
      <w:pPr>
        <w:spacing w:after="0" w:line="183" w:lineRule="exact"/>
        <w:rPr>
          <w:rFonts w:ascii="Arial" w:cs="Arial" w:eastAsia="Arial" w:hAnsi="Arial"/>
          <w:sz w:val="18"/>
          <w:szCs w:val="18"/>
          <w:color w:val="auto"/>
        </w:rPr>
      </w:pPr>
    </w:p>
    <w:p>
      <w:pPr>
        <w:ind w:left="530" w:hanging="516"/>
        <w:spacing w:after="0"/>
        <w:tabs>
          <w:tab w:leader="none" w:pos="53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section thereto).</w:t>
      </w:r>
    </w:p>
    <w:p>
      <w:pPr>
        <w:spacing w:after="0" w:line="225" w:lineRule="exact"/>
        <w:rPr>
          <w:rFonts w:ascii="Arial" w:cs="Arial" w:eastAsia="Arial" w:hAnsi="Arial"/>
          <w:sz w:val="18"/>
          <w:szCs w:val="18"/>
          <w:color w:val="auto"/>
        </w:rPr>
      </w:pPr>
    </w:p>
    <w:p>
      <w:pPr>
        <w:ind w:left="-90" w:right="300" w:firstLine="104"/>
        <w:spacing w:after="0" w:line="277" w:lineRule="auto"/>
        <w:tabs>
          <w:tab w:leader="none" w:pos="52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the Common Stock on any given date, as determined reasonably and in good faith by the Board or any duly authorized committee thereof.</w:t>
      </w:r>
    </w:p>
    <w:p>
      <w:pPr>
        <w:spacing w:after="0" w:line="170" w:lineRule="exact"/>
        <w:rPr>
          <w:rFonts w:ascii="Arial" w:cs="Arial" w:eastAsia="Arial" w:hAnsi="Arial"/>
          <w:sz w:val="18"/>
          <w:szCs w:val="18"/>
          <w:color w:val="auto"/>
        </w:rPr>
      </w:pPr>
    </w:p>
    <w:p>
      <w:pPr>
        <w:ind w:left="-90" w:right="40" w:firstLine="104"/>
        <w:spacing w:after="0" w:line="277" w:lineRule="auto"/>
        <w:tabs>
          <w:tab w:leader="none" w:pos="50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w:t>
      </w:r>
      <w:r>
        <w:rPr>
          <w:rFonts w:ascii="Arial" w:cs="Arial" w:eastAsia="Arial" w:hAnsi="Arial"/>
          <w:sz w:val="18"/>
          <w:szCs w:val="18"/>
          <w:color w:val="auto"/>
        </w:rPr>
        <w:t>" means an award made to a Participant pursuant to the Plan and described in Section 5, including, without limitation, an award of a Stock Option or Other Stock-Based Award.</w:t>
      </w:r>
    </w:p>
    <w:p>
      <w:pPr>
        <w:spacing w:after="0" w:line="170" w:lineRule="exact"/>
        <w:rPr>
          <w:rFonts w:ascii="Arial" w:cs="Arial" w:eastAsia="Arial" w:hAnsi="Arial"/>
          <w:sz w:val="18"/>
          <w:szCs w:val="18"/>
          <w:color w:val="auto"/>
        </w:rPr>
      </w:pPr>
    </w:p>
    <w:p>
      <w:pPr>
        <w:ind w:left="-90" w:right="120" w:firstLine="104"/>
        <w:spacing w:after="0" w:line="277" w:lineRule="auto"/>
        <w:tabs>
          <w:tab w:leader="none" w:pos="54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Agreement</w:t>
      </w:r>
      <w:r>
        <w:rPr>
          <w:rFonts w:ascii="Arial" w:cs="Arial" w:eastAsia="Arial" w:hAnsi="Arial"/>
          <w:sz w:val="18"/>
          <w:szCs w:val="18"/>
          <w:color w:val="auto"/>
        </w:rPr>
        <w:t>" means an agreement between the Company and a Participant that sets forth the terms, conditions and limitations applicable to a Grant.</w:t>
      </w:r>
    </w:p>
    <w:p>
      <w:pPr>
        <w:spacing w:after="0" w:line="170" w:lineRule="exact"/>
        <w:rPr>
          <w:rFonts w:ascii="Arial" w:cs="Arial" w:eastAsia="Arial" w:hAnsi="Arial"/>
          <w:sz w:val="18"/>
          <w:szCs w:val="18"/>
          <w:color w:val="auto"/>
        </w:rPr>
      </w:pPr>
    </w:p>
    <w:p>
      <w:pPr>
        <w:ind w:left="490" w:hanging="476"/>
        <w:spacing w:after="0"/>
        <w:tabs>
          <w:tab w:leader="none" w:pos="49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"group", as such term is used for purposes of Section 13(d) or 14(d) of the Exchange Act.</w:t>
      </w:r>
    </w:p>
    <w:p>
      <w:pPr>
        <w:spacing w:after="0" w:line="225" w:lineRule="exact"/>
        <w:rPr>
          <w:rFonts w:ascii="Arial" w:cs="Arial" w:eastAsia="Arial" w:hAnsi="Arial"/>
          <w:sz w:val="18"/>
          <w:szCs w:val="18"/>
          <w:color w:val="auto"/>
        </w:rPr>
      </w:pPr>
    </w:p>
    <w:p>
      <w:pPr>
        <w:ind w:left="-90" w:right="380" w:firstLine="104"/>
        <w:spacing w:after="0" w:line="277" w:lineRule="auto"/>
        <w:tabs>
          <w:tab w:leader="none" w:pos="619"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"Management Stockholder's Agreement</w:t>
      </w:r>
      <w:r>
        <w:rPr>
          <w:rFonts w:ascii="Arial" w:cs="Arial" w:eastAsia="Arial" w:hAnsi="Arial"/>
          <w:sz w:val="18"/>
          <w:szCs w:val="18"/>
          <w:color w:val="auto"/>
        </w:rPr>
        <w:t>" shall mean that certain Management Stockholder's Agreement between the applicable Participant and the Company.</w:t>
      </w:r>
    </w:p>
    <w:p>
      <w:pPr>
        <w:spacing w:after="0" w:line="170" w:lineRule="exact"/>
        <w:rPr>
          <w:rFonts w:ascii="Arial" w:cs="Arial" w:eastAsia="Arial" w:hAnsi="Arial"/>
          <w:sz w:val="18"/>
          <w:szCs w:val="18"/>
          <w:color w:val="auto"/>
        </w:rPr>
      </w:pPr>
    </w:p>
    <w:p>
      <w:pPr>
        <w:ind w:left="-90" w:right="20" w:firstLine="104"/>
        <w:spacing w:after="0" w:line="277" w:lineRule="auto"/>
        <w:tabs>
          <w:tab w:leader="none" w:pos="59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Relevant Agreement</w:t>
      </w:r>
      <w:r>
        <w:rPr>
          <w:rFonts w:ascii="Arial" w:cs="Arial" w:eastAsia="Arial" w:hAnsi="Arial"/>
          <w:sz w:val="18"/>
          <w:szCs w:val="18"/>
          <w:color w:val="auto"/>
        </w:rPr>
        <w:t>" shall mean any of the following types of arrangements entered into whether before or after the date of Grant between the Company and/or a Service Recipient and the relevant Participant:</w:t>
      </w:r>
    </w:p>
    <w:p>
      <w:pPr>
        <w:spacing w:after="0" w:line="170" w:lineRule="exact"/>
        <w:rPr>
          <w:rFonts w:ascii="Arial" w:cs="Arial" w:eastAsia="Arial" w:hAnsi="Arial"/>
          <w:sz w:val="18"/>
          <w:szCs w:val="18"/>
          <w:color w:val="auto"/>
        </w:rPr>
      </w:pPr>
    </w:p>
    <w:p>
      <w:pPr>
        <w:ind w:left="650" w:hanging="650"/>
        <w:spacing w:after="0"/>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contract of employment;</w:t>
      </w:r>
    </w:p>
    <w:p>
      <w:pPr>
        <w:spacing w:after="0" w:line="225" w:lineRule="exact"/>
        <w:rPr>
          <w:rFonts w:ascii="Arial" w:cs="Arial" w:eastAsia="Arial" w:hAnsi="Arial"/>
          <w:sz w:val="18"/>
          <w:szCs w:val="18"/>
          <w:color w:val="auto"/>
        </w:rPr>
      </w:pPr>
    </w:p>
    <w:p>
      <w:pPr>
        <w:ind w:left="650" w:hanging="650"/>
        <w:spacing w:after="0"/>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consultancy agreement;</w:t>
      </w:r>
    </w:p>
    <w:p>
      <w:pPr>
        <w:spacing w:after="0" w:line="225" w:lineRule="exact"/>
        <w:rPr>
          <w:rFonts w:ascii="Arial" w:cs="Arial" w:eastAsia="Arial" w:hAnsi="Arial"/>
          <w:sz w:val="18"/>
          <w:szCs w:val="18"/>
          <w:color w:val="auto"/>
        </w:rPr>
      </w:pPr>
    </w:p>
    <w:p>
      <w:pPr>
        <w:ind w:left="650" w:hanging="650"/>
        <w:spacing w:after="0"/>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service agreement; or</w:t>
      </w:r>
    </w:p>
    <w:p>
      <w:pPr>
        <w:spacing w:after="0" w:line="225" w:lineRule="exact"/>
        <w:rPr>
          <w:sz w:val="20"/>
          <w:szCs w:val="20"/>
          <w:color w:val="auto"/>
        </w:rPr>
      </w:pPr>
    </w:p>
    <w:p>
      <w:pPr>
        <w:ind w:left="650" w:hanging="636"/>
        <w:spacing w:after="0"/>
        <w:tabs>
          <w:tab w:leader="none" w:pos="65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other agreement or offer letter for the provision of services by the Participant to the Company or a Service Recipient.</w:t>
      </w:r>
    </w:p>
    <w:p>
      <w:pPr>
        <w:spacing w:after="0" w:line="237" w:lineRule="exact"/>
        <w:rPr>
          <w:sz w:val="20"/>
          <w:szCs w:val="20"/>
          <w:color w:val="auto"/>
        </w:rPr>
      </w:pPr>
    </w:p>
    <w:p>
      <w:pPr>
        <w:ind w:left="710" w:hanging="696"/>
        <w:spacing w:after="0"/>
        <w:tabs>
          <w:tab w:leader="none" w:pos="71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any award described in Section 5(b) below.</w:t>
      </w:r>
    </w:p>
    <w:p>
      <w:pPr>
        <w:spacing w:after="0" w:line="225" w:lineRule="exact"/>
        <w:rPr>
          <w:rFonts w:ascii="Arial" w:cs="Arial" w:eastAsia="Arial" w:hAnsi="Arial"/>
          <w:sz w:val="18"/>
          <w:szCs w:val="18"/>
          <w:color w:val="auto"/>
        </w:rPr>
      </w:pPr>
    </w:p>
    <w:p>
      <w:pPr>
        <w:ind w:left="-90" w:firstLine="104"/>
        <w:spacing w:after="0" w:line="308" w:lineRule="auto"/>
        <w:tabs>
          <w:tab w:leader="none" w:pos="56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 Employee, non-employee member of the Board, consultant or other person having a service relationship with the Company or any other Service Recipient, to whom one or more Grants have been made and remain outstanding.</w:t>
      </w:r>
    </w:p>
    <w:p>
      <w:pPr>
        <w:spacing w:after="0" w:line="146" w:lineRule="exact"/>
        <w:rPr>
          <w:rFonts w:ascii="Arial" w:cs="Arial" w:eastAsia="Arial" w:hAnsi="Arial"/>
          <w:sz w:val="17"/>
          <w:szCs w:val="17"/>
          <w:color w:val="auto"/>
        </w:rPr>
      </w:pPr>
    </w:p>
    <w:p>
      <w:pPr>
        <w:ind w:left="530" w:hanging="516"/>
        <w:spacing w:after="0"/>
        <w:tabs>
          <w:tab w:leader="none" w:pos="53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"person", as such term is used for purposes of Section 13(d) or 14(d) of the Exchange Act.</w:t>
      </w:r>
    </w:p>
    <w:p>
      <w:pPr>
        <w:spacing w:after="0" w:line="225" w:lineRule="exact"/>
        <w:rPr>
          <w:rFonts w:ascii="Arial" w:cs="Arial" w:eastAsia="Arial" w:hAnsi="Arial"/>
          <w:sz w:val="18"/>
          <w:szCs w:val="18"/>
          <w:color w:val="auto"/>
        </w:rPr>
      </w:pPr>
    </w:p>
    <w:p>
      <w:pPr>
        <w:jc w:val="both"/>
        <w:ind w:left="-90" w:firstLine="104"/>
        <w:spacing w:after="0" w:line="259" w:lineRule="auto"/>
        <w:tabs>
          <w:tab w:leader="none" w:pos="60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shall mean, the Company, any Subsidiary of the Company, or any Affiliate of the Company (including for the avoidance of any doubt, any of their branches) that satisfies the definition of "service recipient" within the meaning of Treasury Regulation Section 1.409A-1(g) (or any successor regulation), with respect to which the person is a "service provider" within the meaning of Treasury Regulation Section 1.409A-1(f) (or any successor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427355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10"/>
          </w:cols>
          <w:pgMar w:left="1070" w:top="341" w:right="619" w:bottom="1440" w:gutter="0" w:footer="0" w:header="0"/>
        </w:sectPr>
      </w:pPr>
    </w:p>
    <w:bookmarkStart w:id="78" w:name="page79"/>
    <w:bookmarkEnd w:id="78"/>
    <w:p>
      <w:pPr>
        <w:jc w:val="both"/>
        <w:ind w:left="552" w:right="280" w:firstLine="204"/>
        <w:spacing w:after="0" w:line="279" w:lineRule="auto"/>
        <w:tabs>
          <w:tab w:leader="none" w:pos="125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or other entity in an unbroken chain of corporations or other entities beginning with the Company if each of the corporations or other entities, or group of commonly controlled corporations or other entities, other than the last corporation or other entity in the unbroken chain then owns stock or other equity interests possessing 50% or more of the total combined voting power of all classes of stock or other equity interests in one of the other corporations or other entities in such chain.</w:t>
      </w:r>
    </w:p>
    <w:p>
      <w:pPr>
        <w:spacing w:after="0" w:line="171" w:lineRule="exact"/>
        <w:rPr>
          <w:sz w:val="20"/>
          <w:szCs w:val="20"/>
          <w:color w:val="auto"/>
        </w:rPr>
      </w:pPr>
    </w:p>
    <w:p>
      <w:pPr>
        <w:ind w:left="552" w:hanging="552"/>
        <w:spacing w:after="0"/>
        <w:tabs>
          <w:tab w:leader="none" w:pos="552"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p>
    <w:p>
      <w:pPr>
        <w:spacing w:after="0" w:line="225" w:lineRule="exact"/>
        <w:rPr>
          <w:rFonts w:ascii="Arial" w:cs="Arial" w:eastAsia="Arial" w:hAnsi="Arial"/>
          <w:sz w:val="18"/>
          <w:szCs w:val="18"/>
          <w:color w:val="auto"/>
        </w:rPr>
      </w:pPr>
    </w:p>
    <w:p>
      <w:pPr>
        <w:jc w:val="both"/>
        <w:ind w:left="552" w:right="300" w:firstLine="204"/>
        <w:spacing w:after="0" w:line="257" w:lineRule="auto"/>
        <w:tabs>
          <w:tab w:leader="none" w:pos="130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may adopt its own rules of procedure, and action of a majority of the members of the Committee taken at a meeting, or action taken without a meeting by unanimous written consent, shall constitute action by the Committee. The Committee shall have the power and authority to administer, construe and interpret the Plan, to make rules for carrying it out and to make changes in such rules. Any such interpretations, rules, and administration shall be consistent with the basic purposes of the Plan.</w:t>
      </w:r>
    </w:p>
    <w:p>
      <w:pPr>
        <w:spacing w:after="0" w:line="187" w:lineRule="exact"/>
        <w:rPr>
          <w:rFonts w:ascii="Arial" w:cs="Arial" w:eastAsia="Arial" w:hAnsi="Arial"/>
          <w:sz w:val="18"/>
          <w:szCs w:val="18"/>
          <w:color w:val="auto"/>
        </w:rPr>
      </w:pPr>
    </w:p>
    <w:p>
      <w:pPr>
        <w:jc w:val="both"/>
        <w:ind w:left="552" w:right="280" w:firstLine="204"/>
        <w:spacing w:after="0" w:line="296" w:lineRule="auto"/>
        <w:tabs>
          <w:tab w:leader="none" w:pos="133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Board may delegate to the Committee, or such other committee of the Board as it may in its discretion and in accordance with applicable law select, any of its duties and authorities hereunder. The Committee may further delegate to the Chief Executive Officer and to other senior officers (if any) of the Company, any Subsidiary of the Company or any Affiliate of the Company its duties under the Plan, subject to applicable law and such conditions and limitations as the Committee shall prescribe, except that only the Committee may designate and make Grants to Participants. Notwithstanding the foregoing, the Board retains all rights to take all actions as it may have also delegated hereunder.</w:t>
      </w:r>
    </w:p>
    <w:p>
      <w:pPr>
        <w:spacing w:after="0" w:line="161" w:lineRule="exact"/>
        <w:rPr>
          <w:rFonts w:ascii="Arial" w:cs="Arial" w:eastAsia="Arial" w:hAnsi="Arial"/>
          <w:sz w:val="16"/>
          <w:szCs w:val="16"/>
          <w:color w:val="auto"/>
        </w:rPr>
      </w:pPr>
    </w:p>
    <w:p>
      <w:pPr>
        <w:jc w:val="both"/>
        <w:ind w:left="552" w:right="280" w:firstLine="204"/>
        <w:spacing w:after="0" w:line="272" w:lineRule="auto"/>
        <w:tabs>
          <w:tab w:leader="none" w:pos="132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Committee may employ counsel, consultants, accountants, appraisers, brokers or other persons. The Committee, the Company, and the officers and directors/managers of the Company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nor employee or representative of the Company shall be personally liable for any action, determination or interpretation made in good faith with respect to the Plan or the Grants, and all such members of the Committee, employees and representatives shall be fully protected and indemnified to the greatest extent permitted by applicable law by the Company with respect to any such action, determination or interpretation.</w:t>
      </w:r>
    </w:p>
    <w:p>
      <w:pPr>
        <w:spacing w:after="0" w:line="177" w:lineRule="exact"/>
        <w:rPr>
          <w:sz w:val="20"/>
          <w:szCs w:val="20"/>
          <w:color w:val="auto"/>
        </w:rPr>
      </w:pPr>
    </w:p>
    <w:p>
      <w:pPr>
        <w:ind w:left="552" w:hanging="552"/>
        <w:spacing w:after="0"/>
        <w:tabs>
          <w:tab w:leader="none" w:pos="55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left="552"/>
        <w:spacing w:after="0" w:line="259" w:lineRule="auto"/>
        <w:rPr>
          <w:sz w:val="20"/>
          <w:szCs w:val="20"/>
          <w:color w:val="auto"/>
        </w:rPr>
      </w:pPr>
      <w:r>
        <w:rPr>
          <w:rFonts w:ascii="Arial" w:cs="Arial" w:eastAsia="Arial" w:hAnsi="Arial"/>
          <w:sz w:val="18"/>
          <w:szCs w:val="18"/>
          <w:color w:val="auto"/>
        </w:rPr>
        <w:t>The Committee may from time to time make Grants under the Plan to such Employees, or other persons having a relationship with the Company or any other Service Recipient, and in such form and having such terms, conditions and limitations as the Committee may determine. The terms, conditions and limitations of each Grant under the Plan shall be set forth in a Grant Agreement, in a form approved by the Committee, consistent, however, with the terms of the Plan.</w:t>
      </w:r>
    </w:p>
    <w:p>
      <w:pPr>
        <w:spacing w:after="0" w:line="187" w:lineRule="exact"/>
        <w:rPr>
          <w:sz w:val="20"/>
          <w:szCs w:val="20"/>
          <w:color w:val="auto"/>
        </w:rPr>
      </w:pPr>
    </w:p>
    <w:p>
      <w:pPr>
        <w:ind w:left="552" w:hanging="552"/>
        <w:spacing w:after="0"/>
        <w:tabs>
          <w:tab w:leader="none" w:pos="55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Grants</w:t>
      </w:r>
    </w:p>
    <w:p>
      <w:pPr>
        <w:spacing w:after="0" w:line="225" w:lineRule="exact"/>
        <w:rPr>
          <w:rFonts w:ascii="Arial" w:cs="Arial" w:eastAsia="Arial" w:hAnsi="Arial"/>
          <w:sz w:val="18"/>
          <w:szCs w:val="18"/>
          <w:color w:val="auto"/>
        </w:rPr>
      </w:pPr>
    </w:p>
    <w:p>
      <w:pPr>
        <w:ind w:left="552"/>
        <w:spacing w:after="0" w:line="277" w:lineRule="auto"/>
        <w:rPr>
          <w:rFonts w:ascii="Arial" w:cs="Arial" w:eastAsia="Arial" w:hAnsi="Arial"/>
          <w:sz w:val="18"/>
          <w:szCs w:val="18"/>
          <w:color w:val="auto"/>
        </w:rPr>
      </w:pPr>
      <w:r>
        <w:rPr>
          <w:rFonts w:ascii="Arial" w:cs="Arial" w:eastAsia="Arial" w:hAnsi="Arial"/>
          <w:sz w:val="18"/>
          <w:szCs w:val="18"/>
          <w:color w:val="auto"/>
        </w:rPr>
        <w:t>From time to time, the Committee will determine the forms and amounts of Grants for Participants. Such Grants may take the following forms in the Committee's sole discretion:</w:t>
      </w:r>
    </w:p>
    <w:p>
      <w:pPr>
        <w:spacing w:after="0" w:line="170" w:lineRule="exact"/>
        <w:rPr>
          <w:rFonts w:ascii="Arial" w:cs="Arial" w:eastAsia="Arial" w:hAnsi="Arial"/>
          <w:sz w:val="18"/>
          <w:szCs w:val="18"/>
          <w:color w:val="auto"/>
        </w:rPr>
      </w:pPr>
    </w:p>
    <w:p>
      <w:pPr>
        <w:jc w:val="both"/>
        <w:ind w:left="552" w:right="280" w:firstLine="204"/>
        <w:spacing w:after="0" w:line="287" w:lineRule="auto"/>
        <w:tabs>
          <w:tab w:leader="none" w:pos="1355"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xml:space="preserve"> – These are options to purchase/subscribe for Common Stock ("</w:t>
      </w:r>
      <w:r>
        <w:rPr>
          <w:rFonts w:ascii="Arial" w:cs="Arial" w:eastAsia="Arial" w:hAnsi="Arial"/>
          <w:sz w:val="16"/>
          <w:szCs w:val="16"/>
          <w:u w:val="single" w:color="auto"/>
          <w:color w:val="auto"/>
        </w:rPr>
        <w:t>Stock Options</w:t>
      </w:r>
      <w:r>
        <w:rPr>
          <w:rFonts w:ascii="Arial" w:cs="Arial" w:eastAsia="Arial" w:hAnsi="Arial"/>
          <w:sz w:val="16"/>
          <w:szCs w:val="16"/>
          <w:color w:val="auto"/>
        </w:rPr>
        <w:t>"). At the time of Grant of the Stock Options, the Committee shall determine, and shall include in the Grant Agreement, the option exercise period, the option exercise price, vesting requirements, and such other terms, conditions or restrictions on the grant or exercise of the option as the Committee deems appropriate including, without limitation, the right to receive dividend equivalent payments on vested options. Notwithstanding the foregoing, the exercise price per Share of a Stock Option shall in no event be less than the Fair Market Value on the date the Stock Option is granted (subject to later adjustment pursuant to Section 8 hereof). In addition to other restrictions contained in the Plan, a Stock Option granted under this Section 5(a) may not be exercised more than 10 years after the date it is granted. Payment of the Stock Option exercise price shall be made (i) in cash, (ii) with the consent of the Committee, in Shares (any such Shares valued at Fair Market Value on the date of exercise) that the Participant has held for such period of time as may be required by the Company's accountants, (iii) with the consent of the Committee, through the withholding of Shares (any such Shares valued at Fair Market Value on the date of exercise) otherwise issuable upon the exercise of the Stock Option in a manner that is compliant with applicable law, or (iv) with the consent of the Committee, a combination of the foregoing methods, in each such case in accordance with the terms of the Plan, the Grant Agreement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79" w:name="page80"/>
    <w:bookmarkEnd w:id="79"/>
    <w:p>
      <w:pPr>
        <w:jc w:val="both"/>
        <w:ind w:left="552" w:firstLine="204"/>
        <w:spacing w:after="0" w:line="290" w:lineRule="auto"/>
        <w:tabs>
          <w:tab w:leader="none" w:pos="1284"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Other Stock-Based Awards</w:t>
      </w:r>
      <w:r>
        <w:rPr>
          <w:rFonts w:ascii="Arial" w:cs="Arial" w:eastAsia="Arial" w:hAnsi="Arial"/>
          <w:sz w:val="16"/>
          <w:szCs w:val="16"/>
          <w:color w:val="auto"/>
        </w:rPr>
        <w:t xml:space="preserve"> – To the extent permitted by applicable law, the Committee may grant or sell awards of Shares, awards of restricted Shares and/or awards that are valued in whole or in part by reference to, or are otherwise based on the Fair Market Value of, Shares (including, without limitation, restricted stock units, stock appreciation rights, and dividend equivalent rights). At the time of Grant of the Stock Options, such "Other Stock-Based Awards" shall be in such form, and dependent on such conditions, as the Committee may determine, including, without limitation, the right to receive or vest with respect to, one or more Shares (or the equivalent cash value of such Shares) upon the completion of a specified period of service, the occurrence of an event and/or the attainment of performance objectives; whether such Other Stock-Based Awards shall be settled in cash, Shares or a combination of cash and Shares; and all other terms and conditions of such awards. Other Stock-Based Awards may be granted alone or in addition to any other Grants under the Plan.</w:t>
      </w:r>
    </w:p>
    <w:p>
      <w:pPr>
        <w:spacing w:after="0" w:line="165" w:lineRule="exact"/>
        <w:rPr>
          <w:sz w:val="20"/>
          <w:szCs w:val="20"/>
          <w:color w:val="auto"/>
        </w:rPr>
      </w:pPr>
    </w:p>
    <w:p>
      <w:pPr>
        <w:ind w:left="552" w:hanging="552"/>
        <w:spacing w:after="0"/>
        <w:tabs>
          <w:tab w:leader="none" w:pos="55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Limitations and Conditions</w:t>
      </w:r>
    </w:p>
    <w:p>
      <w:pPr>
        <w:spacing w:after="0" w:line="225" w:lineRule="exact"/>
        <w:rPr>
          <w:rFonts w:ascii="Arial" w:cs="Arial" w:eastAsia="Arial" w:hAnsi="Arial"/>
          <w:sz w:val="18"/>
          <w:szCs w:val="18"/>
          <w:color w:val="auto"/>
        </w:rPr>
      </w:pPr>
    </w:p>
    <w:p>
      <w:pPr>
        <w:jc w:val="both"/>
        <w:ind w:left="552" w:right="80" w:firstLine="204"/>
        <w:spacing w:after="0" w:line="257" w:lineRule="auto"/>
        <w:tabs>
          <w:tab w:leader="none" w:pos="133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number of Shares available for Grants under this Plan (plus any PRA Health Sciences, Inc. common stock that was issued in settlement of outstanding awards under the Plan prior to its assumption by the Company) is intended to be 13,562,209, subject to adjustment as provided for in Sections 8 and 9, unless restricted by applicable law. Shares related to Grants that are forfeited, terminated, canceled, expire unexercised, withheld to satisfy tax withholding obligations, or are repurchased by the Company shall immediately become available for new Grants.</w:t>
      </w:r>
    </w:p>
    <w:p>
      <w:pPr>
        <w:spacing w:after="0" w:line="187" w:lineRule="exact"/>
        <w:rPr>
          <w:rFonts w:ascii="Arial" w:cs="Arial" w:eastAsia="Arial" w:hAnsi="Arial"/>
          <w:sz w:val="18"/>
          <w:szCs w:val="18"/>
          <w:color w:val="auto"/>
        </w:rPr>
      </w:pPr>
    </w:p>
    <w:p>
      <w:pPr>
        <w:ind w:left="552" w:firstLine="204"/>
        <w:spacing w:after="0" w:line="277" w:lineRule="auto"/>
        <w:tabs>
          <w:tab w:leader="none" w:pos="148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Nothing contained herein shall affect the right of the Company or any other Service Recipient to terminate any Participant's employment or other service relationship at any time or for any reason.</w:t>
      </w:r>
    </w:p>
    <w:p>
      <w:pPr>
        <w:spacing w:after="0" w:line="170" w:lineRule="exact"/>
        <w:rPr>
          <w:rFonts w:ascii="Arial" w:cs="Arial" w:eastAsia="Arial" w:hAnsi="Arial"/>
          <w:sz w:val="18"/>
          <w:szCs w:val="18"/>
          <w:color w:val="auto"/>
        </w:rPr>
      </w:pPr>
    </w:p>
    <w:p>
      <w:pPr>
        <w:jc w:val="both"/>
        <w:ind w:left="552" w:right="20" w:firstLine="204"/>
        <w:spacing w:after="0" w:line="259" w:lineRule="auto"/>
        <w:tabs>
          <w:tab w:leader="none" w:pos="134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Other than as specifically provided in the Management Stockholder's Agreement, no benefit under the Plan shall be subject in any manner to anticipation, alienation, sale, transfer, assignment, pledge, encumbrance, or charge, and any attempt to do so shall be void. No such benefit shall, prior to receipt thereof by the Participant, be in any manner liable for or subject to the debts, contracts, liabilities, engagements, or torts of the Participant.</w:t>
      </w:r>
    </w:p>
    <w:p>
      <w:pPr>
        <w:spacing w:after="0" w:line="186" w:lineRule="exact"/>
        <w:rPr>
          <w:rFonts w:ascii="Arial" w:cs="Arial" w:eastAsia="Arial" w:hAnsi="Arial"/>
          <w:sz w:val="18"/>
          <w:szCs w:val="18"/>
          <w:color w:val="auto"/>
        </w:rPr>
      </w:pPr>
    </w:p>
    <w:p>
      <w:pPr>
        <w:jc w:val="both"/>
        <w:ind w:left="552" w:firstLine="204"/>
        <w:spacing w:after="0" w:line="311" w:lineRule="auto"/>
        <w:tabs>
          <w:tab w:leader="none" w:pos="1321" w:val="left"/>
        </w:tabs>
        <w:numPr>
          <w:ilvl w:val="1"/>
          <w:numId w:val="141"/>
        </w:numPr>
        <w:rPr>
          <w:rFonts w:ascii="Arial" w:cs="Arial" w:eastAsia="Arial" w:hAnsi="Arial"/>
          <w:sz w:val="16"/>
          <w:szCs w:val="16"/>
          <w:color w:val="auto"/>
        </w:rPr>
      </w:pPr>
      <w:r>
        <w:rPr>
          <w:rFonts w:ascii="Arial" w:cs="Arial" w:eastAsia="Arial" w:hAnsi="Arial"/>
          <w:sz w:val="16"/>
          <w:szCs w:val="16"/>
          <w:color w:val="auto"/>
        </w:rPr>
        <w:t>Participants shall not be, and shall not have any of the rights or privileges of, stockholders of the Company in respect of any Shares purchasable in connection with any Grant unless and until (i) such Shares (in case of an issuance of new Shares) have been issued by the Company and (ii) such Participants and their ownership of such Shares have been entered into the register of registered shares of the Company.</w:t>
      </w:r>
    </w:p>
    <w:p>
      <w:pPr>
        <w:spacing w:after="0" w:line="148" w:lineRule="exact"/>
        <w:rPr>
          <w:rFonts w:ascii="Arial" w:cs="Arial" w:eastAsia="Arial" w:hAnsi="Arial"/>
          <w:sz w:val="16"/>
          <w:szCs w:val="16"/>
          <w:color w:val="auto"/>
        </w:rPr>
      </w:pPr>
    </w:p>
    <w:p>
      <w:pPr>
        <w:ind w:left="552" w:right="660" w:firstLine="204"/>
        <w:spacing w:after="0" w:line="277" w:lineRule="auto"/>
        <w:tabs>
          <w:tab w:leader="none" w:pos="136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No election as to benefits or exercise of any Grant may be made during a Participant's lifetime by anyone other than the Participant except by a legal representative appointed for or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52"/>
          </w:cols>
          <w:pgMar w:left="328" w:top="341" w:right="619" w:bottom="1440" w:gutter="0" w:footer="0" w:header="0"/>
        </w:sectPr>
      </w:pPr>
    </w:p>
    <w:bookmarkStart w:id="80" w:name="page81"/>
    <w:bookmarkEnd w:id="80"/>
    <w:p>
      <w:pPr>
        <w:jc w:val="both"/>
        <w:ind w:left="552" w:right="280" w:firstLine="204"/>
        <w:spacing w:after="0" w:line="257" w:lineRule="auto"/>
        <w:tabs>
          <w:tab w:leader="none" w:pos="13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Absent express provisions to the contrary, any Grant under this Plan shall not be deemed compensation for purposes of computing benefits or contributions under any retirement or severance plan of the Company or other Service Recipient and shall not affect any benefits under any other benefit plan of any kind now or subsequently in effect under which the availability or amount of benefits is related to level of compensation. This Plan is not a "Retirement Plan" or "Welfare Plan" under the Employee Retirement Income Security Act of 1974, as amended.</w:t>
      </w:r>
    </w:p>
    <w:p>
      <w:pPr>
        <w:spacing w:after="0" w:line="187" w:lineRule="exact"/>
        <w:rPr>
          <w:rFonts w:ascii="Arial" w:cs="Arial" w:eastAsia="Arial" w:hAnsi="Arial"/>
          <w:sz w:val="18"/>
          <w:szCs w:val="18"/>
          <w:color w:val="auto"/>
        </w:rPr>
      </w:pPr>
    </w:p>
    <w:p>
      <w:pPr>
        <w:jc w:val="both"/>
        <w:ind w:left="552" w:right="280" w:firstLine="204"/>
        <w:spacing w:after="0" w:line="271" w:lineRule="auto"/>
        <w:tabs>
          <w:tab w:leader="none" w:pos="131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 Grant under this Plan does not form part of the Participant's entitlement (if any) to remuneration, payment or receipt of any other benefits pursuant to any Other Relevant Agreement he or she may have with the Company or a Service Recipient nor does the existence of any Other Relevant Agreement between any person and the Company or a Service Recipient give such person any right or entitlement to have any Grant under this Plan nor any expectation to such Grant. The rights and obligations of a Participant under the terms of his or her Other Relevant Agreement (if any) with the Company or a Service Recipient shall not be affected by any Grant hereunder. The rights granted to a Participant (who is also a party to any Other Relevant (Agreement) upon a Grant hereunder shall not afford such Participant any rights or additional rights to compensation or damages in consequence of the loss or termination of his or her office or employment with or his or her provision of services to the Company or a Service Recipient for any reason whatsoever.</w:t>
      </w:r>
    </w:p>
    <w:p>
      <w:pPr>
        <w:spacing w:after="0" w:line="178" w:lineRule="exact"/>
        <w:rPr>
          <w:rFonts w:ascii="Arial" w:cs="Arial" w:eastAsia="Arial" w:hAnsi="Arial"/>
          <w:sz w:val="17"/>
          <w:szCs w:val="17"/>
          <w:color w:val="auto"/>
        </w:rPr>
      </w:pPr>
    </w:p>
    <w:p>
      <w:pPr>
        <w:jc w:val="both"/>
        <w:ind w:left="552" w:right="300" w:firstLine="204"/>
        <w:spacing w:after="0" w:line="311" w:lineRule="auto"/>
        <w:tabs>
          <w:tab w:leader="none" w:pos="126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 Participant shall not be entitled to any compensation or damages for any loss or potential loss which he or she may suffer by reason of being or becoming unable to exercise an Option under the Plan in consequence of the loss or termination of his or her Other Relevant Agreement with the Company or a Service Recipient for any reason (including, without limitation, any breach of contract by the Participant).</w:t>
      </w:r>
    </w:p>
    <w:p>
      <w:pPr>
        <w:spacing w:after="0" w:line="148" w:lineRule="exact"/>
        <w:rPr>
          <w:rFonts w:ascii="Arial" w:cs="Arial" w:eastAsia="Arial" w:hAnsi="Arial"/>
          <w:sz w:val="16"/>
          <w:szCs w:val="16"/>
          <w:color w:val="auto"/>
        </w:rPr>
      </w:pPr>
    </w:p>
    <w:p>
      <w:pPr>
        <w:jc w:val="both"/>
        <w:ind w:left="552" w:right="280" w:firstLine="204"/>
        <w:spacing w:after="0" w:line="263" w:lineRule="auto"/>
        <w:tabs>
          <w:tab w:leader="none" w:pos="136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Unless the Committee determines otherwise, no benefit or promise under the Plan shall be secured by any specific assets of the Company or any other Service Recipient, nor shall any assets of the Company or any other Service Recipient be designated as attributable or allocated to the satisfaction of the Company's obligations under the Plan.</w:t>
      </w:r>
    </w:p>
    <w:p>
      <w:pPr>
        <w:spacing w:after="0" w:line="184" w:lineRule="exact"/>
        <w:rPr>
          <w:sz w:val="20"/>
          <w:szCs w:val="20"/>
          <w:color w:val="auto"/>
        </w:rPr>
      </w:pPr>
    </w:p>
    <w:p>
      <w:pPr>
        <w:ind w:left="552" w:hanging="552"/>
        <w:spacing w:after="0"/>
        <w:tabs>
          <w:tab w:leader="none" w:pos="5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Transfers and Leaves of Absence</w:t>
      </w:r>
    </w:p>
    <w:p>
      <w:pPr>
        <w:spacing w:after="0" w:line="225" w:lineRule="exact"/>
        <w:rPr>
          <w:sz w:val="20"/>
          <w:szCs w:val="20"/>
          <w:color w:val="auto"/>
        </w:rPr>
      </w:pPr>
    </w:p>
    <w:p>
      <w:pPr>
        <w:jc w:val="both"/>
        <w:ind w:left="552"/>
        <w:spacing w:after="0" w:line="259" w:lineRule="auto"/>
        <w:rPr>
          <w:sz w:val="20"/>
          <w:szCs w:val="20"/>
          <w:color w:val="auto"/>
        </w:rPr>
      </w:pPr>
      <w:r>
        <w:rPr>
          <w:rFonts w:ascii="Arial" w:cs="Arial" w:eastAsia="Arial" w:hAnsi="Arial"/>
          <w:sz w:val="18"/>
          <w:szCs w:val="18"/>
          <w:color w:val="auto"/>
        </w:rPr>
        <w:t>For purposes of the Plan, unless the Committee determines otherwise: (a) a transfer of a Participant's employment without an intervening period of separation among the Company and any other Service Recipient shall not be deemed a termination of employment, and (b) a Participant who is granted in writing a leave of absence or who is entitled to a statutory leave of absence shall be deemed to have remained in the employ of the Company (and other Service Recipient) during such leave of absence.</w:t>
      </w:r>
    </w:p>
    <w:p>
      <w:pPr>
        <w:spacing w:after="0" w:line="187" w:lineRule="exact"/>
        <w:rPr>
          <w:sz w:val="20"/>
          <w:szCs w:val="20"/>
          <w:color w:val="auto"/>
        </w:rPr>
      </w:pPr>
    </w:p>
    <w:p>
      <w:pPr>
        <w:ind w:left="552" w:hanging="552"/>
        <w:spacing w:after="0"/>
        <w:tabs>
          <w:tab w:leader="none" w:pos="55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225" w:lineRule="exact"/>
        <w:rPr>
          <w:rFonts w:ascii="Arial" w:cs="Arial" w:eastAsia="Arial" w:hAnsi="Arial"/>
          <w:sz w:val="18"/>
          <w:szCs w:val="18"/>
          <w:color w:val="auto"/>
        </w:rPr>
      </w:pPr>
    </w:p>
    <w:p>
      <w:pPr>
        <w:jc w:val="both"/>
        <w:ind w:left="552"/>
        <w:spacing w:after="0" w:line="296" w:lineRule="auto"/>
        <w:rPr>
          <w:rFonts w:ascii="Arial" w:cs="Arial" w:eastAsia="Arial" w:hAnsi="Arial"/>
          <w:sz w:val="18"/>
          <w:szCs w:val="18"/>
          <w:color w:val="auto"/>
        </w:rPr>
      </w:pPr>
      <w:r>
        <w:rPr>
          <w:rFonts w:ascii="Arial" w:cs="Arial" w:eastAsia="Arial" w:hAnsi="Arial"/>
          <w:sz w:val="16"/>
          <w:szCs w:val="16"/>
          <w:color w:val="auto"/>
        </w:rPr>
        <w:t>In the event of any stock split, spin-off, share combination, reclassification, change of the legal form, recapitalization, liquidation, dissolution, reorganization, merger, Change in Control, payment of a dividend (other than a cash dividend paid as part of a regular dividend program) or other similar transaction or occurrence which affects the equity securities of the Company or the value thereof, the Committee shall (i) adjust the number and kind of shares subject to the Plan and available for or covered by Grants, (ii) adjust the share prices related to outstanding Grants (provided that in no event shall the per share price of an award be reduced to an amount that is lower than the nominal value of a share), and/or</w:t>
      </w:r>
    </w:p>
    <w:p>
      <w:pPr>
        <w:spacing w:after="0" w:line="161" w:lineRule="exact"/>
        <w:rPr>
          <w:rFonts w:ascii="Arial" w:cs="Arial" w:eastAsia="Arial" w:hAnsi="Arial"/>
          <w:sz w:val="18"/>
          <w:szCs w:val="18"/>
          <w:color w:val="auto"/>
        </w:rPr>
      </w:pPr>
    </w:p>
    <w:p>
      <w:pPr>
        <w:jc w:val="both"/>
        <w:ind w:left="552"/>
        <w:spacing w:after="0" w:line="257" w:lineRule="auto"/>
        <w:rPr>
          <w:rFonts w:ascii="Arial" w:cs="Arial" w:eastAsia="Arial" w:hAnsi="Arial"/>
          <w:sz w:val="18"/>
          <w:szCs w:val="18"/>
          <w:color w:val="auto"/>
        </w:rPr>
      </w:pPr>
      <w:r>
        <w:rPr>
          <w:rFonts w:ascii="Arial" w:cs="Arial" w:eastAsia="Arial" w:hAnsi="Arial"/>
          <w:sz w:val="18"/>
          <w:szCs w:val="18"/>
          <w:color w:val="auto"/>
        </w:rPr>
        <w:t>take such other action (including, without limitation providing for payment of a cash amount to holders of outstanding Grants and adjusting performance targets), in each case as it deems reasonably necessary to address, on an equitable basis and subject to applicable law, the effect of the applicable corporate event on the Plan and any outstanding Grants, without adverse tax consequences under Section 409A of the Code. Any such adjustment made or action taken by the Committee in accordance with the preceding sentence shall be final and binding upon holders of Options and upon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81" w:name="page82"/>
    <w:bookmarkEnd w:id="81"/>
    <w:p>
      <w:pPr>
        <w:ind w:left="552" w:hanging="552"/>
        <w:spacing w:after="0"/>
        <w:tabs>
          <w:tab w:leader="none" w:pos="55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p>
    <w:p>
      <w:pPr>
        <w:spacing w:after="0" w:line="225" w:lineRule="exact"/>
        <w:rPr>
          <w:rFonts w:ascii="Arial" w:cs="Arial" w:eastAsia="Arial" w:hAnsi="Arial"/>
          <w:sz w:val="18"/>
          <w:szCs w:val="18"/>
          <w:color w:val="auto"/>
        </w:rPr>
      </w:pPr>
    </w:p>
    <w:p>
      <w:pPr>
        <w:jc w:val="both"/>
        <w:ind w:left="552"/>
        <w:spacing w:after="0" w:line="268" w:lineRule="auto"/>
        <w:rPr>
          <w:rFonts w:ascii="Arial" w:cs="Arial" w:eastAsia="Arial" w:hAnsi="Arial"/>
          <w:sz w:val="18"/>
          <w:szCs w:val="18"/>
          <w:color w:val="auto"/>
        </w:rPr>
      </w:pPr>
      <w:r>
        <w:rPr>
          <w:rFonts w:ascii="Arial" w:cs="Arial" w:eastAsia="Arial" w:hAnsi="Arial"/>
          <w:sz w:val="17"/>
          <w:szCs w:val="17"/>
          <w:color w:val="auto"/>
        </w:rPr>
        <w:t>In the event of a Change in Control: (a) if determined by the Committee in the applicable Grant Agreement or otherwise determined by the Committee in its sole discretion, any outstanding Grants then held by Participants which are unexercisable or otherwise unvested or subject to lapse restrictions may automatically be deemed exercisable or otherwise vested or no longer subject to lapse restrictions, as the case may be, as of immediately prior to such Change in Control and (b) the Committee may, to the extent determined by the Committee to be permitted under Section 409A of the Code, but shall not be obligated to: (i) cancel such awards for Fair Market Value which for these purposes shall equal the excess, if any, of the value of the consideration to be paid in the Change in Control transaction to holders of the same number of Shares subject to such Stock Options (or, if no consideration is paid in any such transaction, the Fair Market Value of the Shares subject to such Stock Options) over the aggregate option price of such Stock Options (and for the avoidance of doubt, any Stock Options having an exercise price equal to or greater than the consideration to be paid in the Change in Control may be cancelled without payment in respect thereof); (ii) provide for the issuance of substitute awards that will preserve in no less favorable a manner the otherwise applicable terms of any affected Grants previously granted hereunder, as determined by the Committee in its sole discretion; or (iii) provide that for a period of at least ten Business Days prior to the Change in Control, any Stock Options shall be exercisable as to all Shares subject thereto (where, for the avoidance of doubt, Participant shall have the ability to request that such shares be withheld to satisfy the payment of the exercise price of such Stock Options and/or to satisfy any tax withholding obligations that the Participant may incur as a result of such exercise) and that upon the occurrence of the Change in Control, such Stock Options shall terminate and be of no further force and effect.</w:t>
      </w:r>
    </w:p>
    <w:p>
      <w:pPr>
        <w:spacing w:after="0" w:line="182" w:lineRule="exact"/>
        <w:rPr>
          <w:sz w:val="20"/>
          <w:szCs w:val="20"/>
          <w:color w:val="auto"/>
        </w:rPr>
      </w:pPr>
    </w:p>
    <w:p>
      <w:pPr>
        <w:ind w:left="552" w:hanging="552"/>
        <w:spacing w:after="0"/>
        <w:tabs>
          <w:tab w:leader="none" w:pos="55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225" w:lineRule="exact"/>
        <w:rPr>
          <w:rFonts w:ascii="Arial" w:cs="Arial" w:eastAsia="Arial" w:hAnsi="Arial"/>
          <w:sz w:val="18"/>
          <w:szCs w:val="18"/>
          <w:color w:val="auto"/>
        </w:rPr>
      </w:pPr>
    </w:p>
    <w:p>
      <w:pPr>
        <w:jc w:val="both"/>
        <w:ind w:left="552" w:right="280" w:firstLine="204"/>
        <w:spacing w:after="0" w:line="257" w:lineRule="auto"/>
        <w:tabs>
          <w:tab w:leader="none" w:pos="125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The Committee shall have the authority to make such amendments to any terms and conditions applicable to outstanding Grants as are consistent with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action shall modify any Grant in a manner that is disadvantageous in more than a de minimis manner to a Participant with respect to any outstanding Grants, other than to correct any good faith typographical error or omission, without the Participant's consent, except as such modification is provided for or contemplated in the terms of the Grant or this Plan (including, without limitation, Sections 8, 9 and 10(c) hereof).</w:t>
      </w:r>
    </w:p>
    <w:p>
      <w:pPr>
        <w:spacing w:after="0" w:line="187" w:lineRule="exact"/>
        <w:rPr>
          <w:rFonts w:ascii="Arial" w:cs="Arial" w:eastAsia="Arial" w:hAnsi="Arial"/>
          <w:sz w:val="18"/>
          <w:szCs w:val="18"/>
          <w:color w:val="auto"/>
        </w:rPr>
      </w:pPr>
    </w:p>
    <w:p>
      <w:pPr>
        <w:jc w:val="both"/>
        <w:ind w:left="552" w:right="280" w:firstLine="204"/>
        <w:spacing w:after="0" w:line="296" w:lineRule="auto"/>
        <w:tabs>
          <w:tab w:leader="none" w:pos="135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The Board may amend, suspend or terminate the Plan,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no such action, other than an action under Section 8, 9 or 10(c) hereof, may be taken which would, without stockholder approval, increase the aggregate number of Shares available for Grants under the Plan, decrease the price of outstanding Grants, change the requirements relating to the Committee or, extend the term of the Plan. However, no such action by the Board shall be materially disadvantageous to a Participant with respect to any outstanding Grants, without the Participant's consent, except as otherwise contemplated in the terms of the Grant or the Plan (including, without limitation, Sections 8, 9 and 10(c) hereof).</w:t>
      </w:r>
    </w:p>
    <w:p>
      <w:pPr>
        <w:spacing w:after="0" w:line="161" w:lineRule="exact"/>
        <w:rPr>
          <w:rFonts w:ascii="Arial" w:cs="Arial" w:eastAsia="Arial" w:hAnsi="Arial"/>
          <w:sz w:val="16"/>
          <w:szCs w:val="16"/>
          <w:color w:val="auto"/>
        </w:rPr>
      </w:pPr>
    </w:p>
    <w:p>
      <w:pPr>
        <w:jc w:val="both"/>
        <w:ind w:left="552" w:right="280" w:firstLine="204"/>
        <w:spacing w:after="0" w:line="286" w:lineRule="auto"/>
        <w:tabs>
          <w:tab w:leader="none" w:pos="129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This Plan is intended to comply with Section 409A of the Code and will be interpreted in a manner intended to comply with Section 409A of the Code. Notwithstanding anything herein to the contrary, (i) if at the time of the Participant's termination of employment with any Service Recipient the Participant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Participant) until the date that is six months and one day following the Participant's termination of employment with all Service Recipients (or the earliest date as is permitted under Section 409A of the Code), if such payment or benefit is payable upon a termination of employment and (ii) if any other payments of money or other benefits due to the Participant hereunder would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reasonably determined by the Board in consultation with the Participant, that does not cause such an accelerated or additional tax or result in an additional cost to the Company (without any reduction in such payments or benefits ultimately paid or provided to the Participant). Any payment of any Award that is payable in installments shall be deemed a "separate payment" for purposes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82" w:name="page83"/>
    <w:bookmarkEnd w:id="82"/>
    <w:p>
      <w:pPr>
        <w:ind w:left="552" w:hanging="552"/>
        <w:spacing w:after="0"/>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Governing Law; International Participants</w:t>
      </w:r>
    </w:p>
    <w:p>
      <w:pPr>
        <w:spacing w:after="0" w:line="225" w:lineRule="exact"/>
        <w:rPr>
          <w:rFonts w:ascii="Arial" w:cs="Arial" w:eastAsia="Arial" w:hAnsi="Arial"/>
          <w:sz w:val="18"/>
          <w:szCs w:val="18"/>
          <w:color w:val="auto"/>
        </w:rPr>
      </w:pPr>
    </w:p>
    <w:p>
      <w:pPr>
        <w:ind w:left="1272" w:hanging="516"/>
        <w:spacing w:after="0"/>
        <w:tabs>
          <w:tab w:leader="none" w:pos="12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This Plan shall be governed by and construed in accordance with the laws of the State of New York applicable therein.</w:t>
      </w:r>
    </w:p>
    <w:p>
      <w:pPr>
        <w:spacing w:after="0" w:line="225" w:lineRule="exact"/>
        <w:rPr>
          <w:rFonts w:ascii="Arial" w:cs="Arial" w:eastAsia="Arial" w:hAnsi="Arial"/>
          <w:sz w:val="18"/>
          <w:szCs w:val="18"/>
          <w:color w:val="auto"/>
        </w:rPr>
      </w:pPr>
    </w:p>
    <w:p>
      <w:pPr>
        <w:jc w:val="both"/>
        <w:ind w:left="552" w:right="280" w:firstLine="204"/>
        <w:spacing w:after="0" w:line="279" w:lineRule="auto"/>
        <w:tabs>
          <w:tab w:leader="none" w:pos="138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With respect to Participants who reside or work outside the United States of America, the Committee may, in its sole discretion, amend the terms of the Plan or awards with respect to such Participants in order to conform such terms with the requirements of local law or to obtain more favorable tax or other treatment for a Participant, the Company or any other Service Recipient, including establish a sub-plan containing terms identical to those contained in this Plan document and any Grant Agreement.</w:t>
      </w:r>
    </w:p>
    <w:p>
      <w:pPr>
        <w:spacing w:after="0" w:line="171" w:lineRule="exact"/>
        <w:rPr>
          <w:rFonts w:ascii="Arial" w:cs="Arial" w:eastAsia="Arial" w:hAnsi="Arial"/>
          <w:sz w:val="17"/>
          <w:szCs w:val="17"/>
          <w:color w:val="auto"/>
        </w:rPr>
      </w:pPr>
    </w:p>
    <w:p>
      <w:pPr>
        <w:ind w:left="552" w:hanging="552"/>
        <w:spacing w:after="0"/>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225" w:lineRule="exact"/>
        <w:rPr>
          <w:rFonts w:ascii="Arial" w:cs="Arial" w:eastAsia="Arial" w:hAnsi="Arial"/>
          <w:sz w:val="18"/>
          <w:szCs w:val="18"/>
          <w:color w:val="auto"/>
        </w:rPr>
      </w:pPr>
    </w:p>
    <w:p>
      <w:pPr>
        <w:jc w:val="both"/>
        <w:ind w:left="552"/>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the right to deduct from any payment made under the Plan any federal, state or local income or other taxes required by law to be withheld with respect to such payment. It shall be a condition to the obligation of the Company to deliver Shares upon the exercise of a Stock Option that the Participant pays to the Company such amount as may be requested by the Company for the purpose of satisfying any liability for such withholding taxes.</w:t>
      </w:r>
    </w:p>
    <w:p>
      <w:pPr>
        <w:spacing w:after="0" w:line="186" w:lineRule="exact"/>
        <w:rPr>
          <w:rFonts w:ascii="Arial" w:cs="Arial" w:eastAsia="Arial" w:hAnsi="Arial"/>
          <w:sz w:val="18"/>
          <w:szCs w:val="18"/>
          <w:color w:val="auto"/>
        </w:rPr>
      </w:pPr>
    </w:p>
    <w:p>
      <w:pPr>
        <w:ind w:left="552" w:hanging="552"/>
        <w:spacing w:after="0"/>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Effective Date and Termination Dates</w:t>
      </w:r>
    </w:p>
    <w:p>
      <w:pPr>
        <w:spacing w:after="0" w:line="225" w:lineRule="exact"/>
        <w:rPr>
          <w:rFonts w:ascii="Arial" w:cs="Arial" w:eastAsia="Arial" w:hAnsi="Arial"/>
          <w:sz w:val="18"/>
          <w:szCs w:val="18"/>
          <w:color w:val="auto"/>
        </w:rPr>
      </w:pPr>
    </w:p>
    <w:p>
      <w:pPr>
        <w:jc w:val="both"/>
        <w:ind w:left="552"/>
        <w:spacing w:after="0" w:line="263" w:lineRule="auto"/>
        <w:rPr>
          <w:rFonts w:ascii="Arial" w:cs="Arial" w:eastAsia="Arial" w:hAnsi="Arial"/>
          <w:sz w:val="18"/>
          <w:szCs w:val="18"/>
          <w:color w:val="auto"/>
        </w:rPr>
      </w:pPr>
      <w:r>
        <w:rPr>
          <w:rFonts w:ascii="Arial" w:cs="Arial" w:eastAsia="Arial" w:hAnsi="Arial"/>
          <w:sz w:val="18"/>
          <w:szCs w:val="18"/>
          <w:color w:val="auto"/>
        </w:rPr>
        <w:t>The Plan became effective on September 23, 2013 and shall terminate ten years later, subject to earlier termination by the Board pursuant to Section 10, but the terms of Grants made on or before the expiration of the Plan shall extend beyond such expiration in accordance with their terms. As of the Assumption Date, no new awards have been or shall be granted under the Plan.</w:t>
      </w:r>
    </w:p>
    <w:p>
      <w:pPr>
        <w:spacing w:after="0" w:line="183" w:lineRule="exact"/>
        <w:rPr>
          <w:rFonts w:ascii="Arial" w:cs="Arial" w:eastAsia="Arial" w:hAnsi="Arial"/>
          <w:sz w:val="18"/>
          <w:szCs w:val="18"/>
          <w:color w:val="auto"/>
        </w:rPr>
      </w:pPr>
    </w:p>
    <w:p>
      <w:pPr>
        <w:ind w:left="552" w:hanging="552"/>
        <w:spacing w:after="0"/>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Compliance</w:t>
      </w:r>
    </w:p>
    <w:p>
      <w:pPr>
        <w:spacing w:after="0" w:line="225" w:lineRule="exact"/>
        <w:rPr>
          <w:rFonts w:ascii="Arial" w:cs="Arial" w:eastAsia="Arial" w:hAnsi="Arial"/>
          <w:sz w:val="18"/>
          <w:szCs w:val="18"/>
          <w:color w:val="auto"/>
        </w:rPr>
      </w:pPr>
    </w:p>
    <w:p>
      <w:pPr>
        <w:jc w:val="both"/>
        <w:ind w:left="552"/>
        <w:spacing w:after="0" w:line="257" w:lineRule="auto"/>
        <w:rPr>
          <w:rFonts w:ascii="Arial" w:cs="Arial" w:eastAsia="Arial" w:hAnsi="Arial"/>
          <w:sz w:val="18"/>
          <w:szCs w:val="18"/>
          <w:color w:val="auto"/>
        </w:rPr>
      </w:pPr>
      <w:r>
        <w:rPr>
          <w:rFonts w:ascii="Arial" w:cs="Arial" w:eastAsia="Arial" w:hAnsi="Arial"/>
          <w:sz w:val="18"/>
          <w:szCs w:val="18"/>
          <w:color w:val="auto"/>
        </w:rPr>
        <w:t>Notwithstanding any other provision of this Plan, (a) the Company shall not be obliged to issue any Shares pursuant to an award unless at least the nominal value of each such newly issued Share has been fully paid in advance in accordance with applicable law (which requirement may mean the holder of an award is obliged to make such payment) and (b) the Company shall not be obliged to issue or deliver any Shares in satisfaction of awards until all legal and regulatory requirements associated with such issue or delivery have been complied with to the satisfaction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83" w:name="page84"/>
    <w:bookmarkEnd w:id="83"/>
    <w:p>
      <w:pPr>
        <w:jc w:val="center"/>
        <w:ind w:right="560"/>
        <w:spacing w:after="0"/>
        <w:rPr>
          <w:sz w:val="20"/>
          <w:szCs w:val="20"/>
          <w:color w:val="auto"/>
        </w:rPr>
      </w:pPr>
      <w:r>
        <w:rPr>
          <w:rFonts w:ascii="Arial" w:cs="Arial" w:eastAsia="Arial" w:hAnsi="Arial"/>
          <w:sz w:val="18"/>
          <w:szCs w:val="18"/>
          <w:b w:val="1"/>
          <w:bCs w:val="1"/>
          <w:i w:val="1"/>
          <w:iCs w:val="1"/>
          <w:color w:val="31859B"/>
        </w:rPr>
        <w:t>APPENDIX</w:t>
      </w: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i w:val="1"/>
          <w:iCs w:val="1"/>
          <w:color w:val="31859B"/>
        </w:rPr>
        <w:t>TO THE 2013 STOCK INCENTIVE PLAN</w:t>
      </w:r>
    </w:p>
    <w:p>
      <w:pPr>
        <w:spacing w:after="0" w:line="22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FOR ALL OPTIONEES OUTSIDE OF THE UNITED STATES</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NON-U.S. OPTIONEE ADDENDUM TO THE "</w:t>
      </w:r>
      <w:r>
        <w:rPr>
          <w:rFonts w:ascii="Arial" w:cs="Arial" w:eastAsia="Arial" w:hAnsi="Arial"/>
          <w:sz w:val="18"/>
          <w:szCs w:val="18"/>
          <w:b w:val="1"/>
          <w:bCs w:val="1"/>
          <w:i w:val="1"/>
          <w:iCs w:val="1"/>
          <w:color w:val="auto"/>
        </w:rPr>
        <w:t>PLAN</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GOVERNING STOCK OPTION AWARDS</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OFFERED TO OPTIONEES OUTSIDE OF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Appendix includes additional terms and conditions that govern Stock Options for Optionees residing outside of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 Non EU residents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Optionee hereby explicitly and unambiguously consents to the collection, use and transfer, in electronic or other form, of the Optionee's personal data as described in this Agreement and any other Award materials by and among, as applicable, the Company and its Affiliates for the exclusive purpose of implementing, administering and managing the Optionee's participation in the Plan.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Optionee understands that the Company may hold certain personal information about the Optionee, including, but not limited to, the Optionee's name, home address and telephone number, date of birth, social insurance number or other identification number, salary, nationality, job title, any Common Stock or directorships held in the Company, details of all Stock Options or any other entitlement to Common Stock awarded, canceled, exercised, vested, unvested or outstanding in the Optionee's favor, for the exclusive purpose of implementing, administering and managing the Plan ("Data").</w:t>
      </w:r>
    </w:p>
    <w:p>
      <w:pPr>
        <w:spacing w:after="0" w:line="18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The Optionee understands that Data will be transferred to any third parties assisting the Company with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and its subsidiaries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 EU residents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data transferred or handled in connection with the Plan will be dealt with strictly in accordance with the General Data Protection Regulation (EU 2016/679).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414020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328" w:right="339" w:bottom="1440" w:gutter="0" w:footer="0" w:header="0"/>
        </w:sectPr>
      </w:pPr>
    </w:p>
    <w:bookmarkStart w:id="84" w:name="page85"/>
    <w:bookmarkEnd w:id="84"/>
    <w:p>
      <w:pPr>
        <w:jc w:val="center"/>
        <w:ind w:right="80"/>
        <w:spacing w:after="0"/>
        <w:rPr>
          <w:sz w:val="20"/>
          <w:szCs w:val="20"/>
          <w:color w:val="auto"/>
        </w:rPr>
      </w:pPr>
      <w:r>
        <w:rPr>
          <w:rFonts w:ascii="Arial" w:cs="Arial" w:eastAsia="Arial" w:hAnsi="Arial"/>
          <w:sz w:val="18"/>
          <w:szCs w:val="18"/>
          <w:b w:val="1"/>
          <w:bCs w:val="1"/>
          <w:color w:val="auto"/>
        </w:rPr>
        <w:t>FOR OPTIONEES IN UNITED KINGDOM</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Company hereby establishes the "United Kingdom Sub-Plan for Option Grants", which sub-plan shall be maintained for residents in the United Kingdom and shall have the same terms and conditions as the Plan, and the Options granted to such residents shall be granted under the Plan pursuant to this sub-plan.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423545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880" w:top="337" w:right="81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FOR OPTIONEES IN FRANCE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FRENCH ADDENDUM TO THE "</w:t>
      </w:r>
      <w:r>
        <w:rPr>
          <w:rFonts w:ascii="Arial" w:cs="Arial" w:eastAsia="Arial" w:hAnsi="Arial"/>
          <w:sz w:val="18"/>
          <w:szCs w:val="18"/>
          <w:b w:val="1"/>
          <w:bCs w:val="1"/>
          <w:i w:val="1"/>
          <w:iCs w:val="1"/>
          <w:color w:val="auto"/>
        </w:rPr>
        <w:t>PLAN</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GOVERNING STOCK OPTION GRANTS OFFERED TO FRENCH OPTIONEES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Appendix includes additional terms and conditions that govern Stock Options for Optionees residing in France.</w:t>
      </w:r>
    </w:p>
    <w:p>
      <w:pPr>
        <w:spacing w:after="0" w:line="225"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This Appendix constitutes a French addendum to the 2013 Stock Incentive Plan for Key Employees of PRA Health Sciences, Inc. and its Subsidiaries (formerly known as the 2013 Stock Incentive Plan for Key Employees of PRA Global Holdings, Inc. and its Subsidiaries) (the "Plan") governing Stock Option Awards offered to French Optionees (the "French Addendum").</w:t>
      </w:r>
    </w:p>
    <w:p>
      <w:pPr>
        <w:spacing w:after="0" w:line="184" w:lineRule="exact"/>
        <w:rPr>
          <w:sz w:val="20"/>
          <w:szCs w:val="20"/>
          <w:color w:val="auto"/>
        </w:rPr>
      </w:pPr>
    </w:p>
    <w:p>
      <w:pPr>
        <w:jc w:val="both"/>
        <w:ind w:left="560"/>
        <w:spacing w:after="0" w:line="311" w:lineRule="auto"/>
        <w:rPr>
          <w:sz w:val="20"/>
          <w:szCs w:val="20"/>
          <w:color w:val="auto"/>
        </w:rPr>
      </w:pPr>
      <w:r>
        <w:rPr>
          <w:rFonts w:ascii="Arial" w:cs="Arial" w:eastAsia="Arial" w:hAnsi="Arial"/>
          <w:sz w:val="16"/>
          <w:szCs w:val="16"/>
          <w:color w:val="auto"/>
        </w:rPr>
        <w:t xml:space="preserve">As per Section 11(b) </w:t>
      </w:r>
      <w:r>
        <w:rPr>
          <w:rFonts w:ascii="Arial" w:cs="Arial" w:eastAsia="Arial" w:hAnsi="Arial"/>
          <w:sz w:val="16"/>
          <w:szCs w:val="16"/>
          <w:i w:val="1"/>
          <w:iCs w:val="1"/>
          <w:color w:val="auto"/>
        </w:rPr>
        <w:t>"Governing Law; International Participants"</w:t>
      </w:r>
      <w:r>
        <w:rPr>
          <w:rFonts w:ascii="Arial" w:cs="Arial" w:eastAsia="Arial" w:hAnsi="Arial"/>
          <w:sz w:val="16"/>
          <w:szCs w:val="16"/>
          <w:color w:val="auto"/>
        </w:rPr>
        <w:t xml:space="preserve"> of the Plan, the Committee has decided to adapt the Plan rules in order to strictly comply with French laws, regulations and accounting rules governing Stock Option Awards and to ensure continued eligibility to Optionees in France to the associated specific tax and social security regime currently in force in France with respect to such Stock Option Awards.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Therefore, the Award of Stock Options that Optionees have been granted pursuant to</w:t>
      </w:r>
    </w:p>
    <w:p>
      <w:pPr>
        <w:spacing w:after="0" w:line="225"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Section 5(a) "</w:t>
      </w:r>
      <w:r>
        <w:rPr>
          <w:rFonts w:ascii="Arial" w:cs="Arial" w:eastAsia="Arial" w:hAnsi="Arial"/>
          <w:sz w:val="18"/>
          <w:szCs w:val="18"/>
          <w:i w:val="1"/>
          <w:iCs w:val="1"/>
          <w:color w:val="auto"/>
        </w:rPr>
        <w:t>Stock Options</w:t>
      </w:r>
      <w:r>
        <w:rPr>
          <w:rFonts w:ascii="Arial" w:cs="Arial" w:eastAsia="Arial" w:hAnsi="Arial"/>
          <w:sz w:val="18"/>
          <w:szCs w:val="18"/>
          <w:color w:val="auto"/>
        </w:rPr>
        <w:t>" of the Plan, shall take the form of a Stock Option Award in accordance with the definition set forth in Articles L. 225-177 through L. 225-186-1 of the French Commercial Code and shall be governed by the French Addendum rules.</w:t>
      </w:r>
    </w:p>
    <w:p>
      <w:pPr>
        <w:spacing w:after="0" w:line="17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The terms and conditions of this French Addendum are identical to the Plan except as provided below. Words and expressions used in this French Addendum have the same meanings as those words and expressions used in the Plan Rules.</w:t>
      </w:r>
    </w:p>
    <w:p>
      <w:pPr>
        <w:spacing w:after="0" w:line="170"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In addition, should the Stock Option terms and conditions specified in the Stock Option Agreement contradict the provisions set forth hereinafter, the provisions of the French Addendum shall prevail.</w:t>
      </w:r>
    </w:p>
    <w:p>
      <w:pPr>
        <w:spacing w:after="0" w:line="166" w:lineRule="exact"/>
        <w:rPr>
          <w:sz w:val="20"/>
          <w:szCs w:val="20"/>
          <w:color w:val="auto"/>
        </w:rPr>
      </w:pPr>
    </w:p>
    <w:p>
      <w:pPr>
        <w:ind w:left="560" w:hanging="552"/>
        <w:spacing w:after="0"/>
        <w:tabs>
          <w:tab w:leader="none" w:pos="5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GRANT OF OPTIONS</w:t>
      </w:r>
    </w:p>
    <w:p>
      <w:pPr>
        <w:spacing w:after="0" w:line="229" w:lineRule="exact"/>
        <w:rPr>
          <w:rFonts w:ascii="Arial" w:cs="Arial" w:eastAsia="Arial" w:hAnsi="Arial"/>
          <w:sz w:val="18"/>
          <w:szCs w:val="18"/>
          <w:color w:val="auto"/>
        </w:rPr>
      </w:pPr>
    </w:p>
    <w:p>
      <w:pPr>
        <w:ind w:left="1620" w:hanging="289"/>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i w:val="1"/>
          <w:iCs w:val="1"/>
          <w:color w:val="auto"/>
        </w:rPr>
        <w:t>Type of Awards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French Addendum contains the exclusive terms and conditions of Stock Options to be granted under the Plan to eligible Participants in France.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French Addendum does not apply to other types of Awards defined in the Plan.</w:t>
      </w:r>
    </w:p>
    <w:p>
      <w:pPr>
        <w:spacing w:after="0" w:line="211" w:lineRule="exact"/>
        <w:rPr>
          <w:sz w:val="20"/>
          <w:szCs w:val="20"/>
          <w:color w:val="auto"/>
        </w:rPr>
      </w:pPr>
    </w:p>
    <w:p>
      <w:pPr>
        <w:ind w:left="1620" w:hanging="289"/>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Shares Available</w:t>
      </w:r>
    </w:p>
    <w:p>
      <w:pPr>
        <w:spacing w:after="0" w:line="225"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Notwithstanding any provisions of the Plan to the contrary, the total number of shares to be delivered under the French Addendum shall not exceed the lower of: (i) the maximum number of shares available for Grant under the Plan or (ii) in respect of Options to acquire existing Shares, 10% of the Company's overall share capital on the Grant Date or (iii) in respect of Options to subscribe for new Shares, one third (1/3) of the Company's share capital. Outstanding unvested Stock Options shall be treated as "Shares" in order to determine the threshold of the granting Company's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left="1500" w:hanging="289"/>
        <w:spacing w:after="0"/>
        <w:tabs>
          <w:tab w:leader="none" w:pos="15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Eligible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Participants who are eligible to be granted Stock Options refer exclusively to employees and/or corporate officers, such as listed below,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or of the French subsidiary(ies) of which at least 10% of the voting rights and/or equity are held, directly or indirectly, by the Company:</w:t>
      </w:r>
    </w:p>
    <w:p>
      <w:pPr>
        <w:spacing w:after="0" w:line="222" w:lineRule="exact"/>
        <w:rPr>
          <w:sz w:val="20"/>
          <w:szCs w:val="20"/>
          <w:color w:val="auto"/>
        </w:rPr>
      </w:pPr>
    </w:p>
    <w:p>
      <w:pPr>
        <w:ind w:left="1620" w:hanging="328"/>
        <w:spacing w:after="0"/>
        <w:tabs>
          <w:tab w:leader="none" w:pos="1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Président du Conseil d'Administration</w:t>
      </w:r>
      <w:r>
        <w:rPr>
          <w:rFonts w:ascii="Arial" w:cs="Arial" w:eastAsia="Arial" w:hAnsi="Arial"/>
          <w:sz w:val="18"/>
          <w:szCs w:val="18"/>
          <w:color w:val="auto"/>
        </w:rPr>
        <w:t>" (Chairman of the Board);</w:t>
      </w:r>
    </w:p>
    <w:p>
      <w:pPr>
        <w:spacing w:after="0" w:line="225" w:lineRule="exact"/>
        <w:rPr>
          <w:rFonts w:ascii="Arial" w:cs="Arial" w:eastAsia="Arial" w:hAnsi="Arial"/>
          <w:sz w:val="18"/>
          <w:szCs w:val="18"/>
          <w:color w:val="auto"/>
        </w:rPr>
      </w:pPr>
    </w:p>
    <w:p>
      <w:pPr>
        <w:ind w:left="1600" w:hanging="308"/>
        <w:spacing w:after="0"/>
        <w:tabs>
          <w:tab w:leader="none" w:pos="16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Directeur Général</w:t>
      </w:r>
      <w:r>
        <w:rPr>
          <w:rFonts w:ascii="Arial" w:cs="Arial" w:eastAsia="Arial" w:hAnsi="Arial"/>
          <w:sz w:val="18"/>
          <w:szCs w:val="18"/>
          <w:color w:val="auto"/>
        </w:rPr>
        <w:t>" (Chief Executive Officer);</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Directeurs Généraux Délégués</w:t>
      </w:r>
      <w:r>
        <w:rPr>
          <w:rFonts w:ascii="Arial" w:cs="Arial" w:eastAsia="Arial" w:hAnsi="Arial"/>
          <w:sz w:val="18"/>
          <w:szCs w:val="18"/>
          <w:color w:val="auto"/>
        </w:rPr>
        <w:t>" (Deputy Chief Executive Officers) ;</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Members of the "</w:t>
      </w:r>
      <w:r>
        <w:rPr>
          <w:rFonts w:ascii="Arial" w:cs="Arial" w:eastAsia="Arial" w:hAnsi="Arial"/>
          <w:sz w:val="18"/>
          <w:szCs w:val="18"/>
          <w:i w:val="1"/>
          <w:iCs w:val="1"/>
          <w:color w:val="auto"/>
        </w:rPr>
        <w:t>Directoire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Gérant</w:t>
      </w:r>
      <w:r>
        <w:rPr>
          <w:rFonts w:ascii="Arial" w:cs="Arial" w:eastAsia="Arial" w:hAnsi="Arial"/>
          <w:sz w:val="18"/>
          <w:szCs w:val="18"/>
          <w:color w:val="auto"/>
        </w:rPr>
        <w:t>" (Manager) of a "</w:t>
      </w:r>
      <w:r>
        <w:rPr>
          <w:rFonts w:ascii="Arial" w:cs="Arial" w:eastAsia="Arial" w:hAnsi="Arial"/>
          <w:sz w:val="18"/>
          <w:szCs w:val="18"/>
          <w:i w:val="1"/>
          <w:iCs w:val="1"/>
          <w:color w:val="auto"/>
        </w:rPr>
        <w:t>Société en Commandite par 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322"/>
        <w:spacing w:after="0"/>
        <w:tabs>
          <w:tab w:leader="none" w:pos="1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Président</w:t>
      </w:r>
      <w:r>
        <w:rPr>
          <w:rFonts w:ascii="Arial" w:cs="Arial" w:eastAsia="Arial" w:hAnsi="Arial"/>
          <w:sz w:val="18"/>
          <w:szCs w:val="18"/>
          <w:color w:val="auto"/>
        </w:rPr>
        <w:t>" of a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Stock Options can be granted to non-employee members of the Board of Directors, consultants or other person having service relationship with the Company or other Service Recipient.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shall be granted to an eligible Participant holding more than 10% of the Company's share capital on the Grant Date.</w:t>
      </w:r>
    </w:p>
    <w:p>
      <w:pPr>
        <w:spacing w:after="0" w:line="225" w:lineRule="exact"/>
        <w:rPr>
          <w:sz w:val="20"/>
          <w:szCs w:val="20"/>
          <w:color w:val="auto"/>
        </w:rPr>
      </w:pPr>
    </w:p>
    <w:p>
      <w:pPr>
        <w:ind w:left="1500" w:hanging="289"/>
        <w:spacing w:after="0"/>
        <w:tabs>
          <w:tab w:leader="none" w:pos="150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Adjustments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Should, after the Award's Grant Date, the provisions of Section 8 "</w:t>
      </w:r>
      <w:r>
        <w:rPr>
          <w:rFonts w:ascii="Arial" w:cs="Arial" w:eastAsia="Arial" w:hAnsi="Arial"/>
          <w:sz w:val="18"/>
          <w:szCs w:val="18"/>
          <w:i w:val="1"/>
          <w:iCs w:val="1"/>
          <w:color w:val="auto"/>
        </w:rPr>
        <w:t>Adjustments</w:t>
      </w:r>
      <w:r>
        <w:rPr>
          <w:rFonts w:ascii="Arial" w:cs="Arial" w:eastAsia="Arial" w:hAnsi="Arial"/>
          <w:sz w:val="18"/>
          <w:szCs w:val="18"/>
          <w:color w:val="auto"/>
        </w:rPr>
        <w:t>" of the Plan be enforced, the Board or the Committee shall take at its entire discretion, as soon as practicable after the occurrence of such event, the necessary measures in order to determine the impact on the legal, tax and social security treatment in France of the Awards granted hereunder.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Pursuant to Article L. 225-181 of the French Commercial Code, in no event can the Exercise Price or the number of Shares be modified during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lifetime, unless an Adjustment is required upon occurrence of a corporate event as specified in this Article:</w:t>
      </w:r>
    </w:p>
    <w:p>
      <w:pPr>
        <w:spacing w:after="0" w:line="211" w:lineRule="exact"/>
        <w:rPr>
          <w:sz w:val="20"/>
          <w:szCs w:val="20"/>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Writing-off or reduction of the Company's capital;</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Modification of profits allocation;</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Free shares awards;</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 of Company's capital, either by incorporation of reserves, profits or premiums on newly issued shares;</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Distribution of reserves in cash or in shares,</w:t>
      </w:r>
    </w:p>
    <w:p>
      <w:pPr>
        <w:spacing w:after="0" w:line="225" w:lineRule="exact"/>
        <w:rPr>
          <w:rFonts w:ascii="Arial" w:cs="Arial" w:eastAsia="Arial" w:hAnsi="Arial"/>
          <w:sz w:val="18"/>
          <w:szCs w:val="18"/>
          <w:color w:val="auto"/>
        </w:rPr>
      </w:pPr>
    </w:p>
    <w:p>
      <w:pPr>
        <w:ind w:right="740" w:firstLine="320"/>
        <w:spacing w:after="0" w:line="500" w:lineRule="auto"/>
        <w:tabs>
          <w:tab w:leader="none" w:pos="64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Share capital increase or issue of securities giving access to the Company's capital with shareholder preferential subscription rights. The Board or the Committee shall inform the Participants in France accordingly.</w:t>
      </w:r>
    </w:p>
    <w:p>
      <w:pPr>
        <w:spacing w:after="0" w:line="1" w:lineRule="exact"/>
        <w:rPr>
          <w:rFonts w:ascii="Arial" w:cs="Arial" w:eastAsia="Arial" w:hAnsi="Arial"/>
          <w:sz w:val="18"/>
          <w:szCs w:val="18"/>
          <w:color w:val="auto"/>
        </w:rPr>
      </w:pPr>
    </w:p>
    <w:p>
      <w:pPr>
        <w:ind w:left="1500" w:hanging="289"/>
        <w:spacing w:after="0"/>
        <w:tabs>
          <w:tab w:leader="none" w:pos="1500" w:val="left"/>
        </w:tabs>
        <w:numPr>
          <w:ilvl w:val="1"/>
          <w:numId w:val="153"/>
        </w:numPr>
        <w:rPr>
          <w:rFonts w:ascii="Arial" w:cs="Arial" w:eastAsia="Arial" w:hAnsi="Arial"/>
          <w:sz w:val="18"/>
          <w:szCs w:val="18"/>
          <w:color w:val="auto"/>
        </w:rPr>
      </w:pPr>
      <w:r>
        <w:rPr>
          <w:rFonts w:ascii="Arial" w:cs="Arial" w:eastAsia="Arial" w:hAnsi="Arial"/>
          <w:sz w:val="18"/>
          <w:szCs w:val="18"/>
          <w:i w:val="1"/>
          <w:iCs w:val="1"/>
          <w:color w:val="auto"/>
        </w:rPr>
        <w:t>Dividend equivalents</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48895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440" w:top="368" w:right="619" w:bottom="1440" w:gutter="0" w:footer="0" w:header="0"/>
        </w:sectPr>
      </w:pPr>
    </w:p>
    <w:bookmarkStart w:id="87" w:name="page88"/>
    <w:bookmarkEnd w:id="87"/>
    <w:p>
      <w:pPr>
        <w:ind w:left="120" w:right="280"/>
        <w:spacing w:after="0" w:line="277" w:lineRule="auto"/>
        <w:rPr>
          <w:sz w:val="20"/>
          <w:szCs w:val="20"/>
          <w:color w:val="auto"/>
        </w:rPr>
      </w:pPr>
      <w:r>
        <w:rPr>
          <w:rFonts w:ascii="Arial" w:cs="Arial" w:eastAsia="Arial" w:hAnsi="Arial"/>
          <w:sz w:val="18"/>
          <w:szCs w:val="18"/>
          <w:color w:val="auto"/>
        </w:rPr>
        <w:t>Should the Optionee be eligible to dividend equivalent payments (either in cash or in shares) with respect to each vested Stock Option Award, it is specified that:</w:t>
      </w:r>
    </w:p>
    <w:p>
      <w:pPr>
        <w:spacing w:after="0" w:line="170" w:lineRule="exact"/>
        <w:rPr>
          <w:sz w:val="20"/>
          <w:szCs w:val="20"/>
          <w:color w:val="auto"/>
        </w:rPr>
      </w:pPr>
    </w:p>
    <w:p>
      <w:pPr>
        <w:ind w:left="1620" w:hanging="289"/>
        <w:spacing w:after="0" w:line="277" w:lineRule="auto"/>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distribution of a dividend equivalent shall not modify and/or substitute the number of shares underlying the Stock Option Award as originally determined on the Grant Date; and</w:t>
      </w:r>
    </w:p>
    <w:p>
      <w:pPr>
        <w:spacing w:after="0" w:line="170" w:lineRule="exact"/>
        <w:rPr>
          <w:rFonts w:ascii="Arial" w:cs="Arial" w:eastAsia="Arial" w:hAnsi="Arial"/>
          <w:sz w:val="18"/>
          <w:szCs w:val="18"/>
          <w:color w:val="auto"/>
        </w:rPr>
      </w:pPr>
    </w:p>
    <w:p>
      <w:pPr>
        <w:ind w:left="1620" w:hanging="289"/>
        <w:spacing w:after="0" w:line="277" w:lineRule="auto"/>
        <w:tabs>
          <w:tab w:leader="none" w:pos="1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dividend equivalent shall not be treated as a Stock Option Award for French social security and income tax purposes, so that the Optionee remains liable for bearing the related costs arising notably upon payment date.</w:t>
      </w:r>
    </w:p>
    <w:p>
      <w:pPr>
        <w:spacing w:after="0" w:line="166" w:lineRule="exact"/>
        <w:rPr>
          <w:sz w:val="20"/>
          <w:szCs w:val="20"/>
          <w:color w:val="auto"/>
        </w:rPr>
      </w:pPr>
    </w:p>
    <w:p>
      <w:pPr>
        <w:ind w:left="560" w:hanging="552"/>
        <w:spacing w:after="0"/>
        <w:tabs>
          <w:tab w:leader="none" w:pos="5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PERIOD OF EXERCISABILITY</w:t>
      </w:r>
    </w:p>
    <w:p>
      <w:pPr>
        <w:spacing w:after="0" w:line="229" w:lineRule="exact"/>
        <w:rPr>
          <w:rFonts w:ascii="Arial" w:cs="Arial" w:eastAsia="Arial" w:hAnsi="Arial"/>
          <w:sz w:val="18"/>
          <w:szCs w:val="18"/>
          <w:color w:val="auto"/>
        </w:rPr>
      </w:pPr>
    </w:p>
    <w:p>
      <w:pPr>
        <w:ind w:left="1620" w:hanging="289"/>
        <w:spacing w:after="0"/>
        <w:tabs>
          <w:tab w:leader="none" w:pos="1620" w:val="left"/>
        </w:tabs>
        <w:numPr>
          <w:ilvl w:val="1"/>
          <w:numId w:val="155"/>
        </w:numPr>
        <w:rPr>
          <w:rFonts w:ascii="Arial" w:cs="Arial" w:eastAsia="Arial" w:hAnsi="Arial"/>
          <w:sz w:val="18"/>
          <w:szCs w:val="18"/>
          <w:color w:val="auto"/>
        </w:rPr>
      </w:pPr>
      <w:r>
        <w:rPr>
          <w:rFonts w:ascii="Arial" w:cs="Arial" w:eastAsia="Arial" w:hAnsi="Arial"/>
          <w:sz w:val="18"/>
          <w:szCs w:val="18"/>
          <w:i w:val="1"/>
          <w:iCs w:val="1"/>
          <w:color w:val="auto"/>
        </w:rPr>
        <w:t>Exercisability</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 xml:space="preserve">The Optionee is entitled to exercise his/her Options in accordance with the vesting schedule set forth in Section 3.1 </w:t>
      </w:r>
      <w:r>
        <w:rPr>
          <w:rFonts w:ascii="Arial" w:cs="Arial" w:eastAsia="Arial" w:hAnsi="Arial"/>
          <w:sz w:val="18"/>
          <w:szCs w:val="18"/>
          <w:i w:val="1"/>
          <w:iCs w:val="1"/>
          <w:color w:val="auto"/>
        </w:rPr>
        <w:t>"Commencement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of the Stock Option Agreement.</w:t>
      </w:r>
    </w:p>
    <w:p>
      <w:pPr>
        <w:spacing w:after="0" w:line="170" w:lineRule="exact"/>
        <w:rPr>
          <w:sz w:val="20"/>
          <w:szCs w:val="20"/>
          <w:color w:val="auto"/>
        </w:rPr>
      </w:pPr>
    </w:p>
    <w:p>
      <w:pPr>
        <w:ind w:left="1620" w:hanging="289"/>
        <w:spacing w:after="0"/>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Share Sale Restriction Period</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Optionee shall be subject to a 3-year Share Sale Restriction Period as of the first (1st) anniversary of the Grant Date so that no shares underlying Stock Options are sold before the fourth (4th) anniversary of the Grant Date.</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the event that the Optionee is assigned outside of France, he/she shall be subject to the aforementioned Share Sale Restriction Period unless an individual waiver of the Share Sale Restriction Period is decided by the Board or the Committee at its own discretion.</w:t>
      </w:r>
    </w:p>
    <w:p>
      <w:pPr>
        <w:spacing w:after="0" w:line="170" w:lineRule="exact"/>
        <w:rPr>
          <w:sz w:val="20"/>
          <w:szCs w:val="20"/>
          <w:color w:val="auto"/>
        </w:rPr>
      </w:pPr>
    </w:p>
    <w:p>
      <w:pPr>
        <w:ind w:left="1620" w:hanging="289"/>
        <w:spacing w:after="0"/>
        <w:tabs>
          <w:tab w:leader="none" w:pos="162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Notwithstanding the provisions of the Plan rules, and notably Section 9 "</w:t>
      </w:r>
      <w:r>
        <w:rPr>
          <w:rFonts w:ascii="Arial" w:cs="Arial" w:eastAsia="Arial" w:hAnsi="Arial"/>
          <w:sz w:val="18"/>
          <w:szCs w:val="18"/>
          <w:i w:val="1"/>
          <w:iCs w:val="1"/>
          <w:color w:val="auto"/>
        </w:rPr>
        <w:t>Change in Control</w:t>
      </w:r>
      <w:r>
        <w:rPr>
          <w:rFonts w:ascii="Arial" w:cs="Arial" w:eastAsia="Arial" w:hAnsi="Arial"/>
          <w:sz w:val="18"/>
          <w:szCs w:val="18"/>
          <w:color w:val="auto"/>
        </w:rPr>
        <w:t>", should, after the Award's Grant Date, a reorganization of the Company's share capital or a Change in the Control of the Company occur, the Board or the Committee shall take at its entire discretion, as soon as practicable after the occurrence of such event, the necessary measures in order to determine the impact on the legal, tax and social security treatment in France of the Awards granted hereunder.</w:t>
      </w:r>
    </w:p>
    <w:p>
      <w:pPr>
        <w:spacing w:after="0" w:line="187"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The Board or the Committee shall, whenever possible, consider preserving the tax neutrality of the capital transaction consisting of exchange of shares with respect to the Awards herein, in accordance with the provisions of Article 163 bis C I bis of the French Tax Code. For the avoidance of doubt, the provisions of the Plan, of this French Addendum and the Vesting and Share Sale Restriction Periods as the case may be, shall continue to apply to the shares or rights received in exchange.</w:t>
      </w:r>
    </w:p>
    <w:p>
      <w:pPr>
        <w:spacing w:after="0" w:line="187"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At its discretion, the Board or the Committee reserves the right to apply a different treatment for Participants in France either (i) in accordance with the Plan rules only, or (ii) in accordance with the Plan rules and/or with the French Tax Code and regulations, the French Labor Code or the French Commercial Code, as modified from time to time, governing Stock Option Awards.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or the Committee shall inform the Participants in France accordingly.</w:t>
      </w:r>
    </w:p>
    <w:p>
      <w:pPr>
        <w:spacing w:after="0" w:line="221" w:lineRule="exact"/>
        <w:rPr>
          <w:sz w:val="20"/>
          <w:szCs w:val="20"/>
          <w:color w:val="auto"/>
        </w:rPr>
      </w:pPr>
    </w:p>
    <w:p>
      <w:pPr>
        <w:ind w:left="560" w:hanging="552"/>
        <w:spacing w:after="0"/>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EXERCISE OF OPTIONS</w:t>
      </w:r>
    </w:p>
    <w:p>
      <w:pPr>
        <w:spacing w:after="0" w:line="229" w:lineRule="exact"/>
        <w:rPr>
          <w:rFonts w:ascii="Arial" w:cs="Arial" w:eastAsia="Arial" w:hAnsi="Arial"/>
          <w:sz w:val="18"/>
          <w:szCs w:val="18"/>
          <w:color w:val="auto"/>
        </w:rPr>
      </w:pPr>
    </w:p>
    <w:p>
      <w:pPr>
        <w:ind w:left="1620" w:hanging="289"/>
        <w:spacing w:after="0"/>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Timing of exercise</w:t>
      </w:r>
    </w:p>
    <w:p>
      <w:pPr>
        <w:spacing w:after="0" w:line="221" w:lineRule="exact"/>
        <w:rPr>
          <w:sz w:val="20"/>
          <w:szCs w:val="20"/>
          <w:color w:val="auto"/>
        </w:rPr>
      </w:pPr>
    </w:p>
    <w:p>
      <w:pPr>
        <w:jc w:val="both"/>
        <w:ind w:left="1620" w:hanging="289"/>
        <w:spacing w:after="0" w:line="281" w:lineRule="auto"/>
        <w:tabs>
          <w:tab w:leader="none" w:pos="1620" w:val="left"/>
        </w:tabs>
        <w:numPr>
          <w:ilvl w:val="0"/>
          <w:numId w:val="159"/>
        </w:numPr>
        <w:rPr>
          <w:rFonts w:ascii="Arial" w:cs="Arial" w:eastAsia="Arial" w:hAnsi="Arial"/>
          <w:sz w:val="17"/>
          <w:szCs w:val="17"/>
          <w:color w:val="auto"/>
        </w:rPr>
      </w:pPr>
      <w:r>
        <w:rPr>
          <w:rFonts w:ascii="Arial" w:cs="Arial" w:eastAsia="Arial" w:hAnsi="Arial"/>
          <w:sz w:val="17"/>
          <w:szCs w:val="17"/>
          <w:b w:val="1"/>
          <w:bCs w:val="1"/>
          <w:color w:val="auto"/>
        </w:rPr>
        <w:t>Optionee's death</w:t>
      </w:r>
      <w:r>
        <w:rPr>
          <w:rFonts w:ascii="Arial" w:cs="Arial" w:eastAsia="Arial" w:hAnsi="Arial"/>
          <w:sz w:val="17"/>
          <w:szCs w:val="17"/>
          <w:color w:val="auto"/>
        </w:rPr>
        <w:t>. In case of the Optionee's death, his/her personal representatives may exercise the vested Stock Options within a</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not to exceed six (6) months following the occurrence of such event, and the Share Sale Restriction Period set forth in Section 2(b) herein shall immediately terminate thereon. Failure of the Optionee's personal representatives to act within six (6) months of death shall result in the automatic cancellation of vested and unvested Stock Options.</w:t>
      </w: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jc w:val="both"/>
        <w:ind w:left="1620" w:hanging="289"/>
        <w:spacing w:after="0" w:line="266" w:lineRule="auto"/>
        <w:tabs>
          <w:tab w:leader="none" w:pos="162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Optionee's disability</w:t>
      </w:r>
      <w:r>
        <w:rPr>
          <w:rFonts w:ascii="Arial" w:cs="Arial" w:eastAsia="Arial" w:hAnsi="Arial"/>
          <w:sz w:val="18"/>
          <w:szCs w:val="18"/>
          <w:color w:val="auto"/>
        </w:rPr>
        <w:t>. In case of disability of second (2nd) or third (3rd) category as referred to in article L. 341-4 of the French</w:t>
      </w:r>
      <w:r>
        <w:rPr>
          <w:rFonts w:ascii="Arial" w:cs="Arial" w:eastAsia="Arial" w:hAnsi="Arial"/>
          <w:sz w:val="18"/>
          <w:szCs w:val="18"/>
          <w:b w:val="1"/>
          <w:bCs w:val="1"/>
          <w:color w:val="auto"/>
        </w:rPr>
        <w:t xml:space="preserve"> </w:t>
      </w:r>
      <w:r>
        <w:rPr>
          <w:rFonts w:ascii="Arial" w:cs="Arial" w:eastAsia="Arial" w:hAnsi="Arial"/>
          <w:sz w:val="18"/>
          <w:szCs w:val="18"/>
          <w:color w:val="auto"/>
        </w:rPr>
        <w:t>Social Security Code, the Optionee is entitled to exercise his/her vested Stock Options, and the Share Sale Restriction Period set forth in Section 2(b) herein shall immediately terminate thereon.</w:t>
      </w:r>
    </w:p>
    <w:p>
      <w:pPr>
        <w:spacing w:after="0" w:line="180" w:lineRule="exact"/>
        <w:rPr>
          <w:sz w:val="20"/>
          <w:szCs w:val="20"/>
          <w:color w:val="auto"/>
        </w:rPr>
      </w:pPr>
    </w:p>
    <w:p>
      <w:pPr>
        <w:ind w:left="1620" w:hanging="289"/>
        <w:spacing w:after="0"/>
        <w:tabs>
          <w:tab w:leader="none" w:pos="162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Restrictions on Awards granted to corporate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Article L. 225-185 of the French Commercial Code, the Board or the Committee may either:</w:t>
      </w:r>
    </w:p>
    <w:p>
      <w:pPr>
        <w:spacing w:after="0" w:line="225" w:lineRule="exact"/>
        <w:rPr>
          <w:sz w:val="20"/>
          <w:szCs w:val="20"/>
          <w:color w:val="auto"/>
        </w:rPr>
      </w:pPr>
    </w:p>
    <w:p>
      <w:pPr>
        <w:jc w:val="both"/>
        <w:ind w:left="1320" w:right="20" w:hanging="755"/>
        <w:spacing w:after="0" w:line="277" w:lineRule="auto"/>
        <w:tabs>
          <w:tab w:leader="none" w:pos="13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decide that no Stock Option, acquired pursuant to a Stock Option Award, shall be exercised by corporate officers of French subsidiary(ies) prior to their removal from office ("</w:t>
      </w:r>
      <w:r>
        <w:rPr>
          <w:rFonts w:ascii="Arial" w:cs="Arial" w:eastAsia="Arial" w:hAnsi="Arial"/>
          <w:sz w:val="18"/>
          <w:szCs w:val="18"/>
          <w:i w:val="1"/>
          <w:iCs w:val="1"/>
          <w:color w:val="auto"/>
        </w:rPr>
        <w:t>révocation en qualité de mandataire social</w:t>
      </w:r>
      <w:r>
        <w:rPr>
          <w:rFonts w:ascii="Arial" w:cs="Arial" w:eastAsia="Arial" w:hAnsi="Arial"/>
          <w:sz w:val="18"/>
          <w:szCs w:val="18"/>
          <w:color w:val="auto"/>
        </w:rPr>
        <w:t>"); or</w:t>
      </w:r>
    </w:p>
    <w:p>
      <w:pPr>
        <w:spacing w:after="0" w:line="170" w:lineRule="exact"/>
        <w:rPr>
          <w:sz w:val="20"/>
          <w:szCs w:val="20"/>
          <w:color w:val="auto"/>
        </w:rPr>
      </w:pPr>
    </w:p>
    <w:p>
      <w:pPr>
        <w:jc w:val="both"/>
        <w:ind w:left="1320" w:hanging="755"/>
        <w:spacing w:after="0" w:line="263" w:lineRule="auto"/>
        <w:tabs>
          <w:tab w:leader="none" w:pos="13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determine the number of Shares, acquired pursuant to a Stock Option Award, which have to be held by corporate officers until their removal from office ("</w:t>
      </w:r>
      <w:r>
        <w:rPr>
          <w:rFonts w:ascii="Arial" w:cs="Arial" w:eastAsia="Arial" w:hAnsi="Arial"/>
          <w:sz w:val="18"/>
          <w:szCs w:val="18"/>
          <w:i w:val="1"/>
          <w:iCs w:val="1"/>
          <w:color w:val="auto"/>
        </w:rPr>
        <w:t>révocation en qualité de mandataire social</w:t>
      </w:r>
      <w:r>
        <w:rPr>
          <w:rFonts w:ascii="Arial" w:cs="Arial" w:eastAsia="Arial" w:hAnsi="Arial"/>
          <w:sz w:val="18"/>
          <w:szCs w:val="18"/>
          <w:color w:val="auto"/>
        </w:rPr>
        <w:t>"). The renewal of mandate does not constitute a "removal from office". A removal from office must be valid pursuant to French laws and regulations.</w:t>
      </w:r>
    </w:p>
    <w:p>
      <w:pPr>
        <w:spacing w:after="0" w:line="18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However, the Committee has taken note of the issuance of a French tax regulation 5 F-1-09 dated January 5, 2009 relating to qualifying stock option awards, whereby – under paragraph §32 – the aforementioned restrictions shall not apply to awards granted by a foreign company to the corporate officers of its French subsidiaries.</w:t>
      </w:r>
    </w:p>
    <w:p>
      <w:pPr>
        <w:spacing w:after="0" w:line="184" w:lineRule="exact"/>
        <w:rPr>
          <w:sz w:val="20"/>
          <w:szCs w:val="20"/>
          <w:color w:val="auto"/>
        </w:rPr>
      </w:pPr>
    </w:p>
    <w:p>
      <w:pPr>
        <w:ind w:left="1820" w:hanging="516"/>
        <w:spacing w:after="0"/>
        <w:tabs>
          <w:tab w:leader="none" w:pos="182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Settlement of Awards.</w:t>
      </w:r>
    </w:p>
    <w:p>
      <w:pPr>
        <w:spacing w:after="0" w:line="22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Subject to the terms of the Plan, settlement to be made by the Company or the French subsidiary upon exercise of the Stock Options shall exclusively be made in Shares. Upon payment of the Exercise Price, the Optionee receives Shares in a registered form. Upon exercise date, no cash replacement over Shares would be allowed.</w:t>
      </w:r>
    </w:p>
    <w:p>
      <w:pPr>
        <w:spacing w:after="0" w:line="180" w:lineRule="exact"/>
        <w:rPr>
          <w:sz w:val="20"/>
          <w:szCs w:val="20"/>
          <w:color w:val="auto"/>
        </w:rPr>
      </w:pPr>
    </w:p>
    <w:p>
      <w:pPr>
        <w:ind w:left="560" w:hanging="552"/>
        <w:spacing w:after="0"/>
        <w:tabs>
          <w:tab w:leader="none" w:pos="5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ind w:left="1620" w:hanging="289"/>
        <w:spacing w:after="0"/>
        <w:tabs>
          <w:tab w:leader="none" w:pos="162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Withholding taxes</w:t>
      </w:r>
    </w:p>
    <w:p>
      <w:pPr>
        <w:spacing w:after="0" w:line="221" w:lineRule="exact"/>
        <w:rPr>
          <w:sz w:val="20"/>
          <w:szCs w:val="20"/>
          <w:color w:val="auto"/>
        </w:rPr>
      </w:pPr>
    </w:p>
    <w:p>
      <w:pPr>
        <w:jc w:val="both"/>
        <w:ind w:left="1320" w:hanging="755"/>
        <w:spacing w:after="0" w:line="266" w:lineRule="auto"/>
        <w:tabs>
          <w:tab w:leader="none" w:pos="13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b w:val="1"/>
          <w:bCs w:val="1"/>
          <w:color w:val="auto"/>
        </w:rPr>
        <w:t xml:space="preserve">Mandatory social charges due on Awards. </w:t>
      </w:r>
      <w:r>
        <w:rPr>
          <w:rFonts w:ascii="Arial" w:cs="Arial" w:eastAsia="Arial" w:hAnsi="Arial"/>
          <w:sz w:val="18"/>
          <w:szCs w:val="18"/>
          <w:color w:val="auto"/>
        </w:rPr>
        <w:t>The French employer shall be responsible for remitting and withholding employee's social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charges in the event that the Optionee decides to sell the Shares underlying his/her Stock Options before the fourth (4th) anniversary of the Grant Date.</w:t>
      </w:r>
    </w:p>
    <w:p>
      <w:pPr>
        <w:spacing w:after="0" w:line="180" w:lineRule="exact"/>
        <w:rPr>
          <w:sz w:val="20"/>
          <w:szCs w:val="20"/>
          <w:color w:val="auto"/>
        </w:rPr>
      </w:pPr>
    </w:p>
    <w:p>
      <w:pPr>
        <w:jc w:val="both"/>
        <w:ind w:left="1340"/>
        <w:spacing w:after="0" w:line="263" w:lineRule="auto"/>
        <w:rPr>
          <w:sz w:val="20"/>
          <w:szCs w:val="20"/>
          <w:color w:val="auto"/>
        </w:rPr>
      </w:pPr>
      <w:r>
        <w:rPr>
          <w:rFonts w:ascii="Arial" w:cs="Arial" w:eastAsia="Arial" w:hAnsi="Arial"/>
          <w:sz w:val="18"/>
          <w:szCs w:val="18"/>
          <w:color w:val="auto"/>
        </w:rPr>
        <w:t>However, in such event, the Optionee remains responsible for exclusively bearing employee social charges and accepts any corresponding withholding from his/her proceeds and/or any further settlement required by the employer in this respect. Employer social security charges shall always remain a liability of the employer.</w:t>
      </w:r>
    </w:p>
    <w:p>
      <w:pPr>
        <w:spacing w:after="0" w:line="180"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b w:val="1"/>
          <w:bCs w:val="1"/>
          <w:color w:val="auto"/>
        </w:rPr>
        <w:t xml:space="preserve">Mandatory French income tax withholding. </w:t>
      </w:r>
      <w:r>
        <w:rPr>
          <w:rFonts w:ascii="Arial" w:cs="Arial" w:eastAsia="Arial" w:hAnsi="Arial"/>
          <w:sz w:val="16"/>
          <w:szCs w:val="16"/>
          <w:color w:val="auto"/>
        </w:rPr>
        <w:t>Subject to a change of legislation and/or regulations:</w:t>
      </w:r>
    </w:p>
    <w:p>
      <w:pPr>
        <w:spacing w:after="0" w:line="229" w:lineRule="exact"/>
        <w:rPr>
          <w:sz w:val="20"/>
          <w:szCs w:val="20"/>
          <w:color w:val="auto"/>
        </w:rPr>
      </w:pPr>
    </w:p>
    <w:p>
      <w:pPr>
        <w:ind w:left="2060" w:hanging="648"/>
        <w:spacing w:after="0"/>
        <w:tabs>
          <w:tab w:leader="none" w:pos="2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Optionee shall bear income tax, social charges or the employee taxes which are due,</w:t>
      </w:r>
    </w:p>
    <w:p>
      <w:pPr>
        <w:spacing w:after="0" w:line="225" w:lineRule="exact"/>
        <w:rPr>
          <w:rFonts w:ascii="Arial" w:cs="Arial" w:eastAsia="Arial" w:hAnsi="Arial"/>
          <w:sz w:val="18"/>
          <w:szCs w:val="18"/>
          <w:color w:val="auto"/>
        </w:rPr>
      </w:pPr>
    </w:p>
    <w:p>
      <w:pPr>
        <w:ind w:left="2060" w:hanging="648"/>
        <w:spacing w:after="0"/>
        <w:tabs>
          <w:tab w:leader="none" w:pos="20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Optionee expressly and irrevocably agrees:</w:t>
      </w:r>
    </w:p>
    <w:p>
      <w:pPr>
        <w:spacing w:after="0" w:line="225" w:lineRule="exact"/>
        <w:rPr>
          <w:rFonts w:ascii="Arial" w:cs="Arial" w:eastAsia="Arial" w:hAnsi="Arial"/>
          <w:sz w:val="18"/>
          <w:szCs w:val="18"/>
          <w:color w:val="auto"/>
        </w:rPr>
      </w:pPr>
    </w:p>
    <w:p>
      <w:pPr>
        <w:ind w:left="2700" w:right="280" w:hanging="316"/>
        <w:spacing w:after="0" w:line="277" w:lineRule="auto"/>
        <w:tabs>
          <w:tab w:leader="none" w:pos="2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to communicate any personal information necessary to comply with the reporting requirements, income tax or social charges pursuant to the law,</w:t>
      </w:r>
    </w:p>
    <w:p>
      <w:pPr>
        <w:spacing w:after="0" w:line="170" w:lineRule="exact"/>
        <w:rPr>
          <w:rFonts w:ascii="Arial" w:cs="Arial" w:eastAsia="Arial" w:hAnsi="Arial"/>
          <w:sz w:val="18"/>
          <w:szCs w:val="18"/>
          <w:color w:val="auto"/>
        </w:rPr>
      </w:pPr>
    </w:p>
    <w:p>
      <w:pPr>
        <w:ind w:left="2700" w:right="20" w:hanging="316"/>
        <w:spacing w:after="0" w:line="277" w:lineRule="auto"/>
        <w:tabs>
          <w:tab w:leader="none" w:pos="2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that employee's social security contributions or income tax at source be withheld on the share sale proceeds, if necessary.</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spacing w:after="0" w:line="263" w:lineRule="auto"/>
        <w:rPr>
          <w:sz w:val="20"/>
          <w:szCs w:val="20"/>
          <w:color w:val="auto"/>
        </w:rPr>
      </w:pPr>
      <w:r>
        <w:rPr>
          <w:rFonts w:ascii="Arial" w:cs="Arial" w:eastAsia="Arial" w:hAnsi="Arial"/>
          <w:sz w:val="18"/>
          <w:szCs w:val="18"/>
          <w:color w:val="auto"/>
        </w:rPr>
        <w:t>Failing that and upon express request from the Company or one of its Subsidiaries, the Optionee can also be required to pay the amount of employee's contributions and/or income tax and/or any other tax of any kind owed to the Company or to the Subsidiary concerned, which the Optionee expressly undertakes to do.</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Optionee is a French tax non-resident on the share sale date and if the Options have been granted with reference to a professional activity exercised in France or if the Optionee has exercised a taxable professional activity in France during the vesting period, a French withholding tax will be assessed on the portion of the Stock Option gain related to his/her French source activity further to Article 182 A ter of the French Tax Code.</w:t>
      </w:r>
    </w:p>
    <w:p>
      <w:pPr>
        <w:spacing w:after="0" w:line="187" w:lineRule="exact"/>
        <w:rPr>
          <w:sz w:val="20"/>
          <w:szCs w:val="20"/>
          <w:color w:val="auto"/>
        </w:rPr>
      </w:pPr>
    </w:p>
    <w:p>
      <w:pPr>
        <w:ind w:left="1340" w:hanging="515"/>
        <w:spacing w:after="0"/>
        <w:tabs>
          <w:tab w:leader="none" w:pos="134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Consent to Receive Information in English</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By accepting the Options, the Optionee confirms having read and understood the Plan and the Agreement, including all terms and conditions included therein, which were provided in the English language. The Optionee accepts the terms of those documents accordingly.</w:t>
      </w:r>
    </w:p>
    <w:p>
      <w:pPr>
        <w:spacing w:after="0" w:line="14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En acceptant cette Options, le Titulaire des Options confirme avoir lu et compris le Plan et le Contrat y relatifs, incluant tous leurs termes et conditions, qui ont été transmis en langue anglaise. Le Titulaire des Options accepte les dispositions de ces documents en connaissance de cause.</w:t>
      </w:r>
    </w:p>
    <w:p>
      <w:pPr>
        <w:spacing w:after="0" w:line="12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186055</wp:posOffset>
            </wp:positionV>
            <wp:extent cx="71323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80"/>
          </w:cols>
          <w:pgMar w:left="880" w:top="341" w:right="339" w:bottom="1440" w:gutter="0" w:footer="0" w:header="0"/>
        </w:sectPr>
      </w:pPr>
    </w:p>
    <w:bookmarkStart w:id="90" w:name="page91"/>
    <w:bookmarkEnd w:id="90"/>
    <w:tbl>
      <w:tblPr>
        <w:tblLayout w:type="fixed"/>
        <w:tblInd w:w="6880" w:type="dxa"/>
        <w:tblCellMar>
          <w:top w:w="0" w:type="dxa"/>
          <w:left w:w="0" w:type="dxa"/>
          <w:bottom w:w="0" w:type="dxa"/>
          <w:right w:w="0" w:type="dxa"/>
        </w:tblCellMar>
      </w:tblPr>
      <w:tr>
        <w:trPr>
          <w:trHeight w:val="280"/>
        </w:trPr>
        <w:tc>
          <w:tcPr>
            <w:tcW w:w="30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b w:val="1"/>
                <w:bCs w:val="1"/>
                <w:color w:val="auto"/>
              </w:rPr>
              <w:t>Exhibit 5.1</w:t>
            </w:r>
          </w:p>
        </w:tc>
      </w:tr>
      <w:tr>
        <w:trPr>
          <w:trHeight w:val="435"/>
        </w:trPr>
        <w:tc>
          <w:tcPr>
            <w:tcW w:w="3080" w:type="dxa"/>
            <w:vAlign w:val="bottom"/>
          </w:tcPr>
          <w:p>
            <w:pPr>
              <w:spacing w:after="0"/>
              <w:rPr>
                <w:sz w:val="20"/>
                <w:szCs w:val="20"/>
                <w:color w:val="auto"/>
              </w:rPr>
            </w:pPr>
            <w:r>
              <w:rPr>
                <w:rFonts w:ascii="Arial" w:cs="Arial" w:eastAsia="Arial" w:hAnsi="Arial"/>
                <w:sz w:val="18"/>
                <w:szCs w:val="18"/>
                <w:b w:val="1"/>
                <w:bCs w:val="1"/>
                <w:color w:val="auto"/>
              </w:rPr>
              <w:t>A&amp;L Goodbody LLP</w:t>
            </w:r>
          </w:p>
        </w:tc>
        <w:tc>
          <w:tcPr>
            <w:tcW w:w="1280" w:type="dxa"/>
            <w:vAlign w:val="bottom"/>
          </w:tcPr>
          <w:p>
            <w:pPr>
              <w:jc w:val="right"/>
              <w:spacing w:after="0"/>
              <w:rPr>
                <w:sz w:val="20"/>
                <w:szCs w:val="20"/>
                <w:color w:val="auto"/>
              </w:rPr>
            </w:pPr>
            <w:r>
              <w:rPr>
                <w:rFonts w:ascii="Arial" w:cs="Arial" w:eastAsia="Arial" w:hAnsi="Arial"/>
                <w:sz w:val="18"/>
                <w:szCs w:val="18"/>
                <w:color w:val="auto"/>
              </w:rPr>
              <w:t>Dublin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w w:val="98"/>
              </w:rPr>
              <w:t>International Financial Services Centre</w:t>
            </w:r>
          </w:p>
        </w:tc>
        <w:tc>
          <w:tcPr>
            <w:tcW w:w="1280" w:type="dxa"/>
            <w:vAlign w:val="bottom"/>
          </w:tcPr>
          <w:p>
            <w:pPr>
              <w:jc w:val="right"/>
              <w:spacing w:after="0"/>
              <w:rPr>
                <w:sz w:val="20"/>
                <w:szCs w:val="20"/>
                <w:color w:val="auto"/>
              </w:rPr>
            </w:pPr>
            <w:r>
              <w:rPr>
                <w:rFonts w:ascii="Arial" w:cs="Arial" w:eastAsia="Arial" w:hAnsi="Arial"/>
                <w:sz w:val="18"/>
                <w:szCs w:val="18"/>
                <w:color w:val="auto"/>
              </w:rPr>
              <w:t>Belfast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25-28 North Wall Quay, Dublin 1</w:t>
            </w:r>
          </w:p>
        </w:tc>
        <w:tc>
          <w:tcPr>
            <w:tcW w:w="1280" w:type="dxa"/>
            <w:vAlign w:val="bottom"/>
          </w:tcPr>
          <w:p>
            <w:pPr>
              <w:jc w:val="right"/>
              <w:spacing w:after="0"/>
              <w:rPr>
                <w:sz w:val="20"/>
                <w:szCs w:val="20"/>
                <w:color w:val="auto"/>
              </w:rPr>
            </w:pPr>
            <w:r>
              <w:rPr>
                <w:rFonts w:ascii="Arial" w:cs="Arial" w:eastAsia="Arial" w:hAnsi="Arial"/>
                <w:sz w:val="18"/>
                <w:szCs w:val="18"/>
                <w:color w:val="auto"/>
              </w:rPr>
              <w:t>London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D01 H104</w:t>
            </w:r>
          </w:p>
        </w:tc>
        <w:tc>
          <w:tcPr>
            <w:tcW w:w="1280" w:type="dxa"/>
            <w:vAlign w:val="bottom"/>
          </w:tcPr>
          <w:p>
            <w:pPr>
              <w:jc w:val="right"/>
              <w:spacing w:after="0"/>
              <w:rPr>
                <w:sz w:val="20"/>
                <w:szCs w:val="20"/>
                <w:color w:val="auto"/>
              </w:rPr>
            </w:pPr>
            <w:r>
              <w:rPr>
                <w:rFonts w:ascii="Arial" w:cs="Arial" w:eastAsia="Arial" w:hAnsi="Arial"/>
                <w:sz w:val="18"/>
                <w:szCs w:val="18"/>
                <w:color w:val="auto"/>
              </w:rPr>
              <w:t>New York</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 +353 1 649 2000</w:t>
            </w:r>
          </w:p>
        </w:tc>
        <w:tc>
          <w:tcPr>
            <w:tcW w:w="1280" w:type="dxa"/>
            <w:vAlign w:val="bottom"/>
          </w:tcPr>
          <w:p>
            <w:pPr>
              <w:jc w:val="right"/>
              <w:spacing w:after="0"/>
              <w:rPr>
                <w:sz w:val="20"/>
                <w:szCs w:val="20"/>
                <w:color w:val="auto"/>
              </w:rPr>
            </w:pPr>
            <w:r>
              <w:rPr>
                <w:rFonts w:ascii="Arial" w:cs="Arial" w:eastAsia="Arial" w:hAnsi="Arial"/>
                <w:sz w:val="18"/>
                <w:szCs w:val="18"/>
                <w:color w:val="auto"/>
              </w:rPr>
              <w:t>San Francisco</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DX: 29 Dublin | www.algoodbody.com</w:t>
            </w:r>
          </w:p>
        </w:tc>
        <w:tc>
          <w:tcPr>
            <w:tcW w:w="1280" w:type="dxa"/>
            <w:vAlign w:val="bottom"/>
          </w:tcPr>
          <w:p>
            <w:pPr>
              <w:jc w:val="right"/>
              <w:spacing w:after="0"/>
              <w:rPr>
                <w:sz w:val="20"/>
                <w:szCs w:val="20"/>
                <w:color w:val="auto"/>
              </w:rPr>
            </w:pPr>
            <w:r>
              <w:rPr>
                <w:rFonts w:ascii="Arial" w:cs="Arial" w:eastAsia="Arial" w:hAnsi="Arial"/>
                <w:sz w:val="18"/>
                <w:szCs w:val="18"/>
                <w:color w:val="auto"/>
              </w:rPr>
              <w:t>Palo Alto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-822325</wp:posOffset>
            </wp:positionV>
            <wp:extent cx="17145" cy="8229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714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1628775"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628775" cy="24003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20" w:type="dxa"/>
            <w:vAlign w:val="bottom"/>
            <w:shd w:val="clear" w:color="auto" w:fill="000000"/>
          </w:tcPr>
          <w:p>
            <w:pPr>
              <w:spacing w:after="0"/>
              <w:rPr>
                <w:sz w:val="18"/>
                <w:szCs w:val="18"/>
                <w:color w:val="auto"/>
              </w:rPr>
            </w:pPr>
          </w:p>
        </w:tc>
        <w:tc>
          <w:tcPr>
            <w:tcW w:w="1660" w:type="dxa"/>
            <w:vAlign w:val="bottom"/>
          </w:tcPr>
          <w:p>
            <w:pPr>
              <w:ind w:left="120"/>
              <w:spacing w:after="0"/>
              <w:rPr>
                <w:sz w:val="20"/>
                <w:szCs w:val="20"/>
                <w:color w:val="auto"/>
              </w:rPr>
            </w:pPr>
            <w:r>
              <w:rPr>
                <w:rFonts w:ascii="Arial" w:cs="Arial" w:eastAsia="Arial" w:hAnsi="Arial"/>
                <w:sz w:val="18"/>
                <w:szCs w:val="18"/>
                <w:color w:val="auto"/>
              </w:rPr>
              <w:t>1 July 2021</w:t>
            </w: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20"/>
                <w:szCs w:val="20"/>
                <w:color w:val="auto"/>
              </w:rPr>
            </w:pPr>
            <w:r>
              <w:rPr>
                <w:rFonts w:ascii="Arial" w:cs="Arial" w:eastAsia="Arial" w:hAnsi="Arial"/>
                <w:sz w:val="18"/>
                <w:szCs w:val="18"/>
                <w:color w:val="auto"/>
              </w:rPr>
              <w:t>Our ref</w:t>
            </w:r>
          </w:p>
        </w:tc>
        <w:tc>
          <w:tcPr>
            <w:tcW w:w="20" w:type="dxa"/>
            <w:vAlign w:val="bottom"/>
          </w:tcPr>
          <w:p>
            <w:pPr>
              <w:spacing w:after="0"/>
              <w:rPr>
                <w:sz w:val="18"/>
                <w:szCs w:val="18"/>
                <w:color w:val="auto"/>
              </w:rPr>
            </w:pPr>
          </w:p>
        </w:tc>
        <w:tc>
          <w:tcPr>
            <w:tcW w:w="1660" w:type="dxa"/>
            <w:vAlign w:val="bottom"/>
            <w:vMerge w:val="restart"/>
          </w:tcPr>
          <w:p>
            <w:pPr>
              <w:ind w:left="120"/>
              <w:spacing w:after="0"/>
              <w:rPr>
                <w:sz w:val="20"/>
                <w:szCs w:val="20"/>
                <w:color w:val="auto"/>
              </w:rPr>
            </w:pPr>
            <w:r>
              <w:rPr>
                <w:rFonts w:ascii="Arial" w:cs="Arial" w:eastAsia="Arial" w:hAnsi="Arial"/>
                <w:sz w:val="18"/>
                <w:szCs w:val="18"/>
                <w:color w:val="auto"/>
                <w:w w:val="92"/>
              </w:rPr>
              <w:t>BHY/BOF 01435880</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South County Business Park</w:t>
      </w:r>
    </w:p>
    <w:p>
      <w:pPr>
        <w:spacing w:after="0" w:line="230" w:lineRule="auto"/>
        <w:rPr>
          <w:sz w:val="20"/>
          <w:szCs w:val="20"/>
          <w:color w:val="auto"/>
        </w:rPr>
      </w:pPr>
      <w:r>
        <w:rPr>
          <w:rFonts w:ascii="Arial" w:cs="Arial" w:eastAsia="Arial" w:hAnsi="Arial"/>
          <w:sz w:val="22"/>
          <w:szCs w:val="22"/>
          <w:color w:val="auto"/>
        </w:rPr>
        <w:t>Leopardstown</w:t>
      </w:r>
    </w:p>
    <w:p>
      <w:pPr>
        <w:spacing w:after="0" w:line="231" w:lineRule="auto"/>
        <w:rPr>
          <w:sz w:val="20"/>
          <w:szCs w:val="20"/>
          <w:color w:val="auto"/>
        </w:rPr>
      </w:pPr>
      <w:r>
        <w:rPr>
          <w:rFonts w:ascii="Arial" w:cs="Arial" w:eastAsia="Arial" w:hAnsi="Arial"/>
          <w:sz w:val="22"/>
          <w:szCs w:val="22"/>
          <w:color w:val="auto"/>
        </w:rPr>
        <w:t>Dublin 18</w:t>
      </w:r>
    </w:p>
    <w:p>
      <w:pPr>
        <w:spacing w:after="0"/>
        <w:rPr>
          <w:sz w:val="20"/>
          <w:szCs w:val="20"/>
          <w:color w:val="auto"/>
        </w:rPr>
      </w:pPr>
      <w:r>
        <w:rPr>
          <w:rFonts w:ascii="Arial" w:cs="Arial" w:eastAsia="Arial" w:hAnsi="Arial"/>
          <w:sz w:val="22"/>
          <w:szCs w:val="22"/>
          <w:color w:val="auto"/>
        </w:rPr>
        <w:t>Ireland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ICON plc </w:t>
      </w:r>
      <w:r>
        <w:rPr>
          <w:rFonts w:ascii="Arial" w:cs="Arial" w:eastAsia="Arial" w:hAnsi="Arial"/>
          <w:sz w:val="22"/>
          <w:szCs w:val="22"/>
          <w:color w:val="auto"/>
        </w:rPr>
        <w:t>(the</w:t>
      </w:r>
      <w:r>
        <w:rPr>
          <w:rFonts w:ascii="Arial" w:cs="Arial" w:eastAsia="Arial" w:hAnsi="Arial"/>
          <w:sz w:val="22"/>
          <w:szCs w:val="22"/>
          <w:b w:val="1"/>
          <w:bCs w:val="1"/>
          <w:color w:val="auto"/>
        </w:rPr>
        <w:t xml:space="preserve"> Company</w:t>
      </w:r>
      <w:r>
        <w:rPr>
          <w:rFonts w:ascii="Arial" w:cs="Arial" w:eastAsia="Arial" w:hAnsi="Arial"/>
          <w:sz w:val="22"/>
          <w:szCs w:val="22"/>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6" w:lineRule="exact"/>
        <w:rPr>
          <w:sz w:val="20"/>
          <w:szCs w:val="20"/>
          <w:color w:val="auto"/>
        </w:rPr>
      </w:pPr>
    </w:p>
    <w:p>
      <w:pPr>
        <w:ind w:left="560" w:hanging="552"/>
        <w:spacing w:after="0"/>
        <w:tabs>
          <w:tab w:leader="none" w:pos="56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Context</w:t>
      </w:r>
    </w:p>
    <w:p>
      <w:pPr>
        <w:spacing w:after="0" w:line="256" w:lineRule="exact"/>
        <w:rPr>
          <w:sz w:val="20"/>
          <w:szCs w:val="20"/>
          <w:color w:val="auto"/>
        </w:rPr>
      </w:pPr>
    </w:p>
    <w:p>
      <w:pPr>
        <w:jc w:val="both"/>
        <w:ind w:left="560" w:hanging="552"/>
        <w:spacing w:after="0" w:line="254"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We act as Irish counsel for the Company, registered number 145835, a public limited company limited by shares incorporated under the laws of Ireland, in connection with the Registration Statement on Form F-4, which includes the Joint Proxy Statement/Prospectus,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in or around 31 March 2021, under the Securities Act of 1933, as previously amended by the Amendment No. 1 filed with the Commission on April 26, 2021, and which became effective on April 27, 2021, and Registration Statement on Form F-4, filed with the Commission on June 30, 2021, which became effective on filing and the Post-Effective Amendment on Form S-8 to Form F-4 to be filed on or about the date of this letter (being all together, as amended or supplemented, is hereinafter referred to as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w:t>
      </w:r>
    </w:p>
    <w:p>
      <w:pPr>
        <w:spacing w:after="0" w:line="222" w:lineRule="exact"/>
        <w:rPr>
          <w:sz w:val="20"/>
          <w:szCs w:val="20"/>
          <w:color w:val="auto"/>
        </w:rPr>
      </w:pPr>
    </w:p>
    <w:p>
      <w:pPr>
        <w:jc w:val="both"/>
        <w:ind w:left="560" w:hanging="552"/>
        <w:spacing w:after="0" w:line="254"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In connection with the transactions contemplated by an Agreement and Plan of Merger, dated as of February 24, 2021, by and among the Company, ICON US Holdings, Inc., Indigo Merger Sub, Inc. and PRA Health Sciences, Inc.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the Company may issue up to approximately 2,605,853 ordinary shares, par value €0.06 per share, in aggregate pursuant to outstanding stock options and restricted stock units previously granted under the PRA Health Sciences, Inc. 2020 Stock Incentive Plan, PRA Health Sciences, Inc. 2018 Stock Incentive Plan, PRA Health Sciences, Inc. 2014 Omnibus Incentive Plan or 2013 Stock Incentive Plan for Key Employees of PRA Health Sciences and its Subsidiaries (the </w:t>
      </w:r>
      <w:r>
        <w:rPr>
          <w:rFonts w:ascii="Arial" w:cs="Arial" w:eastAsia="Arial" w:hAnsi="Arial"/>
          <w:sz w:val="18"/>
          <w:szCs w:val="18"/>
          <w:b w:val="1"/>
          <w:bCs w:val="1"/>
          <w:color w:val="auto"/>
        </w:rPr>
        <w:t>PRA Plans</w:t>
      </w:r>
      <w:r>
        <w:rPr>
          <w:rFonts w:ascii="Arial" w:cs="Arial" w:eastAsia="Arial" w:hAnsi="Arial"/>
          <w:sz w:val="18"/>
          <w:szCs w:val="18"/>
          <w:color w:val="auto"/>
        </w:rPr>
        <w:t xml:space="preserve">). Such shares, when issued in accordance with the PRA Plans, are referred to in this opinion as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and the issuance of the Shares is referred to as the </w:t>
      </w:r>
      <w:r>
        <w:rPr>
          <w:rFonts w:ascii="Arial" w:cs="Arial" w:eastAsia="Arial" w:hAnsi="Arial"/>
          <w:sz w:val="18"/>
          <w:szCs w:val="18"/>
          <w:b w:val="1"/>
          <w:bCs w:val="1"/>
          <w:color w:val="auto"/>
        </w:rPr>
        <w:t>Issuance</w:t>
      </w:r>
      <w:r>
        <w:rPr>
          <w:rFonts w:ascii="Arial" w:cs="Arial" w:eastAsia="Arial" w:hAnsi="Arial"/>
          <w:sz w:val="18"/>
          <w:szCs w:val="18"/>
          <w:color w:val="auto"/>
        </w:rPr>
        <w:t>.</w:t>
      </w:r>
    </w:p>
    <w:p>
      <w:pPr>
        <w:spacing w:after="0" w:line="218" w:lineRule="exact"/>
        <w:rPr>
          <w:sz w:val="20"/>
          <w:szCs w:val="20"/>
          <w:color w:val="auto"/>
        </w:rPr>
      </w:pPr>
    </w:p>
    <w:p>
      <w:pPr>
        <w:ind w:left="560" w:hanging="552"/>
        <w:spacing w:after="0"/>
        <w:tabs>
          <w:tab w:leader="none" w:pos="56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Examination</w:t>
      </w:r>
    </w:p>
    <w:p>
      <w:pPr>
        <w:spacing w:after="0" w:line="249" w:lineRule="exact"/>
        <w:rPr>
          <w:sz w:val="20"/>
          <w:szCs w:val="20"/>
          <w:color w:val="auto"/>
        </w:rPr>
      </w:pPr>
    </w:p>
    <w:p>
      <w:pPr>
        <w:ind w:left="560"/>
        <w:spacing w:after="0" w:line="328" w:lineRule="auto"/>
        <w:rPr>
          <w:sz w:val="20"/>
          <w:szCs w:val="20"/>
          <w:color w:val="auto"/>
        </w:rPr>
      </w:pPr>
      <w:r>
        <w:rPr>
          <w:rFonts w:ascii="Arial" w:cs="Arial" w:eastAsia="Arial" w:hAnsi="Arial"/>
          <w:sz w:val="19"/>
          <w:szCs w:val="19"/>
          <w:color w:val="auto"/>
        </w:rPr>
        <w:t>In connection with this opinion, we have reviewed copies of such corporate records and other instruments of the Company as we have deemed necessary as a basis for the opinion as set out in paragraph 3 of this letter, including:</w:t>
      </w:r>
    </w:p>
    <w:p>
      <w:pPr>
        <w:spacing w:after="0" w:line="139" w:lineRule="exact"/>
        <w:rPr>
          <w:sz w:val="20"/>
          <w:szCs w:val="20"/>
          <w:color w:val="auto"/>
        </w:rPr>
      </w:pPr>
    </w:p>
    <w:p>
      <w:pPr>
        <w:ind w:left="1220" w:hanging="65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220" w:hanging="65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52" w:lineRule="exact"/>
        <w:rPr>
          <w:rFonts w:ascii="Arial" w:cs="Arial" w:eastAsia="Arial" w:hAnsi="Arial"/>
          <w:sz w:val="18"/>
          <w:szCs w:val="18"/>
          <w:color w:val="auto"/>
        </w:rPr>
      </w:pPr>
    </w:p>
    <w:p>
      <w:pPr>
        <w:ind w:left="1220" w:hanging="659"/>
        <w:spacing w:after="0"/>
        <w:tabs>
          <w:tab w:leader="none" w:pos="12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resolutions of the board of directors of the Company approving, amongst other things, the Merger Agreement and the Issuance;</w:t>
      </w:r>
    </w:p>
    <w:p>
      <w:pPr>
        <w:spacing w:after="0" w:line="263" w:lineRule="exact"/>
        <w:rPr>
          <w:rFonts w:ascii="Arial" w:cs="Arial" w:eastAsia="Arial" w:hAnsi="Arial"/>
          <w:sz w:val="17"/>
          <w:szCs w:val="17"/>
          <w:color w:val="auto"/>
        </w:rPr>
      </w:pPr>
    </w:p>
    <w:p>
      <w:pPr>
        <w:ind w:left="1220" w:hanging="65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PRA Plans;</w:t>
      </w:r>
    </w:p>
    <w:p>
      <w:pPr>
        <w:spacing w:after="0" w:line="248" w:lineRule="exact"/>
        <w:rPr>
          <w:rFonts w:ascii="Arial" w:cs="Arial" w:eastAsia="Arial" w:hAnsi="Arial"/>
          <w:sz w:val="18"/>
          <w:szCs w:val="18"/>
          <w:color w:val="auto"/>
        </w:rPr>
      </w:pPr>
    </w:p>
    <w:p>
      <w:pPr>
        <w:ind w:left="1220" w:hanging="659"/>
        <w:spacing w:after="0"/>
        <w:tabs>
          <w:tab w:leader="none" w:pos="12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 copy of the Constitution of the Company, in force as of the date hereof (the </w:t>
      </w:r>
      <w:r>
        <w:rPr>
          <w:rFonts w:ascii="Arial" w:cs="Arial" w:eastAsia="Arial" w:hAnsi="Arial"/>
          <w:sz w:val="18"/>
          <w:szCs w:val="18"/>
          <w:b w:val="1"/>
          <w:bCs w:val="1"/>
          <w:color w:val="auto"/>
        </w:rPr>
        <w:t>Constitution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CE Gill • JG Grennan • PD White • VJ Power • LA Kennedy • SM Doggett • B McDermott • PV Maher • S O’Riordan • MP McKenna • KA Feeney • M Sherlock • E MacNeill • KP Allen</w:t>
      </w:r>
    </w:p>
    <w:p>
      <w:pPr>
        <w:spacing w:after="0" w:line="11" w:lineRule="exact"/>
        <w:rPr>
          <w:sz w:val="20"/>
          <w:szCs w:val="20"/>
          <w:color w:val="auto"/>
        </w:rPr>
      </w:pPr>
    </w:p>
    <w:p>
      <w:pPr>
        <w:ind w:right="840"/>
        <w:spacing w:after="0" w:line="238" w:lineRule="auto"/>
        <w:rPr>
          <w:sz w:val="20"/>
          <w:szCs w:val="20"/>
          <w:color w:val="auto"/>
        </w:rPr>
      </w:pPr>
      <w:r>
        <w:rPr>
          <w:rFonts w:ascii="Arial" w:cs="Arial" w:eastAsia="Arial" w:hAnsi="Arial"/>
          <w:sz w:val="13"/>
          <w:szCs w:val="13"/>
          <w:color w:val="auto"/>
        </w:rPr>
        <w:t>EA Roberts • C Rogers • G O’Toole • JN Kelly • N O’Sullivan • MJ Ward • AC Burke • D Widger • C Christle • S O’Croinin • JW Yarr • DR Baxter • A McCarthy • JF Whelan • JB Somerville MF Barr • AM Curran • A Roberts • RM Moore • D Main • J Cahir • M Traynor • PM Murray • P Walker • K Furlong • PT Fahy • D Inverarity • M Coghlan • DR Francis • A Casey • B Hosty M O’Brien • L Mulleady • K Ryan • E Hurley • G Stanley • D Dagostino • R Grey • R Lyons • J Sheehy • C Carroll • SE Carson • P Diggin • J Williams • A O’Beirne • J Dallas SM Lynch • M McElhinney • C Owens • AD Ion • K O’Connor • JH Milne • T Casey • M Doyle • CJ Comerford • R Marron • D Berkery • K O’Shaughnessy • S O’Connor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SE Murphy • D Nangle • L Butler • A Lawler • C Ó Conluain • N McMahon • HP Brandt • A Sheridan • LM Byrne • N Cole • M Devane • D Fitzgerald • G McDonald • N Meehan • R O’Driscoll • B O’Malley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Consultants: SW Haughey • Professor JCW Wylie • AF Browne • MA Greene • AV Fanagan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659" w:gutter="0" w:footer="0" w:header="0"/>
        </w:sectPr>
      </w:pPr>
    </w:p>
    <w:bookmarkStart w:id="91" w:name="page92"/>
    <w:bookmarkEnd w:id="91"/>
    <w:p>
      <w:pPr>
        <w:ind w:left="560" w:hanging="552"/>
        <w:spacing w:after="0"/>
        <w:tabs>
          <w:tab w:leader="none" w:pos="56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0030"/>
                    </a:xfrm>
                    <a:prstGeom prst="rect">
                      <a:avLst/>
                    </a:prstGeom>
                    <a:noFill/>
                  </pic:spPr>
                </pic:pic>
              </a:graphicData>
            </a:graphic>
          </wp:anchor>
        </w:drawing>
        <w:t>Opinion</w:t>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Based upon and subject to the assumptions, qualifications and limitations set out below, we are of the opinion that:</w:t>
      </w:r>
    </w:p>
    <w:p>
      <w:pPr>
        <w:spacing w:after="0" w:line="252" w:lineRule="exact"/>
        <w:rPr>
          <w:sz w:val="20"/>
          <w:szCs w:val="20"/>
          <w:color w:val="auto"/>
        </w:rPr>
      </w:pPr>
    </w:p>
    <w:p>
      <w:pPr>
        <w:ind w:left="1220" w:hanging="659"/>
        <w:spacing w:after="0"/>
        <w:tabs>
          <w:tab w:leader="none" w:pos="12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is a public company limited by shares and is duly incorporated and validly existing under the laws of Ireland; and</w:t>
      </w:r>
    </w:p>
    <w:p>
      <w:pPr>
        <w:spacing w:after="0" w:line="263" w:lineRule="exact"/>
        <w:rPr>
          <w:rFonts w:ascii="Arial" w:cs="Arial" w:eastAsia="Arial" w:hAnsi="Arial"/>
          <w:sz w:val="17"/>
          <w:szCs w:val="17"/>
          <w:color w:val="auto"/>
        </w:rPr>
      </w:pPr>
    </w:p>
    <w:p>
      <w:pPr>
        <w:ind w:left="1220" w:hanging="659"/>
        <w:spacing w:after="0" w:line="277" w:lineRule="auto"/>
        <w:tabs>
          <w:tab w:leader="none" w:pos="1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Shares, when issued by the Company in accordance with the terms of the Registration Statement and the PRA Plans, will have been duly authorised, validly issued fully paid and not subject to calls for any additional payments (“non-assessable”).</w:t>
      </w:r>
    </w:p>
    <w:p>
      <w:pPr>
        <w:spacing w:after="0" w:line="193" w:lineRule="exact"/>
        <w:rPr>
          <w:sz w:val="20"/>
          <w:szCs w:val="20"/>
          <w:color w:val="auto"/>
        </w:rPr>
      </w:pPr>
    </w:p>
    <w:p>
      <w:pPr>
        <w:ind w:left="560" w:hanging="552"/>
        <w:spacing w:after="0"/>
        <w:tabs>
          <w:tab w:leader="none" w:pos="56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jc w:val="both"/>
        <w:ind w:left="560" w:hanging="552"/>
        <w:spacing w:after="0" w:line="263"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We have assumed that when the Issuance occurs:</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Constitution has not been amended or varied;</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the Registration Statement has become effective;</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the Company has sufficient authorised but unissued capital in its Constitution;</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an amount at least equal to the par value of the Shares is paid up;</w:t>
      </w:r>
    </w:p>
    <w:p>
      <w:pPr>
        <w:spacing w:after="0" w:line="252" w:lineRule="exact"/>
        <w:rPr>
          <w:sz w:val="20"/>
          <w:szCs w:val="20"/>
          <w:color w:val="auto"/>
        </w:rPr>
      </w:pPr>
    </w:p>
    <w:p>
      <w:pPr>
        <w:jc w:val="both"/>
        <w:ind w:left="1220" w:hanging="661"/>
        <w:spacing w:after="0" w:line="279" w:lineRule="auto"/>
        <w:tabs>
          <w:tab w:leader="none" w:pos="12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7"/>
          <w:szCs w:val="17"/>
          <w:color w:val="auto"/>
        </w:rPr>
        <w:t>the Company is fully solvent at the time of and immediately following the Issuance (ii) no resolution or petition for the appointment of a liquidator or examiner has been presented prior to the Issuance (iii) no receiver will have been appointed in relation to any of the assets or undertaking of the Company and (iv) no composition in satisfaction of debts, scheme of arrangement, or compromise or arrangement with any creditors or members will be proposed, sanctioned or approved in relation to the Company.</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We have further assumed:</w:t>
      </w:r>
    </w:p>
    <w:p>
      <w:pPr>
        <w:spacing w:after="0" w:line="252" w:lineRule="exact"/>
        <w:rPr>
          <w:sz w:val="20"/>
          <w:szCs w:val="20"/>
          <w:color w:val="auto"/>
        </w:rPr>
      </w:pPr>
    </w:p>
    <w:p>
      <w:pPr>
        <w:jc w:val="both"/>
        <w:ind w:left="1220" w:right="20" w:hanging="661"/>
        <w:spacing w:after="0" w:line="277" w:lineRule="auto"/>
        <w:tabs>
          <w:tab w:leader="none" w:pos="12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authenticity of all documents submitted to us, the conformity to the originals of all documents submitted to us as copies and the authenticity of the originals of all documents submitted to us as copies;</w:t>
      </w:r>
    </w:p>
    <w:p>
      <w:pPr>
        <w:spacing w:after="0" w:line="197" w:lineRule="exact"/>
        <w:rPr>
          <w:sz w:val="20"/>
          <w:szCs w:val="20"/>
          <w:color w:val="auto"/>
        </w:rPr>
      </w:pPr>
    </w:p>
    <w:p>
      <w:pPr>
        <w:jc w:val="both"/>
        <w:ind w:left="1220" w:right="20" w:hanging="661"/>
        <w:spacing w:after="0" w:line="277" w:lineRule="auto"/>
        <w:tabs>
          <w:tab w:leader="none" w:pos="12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authority of persons signing on behalf of a particular party and the due authorisation, execution and delivery of all documents by the parties thereto other than the Company; and</w:t>
      </w:r>
    </w:p>
    <w:p>
      <w:pPr>
        <w:spacing w:after="0" w:line="197" w:lineRule="exact"/>
        <w:rPr>
          <w:sz w:val="20"/>
          <w:szCs w:val="20"/>
          <w:color w:val="auto"/>
        </w:rPr>
      </w:pPr>
    </w:p>
    <w:p>
      <w:pPr>
        <w:jc w:val="both"/>
        <w:ind w:left="1220" w:hanging="661"/>
        <w:spacing w:after="0" w:line="263" w:lineRule="auto"/>
        <w:tabs>
          <w:tab w:leader="none" w:pos="12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that none of the resolutions and authorities of the shareholders or directors of the Company upon which we have relied have been varied, amended or revoked in any respect or have expired and that the Shares will be issued in accordance with such resolutions and authorities and the terms of the Merger Agreement.</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92" w:name="page93"/>
    <w:bookmarkEnd w:id="92"/>
    <w:p>
      <w:pPr>
        <w:ind w:left="560" w:hanging="552"/>
        <w:spacing w:after="0"/>
        <w:tabs>
          <w:tab w:leader="none" w:pos="5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0030"/>
                    </a:xfrm>
                    <a:prstGeom prst="rect">
                      <a:avLst/>
                    </a:prstGeom>
                    <a:noFill/>
                  </pic:spPr>
                </pic:pic>
              </a:graphicData>
            </a:graphic>
          </wp:anchor>
        </w:drawing>
        <w:t>Qualifications</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 limited to the specific issues addressed herein, and no opinion may be inferred or implied beyond that expressly stated herein.</w:t>
      </w:r>
    </w:p>
    <w:p>
      <w:pPr>
        <w:spacing w:after="0" w:line="252" w:lineRule="exact"/>
        <w:rPr>
          <w:sz w:val="20"/>
          <w:szCs w:val="20"/>
          <w:color w:val="auto"/>
        </w:rPr>
      </w:pPr>
    </w:p>
    <w:p>
      <w:pPr>
        <w:jc w:val="both"/>
        <w:ind w:left="560" w:hanging="552"/>
        <w:spacing w:after="0" w:line="301" w:lineRule="auto"/>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opinion is confined to and given in all respects on the basis of the laws of Ireland (meaning Ireland exclusive of Northern Ireland) in force as at the date of this opinion as currently applied by the courts of Ireland. We have made no investigations of, and we express no opinion as to the laws of, any other jurisdiction or their effect on this opinion. This opinion speaks only as of its date. We assume no obligation to update this opinion at any time in the future or to advise you of any change in law or change in interpretation of law which may occur after the date of this opinion.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We hereby consent to the filing of this opinion with the SEC.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A&amp;L Goodbody LLP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A&amp;L Goodbody LLP</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We consent to the use of our reports dated February 24, 2021, with respect to the consolidated financial statements of ICON plc and subsidiaries, and the effectiveness of internal control over financial reporting,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 KPMG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Dublin, Ireland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1)"/>
      <w:numFmt w:val="decimal"/>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1)"/>
      <w:numFmt w:val="lowerRoman"/>
      <w:start w:val="1"/>
    </w:lvl>
  </w:abstractNum>
  <w:abstractNum w:abstractNumId="3">
    <w:nsid w:val="1716703B"/>
    <w:multiLevelType w:val="hybridMultilevel"/>
    <w:lvl w:ilvl="0">
      <w:lvlJc w:val="left"/>
      <w:lvlText w:val="(%1)"/>
      <w:numFmt w:val="lowerRoman"/>
      <w:start w:val="3"/>
    </w:lvl>
  </w:abstractNum>
  <w:abstractNum w:abstractNumId="4">
    <w:nsid w:val="14E17E33"/>
    <w:multiLevelType w:val="hybridMultilevel"/>
    <w:lvl w:ilvl="0">
      <w:lvlJc w:val="left"/>
      <w:lvlText w:val="(%1)"/>
      <w:numFmt w:val="decimal"/>
      <w:start w:val="2"/>
    </w:lvl>
  </w:abstractNum>
  <w:abstractNum w:abstractNumId="5">
    <w:nsid w:val="3222E7CD"/>
    <w:multiLevelType w:val="hybridMultilevel"/>
    <w:lvl w:ilvl="0">
      <w:lvlJc w:val="left"/>
      <w:lvlText w:val="1"/>
      <w:numFmt w:val="bullet"/>
      <w:start w:val="1"/>
    </w:lvl>
    <w:lvl w:ilvl="1">
      <w:lvlJc w:val="left"/>
      <w:lvlText w:val="(%2)"/>
      <w:numFmt w:val="lowerLetter"/>
      <w:start w:val="1"/>
    </w:lvl>
  </w:abstractNum>
  <w:abstractNum w:abstractNumId="6">
    <w:nsid w:val="74DE0EE3"/>
    <w:multiLevelType w:val="hybridMultilevel"/>
    <w:lvl w:ilvl="0">
      <w:lvlJc w:val="left"/>
      <w:lvlText w:val="2"/>
      <w:numFmt w:val="bullet"/>
      <w:start w:val="1"/>
    </w:lvl>
    <w:lvl w:ilvl="1">
      <w:lvlJc w:val="left"/>
      <w:lvlText w:val="(%2)"/>
      <w:numFmt w:val="lowerLetter"/>
      <w:start w:val="1"/>
    </w:lvl>
  </w:abstractNum>
  <w:abstractNum w:abstractNumId="7">
    <w:nsid w:val="68EBC550"/>
    <w:multiLevelType w:val="hybridMultilevel"/>
    <w:lvl w:ilvl="0">
      <w:lvlJc w:val="left"/>
      <w:lvlText w:val="(%1)"/>
      <w:numFmt w:val="lowerLetter"/>
      <w:start w:val="8"/>
    </w:lvl>
    <w:lvl w:ilvl="1">
      <w:lvlJc w:val="left"/>
      <w:lvlText w:val="(%2)"/>
      <w:numFmt w:val="lowerRoman"/>
      <w:start w:val="1"/>
    </w:lvl>
  </w:abstractNum>
  <w:abstractNum w:abstractNumId="8">
    <w:nsid w:val="2DF6D648"/>
    <w:multiLevelType w:val="hybridMultilevel"/>
    <w:lvl w:ilvl="0">
      <w:lvlJc w:val="left"/>
      <w:lvlText w:val="(%1)"/>
      <w:numFmt w:val="lowerLetter"/>
      <w:start w:val="9"/>
    </w:lvl>
  </w:abstractNum>
  <w:abstractNum w:abstractNumId="9">
    <w:nsid w:val="46B7D447"/>
    <w:multiLevelType w:val="hybridMultilevel"/>
    <w:lvl w:ilvl="0">
      <w:lvlJc w:val="left"/>
      <w:lvlText w:val="(%1)"/>
      <w:numFmt w:val="lowerLetter"/>
      <w:start w:val="11"/>
    </w:lvl>
  </w:abstractNum>
  <w:abstractNum w:abstractNumId="10">
    <w:nsid w:val="4A2AC315"/>
    <w:multiLevelType w:val="hybridMultilevel"/>
    <w:lvl w:ilvl="0">
      <w:lvlJc w:val="left"/>
      <w:lvlText w:val="(%1)"/>
      <w:numFmt w:val="lowerLetter"/>
      <w:start w:val="23"/>
    </w:lvl>
  </w:abstractNum>
  <w:abstractNum w:abstractNumId="11">
    <w:nsid w:val="39EE015C"/>
    <w:multiLevelType w:val="hybridMultilevel"/>
    <w:lvl w:ilvl="0">
      <w:lvlJc w:val="left"/>
      <w:lvlText w:val="(%1)"/>
      <w:numFmt w:val="lowerLetter"/>
      <w:start w:val="27"/>
    </w:lvl>
  </w:abstractNum>
  <w:abstractNum w:abstractNumId="12">
    <w:nsid w:val="57FC4FBB"/>
    <w:multiLevelType w:val="hybridMultilevel"/>
    <w:lvl w:ilvl="0">
      <w:lvlJc w:val="left"/>
      <w:lvlText w:val="%1"/>
      <w:numFmt w:val="upperLetter"/>
      <w:start w:val="1"/>
    </w:lvl>
    <w:lvl w:ilvl="1">
      <w:lvlJc w:val="left"/>
      <w:lvlText w:val="(%2)"/>
      <w:numFmt w:val="lowerLetter"/>
      <w:start w:val="33"/>
    </w:lvl>
  </w:abstractNum>
  <w:abstractNum w:abstractNumId="13">
    <w:nsid w:val="CC1016F"/>
    <w:multiLevelType w:val="hybridMultilevel"/>
    <w:lvl w:ilvl="0">
      <w:lvlJc w:val="left"/>
      <w:lvlText w:val="(%1)"/>
      <w:numFmt w:val="upperLetter"/>
      <w:start w:val="1"/>
    </w:lvl>
    <w:lvl w:ilvl="1">
      <w:lvlJc w:val="left"/>
      <w:lvlText w:val="(%2)"/>
      <w:numFmt w:val="lowerLetter"/>
      <w:start w:val="48"/>
    </w:lvl>
  </w:abstractNum>
  <w:abstractNum w:abstractNumId="14">
    <w:nsid w:val="43F18422"/>
    <w:multiLevelType w:val="hybridMultilevel"/>
    <w:lvl w:ilvl="0">
      <w:lvlJc w:val="left"/>
      <w:lvlText w:val="(%1)"/>
      <w:numFmt w:val="lowerLetter"/>
      <w:start w:val="51"/>
    </w:lvl>
  </w:abstractNum>
  <w:abstractNum w:abstractNumId="15">
    <w:nsid w:val="60EF0119"/>
    <w:multiLevelType w:val="hybridMultilevel"/>
    <w:lvl w:ilvl="0">
      <w:lvlJc w:val="left"/>
      <w:lvlText w:val="(%1)"/>
      <w:numFmt w:val="lowerLetter"/>
      <w:start w:val="53"/>
    </w:lvl>
  </w:abstractNum>
  <w:abstractNum w:abstractNumId="16">
    <w:nsid w:val="26F324BA"/>
    <w:multiLevelType w:val="hybridMultilevel"/>
    <w:lvl w:ilvl="0">
      <w:lvlJc w:val="left"/>
      <w:lvlText w:val="(%1)"/>
      <w:numFmt w:val="lowerLetter"/>
      <w:start w:val="56"/>
    </w:lvl>
    <w:lvl w:ilvl="1">
      <w:lvlJc w:val="left"/>
      <w:lvlText w:val="(%2)"/>
      <w:numFmt w:val="lowerRoman"/>
      <w:start w:val="1"/>
    </w:lvl>
  </w:abstractNum>
  <w:abstractNum w:abstractNumId="17">
    <w:nsid w:val="7F01579B"/>
    <w:multiLevelType w:val="hybridMultilevel"/>
    <w:lvl w:ilvl="0">
      <w:lvlJc w:val="left"/>
      <w:lvlText w:val="(%1)"/>
      <w:numFmt w:val="lowerLetter"/>
      <w:start w:val="62"/>
    </w:lvl>
  </w:abstractNum>
  <w:abstractNum w:abstractNumId="18">
    <w:nsid w:val="49DA307D"/>
    <w:multiLevelType w:val="hybridMultilevel"/>
    <w:lvl w:ilvl="0">
      <w:lvlJc w:val="left"/>
      <w:lvlText w:val="3"/>
      <w:numFmt w:val="bullet"/>
      <w:start w:val="1"/>
    </w:lvl>
  </w:abstractNum>
  <w:abstractNum w:abstractNumId="19">
    <w:nsid w:val="7055A5F5"/>
    <w:multiLevelType w:val="hybridMultilevel"/>
    <w:lvl w:ilvl="0">
      <w:lvlJc w:val="left"/>
      <w:lvlText w:val="4"/>
      <w:numFmt w:val="bullet"/>
      <w:start w:val="1"/>
    </w:lvl>
    <w:lvl w:ilvl="1">
      <w:lvlJc w:val="left"/>
      <w:lvlText w:val="%2"/>
      <w:numFmt w:val="lowerLetter"/>
      <w:start w:val="1"/>
    </w:lvl>
    <w:lvl w:ilvl="2">
      <w:lvlJc w:val="left"/>
      <w:lvlText w:val="(%3)"/>
      <w:numFmt w:val="lowerLetter"/>
      <w:start w:val="1"/>
    </w:lvl>
  </w:abstractNum>
  <w:abstractNum w:abstractNumId="20">
    <w:nsid w:val="5FB8370B"/>
    <w:multiLevelType w:val="hybridMultilevel"/>
    <w:lvl w:ilvl="0">
      <w:lvlJc w:val="left"/>
      <w:lvlText w:val="4"/>
      <w:numFmt w:val="bullet"/>
      <w:start w:val="1"/>
    </w:lvl>
    <w:lvl w:ilvl="1">
      <w:lvlJc w:val="left"/>
      <w:lvlText w:val="(%2)"/>
      <w:numFmt w:val="lowerLetter"/>
      <w:start w:val="22"/>
    </w:lvl>
    <w:lvl w:ilvl="2">
      <w:lvlJc w:val="left"/>
      <w:lvlText w:val="(%3)"/>
      <w:numFmt w:val="lowerLetter"/>
      <w:start w:val="3"/>
    </w:lvl>
  </w:abstractNum>
  <w:abstractNum w:abstractNumId="21">
    <w:nsid w:val="50801EE1"/>
    <w:multiLevelType w:val="hybridMultilevel"/>
    <w:lvl w:ilvl="0">
      <w:lvlJc w:val="left"/>
      <w:lvlText w:val="(%1)"/>
      <w:numFmt w:val="lowerLetter"/>
      <w:start w:val="5"/>
    </w:lvl>
  </w:abstractNum>
  <w:abstractNum w:abstractNumId="22">
    <w:nsid w:val="488AC1A"/>
    <w:multiLevelType w:val="hybridMultilevel"/>
    <w:lvl w:ilvl="0">
      <w:lvlJc w:val="left"/>
      <w:lvlText w:val="5"/>
      <w:numFmt w:val="bullet"/>
      <w:start w:val="1"/>
    </w:lvl>
    <w:lvl w:ilvl="1">
      <w:lvlJc w:val="left"/>
      <w:lvlText w:val="(%2)"/>
      <w:numFmt w:val="lowerLetter"/>
      <w:start w:val="1"/>
    </w:lvl>
  </w:abstractNum>
  <w:abstractNum w:abstractNumId="23">
    <w:nsid w:val="5FB8011C"/>
    <w:multiLevelType w:val="hybridMultilevel"/>
    <w:lvl w:ilvl="0">
      <w:lvlJc w:val="left"/>
      <w:lvlText w:val="(%1)"/>
      <w:numFmt w:val="lowerLetter"/>
      <w:start w:val="4"/>
    </w:lvl>
  </w:abstractNum>
  <w:abstractNum w:abstractNumId="24">
    <w:nsid w:val="6AA78F7F"/>
    <w:multiLevelType w:val="hybridMultilevel"/>
    <w:lvl w:ilvl="0">
      <w:lvlJc w:val="left"/>
      <w:lvlText w:val="6"/>
      <w:numFmt w:val="bullet"/>
      <w:start w:val="1"/>
    </w:lvl>
    <w:lvl w:ilvl="1">
      <w:lvlJc w:val="left"/>
      <w:lvlText w:val="(%2)"/>
      <w:numFmt w:val="lowerLetter"/>
      <w:start w:val="1"/>
    </w:lvl>
  </w:abstractNum>
  <w:abstractNum w:abstractNumId="25">
    <w:nsid w:val="7672BD23"/>
    <w:multiLevelType w:val="hybridMultilevel"/>
    <w:lvl w:ilvl="0">
      <w:lvlJc w:val="left"/>
      <w:lvlText w:val="(%1)"/>
      <w:numFmt w:val="lowerLetter"/>
      <w:start w:val="2"/>
    </w:lvl>
    <w:lvl w:ilvl="1">
      <w:lvlJc w:val="left"/>
      <w:lvlText w:val="(%2)"/>
      <w:numFmt w:val="lowerRoman"/>
      <w:start w:val="1"/>
    </w:lvl>
  </w:abstractNum>
  <w:abstractNum w:abstractNumId="26">
    <w:nsid w:val="6FC75AF8"/>
    <w:multiLevelType w:val="hybridMultilevel"/>
    <w:lvl w:ilvl="0">
      <w:lvlJc w:val="left"/>
      <w:lvlText w:val="(%1)"/>
      <w:numFmt w:val="lowerLetter"/>
      <w:start w:val="5"/>
    </w:lvl>
  </w:abstractNum>
  <w:abstractNum w:abstractNumId="27">
    <w:nsid w:val="6A5F7029"/>
    <w:multiLevelType w:val="hybridMultilevel"/>
    <w:lvl w:ilvl="0">
      <w:lvlJc w:val="left"/>
      <w:lvlText w:val="8"/>
      <w:numFmt w:val="bullet"/>
      <w:start w:val="1"/>
    </w:lvl>
    <w:lvl w:ilvl="1">
      <w:lvlJc w:val="left"/>
      <w:lvlText w:val="(%2)"/>
      <w:numFmt w:val="lowerLetter"/>
      <w:start w:val="1"/>
    </w:lvl>
    <w:lvl w:ilvl="2">
      <w:lvlJc w:val="left"/>
      <w:lvlText w:val="(%3)"/>
      <w:numFmt w:val="lowerLetter"/>
      <w:start w:val="9"/>
    </w:lvl>
  </w:abstractNum>
  <w:abstractNum w:abstractNumId="28">
    <w:nsid w:val="7D5E18F8"/>
    <w:multiLevelType w:val="hybridMultilevel"/>
    <w:lvl w:ilvl="0">
      <w:lvlJc w:val="left"/>
      <w:lvlText w:val="(%1)"/>
      <w:numFmt w:val="lowerRoman"/>
      <w:start w:val="2"/>
    </w:lvl>
  </w:abstractNum>
  <w:abstractNum w:abstractNumId="29">
    <w:nsid w:val="5F3534A4"/>
    <w:multiLevelType w:val="hybridMultilevel"/>
    <w:lvl w:ilvl="0">
      <w:lvlJc w:val="left"/>
      <w:lvlText w:val="9"/>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
    <w:nsid w:val="73A1821B"/>
    <w:multiLevelType w:val="hybridMultilevel"/>
    <w:lvl w:ilvl="0">
      <w:lvlJc w:val="left"/>
      <w:lvlText w:val="9"/>
      <w:numFmt w:val="bullet"/>
      <w:start w:val="1"/>
    </w:lvl>
    <w:lvl w:ilvl="1">
      <w:lvlJc w:val="left"/>
      <w:lvlText w:val="(%2)"/>
      <w:numFmt w:val="decimal"/>
      <w:start w:val="3"/>
    </w:lvl>
    <w:lvl w:ilvl="2">
      <w:lvlJc w:val="left"/>
      <w:lvlText w:val="(%3)"/>
      <w:numFmt w:val="lowerLetter"/>
      <w:start w:val="4"/>
    </w:lvl>
    <w:lvl w:ilvl="3">
      <w:lvlJc w:val="left"/>
      <w:lvlText w:val="%4"/>
      <w:numFmt w:val="lowerRoman"/>
      <w:start w:val="1"/>
    </w:lvl>
  </w:abstractNum>
  <w:abstractNum w:abstractNumId="31">
    <w:nsid w:val="7DE67713"/>
    <w:multiLevelType w:val="hybridMultilevel"/>
    <w:lvl w:ilvl="0">
      <w:lvlJc w:val="left"/>
      <w:lvlText w:val="(%1)"/>
      <w:numFmt w:val="lowerLetter"/>
      <w:start w:val="5"/>
    </w:lvl>
  </w:abstractNum>
  <w:abstractNum w:abstractNumId="32">
    <w:nsid w:val="555C55B5"/>
    <w:multiLevelType w:val="hybridMultilevel"/>
    <w:lvl w:ilvl="0">
      <w:lvlJc w:val="left"/>
      <w:lvlText w:val="%1"/>
      <w:numFmt w:val="decimal"/>
      <w:start w:val="10"/>
    </w:lvl>
    <w:lvl w:ilvl="1">
      <w:lvlJc w:val="left"/>
      <w:lvlText w:val="(%2)"/>
      <w:numFmt w:val="lowerLetter"/>
      <w:start w:val="1"/>
    </w:lvl>
  </w:abstractNum>
  <w:abstractNum w:abstractNumId="33">
    <w:nsid w:val="3FA62ACA"/>
    <w:multiLevelType w:val="hybridMultilevel"/>
    <w:lvl w:ilvl="0">
      <w:lvlJc w:val="left"/>
      <w:lvlText w:val="%1"/>
      <w:numFmt w:val="decimal"/>
      <w:start w:val="12"/>
    </w:lvl>
    <w:lvl w:ilvl="1">
      <w:lvlJc w:val="left"/>
      <w:lvlText w:val="(%2)"/>
      <w:numFmt w:val="lowerLetter"/>
      <w:start w:val="1"/>
    </w:lvl>
  </w:abstractNum>
  <w:abstractNum w:abstractNumId="34">
    <w:nsid w:val="14FCE74E"/>
    <w:multiLevelType w:val="hybridMultilevel"/>
    <w:lvl w:ilvl="0">
      <w:lvlJc w:val="left"/>
      <w:lvlText w:val="(%1)"/>
      <w:numFmt w:val="lowerLetter"/>
      <w:start w:val="2"/>
    </w:lvl>
    <w:lvl w:ilvl="1">
      <w:lvlJc w:val="left"/>
      <w:lvlText w:val="(%2)"/>
      <w:numFmt w:val="lowerRoman"/>
      <w:start w:val="1"/>
    </w:lvl>
  </w:abstractNum>
  <w:abstractNum w:abstractNumId="35">
    <w:nsid w:val="6A3DD3E8"/>
    <w:multiLevelType w:val="hybridMultilevel"/>
    <w:lvl w:ilvl="0">
      <w:lvlJc w:val="left"/>
      <w:lvlText w:val="(%1)"/>
      <w:numFmt w:val="lowerLetter"/>
      <w:start w:val="3"/>
    </w:lvl>
  </w:abstractNum>
  <w:abstractNum w:abstractNumId="36">
    <w:nsid w:val="71C91298"/>
    <w:multiLevelType w:val="hybridMultilevel"/>
    <w:lvl w:ilvl="0">
      <w:lvlJc w:val="left"/>
      <w:lvlText w:val="%1"/>
      <w:numFmt w:val="decimal"/>
      <w:start w:val="13"/>
    </w:lvl>
    <w:lvl w:ilvl="1">
      <w:lvlJc w:val="left"/>
      <w:lvlText w:val="(%2)"/>
      <w:numFmt w:val="lowerLetter"/>
      <w:start w:val="1"/>
    </w:lvl>
  </w:abstractNum>
  <w:abstractNum w:abstractNumId="37">
    <w:nsid w:val="9DAF632"/>
    <w:multiLevelType w:val="hybridMultilevel"/>
    <w:lvl w:ilvl="0">
      <w:lvlJc w:val="left"/>
      <w:lvlText w:val="%1"/>
      <w:numFmt w:val="decimal"/>
      <w:start w:val="14"/>
    </w:lvl>
    <w:lvl w:ilvl="1">
      <w:lvlJc w:val="left"/>
      <w:lvlText w:val="(%2)"/>
      <w:numFmt w:val="upperLetter"/>
    </w:lvl>
    <w:lvl w:ilvl="2">
      <w:lvlJc w:val="left"/>
      <w:lvlText w:val="(%3)"/>
      <w:numFmt w:val="lowerLetter"/>
      <w:start w:val="1"/>
    </w:lvl>
    <w:lvl w:ilvl="3">
      <w:lvlJc w:val="left"/>
      <w:lvlText w:val="(%4)"/>
      <w:numFmt w:val="lowerRoman"/>
      <w:start w:val="1"/>
    </w:lvl>
  </w:abstractNum>
  <w:abstractNum w:abstractNumId="38">
    <w:nsid w:val="53299938"/>
    <w:multiLevelType w:val="hybridMultilevel"/>
    <w:lvl w:ilvl="0">
      <w:lvlJc w:val="left"/>
      <w:lvlText w:val="(%1)"/>
      <w:numFmt w:val="lowerLetter"/>
      <w:start w:val="3"/>
    </w:lvl>
    <w:lvl w:ilvl="1">
      <w:lvlJc w:val="left"/>
      <w:lvlText w:val="(%2)"/>
      <w:numFmt w:val="lowerRoman"/>
      <w:start w:val="1"/>
    </w:lvl>
  </w:abstractNum>
  <w:abstractNum w:abstractNumId="39">
    <w:nsid w:val="1FBFE8E0"/>
    <w:multiLevelType w:val="hybridMultilevel"/>
    <w:lvl w:ilvl="0">
      <w:lvlJc w:val="left"/>
      <w:lvlText w:val="(%1)"/>
      <w:numFmt w:val="lowerLetter"/>
      <w:start w:val="6"/>
    </w:lvl>
    <w:lvl w:ilvl="1">
      <w:lvlJc w:val="left"/>
      <w:lvlText w:val="(%2)"/>
      <w:numFmt w:val="lowerLetter"/>
      <w:start w:val="9"/>
    </w:lvl>
  </w:abstractNum>
  <w:abstractNum w:abstractNumId="40">
    <w:nsid w:val="5092CA79"/>
    <w:multiLevelType w:val="hybridMultilevel"/>
    <w:lvl w:ilvl="0">
      <w:lvlJc w:val="left"/>
      <w:lvlText w:val="%1"/>
      <w:numFmt w:val="lowerLetter"/>
      <w:start w:val="1"/>
    </w:lvl>
    <w:lvl w:ilvl="1">
      <w:lvlJc w:val="left"/>
      <w:lvlText w:val="(%2)"/>
      <w:numFmt w:val="lowerLetter"/>
      <w:start w:val="35"/>
    </w:lvl>
  </w:abstractNum>
  <w:abstractNum w:abstractNumId="41">
    <w:nsid w:val="1D545C4D"/>
    <w:multiLevelType w:val="hybridMultilevel"/>
    <w:lvl w:ilvl="0">
      <w:lvlJc w:val="left"/>
      <w:lvlText w:val="(%1)"/>
      <w:numFmt w:val="lowerLetter"/>
      <w:start w:val="11"/>
    </w:lvl>
    <w:lvl w:ilvl="1">
      <w:lvlJc w:val="left"/>
      <w:lvlText w:val="%2"/>
      <w:numFmt w:val="lowerLetter"/>
      <w:start w:val="1"/>
    </w:lvl>
  </w:abstractNum>
  <w:abstractNum w:abstractNumId="42">
    <w:nsid w:val="59ADEA3D"/>
    <w:multiLevelType w:val="hybridMultilevel"/>
    <w:lvl w:ilvl="0">
      <w:lvlJc w:val="left"/>
      <w:lvlText w:val="(%1)"/>
      <w:numFmt w:val="lowerLetter"/>
      <w:start w:val="15"/>
    </w:lvl>
    <w:lvl w:ilvl="1">
      <w:lvlJc w:val="left"/>
      <w:lvlText w:val="(%2)"/>
      <w:numFmt w:val="lowerLetter"/>
      <w:start w:val="9"/>
    </w:lvl>
  </w:abstractNum>
  <w:abstractNum w:abstractNumId="43">
    <w:nsid w:val="288F1A34"/>
    <w:multiLevelType w:val="hybridMultilevel"/>
    <w:lvl w:ilvl="0">
      <w:lvlJc w:val="left"/>
      <w:lvlText w:val="%1"/>
      <w:numFmt w:val="lowerLetter"/>
      <w:start w:val="1"/>
    </w:lvl>
    <w:lvl w:ilvl="1">
      <w:lvlJc w:val="left"/>
      <w:lvlText w:val="(%2)"/>
      <w:numFmt w:val="lowerRoman"/>
      <w:start w:val="2"/>
    </w:lvl>
  </w:abstractNum>
  <w:abstractNum w:abstractNumId="44">
    <w:nsid w:val="2A155DBC"/>
    <w:multiLevelType w:val="hybridMultilevel"/>
    <w:lvl w:ilvl="0">
      <w:lvlJc w:val="left"/>
      <w:lvlText w:val="(%1)"/>
      <w:numFmt w:val="lowerLetter"/>
      <w:start w:val="21"/>
    </w:lvl>
    <w:lvl w:ilvl="1">
      <w:lvlJc w:val="left"/>
      <w:lvlText w:val="(%2)"/>
      <w:numFmt w:val="lowerRoman"/>
      <w:start w:val="1"/>
    </w:lvl>
  </w:abstractNum>
  <w:abstractNum w:abstractNumId="45">
    <w:nsid w:val="1D9F6E5F"/>
    <w:multiLevelType w:val="hybridMultilevel"/>
    <w:lvl w:ilvl="0">
      <w:lvlJc w:val="left"/>
      <w:lvlText w:val="(%1)"/>
      <w:numFmt w:val="lowerLetter"/>
      <w:start w:val="26"/>
    </w:lvl>
  </w:abstractNum>
  <w:abstractNum w:abstractNumId="46">
    <w:nsid w:val="97E1B4E"/>
    <w:multiLevelType w:val="hybridMultilevel"/>
    <w:lvl w:ilvl="0">
      <w:lvlJc w:val="left"/>
      <w:lvlText w:val="(%1)"/>
      <w:numFmt w:val="lowerLetter"/>
      <w:start w:val="27"/>
    </w:lvl>
  </w:abstractNum>
  <w:abstractNum w:abstractNumId="47">
    <w:nsid w:val="51088277"/>
    <w:multiLevelType w:val="hybridMultilevel"/>
    <w:lvl w:ilvl="0">
      <w:lvlJc w:val="left"/>
      <w:lvlText w:val="1"/>
      <w:numFmt w:val="bullet"/>
      <w:start w:val="1"/>
    </w:lvl>
    <w:lvl w:ilvl="1">
      <w:lvlJc w:val="left"/>
      <w:lvlText w:val="(%2)"/>
      <w:numFmt w:val="lowerLetter"/>
      <w:start w:val="1"/>
    </w:lvl>
  </w:abstractNum>
  <w:abstractNum w:abstractNumId="48">
    <w:nsid w:val="1CA0C5FA"/>
    <w:multiLevelType w:val="hybridMultilevel"/>
    <w:lvl w:ilvl="0">
      <w:lvlJc w:val="left"/>
      <w:lvlText w:val="2"/>
      <w:numFmt w:val="bullet"/>
      <w:start w:val="1"/>
    </w:lvl>
    <w:lvl w:ilvl="1">
      <w:lvlJc w:val="left"/>
      <w:lvlText w:val="(%2)"/>
      <w:numFmt w:val="lowerLetter"/>
      <w:start w:val="1"/>
    </w:lvl>
  </w:abstractNum>
  <w:abstractNum w:abstractNumId="49">
    <w:nsid w:val="53584BCB"/>
    <w:multiLevelType w:val="hybridMultilevel"/>
    <w:lvl w:ilvl="0">
      <w:lvlJc w:val="left"/>
      <w:lvlText w:val="(%1)"/>
      <w:numFmt w:val="lowerLetter"/>
      <w:start w:val="8"/>
    </w:lvl>
    <w:lvl w:ilvl="1">
      <w:lvlJc w:val="left"/>
      <w:lvlText w:val="(%2)"/>
      <w:numFmt w:val="lowerRoman"/>
      <w:start w:val="1"/>
    </w:lvl>
  </w:abstractNum>
  <w:abstractNum w:abstractNumId="50">
    <w:nsid w:val="415E286C"/>
    <w:multiLevelType w:val="hybridMultilevel"/>
    <w:lvl w:ilvl="0">
      <w:lvlJc w:val="left"/>
      <w:lvlText w:val="(%1)"/>
      <w:numFmt w:val="lowerLetter"/>
      <w:start w:val="14"/>
    </w:lvl>
  </w:abstractNum>
  <w:abstractNum w:abstractNumId="51">
    <w:nsid w:val="7C58FD05"/>
    <w:multiLevelType w:val="hybridMultilevel"/>
    <w:lvl w:ilvl="0">
      <w:lvlJc w:val="left"/>
      <w:lvlText w:val="(%1)"/>
      <w:numFmt w:val="lowerLetter"/>
      <w:start w:val="26"/>
    </w:lvl>
  </w:abstractNum>
  <w:abstractNum w:abstractNumId="52">
    <w:nsid w:val="23D86AAC"/>
    <w:multiLevelType w:val="hybridMultilevel"/>
    <w:lvl w:ilvl="0">
      <w:lvlJc w:val="left"/>
      <w:lvlText w:val="(%1)"/>
      <w:numFmt w:val="lowerLetter"/>
      <w:start w:val="27"/>
    </w:lvl>
  </w:abstractNum>
  <w:abstractNum w:abstractNumId="53">
    <w:nsid w:val="45E6D486"/>
    <w:multiLevelType w:val="hybridMultilevel"/>
    <w:lvl w:ilvl="0">
      <w:lvlJc w:val="left"/>
      <w:lvlText w:val="%1"/>
      <w:numFmt w:val="upperLetter"/>
      <w:start w:val="1"/>
    </w:lvl>
    <w:lvl w:ilvl="1">
      <w:lvlJc w:val="left"/>
      <w:lvlText w:val="(%2)"/>
      <w:numFmt w:val="lowerLetter"/>
      <w:start w:val="39"/>
    </w:lvl>
  </w:abstractNum>
  <w:abstractNum w:abstractNumId="54">
    <w:nsid w:val="5C10FE21"/>
    <w:multiLevelType w:val="hybridMultilevel"/>
    <w:lvl w:ilvl="0">
      <w:lvlJc w:val="left"/>
      <w:lvlText w:val="(%1)"/>
      <w:numFmt w:val="upperLetter"/>
      <w:start w:val="1"/>
    </w:lvl>
    <w:lvl w:ilvl="1">
      <w:lvlJc w:val="left"/>
      <w:lvlText w:val="(%2)"/>
      <w:numFmt w:val="lowerLetter"/>
      <w:start w:val="49"/>
    </w:lvl>
  </w:abstractNum>
  <w:abstractNum w:abstractNumId="55">
    <w:nsid w:val="E7FFA2B"/>
    <w:multiLevelType w:val="hybridMultilevel"/>
    <w:lvl w:ilvl="0">
      <w:lvlJc w:val="left"/>
      <w:lvlText w:val="(%1)"/>
      <w:numFmt w:val="lowerLetter"/>
      <w:start w:val="53"/>
    </w:lvl>
    <w:lvl w:ilvl="1">
      <w:lvlJc w:val="left"/>
      <w:lvlText w:val="(%2)"/>
      <w:numFmt w:val="lowerRoman"/>
      <w:start w:val="1"/>
    </w:lvl>
  </w:abstractNum>
  <w:abstractNum w:abstractNumId="56">
    <w:nsid w:val="3C5991AA"/>
    <w:multiLevelType w:val="hybridMultilevel"/>
    <w:lvl w:ilvl="0">
      <w:lvlJc w:val="left"/>
      <w:lvlText w:val="3"/>
      <w:numFmt w:val="bullet"/>
      <w:start w:val="1"/>
    </w:lvl>
  </w:abstractNum>
  <w:abstractNum w:abstractNumId="57">
    <w:nsid w:val="4BD8591A"/>
    <w:multiLevelType w:val="hybridMultilevel"/>
    <w:lvl w:ilvl="0">
      <w:lvlJc w:val="left"/>
      <w:lvlText w:val="4"/>
      <w:numFmt w:val="bullet"/>
      <w:start w:val="1"/>
    </w:lvl>
    <w:lvl w:ilvl="1">
      <w:lvlJc w:val="left"/>
      <w:lvlText w:val="(%2)"/>
      <w:numFmt w:val="lowerLetter"/>
      <w:start w:val="1"/>
    </w:lvl>
  </w:abstractNum>
  <w:abstractNum w:abstractNumId="58">
    <w:nsid w:val="78DF6A55"/>
    <w:multiLevelType w:val="hybridMultilevel"/>
    <w:lvl w:ilvl="0">
      <w:lvlJc w:val="left"/>
      <w:lvlText w:val="(%1)"/>
      <w:numFmt w:val="lowerLetter"/>
      <w:start w:val="2"/>
    </w:lvl>
  </w:abstractNum>
  <w:abstractNum w:abstractNumId="59">
    <w:nsid w:val="39B7AAA2"/>
    <w:multiLevelType w:val="hybridMultilevel"/>
    <w:lvl w:ilvl="0">
      <w:lvlJc w:val="left"/>
      <w:lvlText w:val="(%1)"/>
      <w:numFmt w:val="lowerLetter"/>
      <w:start w:val="6"/>
    </w:lvl>
  </w:abstractNum>
  <w:abstractNum w:abstractNumId="60">
    <w:nsid w:val="2B0D8DBE"/>
    <w:multiLevelType w:val="hybridMultilevel"/>
    <w:lvl w:ilvl="0">
      <w:lvlJc w:val="left"/>
      <w:lvlText w:val="5"/>
      <w:numFmt w:val="bullet"/>
      <w:start w:val="1"/>
    </w:lvl>
    <w:lvl w:ilvl="1">
      <w:lvlJc w:val="left"/>
      <w:lvlText w:val="(%2)"/>
      <w:numFmt w:val="lowerLetter"/>
      <w:start w:val="1"/>
    </w:lvl>
  </w:abstractNum>
  <w:abstractNum w:abstractNumId="61">
    <w:nsid w:val="6C80EC70"/>
    <w:multiLevelType w:val="hybridMultilevel"/>
    <w:lvl w:ilvl="0">
      <w:lvlJc w:val="left"/>
      <w:lvlText w:val="(%1)"/>
      <w:numFmt w:val="lowerLetter"/>
      <w:start w:val="6"/>
    </w:lvl>
  </w:abstractNum>
  <w:abstractNum w:abstractNumId="62">
    <w:nsid w:val="379E21B5"/>
    <w:multiLevelType w:val="hybridMultilevel"/>
    <w:lvl w:ilvl="0">
      <w:lvlJc w:val="left"/>
      <w:lvlText w:val="6"/>
      <w:numFmt w:val="bullet"/>
      <w:start w:val="1"/>
    </w:lvl>
    <w:lvl w:ilvl="1">
      <w:lvlJc w:val="left"/>
      <w:lvlText w:val="(%2)"/>
      <w:numFmt w:val="lowerLetter"/>
      <w:start w:val="1"/>
    </w:lvl>
    <w:lvl w:ilvl="2">
      <w:lvlJc w:val="left"/>
      <w:lvlText w:val="(%3)"/>
      <w:numFmt w:val="lowerLetter"/>
      <w:start w:val="9"/>
    </w:lvl>
  </w:abstractNum>
  <w:abstractNum w:abstractNumId="63">
    <w:nsid w:val="69E373"/>
    <w:multiLevelType w:val="hybridMultilevel"/>
    <w:lvl w:ilvl="0">
      <w:lvlJc w:val="left"/>
      <w:lvlText w:val="%1"/>
      <w:numFmt w:val="lowerLetter"/>
      <w:start w:val="1"/>
    </w:lvl>
    <w:lvl w:ilvl="1">
      <w:lvlJc w:val="left"/>
      <w:lvlText w:val="(%2)"/>
      <w:numFmt w:val="lowerRoman"/>
      <w:start w:val="2"/>
    </w:lvl>
  </w:abstractNum>
  <w:abstractNum w:abstractNumId="64">
    <w:nsid w:val="2C27173B"/>
    <w:multiLevelType w:val="hybridMultilevel"/>
    <w:lvl w:ilvl="0">
      <w:lvlJc w:val="left"/>
      <w:lvlText w:val="(%1)"/>
      <w:numFmt w:val="lowerLetter"/>
      <w:start w:val="4"/>
    </w:lvl>
    <w:lvl w:ilvl="1">
      <w:lvlJc w:val="left"/>
      <w:lvlText w:val="%2"/>
      <w:numFmt w:val="lowerRoman"/>
      <w:start w:val="1"/>
    </w:lvl>
  </w:abstractNum>
  <w:abstractNum w:abstractNumId="65">
    <w:nsid w:val="4C9B0904"/>
    <w:multiLevelType w:val="hybridMultilevel"/>
    <w:lvl w:ilvl="0">
      <w:lvlJc w:val="left"/>
      <w:lvlText w:val="(%1)"/>
      <w:numFmt w:val="lowerLetter"/>
      <w:start w:val="6"/>
    </w:lvl>
  </w:abstractNum>
  <w:abstractNum w:abstractNumId="66">
    <w:nsid w:val="6AA7B75C"/>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67">
    <w:nsid w:val="1DF029D3"/>
    <w:multiLevelType w:val="hybridMultilevel"/>
    <w:lvl w:ilvl="0">
      <w:lvlJc w:val="left"/>
      <w:lvlText w:val="(%1)"/>
      <w:numFmt w:val="lowerLetter"/>
      <w:start w:val="5"/>
    </w:lvl>
  </w:abstractNum>
  <w:abstractNum w:abstractNumId="68">
    <w:nsid w:val="5675FF36"/>
    <w:multiLevelType w:val="hybridMultilevel"/>
    <w:lvl w:ilvl="0">
      <w:lvlJc w:val="left"/>
      <w:lvlText w:val="9"/>
      <w:numFmt w:val="bullet"/>
      <w:start w:val="1"/>
    </w:lvl>
  </w:abstractNum>
  <w:abstractNum w:abstractNumId="69">
    <w:nsid w:val="3DD15094"/>
    <w:multiLevelType w:val="hybridMultilevel"/>
    <w:lvl w:ilvl="0">
      <w:lvlJc w:val="left"/>
      <w:lvlText w:val="%1"/>
      <w:numFmt w:val="decimal"/>
      <w:start w:val="10"/>
    </w:lvl>
    <w:lvl w:ilvl="1">
      <w:lvlJc w:val="left"/>
      <w:lvlText w:val="(%2)"/>
      <w:numFmt w:val="lowerLetter"/>
      <w:start w:val="1"/>
    </w:lvl>
  </w:abstractNum>
  <w:abstractNum w:abstractNumId="70">
    <w:nsid w:val="3DB012B3"/>
    <w:multiLevelType w:val="hybridMultilevel"/>
    <w:lvl w:ilvl="0">
      <w:lvlJc w:val="left"/>
      <w:lvlText w:val="(%1)"/>
      <w:numFmt w:val="lowerLetter"/>
      <w:start w:val="2"/>
    </w:lvl>
    <w:lvl w:ilvl="1">
      <w:lvlJc w:val="left"/>
      <w:lvlText w:val="(%2)"/>
      <w:numFmt w:val="lowerRoman"/>
      <w:start w:val="1"/>
    </w:lvl>
  </w:abstractNum>
  <w:abstractNum w:abstractNumId="71">
    <w:nsid w:val="2708C9AF"/>
    <w:multiLevelType w:val="hybridMultilevel"/>
    <w:lvl w:ilvl="0">
      <w:lvlJc w:val="left"/>
      <w:lvlText w:val="(%1)"/>
      <w:numFmt w:val="lowerLetter"/>
      <w:start w:val="3"/>
    </w:lvl>
  </w:abstractNum>
  <w:abstractNum w:abstractNumId="72">
    <w:nsid w:val="5B25ACE2"/>
    <w:multiLevelType w:val="hybridMultilevel"/>
    <w:lvl w:ilvl="0">
      <w:lvlJc w:val="left"/>
      <w:lvlText w:val="%1"/>
      <w:numFmt w:val="decimal"/>
      <w:start w:val="12"/>
    </w:lvl>
    <w:lvl w:ilvl="1">
      <w:lvlJc w:val="left"/>
      <w:lvlText w:val="(%2)"/>
      <w:numFmt w:val="lowerLetter"/>
      <w:start w:val="1"/>
    </w:lvl>
  </w:abstractNum>
  <w:abstractNum w:abstractNumId="73">
    <w:nsid w:val="175DFCF0"/>
    <w:multiLevelType w:val="hybridMultilevel"/>
    <w:lvl w:ilvl="0">
      <w:lvlJc w:val="left"/>
      <w:lvlText w:val="(%1)"/>
      <w:numFmt w:val="lowerLetter"/>
      <w:start w:val="2"/>
    </w:lvl>
  </w:abstractNum>
  <w:abstractNum w:abstractNumId="74">
    <w:nsid w:val="4F97E3E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75">
    <w:nsid w:val="53B0A9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76">
    <w:nsid w:val="34FD6B4F"/>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77">
    <w:nsid w:val="5915FF32"/>
    <w:multiLevelType w:val="hybridMultilevel"/>
    <w:lvl w:ilvl="0">
      <w:lvlJc w:val="left"/>
      <w:lvlText w:val="%1"/>
      <w:numFmt w:val="lowerLetter"/>
      <w:start w:val="1"/>
    </w:lvl>
    <w:lvl w:ilvl="1">
      <w:lvlJc w:val="left"/>
      <w:lvlText w:val="(%2)"/>
      <w:numFmt w:val="lowerRoman"/>
      <w:start w:val="2"/>
    </w:lvl>
  </w:abstractNum>
  <w:abstractNum w:abstractNumId="78">
    <w:nsid w:val="56438D15"/>
    <w:multiLevelType w:val="hybridMultilevel"/>
    <w:lvl w:ilvl="0">
      <w:lvlJc w:val="left"/>
      <w:lvlText w:val="(%1)"/>
      <w:numFmt w:val="lowerLetter"/>
      <w:start w:val="4"/>
    </w:lvl>
    <w:lvl w:ilvl="1">
      <w:lvlJc w:val="left"/>
      <w:lvlText w:val="(%2)"/>
      <w:numFmt w:val="lowerRoman"/>
      <w:start w:val="1"/>
    </w:lvl>
  </w:abstractNum>
  <w:abstractNum w:abstractNumId="79">
    <w:nsid w:val="519E3149"/>
    <w:multiLevelType w:val="hybridMultilevel"/>
    <w:lvl w:ilvl="0">
      <w:lvlJc w:val="left"/>
      <w:lvlText w:val="%1"/>
      <w:numFmt w:val="lowerLetter"/>
      <w:start w:val="1"/>
    </w:lvl>
    <w:lvl w:ilvl="1">
      <w:lvlJc w:val="left"/>
      <w:lvlText w:val="(%2)"/>
      <w:numFmt w:val="lowerLetter"/>
      <w:start w:val="61"/>
    </w:lvl>
  </w:abstractNum>
  <w:abstractNum w:abstractNumId="80">
    <w:nsid w:val="2C6E4AFD"/>
    <w:multiLevelType w:val="hybridMultilevel"/>
    <w:lvl w:ilvl="0">
      <w:lvlJc w:val="left"/>
      <w:lvlText w:val="(%1)"/>
      <w:numFmt w:val="lowerLetter"/>
      <w:start w:val="5"/>
    </w:lvl>
    <w:lvl w:ilvl="1">
      <w:lvlJc w:val="left"/>
      <w:lvlText w:val="%2"/>
      <w:numFmt w:val="lowerLetter"/>
      <w:start w:val="1"/>
    </w:lvl>
  </w:abstractNum>
  <w:abstractNum w:abstractNumId="81">
    <w:nsid w:val="17A1B582"/>
    <w:multiLevelType w:val="hybridMultilevel"/>
    <w:lvl w:ilvl="0">
      <w:lvlJc w:val="left"/>
      <w:lvlText w:val="(%1)"/>
      <w:numFmt w:val="lowerLetter"/>
      <w:start w:val="9"/>
    </w:lvl>
    <w:lvl w:ilvl="1">
      <w:lvlJc w:val="left"/>
      <w:lvlText w:val="(%2)"/>
      <w:numFmt w:val="lowerLetter"/>
      <w:start w:val="9"/>
    </w:lvl>
  </w:abstractNum>
  <w:abstractNum w:abstractNumId="82">
    <w:nsid w:val="4DF72E4E"/>
    <w:multiLevelType w:val="hybridMultilevel"/>
    <w:lvl w:ilvl="0">
      <w:lvlJc w:val="left"/>
      <w:lvlText w:val="%1"/>
      <w:numFmt w:val="lowerLetter"/>
      <w:start w:val="1"/>
    </w:lvl>
    <w:lvl w:ilvl="1">
      <w:lvlJc w:val="left"/>
      <w:lvlText w:val="(%2)"/>
      <w:numFmt w:val="lowerLetter"/>
      <w:start w:val="35"/>
    </w:lvl>
  </w:abstractNum>
  <w:abstractNum w:abstractNumId="83">
    <w:nsid w:val="5046B5A9"/>
    <w:multiLevelType w:val="hybridMultilevel"/>
    <w:lvl w:ilvl="0">
      <w:lvlJc w:val="left"/>
      <w:lvlText w:val="(%1)"/>
      <w:numFmt w:val="lowerLetter"/>
      <w:start w:val="12"/>
    </w:lvl>
    <w:lvl w:ilvl="1">
      <w:lvlJc w:val="left"/>
      <w:lvlText w:val="%2"/>
      <w:numFmt w:val="lowerLetter"/>
      <w:start w:val="1"/>
    </w:lvl>
  </w:abstractNum>
  <w:abstractNum w:abstractNumId="84">
    <w:nsid w:val="5D888A08"/>
    <w:multiLevelType w:val="hybridMultilevel"/>
    <w:lvl w:ilvl="0">
      <w:lvlJc w:val="left"/>
      <w:lvlText w:val="(%1)"/>
      <w:numFmt w:val="lowerLetter"/>
      <w:start w:val="17"/>
    </w:lvl>
    <w:lvl w:ilvl="1">
      <w:lvlJc w:val="left"/>
      <w:lvlText w:val="(%2)"/>
      <w:numFmt w:val="lowerRoman"/>
      <w:start w:val="1"/>
    </w:lvl>
  </w:abstractNum>
  <w:abstractNum w:abstractNumId="85">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86">
    <w:nsid w:val="5EC6AFD4"/>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87">
    <w:nsid w:val="19E21BB2"/>
    <w:multiLevelType w:val="hybridMultilevel"/>
    <w:lvl w:ilvl="0">
      <w:lvlJc w:val="left"/>
      <w:lvlText w:val="(%1)"/>
      <w:numFmt w:val="lowerLetter"/>
      <w:start w:val="35"/>
    </w:lvl>
    <w:lvl w:ilvl="1">
      <w:lvlJc w:val="left"/>
      <w:lvlText w:val="(%2)"/>
      <w:numFmt w:val="lowerLetter"/>
      <w:start w:val="23"/>
    </w:lvl>
    <w:lvl w:ilvl="2">
      <w:lvlJc w:val="left"/>
      <w:lvlText w:val="(%3)"/>
      <w:numFmt w:val="lowerRoman"/>
      <w:start w:val="1"/>
    </w:lvl>
  </w:abstractNum>
  <w:abstractNum w:abstractNumId="88">
    <w:nsid w:val="75E0858A"/>
    <w:multiLevelType w:val="hybridMultilevel"/>
    <w:lvl w:ilvl="0">
      <w:lvlJc w:val="left"/>
      <w:lvlText w:val="1"/>
      <w:numFmt w:val="bullet"/>
      <w:start w:val="1"/>
    </w:lvl>
    <w:lvl w:ilvl="1">
      <w:lvlJc w:val="left"/>
      <w:lvlText w:val="(%2)"/>
      <w:numFmt w:val="lowerLetter"/>
      <w:start w:val="1"/>
    </w:lvl>
  </w:abstractNum>
  <w:abstractNum w:abstractNumId="89">
    <w:nsid w:val="57A61A29"/>
    <w:multiLevelType w:val="hybridMultilevel"/>
    <w:lvl w:ilvl="0">
      <w:lvlJc w:val="left"/>
      <w:lvlText w:val="2"/>
      <w:numFmt w:val="bullet"/>
      <w:start w:val="1"/>
    </w:lvl>
    <w:lvl w:ilvl="1">
      <w:lvlJc w:val="left"/>
      <w:lvlText w:val="(%2)"/>
      <w:numFmt w:val="lowerLetter"/>
      <w:start w:val="1"/>
    </w:lvl>
  </w:abstractNum>
  <w:abstractNum w:abstractNumId="90">
    <w:nsid w:val="5399C654"/>
    <w:multiLevelType w:val="hybridMultilevel"/>
    <w:lvl w:ilvl="0">
      <w:lvlJc w:val="left"/>
      <w:lvlText w:val="(%1)"/>
      <w:numFmt w:val="lowerLetter"/>
      <w:start w:val="7"/>
    </w:lvl>
    <w:lvl w:ilvl="1">
      <w:lvlJc w:val="left"/>
      <w:lvlText w:val="(%2)"/>
      <w:numFmt w:val="lowerRoman"/>
      <w:start w:val="1"/>
    </w:lvl>
  </w:abstractNum>
  <w:abstractNum w:abstractNumId="91">
    <w:nsid w:val="20EE1348"/>
    <w:multiLevelType w:val="hybridMultilevel"/>
    <w:lvl w:ilvl="0">
      <w:lvlJc w:val="left"/>
      <w:lvlText w:val="(%1)"/>
      <w:numFmt w:val="lowerLetter"/>
      <w:start w:val="15"/>
    </w:lvl>
  </w:abstractNum>
  <w:abstractNum w:abstractNumId="92">
    <w:nsid w:val="4427069A"/>
    <w:multiLevelType w:val="hybridMultilevel"/>
    <w:lvl w:ilvl="0">
      <w:lvlJc w:val="left"/>
      <w:lvlText w:val="(%1)"/>
      <w:numFmt w:val="lowerLetter"/>
      <w:start w:val="21"/>
    </w:lvl>
  </w:abstractNum>
  <w:abstractNum w:abstractNumId="93">
    <w:nsid w:val="B37E80A"/>
    <w:multiLevelType w:val="hybridMultilevel"/>
    <w:lvl w:ilvl="0">
      <w:lvlJc w:val="left"/>
      <w:lvlText w:val="(%1)"/>
      <w:numFmt w:val="lowerLetter"/>
      <w:start w:val="27"/>
    </w:lvl>
  </w:abstractNum>
  <w:abstractNum w:abstractNumId="94">
    <w:nsid w:val="2157F6BC"/>
    <w:multiLevelType w:val="hybridMultilevel"/>
    <w:lvl w:ilvl="0">
      <w:lvlJc w:val="left"/>
      <w:lvlText w:val="(%1)"/>
      <w:numFmt w:val="lowerLetter"/>
      <w:start w:val="38"/>
    </w:lvl>
    <w:lvl w:ilvl="1">
      <w:lvlJc w:val="left"/>
      <w:lvlText w:val="(%2)"/>
      <w:numFmt w:val="lowerLetter"/>
      <w:start w:val="50"/>
    </w:lvl>
    <w:lvl w:ilvl="2">
      <w:lvlJc w:val="left"/>
      <w:lvlText w:val="(%3)"/>
      <w:numFmt w:val="lowerRoman"/>
      <w:start w:val="1"/>
    </w:lvl>
  </w:abstractNum>
  <w:abstractNum w:abstractNumId="95">
    <w:nsid w:val="704E1DD5"/>
    <w:multiLevelType w:val="hybridMultilevel"/>
    <w:lvl w:ilvl="0">
      <w:lvlJc w:val="left"/>
      <w:lvlText w:val="(%1)"/>
      <w:numFmt w:val="lowerLetter"/>
      <w:start w:val="52"/>
    </w:lvl>
    <w:lvl w:ilvl="1">
      <w:lvlJc w:val="left"/>
      <w:lvlText w:val="%2"/>
      <w:numFmt w:val="lowerLetter"/>
      <w:start w:val="1"/>
    </w:lvl>
  </w:abstractNum>
  <w:abstractNum w:abstractNumId="96">
    <w:nsid w:val="57D2F10E"/>
    <w:multiLevelType w:val="hybridMultilevel"/>
    <w:lvl w:ilvl="0">
      <w:lvlJc w:val="left"/>
      <w:lvlText w:val="3"/>
      <w:numFmt w:val="bullet"/>
      <w:start w:val="1"/>
    </w:lvl>
  </w:abstractNum>
  <w:abstractNum w:abstractNumId="97">
    <w:nsid w:val="BFFAE18"/>
    <w:multiLevelType w:val="hybridMultilevel"/>
    <w:lvl w:ilvl="0">
      <w:lvlJc w:val="left"/>
      <w:lvlText w:val="4"/>
      <w:numFmt w:val="bullet"/>
      <w:start w:val="1"/>
    </w:lvl>
    <w:lvl w:ilvl="1">
      <w:lvlJc w:val="left"/>
      <w:lvlText w:val="%2"/>
      <w:numFmt w:val="lowerLetter"/>
      <w:start w:val="1"/>
    </w:lvl>
    <w:lvl w:ilvl="2">
      <w:lvlJc w:val="left"/>
      <w:lvlText w:val="(%3)"/>
      <w:numFmt w:val="lowerLetter"/>
      <w:start w:val="1"/>
    </w:lvl>
  </w:abstractNum>
  <w:abstractNum w:abstractNumId="98">
    <w:nsid w:val="E3E47A8"/>
    <w:multiLevelType w:val="hybridMultilevel"/>
    <w:lvl w:ilvl="0">
      <w:lvlJc w:val="left"/>
      <w:lvlText w:val="4"/>
      <w:numFmt w:val="bullet"/>
      <w:start w:val="1"/>
    </w:lvl>
    <w:lvl w:ilvl="1">
      <w:lvlJc w:val="left"/>
      <w:lvlText w:val="(%2)"/>
      <w:numFmt w:val="lowerLetter"/>
      <w:start w:val="35"/>
    </w:lvl>
    <w:lvl w:ilvl="2">
      <w:lvlJc w:val="left"/>
      <w:lvlText w:val="%3"/>
      <w:numFmt w:val="lowerLetter"/>
      <w:start w:val="1"/>
    </w:lvl>
  </w:abstractNum>
  <w:abstractNum w:abstractNumId="99">
    <w:nsid w:val="2E48F044"/>
    <w:multiLevelType w:val="hybridMultilevel"/>
    <w:lvl w:ilvl="0">
      <w:lvlJc w:val="left"/>
      <w:lvlText w:val="(%1)"/>
      <w:numFmt w:val="lowerLetter"/>
      <w:start w:val="4"/>
    </w:lvl>
  </w:abstractNum>
  <w:abstractNum w:abstractNumId="100">
    <w:nsid w:val="49D0FEAC"/>
    <w:multiLevelType w:val="hybridMultilevel"/>
    <w:lvl w:ilvl="0">
      <w:lvlJc w:val="left"/>
      <w:lvlText w:val="5"/>
      <w:numFmt w:val="bullet"/>
      <w:start w:val="1"/>
    </w:lvl>
    <w:lvl w:ilvl="1">
      <w:lvlJc w:val="left"/>
      <w:lvlText w:val="(%2)"/>
      <w:numFmt w:val="lowerLetter"/>
      <w:start w:val="1"/>
    </w:lvl>
  </w:abstractNum>
  <w:abstractNum w:abstractNumId="101">
    <w:nsid w:val="4BEE5A5B"/>
    <w:multiLevelType w:val="hybridMultilevel"/>
    <w:lvl w:ilvl="0">
      <w:lvlJc w:val="left"/>
      <w:lvlText w:val="(%1)"/>
      <w:numFmt w:val="lowerLetter"/>
      <w:start w:val="2"/>
    </w:lvl>
  </w:abstractNum>
  <w:abstractNum w:abstractNumId="102">
    <w:nsid w:val="5551B9F3"/>
    <w:multiLevelType w:val="hybridMultilevel"/>
    <w:lvl w:ilvl="0">
      <w:lvlJc w:val="left"/>
      <w:lvlText w:val="6"/>
      <w:numFmt w:val="bullet"/>
      <w:start w:val="1"/>
    </w:lvl>
    <w:lvl w:ilvl="1">
      <w:lvlJc w:val="left"/>
      <w:lvlText w:val="(%2)"/>
      <w:numFmt w:val="lowerLetter"/>
      <w:start w:val="1"/>
    </w:lvl>
    <w:lvl w:ilvl="2">
      <w:lvlJc w:val="left"/>
      <w:lvlText w:val="(%3)"/>
      <w:numFmt w:val="lowerRoman"/>
      <w:start w:val="1"/>
    </w:lvl>
  </w:abstractNum>
  <w:abstractNum w:abstractNumId="103">
    <w:nsid w:val="24F6AB8E"/>
    <w:multiLevelType w:val="hybridMultilevel"/>
    <w:lvl w:ilvl="0">
      <w:lvlJc w:val="left"/>
      <w:lvlText w:val="(%1)"/>
      <w:numFmt w:val="lowerLetter"/>
      <w:start w:val="4"/>
    </w:lvl>
  </w:abstractNum>
  <w:abstractNum w:abstractNumId="104">
    <w:nsid w:val="634C574C"/>
    <w:multiLevelType w:val="hybridMultilevel"/>
    <w:lvl w:ilvl="0">
      <w:lvlJc w:val="left"/>
      <w:lvlText w:val="8"/>
      <w:numFmt w:val="bullet"/>
      <w:start w:val="1"/>
    </w:lvl>
    <w:lvl w:ilvl="1">
      <w:lvlJc w:val="left"/>
      <w:lvlText w:val="(%2)"/>
      <w:numFmt w:val="lowerLetter"/>
      <w:start w:val="1"/>
    </w:lvl>
  </w:abstractNum>
  <w:abstractNum w:abstractNumId="105">
    <w:nsid w:val="24E99DD7"/>
    <w:multiLevelType w:val="hybridMultilevel"/>
    <w:lvl w:ilvl="0">
      <w:lvlJc w:val="left"/>
      <w:lvlText w:val="(%1)"/>
      <w:numFmt w:val="lowerLetter"/>
      <w:start w:val="2"/>
    </w:lvl>
    <w:lvl w:ilvl="1">
      <w:lvlJc w:val="left"/>
      <w:lvlText w:val="(%2)"/>
      <w:numFmt w:val="lowerRoman"/>
      <w:start w:val="1"/>
    </w:lvl>
  </w:abstractNum>
  <w:abstractNum w:abstractNumId="106">
    <w:nsid w:val="2A31B62D"/>
    <w:multiLevelType w:val="hybridMultilevel"/>
    <w:lvl w:ilvl="0">
      <w:lvlJc w:val="left"/>
      <w:lvlText w:val="9"/>
      <w:numFmt w:val="bullet"/>
      <w:start w:val="1"/>
    </w:lvl>
    <w:lvl w:ilvl="1">
      <w:lvlJc w:val="left"/>
      <w:lvlText w:val="(%2)"/>
      <w:numFmt w:val="lowerLetter"/>
      <w:start w:val="1"/>
    </w:lvl>
  </w:abstractNum>
  <w:abstractNum w:abstractNumId="107">
    <w:nsid w:val="1849C29B"/>
    <w:multiLevelType w:val="hybridMultilevel"/>
    <w:lvl w:ilvl="0">
      <w:lvlJc w:val="left"/>
      <w:lvlText w:val="(%1)"/>
      <w:numFmt w:val="lowerLetter"/>
      <w:start w:val="2"/>
    </w:lvl>
    <w:lvl w:ilvl="1">
      <w:lvlJc w:val="left"/>
      <w:lvlText w:val="(%2)"/>
      <w:numFmt w:val="lowerRoman"/>
      <w:start w:val="1"/>
    </w:lvl>
  </w:abstractNum>
  <w:abstractNum w:abstractNumId="108">
    <w:nsid w:val="7DFF9D09"/>
    <w:multiLevelType w:val="hybridMultilevel"/>
    <w:lvl w:ilvl="0">
      <w:lvlJc w:val="left"/>
      <w:lvlText w:val="%1"/>
      <w:numFmt w:val="lowerLetter"/>
      <w:start w:val="1"/>
    </w:lvl>
    <w:lvl w:ilvl="1">
      <w:lvlJc w:val="left"/>
      <w:lvlText w:val="(%2)"/>
      <w:numFmt w:val="lowerLetter"/>
      <w:start w:val="35"/>
    </w:lvl>
  </w:abstractNum>
  <w:abstractNum w:abstractNumId="109">
    <w:nsid w:val="754342"/>
    <w:multiLevelType w:val="hybridMultilevel"/>
    <w:lvl w:ilvl="0">
      <w:lvlJc w:val="left"/>
      <w:lvlText w:val="(%1)"/>
      <w:numFmt w:val="lowerLetter"/>
      <w:start w:val="5"/>
    </w:lvl>
    <w:lvl w:ilvl="1">
      <w:lvlJc w:val="left"/>
      <w:lvlText w:val="%2"/>
      <w:numFmt w:val="lowerLetter"/>
      <w:start w:val="1"/>
    </w:lvl>
  </w:abstractNum>
  <w:abstractNum w:abstractNumId="110">
    <w:nsid w:val="69E7F3E5"/>
    <w:multiLevelType w:val="hybridMultilevel"/>
    <w:lvl w:ilvl="0">
      <w:lvlJc w:val="left"/>
      <w:lvlText w:val="%1"/>
      <w:numFmt w:val="decimal"/>
      <w:start w:val="10"/>
    </w:lvl>
    <w:lvl w:ilvl="1">
      <w:lvlJc w:val="left"/>
      <w:lvlText w:val="(%2)"/>
      <w:numFmt w:val="lowerLetter"/>
      <w:start w:val="1"/>
    </w:lvl>
  </w:abstractNum>
  <w:abstractNum w:abstractNumId="111">
    <w:nsid w:val="2A6DE806"/>
    <w:multiLevelType w:val="hybridMultilevel"/>
    <w:lvl w:ilvl="0">
      <w:lvlJc w:val="left"/>
      <w:lvlText w:val="%1"/>
      <w:numFmt w:val="lowerRoman"/>
      <w:start w:val="1"/>
    </w:lvl>
    <w:lvl w:ilvl="1">
      <w:lvlJc w:val="left"/>
      <w:lvlText w:val="(%2)"/>
      <w:numFmt w:val="lowerLetter"/>
      <w:start w:val="3"/>
    </w:lvl>
  </w:abstractNum>
  <w:abstractNum w:abstractNumId="112">
    <w:nsid w:val="1816F8C4"/>
    <w:multiLevelType w:val="hybridMultilevel"/>
    <w:lvl w:ilvl="0">
      <w:lvlJc w:val="left"/>
      <w:lvlText w:val="(%1)"/>
      <w:numFmt w:val="lowerRoman"/>
      <w:start w:val="9"/>
    </w:lvl>
    <w:lvl w:ilvl="1">
      <w:lvlJc w:val="left"/>
      <w:lvlText w:val="%2"/>
      <w:numFmt w:val="lowerLetter"/>
      <w:start w:val="1"/>
    </w:lvl>
  </w:abstractNum>
  <w:abstractNum w:abstractNumId="113">
    <w:nsid w:val="37DF2233"/>
    <w:multiLevelType w:val="hybridMultilevel"/>
    <w:lvl w:ilvl="0">
      <w:lvlJc w:val="left"/>
      <w:lvlText w:val="(%1)"/>
      <w:numFmt w:val="lowerRoman"/>
      <w:start w:val="21"/>
    </w:lvl>
    <w:lvl w:ilvl="1">
      <w:lvlJc w:val="left"/>
      <w:lvlText w:val="(%2)"/>
      <w:numFmt w:val="lowerLetter"/>
      <w:start w:val="4"/>
    </w:lvl>
  </w:abstractNum>
  <w:abstractNum w:abstractNumId="114">
    <w:nsid w:val="7AB49DAF"/>
    <w:multiLevelType w:val="hybridMultilevel"/>
    <w:lvl w:ilvl="0">
      <w:lvlJc w:val="left"/>
      <w:lvlText w:val="(%1)"/>
      <w:numFmt w:val="lowerRoman"/>
      <w:start w:val="6"/>
    </w:lvl>
    <w:lvl w:ilvl="1">
      <w:lvlJc w:val="left"/>
      <w:lvlText w:val="%2"/>
      <w:numFmt w:val="lowerLetter"/>
      <w:start w:val="1"/>
    </w:lvl>
  </w:abstractNum>
  <w:abstractNum w:abstractNumId="115">
    <w:nsid w:val="759F82CD"/>
    <w:multiLevelType w:val="hybridMultilevel"/>
    <w:lvl w:ilvl="0">
      <w:lvlJc w:val="left"/>
      <w:lvlText w:val="(%1)"/>
      <w:numFmt w:val="lowerLetter"/>
      <w:start w:val="5"/>
    </w:lvl>
    <w:lvl w:ilvl="1">
      <w:lvlJc w:val="left"/>
      <w:lvlText w:val="(%2)"/>
      <w:numFmt w:val="lowerRoman"/>
      <w:start w:val="1"/>
    </w:lvl>
  </w:abstractNum>
  <w:abstractNum w:abstractNumId="116">
    <w:nsid w:val="61E74EA3"/>
    <w:multiLevelType w:val="hybridMultilevel"/>
    <w:lvl w:ilvl="0">
      <w:lvlJc w:val="left"/>
      <w:lvlText w:val="%1"/>
      <w:numFmt w:val="decimal"/>
      <w:start w:val="12"/>
    </w:lvl>
  </w:abstractNum>
  <w:abstractNum w:abstractNumId="117">
    <w:nsid w:val="597B4D84"/>
    <w:multiLevelType w:val="hybridMultilevel"/>
    <w:lvl w:ilvl="0">
      <w:lvlJc w:val="left"/>
      <w:lvlText w:val="(%1)"/>
      <w:numFmt w:val="lowerRoman"/>
      <w:start w:val="1"/>
    </w:lvl>
  </w:abstractNum>
  <w:abstractNum w:abstractNumId="118">
    <w:nsid w:val="F819E7F"/>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19">
    <w:nsid w:val="57C7D42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20">
    <w:nsid w:val="312167AD"/>
    <w:multiLevelType w:val="hybridMultilevel"/>
    <w:lvl w:ilvl="0">
      <w:lvlJc w:val="left"/>
      <w:lvlText w:val="(%1)"/>
      <w:numFmt w:val="upperLetter"/>
      <w:start w:val="4"/>
    </w:lvl>
    <w:lvl w:ilvl="1">
      <w:lvlJc w:val="left"/>
      <w:lvlText w:val="(%2)"/>
      <w:numFmt w:val="lowerLetter"/>
      <w:start w:val="2"/>
    </w:lvl>
    <w:lvl w:ilvl="2">
      <w:lvlJc w:val="left"/>
      <w:lvlText w:val="(%3)"/>
      <w:numFmt w:val="lowerLetter"/>
      <w:start w:val="61"/>
    </w:lvl>
  </w:abstractNum>
  <w:abstractNum w:abstractNumId="121">
    <w:nsid w:val="631B64D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22">
    <w:nsid w:val="78B5E776"/>
    <w:multiLevelType w:val="hybridMultilevel"/>
    <w:lvl w:ilvl="0">
      <w:lvlJc w:val="left"/>
      <w:lvlText w:val="(%1)"/>
      <w:numFmt w:val="lowerRoman"/>
      <w:start w:val="3"/>
    </w:lvl>
  </w:abstractNum>
  <w:abstractNum w:abstractNumId="123">
    <w:nsid w:val="75486E47"/>
    <w:multiLevelType w:val="hybridMultilevel"/>
    <w:lvl w:ilvl="0">
      <w:lvlJc w:val="left"/>
      <w:lvlText w:val="(%1)"/>
      <w:numFmt w:val="lowerLetter"/>
      <w:start w:val="5"/>
    </w:lvl>
  </w:abstractNum>
  <w:abstractNum w:abstractNumId="124">
    <w:nsid w:val="6E534CDE"/>
    <w:multiLevelType w:val="hybridMultilevel"/>
    <w:lvl w:ilvl="0">
      <w:lvlJc w:val="left"/>
      <w:lvlText w:val="(%1)"/>
      <w:numFmt w:val="lowerLetter"/>
      <w:start w:val="9"/>
    </w:lvl>
    <w:lvl w:ilvl="1">
      <w:lvlJc w:val="left"/>
      <w:lvlText w:val="(%2)"/>
      <w:numFmt w:val="lowerRoman"/>
      <w:start w:val="2"/>
    </w:lvl>
  </w:abstractNum>
  <w:abstractNum w:abstractNumId="125">
    <w:nsid w:val="1A0DDE32"/>
    <w:multiLevelType w:val="hybridMultilevel"/>
    <w:lvl w:ilvl="0">
      <w:lvlJc w:val="left"/>
      <w:lvlText w:val="(%1)"/>
      <w:numFmt w:val="lowerLetter"/>
      <w:start w:val="11"/>
    </w:lvl>
  </w:abstractNum>
  <w:abstractNum w:abstractNumId="126">
    <w:nsid w:val="65968C1C"/>
    <w:multiLevelType w:val="hybridMultilevel"/>
    <w:lvl w:ilvl="0">
      <w:lvlJc w:val="left"/>
      <w:lvlText w:val="(%1)"/>
      <w:numFmt w:val="lowerLetter"/>
      <w:start w:val="19"/>
    </w:lvl>
    <w:lvl w:ilvl="1">
      <w:lvlJc w:val="left"/>
      <w:lvlText w:val="(%2)"/>
      <w:numFmt w:val="lowerRoman"/>
      <w:start w:val="2"/>
    </w:lvl>
  </w:abstractNum>
  <w:abstractNum w:abstractNumId="127">
    <w:nsid w:val="46263DEC"/>
    <w:multiLevelType w:val="hybridMultilevel"/>
    <w:lvl w:ilvl="0">
      <w:lvlJc w:val="left"/>
      <w:lvlText w:val="(%1)"/>
      <w:numFmt w:val="lowerLetter"/>
      <w:start w:val="22"/>
    </w:lvl>
  </w:abstractNum>
  <w:abstractNum w:abstractNumId="128">
    <w:nsid w:val="260D8C4A"/>
    <w:multiLevelType w:val="hybridMultilevel"/>
    <w:lvl w:ilvl="0">
      <w:lvlJc w:val="left"/>
      <w:lvlText w:val="(%1)"/>
      <w:numFmt w:val="lowerLetter"/>
      <w:start w:val="21"/>
    </w:lvl>
  </w:abstractNum>
  <w:abstractNum w:abstractNumId="129">
    <w:nsid w:val="73D4D3C4"/>
    <w:multiLevelType w:val="hybridMultilevel"/>
    <w:lvl w:ilvl="0">
      <w:lvlJc w:val="left"/>
      <w:lvlText w:val="1"/>
      <w:numFmt w:val="bullet"/>
      <w:start w:val="1"/>
    </w:lvl>
    <w:lvl w:ilvl="1">
      <w:lvlJc w:val="left"/>
      <w:lvlText w:val="(%2)"/>
      <w:numFmt w:val="lowerLetter"/>
      <w:start w:val="1"/>
    </w:lvl>
  </w:abstractNum>
  <w:abstractNum w:abstractNumId="130">
    <w:nsid w:val="746F2E30"/>
    <w:multiLevelType w:val="hybridMultilevel"/>
    <w:lvl w:ilvl="0">
      <w:lvlJc w:val="left"/>
      <w:lvlText w:val="2"/>
      <w:numFmt w:val="bullet"/>
      <w:start w:val="1"/>
    </w:lvl>
  </w:abstractNum>
  <w:abstractNum w:abstractNumId="131">
    <w:nsid w:val="6FDE8AF6"/>
    <w:multiLevelType w:val="hybridMultilevel"/>
    <w:lvl w:ilvl="0">
      <w:lvlJc w:val="left"/>
      <w:lvlText w:val="(%1)"/>
      <w:numFmt w:val="lowerLetter"/>
      <w:start w:val="1"/>
    </w:lvl>
  </w:abstractNum>
  <w:abstractNum w:abstractNumId="132">
    <w:nsid w:val="3FC32E20"/>
    <w:multiLevelType w:val="hybridMultilevel"/>
    <w:lvl w:ilvl="0">
      <w:lvlJc w:val="left"/>
      <w:lvlText w:val="●"/>
      <w:numFmt w:val="bullet"/>
      <w:start w:val="1"/>
    </w:lvl>
    <w:lvl w:ilvl="1">
      <w:lvlJc w:val="left"/>
      <w:lvlText w:val="(%2)"/>
      <w:numFmt w:val="lowerLetter"/>
      <w:start w:val="6"/>
    </w:lvl>
  </w:abstractNum>
  <w:abstractNum w:abstractNumId="133">
    <w:nsid w:val="49C0E823"/>
    <w:multiLevelType w:val="hybridMultilevel"/>
    <w:lvl w:ilvl="0">
      <w:lvlJc w:val="left"/>
      <w:lvlText w:val="●"/>
      <w:numFmt w:val="bullet"/>
      <w:start w:val="1"/>
    </w:lvl>
  </w:abstractNum>
  <w:abstractNum w:abstractNumId="134">
    <w:nsid w:val="14D53685"/>
    <w:multiLevelType w:val="hybridMultilevel"/>
    <w:lvl w:ilvl="0">
      <w:lvlJc w:val="left"/>
      <w:lvlText w:val="(%1)"/>
      <w:numFmt w:val="lowerLetter"/>
      <w:start w:val="15"/>
    </w:lvl>
  </w:abstractNum>
  <w:abstractNum w:abstractNumId="135">
    <w:nsid w:val="230F856C"/>
    <w:multiLevelType w:val="hybridMultilevel"/>
    <w:lvl w:ilvl="0">
      <w:lvlJc w:val="left"/>
      <w:lvlText w:val="(%1)"/>
      <w:numFmt w:val="lowerLetter"/>
      <w:start w:val="19"/>
    </w:lvl>
  </w:abstractNum>
  <w:abstractNum w:abstractNumId="136">
    <w:nsid w:val="6EAA85FB"/>
    <w:multiLevelType w:val="hybridMultilevel"/>
    <w:lvl w:ilvl="0">
      <w:lvlJc w:val="left"/>
      <w:lvlText w:val="3"/>
      <w:numFmt w:val="bullet"/>
      <w:start w:val="1"/>
    </w:lvl>
    <w:lvl w:ilvl="1">
      <w:lvlJc w:val="left"/>
      <w:lvlText w:val="(%2)"/>
      <w:numFmt w:val="lowerLetter"/>
      <w:start w:val="1"/>
    </w:lvl>
  </w:abstractNum>
  <w:abstractNum w:abstractNumId="137">
    <w:nsid w:val="3F06ECB2"/>
    <w:multiLevelType w:val="hybridMultilevel"/>
    <w:lvl w:ilvl="0">
      <w:lvlJc w:val="left"/>
      <w:lvlText w:val="4"/>
      <w:numFmt w:val="bullet"/>
      <w:start w:val="1"/>
    </w:lvl>
  </w:abstractNum>
  <w:abstractNum w:abstractNumId="138">
    <w:nsid w:val="3B594807"/>
    <w:multiLevelType w:val="hybridMultilevel"/>
    <w:lvl w:ilvl="0">
      <w:lvlJc w:val="left"/>
      <w:lvlText w:val="5"/>
      <w:numFmt w:val="bullet"/>
      <w:start w:val="1"/>
    </w:lvl>
    <w:lvl w:ilvl="1">
      <w:lvlJc w:val="left"/>
      <w:lvlText w:val="(%2)"/>
      <w:numFmt w:val="lowerLetter"/>
      <w:start w:val="1"/>
    </w:lvl>
  </w:abstractNum>
  <w:abstractNum w:abstractNumId="139">
    <w:nsid w:val="6CAA2304"/>
    <w:multiLevelType w:val="hybridMultilevel"/>
    <w:lvl w:ilvl="0">
      <w:lvlJc w:val="left"/>
      <w:lvlText w:val="(%1)"/>
      <w:numFmt w:val="lowerLetter"/>
      <w:start w:val="2"/>
    </w:lvl>
  </w:abstractNum>
  <w:abstractNum w:abstractNumId="140">
    <w:nsid w:val="3F7C2FF4"/>
    <w:multiLevelType w:val="hybridMultilevel"/>
    <w:lvl w:ilvl="0">
      <w:lvlJc w:val="left"/>
      <w:lvlText w:val="6"/>
      <w:numFmt w:val="bullet"/>
      <w:start w:val="1"/>
    </w:lvl>
    <w:lvl w:ilvl="1">
      <w:lvlJc w:val="left"/>
      <w:lvlText w:val="(%2)"/>
      <w:numFmt w:val="lowerLetter"/>
      <w:start w:val="1"/>
    </w:lvl>
  </w:abstractNum>
  <w:abstractNum w:abstractNumId="141">
    <w:nsid w:val="25413BEC"/>
    <w:multiLevelType w:val="hybridMultilevel"/>
    <w:lvl w:ilvl="0">
      <w:lvlJc w:val="left"/>
      <w:lvlText w:val="(%1)"/>
      <w:numFmt w:val="lowerLetter"/>
      <w:start w:val="6"/>
    </w:lvl>
  </w:abstractNum>
  <w:abstractNum w:abstractNumId="142">
    <w:nsid w:val="17180B0B"/>
    <w:multiLevelType w:val="hybridMultilevel"/>
    <w:lvl w:ilvl="0">
      <w:lvlJc w:val="left"/>
      <w:lvlText w:val="7"/>
      <w:numFmt w:val="bullet"/>
      <w:start w:val="1"/>
    </w:lvl>
  </w:abstractNum>
  <w:abstractNum w:abstractNumId="143">
    <w:nsid w:val="579328B9"/>
    <w:multiLevelType w:val="hybridMultilevel"/>
    <w:lvl w:ilvl="0">
      <w:lvlJc w:val="left"/>
      <w:lvlText w:val="8"/>
      <w:numFmt w:val="bullet"/>
      <w:start w:val="1"/>
    </w:lvl>
  </w:abstractNum>
  <w:abstractNum w:abstractNumId="144">
    <w:nsid w:val="5D205E20"/>
    <w:multiLevelType w:val="hybridMultilevel"/>
    <w:lvl w:ilvl="0">
      <w:lvlJc w:val="left"/>
      <w:lvlText w:val="9"/>
      <w:numFmt w:val="bullet"/>
      <w:start w:val="1"/>
    </w:lvl>
  </w:abstractNum>
  <w:abstractNum w:abstractNumId="145">
    <w:nsid w:val="11CCA8BA"/>
    <w:multiLevelType w:val="hybridMultilevel"/>
    <w:lvl w:ilvl="0">
      <w:lvlJc w:val="left"/>
      <w:lvlText w:val="%1"/>
      <w:numFmt w:val="decimal"/>
      <w:start w:val="10"/>
    </w:lvl>
    <w:lvl w:ilvl="1">
      <w:lvlJc w:val="left"/>
      <w:lvlText w:val="(%2)"/>
      <w:numFmt w:val="lowerLetter"/>
      <w:start w:val="1"/>
    </w:lvl>
  </w:abstractNum>
  <w:abstractNum w:abstractNumId="146">
    <w:nsid w:val="4D32AB86"/>
    <w:multiLevelType w:val="hybridMultilevel"/>
    <w:lvl w:ilvl="0">
      <w:lvlJc w:val="left"/>
      <w:lvlText w:val="%1"/>
      <w:numFmt w:val="decimal"/>
      <w:start w:val="11"/>
    </w:lvl>
    <w:lvl w:ilvl="1">
      <w:lvlJc w:val="left"/>
      <w:lvlText w:val="(%2)"/>
      <w:numFmt w:val="lowerLetter"/>
      <w:start w:val="1"/>
    </w:lvl>
  </w:abstractNum>
  <w:abstractNum w:abstractNumId="147">
    <w:nsid w:val="3F07ACC3"/>
    <w:multiLevelType w:val="hybridMultilevel"/>
    <w:lvl w:ilvl="0">
      <w:lvlJc w:val="left"/>
      <w:lvlText w:val="1"/>
      <w:numFmt w:val="bullet"/>
      <w:start w:val="1"/>
    </w:lvl>
    <w:lvl w:ilvl="1">
      <w:lvlJc w:val="left"/>
      <w:lvlText w:val="(%2)"/>
      <w:numFmt w:val="lowerLetter"/>
      <w:start w:val="1"/>
    </w:lvl>
  </w:abstractNum>
  <w:abstractNum w:abstractNumId="148">
    <w:nsid w:val="6B47F63E"/>
    <w:multiLevelType w:val="hybridMultilevel"/>
    <w:lvl w:ilvl="0">
      <w:lvlJc w:val="left"/>
      <w:lvlText w:val="(%1)"/>
      <w:numFmt w:val="lowerLetter"/>
      <w:start w:val="2"/>
    </w:lvl>
  </w:abstractNum>
  <w:abstractNum w:abstractNumId="149">
    <w:nsid w:val="5CB44A05"/>
    <w:multiLevelType w:val="hybridMultilevel"/>
    <w:lvl w:ilvl="0">
      <w:lvlJc w:val="left"/>
      <w:lvlText w:val="(%1)"/>
      <w:numFmt w:val="lowerLetter"/>
      <w:start w:val="3"/>
    </w:lvl>
  </w:abstractNum>
  <w:abstractNum w:abstractNumId="150">
    <w:nsid w:val="16CF80F1"/>
    <w:multiLevelType w:val="hybridMultilevel"/>
    <w:lvl w:ilvl="0">
      <w:lvlJc w:val="left"/>
      <w:lvlText w:val="●"/>
      <w:numFmt w:val="bullet"/>
      <w:start w:val="1"/>
    </w:lvl>
    <w:lvl w:ilvl="1">
      <w:lvlJc w:val="left"/>
      <w:lvlText w:val="●"/>
      <w:numFmt w:val="bullet"/>
      <w:start w:val="1"/>
    </w:lvl>
  </w:abstractNum>
  <w:abstractNum w:abstractNumId="151">
    <w:nsid w:val="1C695DEC"/>
    <w:multiLevelType w:val="hybridMultilevel"/>
    <w:lvl w:ilvl="0">
      <w:lvlJc w:val="left"/>
      <w:lvlText w:val="(%1)"/>
      <w:numFmt w:val="lowerLetter"/>
      <w:start w:val="4"/>
    </w:lvl>
  </w:abstractNum>
  <w:abstractNum w:abstractNumId="152">
    <w:nsid w:val="3FCFAED9"/>
    <w:multiLevelType w:val="hybridMultilevel"/>
    <w:lvl w:ilvl="0">
      <w:lvlJc w:val="left"/>
      <w:lvlText w:val="●"/>
      <w:numFmt w:val="bullet"/>
      <w:start w:val="1"/>
    </w:lvl>
    <w:lvl w:ilvl="1">
      <w:lvlJc w:val="left"/>
      <w:lvlText w:val="(%2)"/>
      <w:numFmt w:val="lowerLetter"/>
      <w:start w:val="5"/>
    </w:lvl>
  </w:abstractNum>
  <w:abstractNum w:abstractNumId="153">
    <w:nsid w:val="F856867"/>
    <w:multiLevelType w:val="hybridMultilevel"/>
    <w:lvl w:ilvl="0">
      <w:lvlJc w:val="left"/>
      <w:lvlText w:val="(%1)"/>
      <w:numFmt w:val="lowerRoman"/>
      <w:start w:val="1"/>
    </w:lvl>
  </w:abstractNum>
  <w:abstractNum w:abstractNumId="154">
    <w:nsid w:val="11B1CC33"/>
    <w:multiLevelType w:val="hybridMultilevel"/>
    <w:lvl w:ilvl="0">
      <w:lvlJc w:val="left"/>
      <w:lvlText w:val="2"/>
      <w:numFmt w:val="bullet"/>
      <w:start w:val="1"/>
    </w:lvl>
    <w:lvl w:ilvl="1">
      <w:lvlJc w:val="left"/>
      <w:lvlText w:val="(%2)"/>
      <w:numFmt w:val="lowerLetter"/>
      <w:start w:val="1"/>
    </w:lvl>
  </w:abstractNum>
  <w:abstractNum w:abstractNumId="155">
    <w:nsid w:val="2E22FBB7"/>
    <w:multiLevelType w:val="hybridMultilevel"/>
    <w:lvl w:ilvl="0">
      <w:lvlJc w:val="left"/>
      <w:lvlText w:val="(%1)"/>
      <w:numFmt w:val="lowerLetter"/>
      <w:start w:val="2"/>
    </w:lvl>
  </w:abstractNum>
  <w:abstractNum w:abstractNumId="156">
    <w:nsid w:val="29934699"/>
    <w:multiLevelType w:val="hybridMultilevel"/>
    <w:lvl w:ilvl="0">
      <w:lvlJc w:val="left"/>
      <w:lvlText w:val="(%1)"/>
      <w:numFmt w:val="lowerLetter"/>
      <w:start w:val="3"/>
    </w:lvl>
  </w:abstractNum>
  <w:abstractNum w:abstractNumId="157">
    <w:nsid w:val="77485850"/>
    <w:multiLevelType w:val="hybridMultilevel"/>
    <w:lvl w:ilvl="0">
      <w:lvlJc w:val="left"/>
      <w:lvlText w:val="3"/>
      <w:numFmt w:val="bullet"/>
      <w:start w:val="1"/>
    </w:lvl>
    <w:lvl w:ilvl="1">
      <w:lvlJc w:val="left"/>
      <w:lvlText w:val="(%2)"/>
      <w:numFmt w:val="lowerLetter"/>
      <w:start w:val="1"/>
    </w:lvl>
  </w:abstractNum>
  <w:abstractNum w:abstractNumId="158">
    <w:nsid w:val="744939A3"/>
    <w:multiLevelType w:val="hybridMultilevel"/>
    <w:lvl w:ilvl="0">
      <w:lvlJc w:val="left"/>
      <w:lvlText w:val="(%1)"/>
      <w:numFmt w:val="lowerRoman"/>
      <w:start w:val="1"/>
    </w:lvl>
  </w:abstractNum>
  <w:abstractNum w:abstractNumId="159">
    <w:nsid w:val="4FA0D2E3"/>
    <w:multiLevelType w:val="hybridMultilevel"/>
    <w:lvl w:ilvl="0">
      <w:lvlJc w:val="left"/>
      <w:lvlText w:val="(%1)"/>
      <w:numFmt w:val="lowerRoman"/>
      <w:start w:val="2"/>
    </w:lvl>
  </w:abstractNum>
  <w:abstractNum w:abstractNumId="160">
    <w:nsid w:val="6B1D2C14"/>
    <w:multiLevelType w:val="hybridMultilevel"/>
    <w:lvl w:ilvl="0">
      <w:lvlJc w:val="left"/>
      <w:lvlText w:val="(%1)"/>
      <w:numFmt w:val="lowerLetter"/>
      <w:start w:val="2"/>
    </w:lvl>
  </w:abstractNum>
  <w:abstractNum w:abstractNumId="161">
    <w:nsid w:val="68B867D3"/>
    <w:multiLevelType w:val="hybridMultilevel"/>
    <w:lvl w:ilvl="0">
      <w:lvlJc w:val="left"/>
      <w:lvlText w:val="(%1)"/>
      <w:numFmt w:val="lowerLetter"/>
      <w:start w:val="3"/>
    </w:lvl>
  </w:abstractNum>
  <w:abstractNum w:abstractNumId="162">
    <w:nsid w:val="3F7F5DD9"/>
    <w:multiLevelType w:val="hybridMultilevel"/>
    <w:lvl w:ilvl="0">
      <w:lvlJc w:val="left"/>
      <w:lvlText w:val="4"/>
      <w:numFmt w:val="bullet"/>
      <w:start w:val="1"/>
    </w:lvl>
    <w:lvl w:ilvl="1">
      <w:lvlJc w:val="left"/>
      <w:lvlText w:val="(%2)"/>
      <w:numFmt w:val="lowerLetter"/>
      <w:start w:val="1"/>
    </w:lvl>
  </w:abstractNum>
  <w:abstractNum w:abstractNumId="163">
    <w:nsid w:val="2AE05A34"/>
    <w:multiLevelType w:val="hybridMultilevel"/>
    <w:lvl w:ilvl="0">
      <w:lvlJc w:val="left"/>
      <w:lvlText w:val="●"/>
      <w:numFmt w:val="bullet"/>
      <w:start w:val="1"/>
    </w:lvl>
    <w:lvl w:ilvl="1">
      <w:lvlJc w:val="left"/>
      <w:lvlText w:val="●"/>
      <w:numFmt w:val="bullet"/>
      <w:start w:val="1"/>
    </w:lvl>
  </w:abstractNum>
  <w:abstractNum w:abstractNumId="164">
    <w:nsid w:val="32794FF7"/>
    <w:multiLevelType w:val="hybridMultilevel"/>
    <w:lvl w:ilvl="0">
      <w:lvlJc w:val="left"/>
      <w:lvlText w:val="(%1)"/>
      <w:numFmt w:val="lowerLetter"/>
      <w:start w:val="2"/>
    </w:lvl>
  </w:abstractNum>
  <w:abstractNum w:abstractNumId="165">
    <w:nsid w:val="5454945E"/>
    <w:multiLevelType w:val="hybridMultilevel"/>
    <w:lvl w:ilvl="0">
      <w:lvlJc w:val="left"/>
      <w:lvlText w:val="1"/>
      <w:numFmt w:val="bullet"/>
      <w:start w:val="1"/>
    </w:lvl>
  </w:abstractNum>
  <w:abstractNum w:abstractNumId="166">
    <w:nsid w:val="4DEFDFA0"/>
    <w:multiLevelType w:val="hybridMultilevel"/>
    <w:lvl w:ilvl="0">
      <w:lvlJc w:val="left"/>
      <w:lvlText w:val="2"/>
      <w:numFmt w:val="bullet"/>
      <w:start w:val="1"/>
    </w:lvl>
  </w:abstractNum>
  <w:abstractNum w:abstractNumId="167">
    <w:nsid w:val="2123D5F2"/>
    <w:multiLevelType w:val="hybridMultilevel"/>
    <w:lvl w:ilvl="0">
      <w:lvlJc w:val="left"/>
      <w:lvlText w:val="(%1)"/>
      <w:numFmt w:val="lowerRoman"/>
      <w:start w:val="1"/>
    </w:lvl>
  </w:abstractNum>
  <w:abstractNum w:abstractNumId="168">
    <w:nsid w:val="135B8110"/>
    <w:multiLevelType w:val="hybridMultilevel"/>
    <w:lvl w:ilvl="0">
      <w:lvlJc w:val="left"/>
      <w:lvlText w:val="3"/>
      <w:numFmt w:val="bullet"/>
      <w:start w:val="1"/>
    </w:lvl>
  </w:abstractNum>
  <w:abstractNum w:abstractNumId="169">
    <w:nsid w:val="94927A8"/>
    <w:multiLevelType w:val="hybridMultilevel"/>
    <w:lvl w:ilvl="0">
      <w:lvlJc w:val="left"/>
      <w:lvlText w:val="(%1)"/>
      <w:numFmt w:val="lowerRoman"/>
      <w:start w:val="1"/>
    </w:lvl>
  </w:abstractNum>
  <w:abstractNum w:abstractNumId="170">
    <w:nsid w:val="DCDF8F6"/>
    <w:multiLevelType w:val="hybridMultilevel"/>
    <w:lvl w:ilvl="0">
      <w:lvlJc w:val="left"/>
      <w:lvlText w:val="4"/>
      <w:numFmt w:val="bullet"/>
      <w:start w:val="1"/>
    </w:lvl>
  </w:abstractNum>
  <w:abstractNum w:abstractNumId="171">
    <w:nsid w:val="52D7B105"/>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jpe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jpeg"/><Relationship Id="rId118" Type="http://schemas.openxmlformats.org/officeDocument/2006/relationships/image" Target="media/image107.png"/><Relationship Id="rId119" Type="http://schemas.openxmlformats.org/officeDocument/2006/relationships/image" Target="media/image108.jpe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9" Type="http://schemas.openxmlformats.org/officeDocument/2006/relationships/hyperlink" Target="https://www.sec.gov/Archives/edgar/data/1060955/000106095521000004/iclr-20201231.htm" TargetMode="External"/><Relationship Id="rId20" Type="http://schemas.openxmlformats.org/officeDocument/2006/relationships/hyperlink" Target="https://www.sec.gov/Archives/edgar/data/1060955/000114036121023058/nt10026444x8_6k.htm" TargetMode="External"/><Relationship Id="rId21" Type="http://schemas.openxmlformats.org/officeDocument/2006/relationships/hyperlink" Target="https://www.sec.gov/Archives/edgar/data/1060955/000106095521000004/exhibit22-2020.htm" TargetMode="External"/><Relationship Id="rId23" Type="http://schemas.openxmlformats.org/officeDocument/2006/relationships/hyperlink" Target="https://www.sec.gov/Archives/edgar/data/1060955/000114036121010936/nt10020839x1_f4.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2021-07-01T15:15:48Z</dcterms:created>
  <dcterms:modified xsi:type="dcterms:W3CDTF">2021-07-01T15:15:48Z</dcterms:modified>
</cp:coreProperties>
</file>