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shd w:fill="FFFFFF" w:val="clear"/>
        </w:rPr>
      </w:pPr>
      <w:r>
        <w:rPr>
          <w:color w:val="000000"/>
          <w:shd w:fill="FFFFFF" w:val="clear"/>
        </w:rPr>
        <w:t> </w:t>
      </w: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6-K</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REPORT OF FOREIGN PRIVATE ISSUER</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RULE 13a-16 OR 15d-16</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UNDER THE SECURITIES EXCHANGE ACT OF 1934</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month of June 2026</w:t>
      </w:r>
    </w:p>
    <w:p>
      <w:pPr>
        <w:pStyle w:val="TextBody"/>
        <w:bidi w:val="0"/>
        <w:spacing w:before="0" w:after="0"/>
        <w:jc w:val="center"/>
        <w:rPr/>
      </w:pPr>
      <w:r>
        <w:rPr/>
      </w:r>
    </w:p>
    <w:p>
      <w:pPr>
        <w:pStyle w:val="TextBody"/>
        <w:bidi w:val="0"/>
        <w:spacing w:lineRule="auto" w:line="240" w:before="0" w:after="0"/>
        <w:jc w:val="center"/>
        <w:rPr>
          <w:shd w:fill="FFFFFF" w:val="clear"/>
        </w:rPr>
      </w:pPr>
      <w:r>
        <w:rPr>
          <w:rFonts w:ascii="Times New Roman;serif" w:hAnsi="Times New Roman;serif"/>
          <w:b/>
          <w:color w:val="000000"/>
          <w:sz w:val="20"/>
          <w:shd w:fill="FFFFFF" w:val="clear"/>
        </w:rPr>
        <w:t>Commission File Number:</w:t>
      </w:r>
      <w:r>
        <w:rPr>
          <w:color w:val="000000"/>
          <w:shd w:fill="FFFFFF" w:val="clear"/>
        </w:rPr>
        <w:t xml:space="preserve"> </w:t>
      </w:r>
      <w:r>
        <w:rPr>
          <w:rFonts w:ascii="Times New Roman;serif" w:hAnsi="Times New Roman;serif"/>
          <w:b/>
          <w:color w:val="000000"/>
          <w:sz w:val="20"/>
          <w:shd w:fill="FFFFFF" w:val="clear"/>
        </w:rPr>
        <w:t>333-08704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ICON plc</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(Translation of registrant's name into English)</w:t>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South County Business Park, Leopardstown, Dublin 18, D18 X5R3, Ireland</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w:t>
      </w:r>
    </w:p>
    <w:p>
      <w:pPr>
        <w:pStyle w:val="TextBody"/>
        <w:bidi w:val="0"/>
        <w:spacing w:before="0" w:after="0"/>
        <w:jc w:val="left"/>
        <w:rPr/>
      </w:pPr>
      <w:r>
        <w:rPr/>
      </w:r>
    </w:p>
    <w:p>
      <w:pPr>
        <w:pStyle w:val="TextBody"/>
        <w:bidi w:val="0"/>
        <w:spacing w:before="0" w:after="0"/>
        <w:jc w:val="left"/>
        <w:rPr/>
      </w:pPr>
      <w:r>
        <w:rPr/>
      </w:r>
    </w:p>
    <w:tbl>
      <w:tblPr>
        <w:tblW w:w="9464" w:type="dxa"/>
        <w:jc w:val="left"/>
        <w:tblInd w:w="0" w:type="dxa"/>
        <w:tblLayout w:type="fixed"/>
        <w:tblCellMar>
          <w:top w:w="28" w:type="dxa"/>
          <w:left w:w="28" w:type="dxa"/>
          <w:bottom w:w="28" w:type="dxa"/>
          <w:right w:w="28" w:type="dxa"/>
        </w:tblCellMar>
      </w:tblPr>
      <w:tblGrid>
        <w:gridCol w:w="873"/>
        <w:gridCol w:w="767"/>
        <w:gridCol w:w="767"/>
        <w:gridCol w:w="767"/>
        <w:gridCol w:w="767"/>
        <w:gridCol w:w="767"/>
        <w:gridCol w:w="767"/>
        <w:gridCol w:w="767"/>
        <w:gridCol w:w="767"/>
        <w:gridCol w:w="767"/>
        <w:gridCol w:w="767"/>
        <w:gridCol w:w="767"/>
        <w:gridCol w:w="154"/>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tc>
        <w:tc>
          <w:tcPr>
            <w:tcW w:w="154" w:type="dxa"/>
            <w:tcBorders/>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20-F ☒</w:t>
            </w:r>
          </w:p>
        </w:tc>
        <w:tc>
          <w:tcPr>
            <w:tcW w:w="2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40-F ☐</w:t>
            </w:r>
          </w:p>
        </w:tc>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vMerge w:val="restart"/>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54" w:type="dxa"/>
            <w:tcBorders/>
          </w:tcPr>
          <w:p>
            <w:pPr>
              <w:pStyle w:val="TableContents"/>
              <w:bidi w:val="0"/>
              <w:spacing w:before="0" w:after="283"/>
              <w:jc w:val="left"/>
              <w:rPr>
                <w:sz w:val="4"/>
                <w:szCs w:val="4"/>
              </w:rPr>
            </w:pPr>
            <w:r>
              <w:rPr>
                <w:sz w:val="4"/>
                <w:szCs w:val="4"/>
              </w:rPr>
            </w:r>
          </w:p>
        </w:tc>
      </w:tr>
      <w:tr>
        <w:trPr/>
        <w:tc>
          <w:tcPr>
            <w:tcW w:w="9310" w:type="dxa"/>
            <w:gridSpan w:val="12"/>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0" w:type="dxa"/>
            <w:gridSpan w:val="12"/>
            <w:vMerge w:val="continue"/>
            <w:tcBorders>
              <w:bottom w:val="single" w:sz="4"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EXHIBIT LIST</w:t>
      </w:r>
    </w:p>
    <w:p>
      <w:pPr>
        <w:pStyle w:val="TextBody"/>
        <w:bidi w:val="0"/>
        <w:spacing w:lineRule="auto" w:line="240" w:before="0" w:after="0"/>
        <w:jc w:val="left"/>
        <w:rPr>
          <w:color w:val="000000"/>
          <w:shd w:fill="FFFFFF" w:val="clear"/>
        </w:rPr>
      </w:pPr>
      <w:r>
        <w:rPr>
          <w:color w:val="000000"/>
          <w:shd w:fill="FFFFFF" w:val="clear"/>
        </w:rPr>
        <w:t> </w:t>
      </w:r>
    </w:p>
    <w:tbl>
      <w:tblPr>
        <w:tblW w:w="8142" w:type="dxa"/>
        <w:jc w:val="left"/>
        <w:tblInd w:w="0" w:type="dxa"/>
        <w:tblLayout w:type="fixed"/>
        <w:tblCellMar>
          <w:top w:w="28" w:type="dxa"/>
          <w:left w:w="28" w:type="dxa"/>
          <w:bottom w:w="28" w:type="dxa"/>
          <w:right w:w="28" w:type="dxa"/>
        </w:tblCellMar>
      </w:tblPr>
      <w:tblGrid>
        <w:gridCol w:w="124"/>
        <w:gridCol w:w="109"/>
        <w:gridCol w:w="109"/>
        <w:gridCol w:w="240"/>
        <w:gridCol w:w="240"/>
        <w:gridCol w:w="241"/>
        <w:gridCol w:w="2073"/>
        <w:gridCol w:w="2073"/>
        <w:gridCol w:w="2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pressrelease.htm">
              <w:r>
                <w:rPr>
                  <w:rStyle w:val="InternetLink"/>
                  <w:rFonts w:ascii="Times New Roman;serif" w:hAnsi="Times New Roman;serif"/>
                  <w:b w:val="false"/>
                  <w:color w:val="0000FF"/>
                  <w:sz w:val="20"/>
                  <w:u w:val="single"/>
                </w:rPr>
                <w:t>99.1</w:t>
              </w:r>
            </w:hyperlink>
          </w:p>
        </w:tc>
        <w:tc>
          <w:tcPr>
            <w:tcW w:w="70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026pressrelease.htm">
              <w:r>
                <w:rPr>
                  <w:rStyle w:val="InternetLink"/>
                  <w:rFonts w:ascii="Times New Roman;serif" w:hAnsi="Times New Roman;serif"/>
                  <w:b w:val="false"/>
                  <w:color w:val="000080"/>
                  <w:sz w:val="20"/>
                  <w:u w:val="single"/>
                </w:rPr>
                <w:t>ICON plc Press Release issued June 2</w:t>
              </w:r>
            </w:hyperlink>
            <w:hyperlink w:anchor="q12026pressrelease.htm">
              <w:r>
                <w:rPr>
                  <w:rStyle w:val="InternetLink"/>
                  <w:rFonts w:ascii="Times New Roman;serif" w:hAnsi="Times New Roman;serif"/>
                  <w:b w:val="false"/>
                  <w:color w:val="000080"/>
                  <w:sz w:val="20"/>
                  <w:u w:val="single"/>
                </w:rPr>
                <w:t>3</w:t>
              </w:r>
            </w:hyperlink>
            <w:hyperlink w:anchor="q12026pressrelease.htm">
              <w:r>
                <w:rPr>
                  <w:rStyle w:val="InternetLink"/>
                  <w:rFonts w:ascii="Times New Roman;serif" w:hAnsi="Times New Roman;serif"/>
                  <w:b w:val="false"/>
                  <w:color w:val="000080"/>
                  <w:sz w:val="20"/>
                  <w:u w:val="single"/>
                </w:rPr>
                <w:t>, 2026 - ICON reports F</w:t>
              </w:r>
            </w:hyperlink>
            <w:hyperlink w:anchor="q12026pressrelease.htm">
              <w:r>
                <w:rPr>
                  <w:rStyle w:val="InternetLink"/>
                  <w:rFonts w:ascii="Times New Roman;serif" w:hAnsi="Times New Roman;serif"/>
                  <w:b w:val="false"/>
                  <w:color w:val="000080"/>
                  <w:sz w:val="20"/>
                  <w:u w:val="single"/>
                </w:rPr>
                <w:t>irst</w:t>
              </w:r>
            </w:hyperlink>
            <w:hyperlink w:anchor="q12026pressrelease.htm">
              <w:r>
                <w:rPr>
                  <w:rStyle w:val="InternetLink"/>
                  <w:rFonts w:ascii="Times New Roman;serif" w:hAnsi="Times New Roman;serif"/>
                  <w:b w:val="false"/>
                  <w:color w:val="000080"/>
                  <w:sz w:val="20"/>
                  <w:u w:val="single"/>
                </w:rPr>
                <w:t xml:space="preserve"> Quarter </w:t>
              </w:r>
            </w:hyperlink>
            <w:hyperlink w:anchor="q12026pressrelease.htm">
              <w:r>
                <w:rPr>
                  <w:rStyle w:val="InternetLink"/>
                  <w:rFonts w:ascii="Times New Roman;serif" w:hAnsi="Times New Roman;serif"/>
                  <w:b w:val="false"/>
                  <w:color w:val="000080"/>
                  <w:sz w:val="20"/>
                  <w:u w:val="single"/>
                </w:rPr>
                <w:t>202</w:t>
              </w:r>
            </w:hyperlink>
            <w:hyperlink w:anchor="q12026pressrelease.htm">
              <w:r>
                <w:rPr>
                  <w:rStyle w:val="InternetLink"/>
                  <w:rFonts w:ascii="Times New Roman;serif" w:hAnsi="Times New Roman;serif"/>
                  <w:b w:val="false"/>
                  <w:color w:val="000080"/>
                  <w:sz w:val="20"/>
                  <w:u w:val="single"/>
                </w:rPr>
                <w:t>6</w:t>
              </w:r>
            </w:hyperlink>
            <w:hyperlink w:anchor="q12026pressrelease.htm">
              <w:r>
                <w:rPr>
                  <w:rStyle w:val="InternetLink"/>
                  <w:rFonts w:ascii="Times New Roman;serif" w:hAnsi="Times New Roman;serif"/>
                  <w:b w:val="false"/>
                  <w:color w:val="000080"/>
                  <w:sz w:val="20"/>
                  <w:u w:val="single"/>
                </w:rPr>
                <w:t xml:space="preserve"> results</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tbl>
      <w:tblPr>
        <w:tblW w:w="4974" w:type="dxa"/>
        <w:jc w:val="left"/>
        <w:tblInd w:w="0" w:type="dxa"/>
        <w:tblLayout w:type="fixed"/>
        <w:tblCellMar>
          <w:top w:w="28" w:type="dxa"/>
          <w:left w:w="28" w:type="dxa"/>
          <w:bottom w:w="28" w:type="dxa"/>
          <w:right w:w="28" w:type="dxa"/>
        </w:tblCellMar>
      </w:tblPr>
      <w:tblGrid>
        <w:gridCol w:w="629"/>
        <w:gridCol w:w="553"/>
        <w:gridCol w:w="557"/>
        <w:gridCol w:w="109"/>
        <w:gridCol w:w="109"/>
        <w:gridCol w:w="109"/>
        <w:gridCol w:w="299"/>
        <w:gridCol w:w="299"/>
        <w:gridCol w:w="301"/>
        <w:gridCol w:w="587"/>
        <w:gridCol w:w="587"/>
        <w:gridCol w:w="83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Nigel Clerkin</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Date: </w:t>
            </w:r>
            <w:r>
              <w:rPr>
                <w:rFonts w:ascii="Times New Roman;serif" w:hAnsi="Times New Roman;serif"/>
                <w:b w:val="false"/>
                <w:color w:val="000000"/>
                <w:sz w:val="20"/>
                <w:shd w:fill="FFFFFF" w:val="clear"/>
              </w:rPr>
              <w:t>June 23,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Nigel Clerkin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800225" cy="4857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857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ICON Reports First Quarter 2026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 xml:space="preserve">Quarter one revenue of $2,034.0 million, an increase of 0.9% on quarter one 2025.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Quarter one adjusted EBITDA of $317.7 million or 15.6% of revenue.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GAAP net income for the quarter of $104.8 million or $1.36 diluted earnings per share.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Quarter one</w:t>
      </w:r>
      <w:r>
        <w:rPr>
          <w:color w:val="000000"/>
        </w:rPr>
        <w:t xml:space="preserve"> </w:t>
      </w:r>
      <w:r>
        <w:rPr>
          <w:rFonts w:ascii="Times New Roman;serif" w:hAnsi="Times New Roman;serif"/>
          <w:b w:val="false"/>
          <w:color w:val="000000"/>
          <w:sz w:val="20"/>
        </w:rPr>
        <w:t>adjusted net income</w:t>
      </w:r>
      <w:r>
        <w:rPr>
          <w:color w:val="000000"/>
        </w:rPr>
        <w:t xml:space="preserve"> </w:t>
      </w:r>
      <w:r>
        <w:rPr>
          <w:rFonts w:ascii="Times New Roman;serif" w:hAnsi="Times New Roman;serif"/>
          <w:b w:val="false"/>
          <w:color w:val="000000"/>
          <w:sz w:val="20"/>
        </w:rPr>
        <w:t>of $192.9 million or $2.50 adjusted diluted earnings per share.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business wins in the quarter of $2,880 million; a net book-to-bill of 1.42.</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Closing backlog of $22.7 billion, an increase of 4.0% on quarter four 2025.</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debt of $2.6 billion at March 31, 2026 with a net debt to adjusted EBITDA ratio of 1.8x.</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Reaffirming 2026 full-year financial guidance issued with revenue expected in the range of $7,850 - $8,150 million and adjusted diluted earnings per share expected in the range of $10.00 - $11.00. Adjusted diluted earnings per share to exclude amortization, stock-based compensation, foreign currency gains and losses, restructuring, transaction, integration-related and other adjustments, transaction-related financing costs, fair value movement on investments in equity, goodwill impairment, impairment of non-financial assets and their related taxation effect.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shd w:fill="FFFFFF" w:val="clear"/>
        </w:rPr>
        <w:t xml:space="preserve">Dublin, Ireland, June 23, 2026 </w:t>
      </w:r>
      <w:r>
        <w:rPr>
          <w:color w:val="000000"/>
          <w:shd w:fill="FFFFFF" w:val="clear"/>
        </w:rPr>
        <w:t xml:space="preserve">– </w:t>
      </w:r>
      <w:r>
        <w:rPr>
          <w:rFonts w:ascii="Times New Roman;serif" w:hAnsi="Times New Roman;serif"/>
          <w:b w:val="false"/>
          <w:color w:val="000000"/>
          <w:sz w:val="20"/>
          <w:shd w:fill="FFFFFF" w:val="clear"/>
        </w:rPr>
        <w:t>ICON plc (NASDAQ: ICLR), a world-leading clinical research organization, today reported its financial results for the first quarter ended March 31, 2026.</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shd w:fill="FFFFFF" w:val="clear"/>
        </w:rPr>
        <w:t xml:space="preserve">CEO, Mr. Barry Balfe commented, </w:t>
      </w:r>
      <w:r>
        <w:rPr>
          <w:color w:val="000000"/>
        </w:rPr>
        <w:t>“</w:t>
      </w:r>
      <w:r>
        <w:rPr>
          <w:rFonts w:ascii="Times New Roman;serif" w:hAnsi="Times New Roman;serif"/>
          <w:b w:val="false"/>
          <w:i/>
          <w:color w:val="000000"/>
          <w:sz w:val="20"/>
        </w:rPr>
        <w:t>ICON maintained strong commercial momentum in quarter one, delivering net bookings of $2.9 billion, and a net book-to-bill of 1.42, driven by robust gross award activity and low levels of cancellations. The improved win rates in quarter four sustained into this quarter, supported by partnerships added in H2 2025 and the addition of two new partnerships during the quarter. While quarter one financial performance was impacted, as expected, by business mix, I am pleased with the progress in executing our strategic plan and am confident that we will see incremental progress throughout 2026 and beyond.”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First Quarter 2026</w:t>
      </w:r>
      <w:r>
        <w:rPr>
          <w:color w:val="000000"/>
        </w:rPr>
        <w:t xml:space="preserve"> </w:t>
      </w:r>
      <w:r>
        <w:rPr>
          <w:rFonts w:ascii="Times New Roman;serif" w:hAnsi="Times New Roman;serif"/>
          <w:b/>
          <w:color w:val="000000"/>
          <w:sz w:val="20"/>
        </w:rPr>
        <w:t>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quarter one 2026, gross bookings were $3,263 million with cancellations of $383 million, as determined under the new policy which went into effect October 1, 2025. This resulted in net business wins of $2,880 million and a book-to-bill of 1.42. Backlog as at March 31, 2026 was $22.7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Revenue for the first quarter was $2,034.0 million. This represents an increase of 0.9% on quarter one 2025 or a decrease of 1.9% on a constant currency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GAAP net income was $104.8 million, resulting in diluted earnings per share of $1.36 in quarter one 2026, compared to diluted earnings per share of $1.99 in quarter one 2025. Adjusted net income for the quarter was $192.9 million, resulting in adjusted diluted earnings per share of $2.50 compared to $3.27 per share for the first quarter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Adjusted EBITDA for the first quarter was $317.7 million or 15.6% of revenue, a decrease of 20.2% on quarter one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 on adjusted net income in quarter one 2026 was 17.2%.</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Free cash flow was $136.2 million in the quarter. Cash generated from operating activities for the quarter was $167.0 million. During the quarter, $30.8 million was spent on capital expenditure. $7.4 million of Term Loan B payments were made during the quarter. At March 31, 2026, the Group had cash and cash equivalents of $765.2 million, compared to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of $647.3 million at December 31, 2025 and $526.7 million at March 31, 2025. Net debt as at March 31, 2026 was $2.6 billion.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 Details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ICON will hold a conference call on June 24, 2026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Cautionary Statement Regarding Forward-Looking Statements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Statements included herein which are not historical facts are forward-looking statements. Such forward-looking statements are made pursuant to the safe harbor provisions of the U.S. Private Securities Litigation Reform Act of 1995. Examples of forward-looking statements include, but are not limited to, statements regarding the following: anticipated financial results for 2026; contracted revenue; the Company's expectations regarding business momentum, market opportunity, demand trends, growth, and commercial performance; and the Company's expectations with respect to its long-term value creation and competitive positioning. You can identify many forward-looking statements by words such as “aims,” “anticipates,” “believes,” “continues,” “could,” “estimates,” “expects,” “focused,” “guidance,” “intends,” “look,” “may,” “opportunities,” “plans,” “positions,” “potential,” “predicts,” “projects,” “seeks,” “should,” “will,” “would”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The forward looking statements involve a number of risks and uncertainties and are subject to change at any time. In the event such risks or uncertainties materialize, our results could be materially adversely affected. The risks and uncertainties include, but are not limited to, dependence on the pharmaceutical industry and certain clients, the need to regularly win projects and then to execute them efficiently and correctly, the challenges presented by rapid growth, competition and the continuing consolidation of the industry, the impact of market conditions on demand for the Company's services, risks related to the Company's ability to execute on its commercial strategy and maintain relationships with large pharmaceutical customers, and risks relating to the Company's strategic partnerships, the dependence on certain key executives, changes in the regulatory environment, exchange rate fluctuations, inflation and rising labor costs. Please also refer to the section entitled "Risk Factors" of our Annual Report on Form 20-F for the year ended December 31, 2025 filed on May 27, 2026 for a discussion of some of the principal risks that could adversely affect our business, operations and financial results. The Company’s forward-looking statements speak only as of the date of this report or as of the date they are made, and the Company undertakes no obligation to update its forward-looking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Non-GAAP Financial Measures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financial measures prepared in accordance with generally accepted accounting principles (GAAP), this press release contains certain non-GAAP financial measures, including adjusted EBITDA, adjusted net income and adjusted diluted earnings per share and free cash flow. Adjusted EBITDA excludes stock-based compensation, foreign currency gains and losses, restructuring, transaction, integration-related and other adjustments, fair value movement on investments in equity, and goodwill impairment, impairment of non-financial assets. Adjusted net income and adjusted diluted earnings per share exclude amortization, stock-based compensation, foreign currency gains and losses, restructuring, transaction, integration-related and other adjustments, transaction-related financing costs, fair value movement on investments in equity, goodwill impairment, impairment of non-financial assets and their related taxation effect. Free cash flow reflects cash generated from operating activities less capital expenditure. While non-GAAP financial measures are not superior to or a substitute for the comparable GAAP measures, ICON believes certain non-GAAP information is useful to investors for historical comparison purposes.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full-year 2026 guidance adjusted diluted earnings per share measures are provided on a non-GAAP basis without a reconciliation to the most directly comparable GAAP measure because the Company is unable to predict with a reasonable degree of certainty certain items contained in the measures without unreasonable efforts. For the same reasons, the Company is unable to address the probable significance of the unavailable information.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ICON plc is a world-leading clinical research organization. Offering deep operational and medical expertise we accelerate innovation, driving emerging therapies forward to improve patient outcomes. From molecule to medicine, we deliver integrated consulting, clinical development, commercialization and post-marketing solutions to pharmaceutical, biotechnology, medical device, government and public health organizations worldwide. With headquarters in Dublin, Ireland, ICON employed approximately 40,350 employees in 97 locations in 55 countries as at March 31, 2026. For further information about ICON, visit: www.iconplc.com.</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Source: ICON plc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Contact: Investor Relations +1 888 381 7923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Nigel Clerkin Chief Financial Officer +353 1 291 2000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Kate Haven Vice President Investor Relations +1 888 381 7923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at ICON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ICON/ICLR-F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MONTHS ENDED MARCH 31, 2026 AND MARCH 31,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ind w:left="0" w:right="0" w:firstLine="45"/>
        <w:jc w:val="center"/>
        <w:rPr/>
      </w:pPr>
      <w:r>
        <w:rPr/>
      </w:r>
    </w:p>
    <w:tbl>
      <w:tblPr>
        <w:tblW w:w="8892" w:type="dxa"/>
        <w:jc w:val="left"/>
        <w:tblInd w:w="0" w:type="dxa"/>
        <w:tblLayout w:type="fixed"/>
        <w:tblCellMar>
          <w:top w:w="28" w:type="dxa"/>
          <w:left w:w="28" w:type="dxa"/>
          <w:bottom w:w="28" w:type="dxa"/>
          <w:right w:w="28" w:type="dxa"/>
        </w:tblCellMar>
      </w:tblPr>
      <w:tblGrid>
        <w:gridCol w:w="1738"/>
        <w:gridCol w:w="1529"/>
        <w:gridCol w:w="1548"/>
        <w:gridCol w:w="261"/>
        <w:gridCol w:w="1210"/>
        <w:gridCol w:w="135"/>
        <w:gridCol w:w="135"/>
        <w:gridCol w:w="135"/>
        <w:gridCol w:w="135"/>
        <w:gridCol w:w="261"/>
        <w:gridCol w:w="1210"/>
        <w:gridCol w:w="135"/>
        <w:gridCol w:w="135"/>
        <w:gridCol w:w="135"/>
        <w:gridCol w:w="190"/>
      </w:tblGrid>
      <w:tr>
        <w:trPr/>
        <w:tc>
          <w:tcPr>
            <w:tcW w:w="1738"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br/>
              <w:t>2026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br/>
              <w:t>2025</w:t>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2,033,999 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2,015,320 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costs</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1,556,073 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1,449,258 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200,598 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198,384 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related</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Restructuring</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4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1,860,265 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1,788,350 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(47,997)</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(47,609)</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181,163 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104,751 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160,812 </w:t>
            </w:r>
          </w:p>
        </w:tc>
        <w:tc>
          <w:tcPr>
            <w:tcW w:w="1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ordinary share:</w:t>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ordinary shares outstanding:</w:t>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76,579,420 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80,552,734 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77,261,813 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80,924,355 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AT MARCH 31, 2026 AND DECEMBER 31, 2025</w:t>
      </w:r>
    </w:p>
    <w:p>
      <w:pPr>
        <w:pStyle w:val="TextBody"/>
        <w:bidi w:val="0"/>
        <w:spacing w:lineRule="auto" w:line="288" w:before="0" w:after="0"/>
        <w:jc w:val="center"/>
        <w:rPr/>
      </w:pPr>
      <w:r>
        <w:rPr>
          <w:rFonts w:ascii="Times New Roman;serif" w:hAnsi="Times New Roman;serif"/>
          <w:b/>
          <w:color w:val="000000"/>
          <w:sz w:val="20"/>
        </w:rPr>
        <w:t>(UNAUDITED</w:t>
      </w:r>
      <w:r>
        <w:rPr>
          <w:rFonts w:ascii="Times New Roman;serif" w:hAnsi="Times New Roman;serif"/>
          <w:b/>
          <w:color w:val="000000"/>
          <w:sz w:val="18"/>
        </w:rPr>
        <w:t>)</w:t>
      </w:r>
    </w:p>
    <w:tbl>
      <w:tblPr>
        <w:tblW w:w="10146" w:type="dxa"/>
        <w:jc w:val="center"/>
        <w:tblInd w:w="0" w:type="dxa"/>
        <w:tblLayout w:type="fixed"/>
        <w:tblCellMar>
          <w:top w:w="28" w:type="dxa"/>
          <w:left w:w="28" w:type="dxa"/>
          <w:bottom w:w="28" w:type="dxa"/>
          <w:right w:w="28" w:type="dxa"/>
        </w:tblCellMar>
      </w:tblPr>
      <w:tblGrid>
        <w:gridCol w:w="2403"/>
        <w:gridCol w:w="2118"/>
        <w:gridCol w:w="2124"/>
        <w:gridCol w:w="211"/>
        <w:gridCol w:w="1081"/>
        <w:gridCol w:w="109"/>
        <w:gridCol w:w="109"/>
        <w:gridCol w:w="109"/>
        <w:gridCol w:w="109"/>
        <w:gridCol w:w="211"/>
        <w:gridCol w:w="1081"/>
        <w:gridCol w:w="109"/>
        <w:gridCol w:w="109"/>
        <w:gridCol w:w="109"/>
        <w:gridCol w:w="154"/>
      </w:tblGrid>
      <w:tr>
        <w:trPr/>
        <w:tc>
          <w:tcPr>
            <w:tcW w:w="240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December 31,</w:t>
              <w:b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50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and other current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3,607,337 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3,501,675 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8,731,689 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equity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16,319,022 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16,269,782 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1,547,527 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904,826 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bank credit lines, loan facilities and notes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529,762 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3,169,536 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3,196,175 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bank credit lines, loan facilities and notes, net</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other liabilities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income taxes payable</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7,018,726 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7,076,398 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 par value 6 euro cents per share; 100,000,000 shares authorized,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76,601,538 shares issued and outstanding at March 31, 2026 and</w:t>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76,567,325 shares issued and outstanding at December 31, 2025</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7,160,610 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undenominated capital</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2,226,802 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9,300,296 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9,193,384 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16,319,022 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16,269,782 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MONTHS ENDED MARCH 31, 2026 AND MARCH 31,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820" w:type="dxa"/>
        <w:jc w:val="left"/>
        <w:tblInd w:w="0" w:type="dxa"/>
        <w:tblLayout w:type="fixed"/>
        <w:tblCellMar>
          <w:top w:w="28" w:type="dxa"/>
          <w:left w:w="28" w:type="dxa"/>
          <w:bottom w:w="28" w:type="dxa"/>
          <w:right w:w="28" w:type="dxa"/>
        </w:tblCellMar>
      </w:tblPr>
      <w:tblGrid>
        <w:gridCol w:w="2423"/>
        <w:gridCol w:w="2131"/>
        <w:gridCol w:w="2166"/>
        <w:gridCol w:w="211"/>
        <w:gridCol w:w="826"/>
        <w:gridCol w:w="109"/>
        <w:gridCol w:w="109"/>
        <w:gridCol w:w="109"/>
        <w:gridCol w:w="109"/>
        <w:gridCol w:w="211"/>
        <w:gridCol w:w="826"/>
        <w:gridCol w:w="109"/>
        <w:gridCol w:w="109"/>
        <w:gridCol w:w="109"/>
        <w:gridCol w:w="109"/>
        <w:gridCol w:w="154"/>
      </w:tblGrid>
      <w:tr>
        <w:trPr/>
        <w:tc>
          <w:tcPr>
            <w:tcW w:w="2423"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c>
          <w:tcPr>
            <w:tcW w:w="294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 in carrying value of operating right-of-use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financing costs and debt discount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benefit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foreign exchange movements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items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investing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subsidiary undertakings (net of cash acquired)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of investments in equity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used in financing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Drawdown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credit lines and loan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equity compensation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issue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ordinary shares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(252,832)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movements on cash</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 (decrease) in cash and cash equivalents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526,698 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ICON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THREE MONTHS ENDED MARCH 31, 2026 AND MARCH 31, 2025 </w:t>
      </w:r>
    </w:p>
    <w:p>
      <w:pPr>
        <w:pStyle w:val="TextBody"/>
        <w:bidi w:val="0"/>
        <w:spacing w:lineRule="auto" w:line="28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234"/>
        <w:gridCol w:w="1954"/>
        <w:gridCol w:w="1961"/>
        <w:gridCol w:w="286"/>
        <w:gridCol w:w="1121"/>
        <w:gridCol w:w="147"/>
        <w:gridCol w:w="147"/>
        <w:gridCol w:w="147"/>
        <w:gridCol w:w="147"/>
        <w:gridCol w:w="286"/>
        <w:gridCol w:w="1121"/>
        <w:gridCol w:w="147"/>
        <w:gridCol w:w="147"/>
        <w:gridCol w:w="147"/>
        <w:gridCol w:w="213"/>
      </w:tblGrid>
      <w:tr>
        <w:trPr/>
        <w:tc>
          <w:tcPr>
            <w:tcW w:w="223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br/>
              <w:t>2026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March 31,</w:t>
              <w:br/>
              <w:t>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75" w:after="30"/>
              <w:jc w:val="left"/>
              <w:rPr>
                <w:rFonts w:ascii="Times New Roman;serif" w:hAnsi="Times New Roman;serif"/>
                <w:b w:val="false"/>
                <w:color w:val="000000"/>
                <w:sz w:val="20"/>
              </w:rPr>
            </w:pPr>
            <w:r>
              <w:rPr>
                <w:rFonts w:ascii="Times New Roman;serif" w:hAnsi="Times New Roman;serif"/>
                <w:b w:val="false"/>
                <w:color w:val="000000"/>
                <w:sz w:val="20"/>
              </w:rPr>
              <w:t xml:space="preserve">Net interest expense </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46,176 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90,331 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95,958 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(gains) / losses, net </w:t>
            </w:r>
            <w:r>
              <w:rPr>
                <w:rFonts w:ascii="Times New Roman;serif" w:hAnsi="Times New Roman;serif"/>
                <w:b w:val="false"/>
                <w:color w:val="000000"/>
                <w:sz w:val="13"/>
              </w:rPr>
              <w:t>(b)</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Transaction, integration related and other </w:t>
            </w:r>
            <w:r>
              <w:rPr>
                <w:rFonts w:ascii="Times New Roman;serif" w:hAnsi="Times New Roman;serif"/>
                <w:b w:val="false"/>
                <w:color w:val="000000"/>
                <w:sz w:val="13"/>
              </w:rPr>
              <w:t>(d)</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movement on investments in equity </w:t>
            </w:r>
            <w:r>
              <w:rPr>
                <w:rFonts w:ascii="Times New Roman;serif" w:hAnsi="Times New Roman;serif"/>
                <w:b w:val="false"/>
                <w:color w:val="000000"/>
                <w:sz w:val="13"/>
              </w:rPr>
              <w:t>(f)</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317,737 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398,067 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and adjusted diluted net income per Ordinary Share</w:t>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104,751 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160,812 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20,351 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(a)</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26,982 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Foreign currency (gains) / losses, net </w:t>
            </w:r>
            <w:r>
              <w:rPr>
                <w:rFonts w:ascii="Times New Roman;serif" w:hAnsi="Times New Roman;serif"/>
                <w:b w:val="false"/>
                <w:color w:val="000000"/>
                <w:sz w:val="13"/>
              </w:rPr>
              <w:t>(b)</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Restructuring </w:t>
            </w:r>
            <w:r>
              <w:rPr>
                <w:rFonts w:ascii="Times New Roman;serif" w:hAnsi="Times New Roman;serif"/>
                <w:b w:val="false"/>
                <w:color w:val="000000"/>
                <w:sz w:val="13"/>
              </w:rPr>
              <w:t>(c)</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Transaction, integration related and other </w:t>
            </w:r>
            <w:r>
              <w:rPr>
                <w:rFonts w:ascii="Times New Roman;serif" w:hAnsi="Times New Roman;serif"/>
                <w:b w:val="false"/>
                <w:color w:val="000000"/>
                <w:sz w:val="13"/>
              </w:rPr>
              <w:t>(d)</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31,367 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75" w:after="30"/>
              <w:jc w:val="left"/>
              <w:rPr/>
            </w:pPr>
            <w:r>
              <w:rPr>
                <w:rFonts w:ascii="Times New Roman;serif" w:hAnsi="Times New Roman;serif"/>
                <w:b w:val="false"/>
                <w:color w:val="000000"/>
                <w:sz w:val="20"/>
              </w:rPr>
              <w:t xml:space="preserve">Transaction-related financing costs </w:t>
            </w:r>
            <w:r>
              <w:rPr>
                <w:rFonts w:ascii="Times New Roman;serif" w:hAnsi="Times New Roman;serif"/>
                <w:b w:val="false"/>
                <w:color w:val="000000"/>
                <w:sz w:val="13"/>
              </w:rPr>
              <w:t>(e)</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Fair value movement on investments in equity </w:t>
            </w:r>
            <w:r>
              <w:rPr>
                <w:rFonts w:ascii="Times New Roman;serif" w:hAnsi="Times New Roman;serif"/>
                <w:b w:val="false"/>
                <w:color w:val="000000"/>
                <w:sz w:val="13"/>
              </w:rPr>
              <w:t>(f)</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tax expense </w:t>
            </w:r>
            <w:r>
              <w:rPr>
                <w:rFonts w:ascii="Times New Roman;serif" w:hAnsi="Times New Roman;serif"/>
                <w:b w:val="false"/>
                <w:color w:val="000000"/>
                <w:sz w:val="13"/>
              </w:rPr>
              <w:t>(g)</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(51,941)</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 xml:space="preserve">Adjusted net income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192,947 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264,772 </w:t>
            </w:r>
          </w:p>
        </w:tc>
        <w:tc>
          <w:tcPr>
            <w:tcW w:w="14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number of Ordinary Shares outstanding</w:t>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77,261,813 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80,924,355 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55" w:after="30"/>
              <w:jc w:val="left"/>
              <w:rPr>
                <w:rFonts w:ascii="Times New Roman;serif" w:hAnsi="Times New Roman;serif"/>
                <w:b/>
                <w:color w:val="000000"/>
                <w:sz w:val="20"/>
              </w:rPr>
            </w:pPr>
            <w:r>
              <w:rPr>
                <w:rFonts w:ascii="Times New Roman;serif" w:hAnsi="Times New Roman;serif"/>
                <w:b/>
                <w:color w:val="000000"/>
                <w:sz w:val="20"/>
              </w:rPr>
              <w:t>Adjusted diluted net income per Ordinary Share</w:t>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(a)Stock-based compensation expense represents the amount of expense related to the Company’s equity compensation programs (inclusive of employer related taxes).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(b)Foreign currency (gains) / losses, net relates to gains or losses that arise in connection with the revaluation, or settlement, of non-US dollar denominated assets and liabilities. We exclude these gains and losses from adjusted EBITDA and adjusted net income because fluctuations from period-to-period do not necessarily correspond to changes in our operating results.</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(c)Restructuring relates to charges incurred in connection with the Company's realignment of its workforce, with the elimination of redundant positions as well as reviewing its global office footprint and optimizing its locations to best fit the requirements of the Company.</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(d)Transaction, integration related and other costs include expenses associated with our acquisitions and any other costs incurred related to the integration of these acquisitions. Further, costs incurred in quarter one 2026 relating to the Investigation, including out of scope audit fees resulting from the impact of the investigation, and in defense of the Putative Class Action are classified within this category. For further information, please see our Annual Report on Form 20-F filed on May 27, 2026.</w:t>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(e)Transaction-related financing costs includes costs incurred in connection with changes to our long-term debt and amortization of financing fees. We exclude these costs from adjusted net income because they result from financing decisions rather than from decisions made related to our ongoing operations.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(f)Fair value movement on investments in equity. We exclude these movements from adjusted EBITDA and adjusted net income because fluctuations from period-to-period do not necessarily correspond to changes in our operating results.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(g)Represents the tax effect of adjusted pre-tax income at our estimated effective tax rate.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ICON plc</w:t>
      </w:r>
    </w:p>
    <w:p>
      <w:pPr>
        <w:pStyle w:val="TextBody"/>
        <w:bidi w:val="0"/>
        <w:spacing w:before="0" w:after="0"/>
        <w:jc w:val="left"/>
        <w:rPr/>
      </w:pPr>
      <w:r>
        <w:rPr/>
      </w:r>
    </w:p>
    <w:tbl>
      <w:tblPr>
        <w:tblW w:w="6105" w:type="dxa"/>
        <w:jc w:val="left"/>
        <w:tblInd w:w="0" w:type="dxa"/>
        <w:tblLayout w:type="fixed"/>
        <w:tblCellMar>
          <w:top w:w="28" w:type="dxa"/>
          <w:left w:w="28" w:type="dxa"/>
          <w:bottom w:w="28" w:type="dxa"/>
          <w:right w:w="28" w:type="dxa"/>
        </w:tblCellMar>
      </w:tblPr>
      <w:tblGrid>
        <w:gridCol w:w="298"/>
        <w:gridCol w:w="263"/>
        <w:gridCol w:w="264"/>
        <w:gridCol w:w="1542"/>
        <w:gridCol w:w="1542"/>
        <w:gridCol w:w="2196"/>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Contact:</w:t>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 Relations +1 888 381 7923 </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Nigel Clerkin Chief Financial Officer </w:t>
            </w:r>
            <w:r>
              <w:rPr>
                <w:rFonts w:ascii="Times New Roman;serif" w:hAnsi="Times New Roman;serif"/>
                <w:b w:val="false"/>
                <w:color w:val="000000"/>
                <w:sz w:val="20"/>
                <w:shd w:fill="FFFFFF" w:val="clear"/>
              </w:rPr>
              <w:t>+353 1 291 2000</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Kate Haven Vice President Investor Relations +1 888 381 7923</w:t>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http://www.iconplc.com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2699</Words>
  <Characters>15936</Characters>
  <CharactersWithSpaces>18361</CharactersWithSpaces>
  <Paragraphs>503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