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79"/>
        <w:spacing w:after="0"/>
        <w:rPr>
          <w:sz w:val="20"/>
          <w:szCs w:val="20"/>
          <w:color w:val="auto"/>
        </w:rPr>
      </w:pPr>
      <w:r>
        <w:rPr>
          <w:rFonts w:ascii="Arial" w:cs="Arial" w:eastAsia="Arial" w:hAnsi="Arial"/>
          <w:sz w:val="29"/>
          <w:szCs w:val="29"/>
          <w:b w:val="1"/>
          <w:bCs w:val="1"/>
          <w:color w:val="auto"/>
        </w:rPr>
        <w:t>FORM 6-K</w:t>
      </w:r>
    </w:p>
    <w:p>
      <w:pPr>
        <w:spacing w:after="0" w:line="247" w:lineRule="exact"/>
        <w:rPr>
          <w:sz w:val="24"/>
          <w:szCs w:val="24"/>
          <w:color w:val="auto"/>
        </w:rPr>
      </w:pPr>
    </w:p>
    <w:p>
      <w:pPr>
        <w:jc w:val="center"/>
        <w:ind w:right="-61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3980"/>
        <w:spacing w:after="0"/>
        <w:rPr>
          <w:sz w:val="20"/>
          <w:szCs w:val="20"/>
          <w:color w:val="auto"/>
        </w:rPr>
      </w:pPr>
      <w:r>
        <w:rPr>
          <w:rFonts w:ascii="Arial" w:cs="Arial" w:eastAsia="Arial" w:hAnsi="Arial"/>
          <w:sz w:val="22"/>
          <w:szCs w:val="22"/>
          <w:color w:val="auto"/>
        </w:rPr>
        <w:t>For the month ended November, 2021</w:t>
      </w:r>
    </w:p>
    <w:p>
      <w:pPr>
        <w:spacing w:after="0" w:line="200" w:lineRule="exact"/>
        <w:rPr>
          <w:sz w:val="24"/>
          <w:szCs w:val="24"/>
          <w:color w:val="auto"/>
        </w:rPr>
      </w:pPr>
    </w:p>
    <w:p>
      <w:pPr>
        <w:spacing w:after="0" w:line="265" w:lineRule="exact"/>
        <w:rPr>
          <w:sz w:val="24"/>
          <w:szCs w:val="24"/>
          <w:color w:val="auto"/>
        </w:rPr>
      </w:pPr>
    </w:p>
    <w:p>
      <w:pPr>
        <w:jc w:val="center"/>
        <w:ind w:right="-61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7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jc w:val="center"/>
        <w:ind w:right="-619"/>
        <w:spacing w:after="0" w:line="231" w:lineRule="auto"/>
        <w:rPr>
          <w:sz w:val="20"/>
          <w:szCs w:val="20"/>
          <w:color w:val="auto"/>
        </w:rPr>
      </w:pPr>
      <w:r>
        <w:rPr>
          <w:rFonts w:ascii="Arial" w:cs="Arial" w:eastAsia="Arial" w:hAnsi="Arial"/>
          <w:sz w:val="22"/>
          <w:szCs w:val="22"/>
          <w:color w:val="auto"/>
        </w:rPr>
        <w:t>+353-1-291-2000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Form 20-F_X___</w:t>
      </w:r>
      <w:r>
        <w:rPr>
          <w:sz w:val="20"/>
          <w:szCs w:val="20"/>
          <w:color w:val="auto"/>
        </w:rPr>
        <w:tab/>
      </w:r>
      <w:r>
        <w:rPr>
          <w:rFonts w:ascii="Arial" w:cs="Arial" w:eastAsia="Arial" w:hAnsi="Arial"/>
          <w:sz w:val="16"/>
          <w:szCs w:val="16"/>
          <w:color w:val="auto"/>
        </w:rPr>
        <w:t>Form 40-F_______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215" w:right="959" w:bottom="1440" w:gutter="0" w:footer="0" w:header="0"/>
        </w:sectPr>
      </w:pPr>
    </w:p>
    <w:bookmarkStart w:id="1" w:name="page2"/>
    <w:bookmarkEnd w:id="1"/>
    <w:p>
      <w:pPr>
        <w:jc w:val="center"/>
        <w:ind w:right="-119"/>
        <w:spacing w:after="0"/>
        <w:rPr>
          <w:sz w:val="20"/>
          <w:szCs w:val="20"/>
          <w:color w:val="auto"/>
        </w:rPr>
      </w:pPr>
      <w:r>
        <w:rPr>
          <w:rFonts w:ascii="Arial" w:cs="Arial" w:eastAsia="Arial" w:hAnsi="Arial"/>
          <w:sz w:val="22"/>
          <w:szCs w:val="22"/>
          <w:b w:val="1"/>
          <w:bCs w:val="1"/>
          <w:u w:val="single" w:color="auto"/>
          <w:color w:val="auto"/>
        </w:rPr>
        <w:t>EXHIBIT LIST</w:t>
      </w:r>
    </w:p>
    <w:p>
      <w:pPr>
        <w:spacing w:after="0" w:line="247" w:lineRule="exact"/>
        <w:rPr>
          <w:sz w:val="20"/>
          <w:szCs w:val="20"/>
          <w:color w:val="auto"/>
        </w:rPr>
      </w:pPr>
    </w:p>
    <w:p>
      <w:pPr>
        <w:spacing w:after="0"/>
        <w:tabs>
          <w:tab w:leader="none" w:pos="13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15" w:lineRule="exact"/>
        <w:rPr>
          <w:sz w:val="20"/>
          <w:szCs w:val="20"/>
          <w:color w:val="auto"/>
        </w:rPr>
      </w:pPr>
    </w:p>
    <w:p>
      <w:pPr>
        <w:spacing w:after="0"/>
        <w:tabs>
          <w:tab w:leader="none" w:pos="1340" w:val="left"/>
        </w:tabs>
        <w:rPr>
          <w:rFonts w:ascii="Arial" w:cs="Arial" w:eastAsia="Arial" w:hAnsi="Arial"/>
          <w:sz w:val="16"/>
          <w:szCs w:val="16"/>
          <w:u w:val="single" w:color="auto"/>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4">
        <w:r>
          <w:rPr>
            <w:rFonts w:ascii="Arial" w:cs="Arial" w:eastAsia="Arial" w:hAnsi="Arial"/>
            <w:sz w:val="16"/>
            <w:szCs w:val="16"/>
            <w:u w:val="single" w:color="auto"/>
            <w:color w:val="0000EE"/>
          </w:rPr>
          <w:t>ICON plc to Present at the 30th Annual Credit Suisse Healthcare Conference and the 4</w:t>
        </w:r>
      </w:hyperlink>
      <w:r>
        <w:rPr>
          <w:rFonts w:ascii="Arial" w:cs="Arial" w:eastAsia="Arial" w:hAnsi="Arial"/>
          <w:sz w:val="26"/>
          <w:szCs w:val="26"/>
          <w:u w:val="single" w:color="auto"/>
          <w:color w:val="0000EE"/>
          <w:vertAlign w:val="superscript"/>
        </w:rPr>
        <w:t>th</w:t>
      </w:r>
      <w:r>
        <w:rPr>
          <w:rFonts w:ascii="Arial" w:cs="Arial" w:eastAsia="Arial" w:hAnsi="Arial"/>
          <w:sz w:val="16"/>
          <w:szCs w:val="16"/>
          <w:u w:val="single" w:color="auto"/>
          <w:color w:val="0000EE"/>
        </w:rPr>
        <w:t xml:space="preserve"> </w:t>
      </w:r>
      <w:hyperlink w:anchor="page4">
        <w:r>
          <w:rPr>
            <w:rFonts w:ascii="Arial" w:cs="Arial" w:eastAsia="Arial" w:hAnsi="Arial"/>
            <w:sz w:val="16"/>
            <w:szCs w:val="16"/>
            <w:u w:val="single" w:color="auto"/>
            <w:color w:val="0000EE"/>
          </w:rPr>
          <w:t>Annual Evercore ISI HealthCONx Conference</w:t>
        </w:r>
      </w:hyperlink>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20" w:top="111" w:right="4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8" w:lineRule="exact"/>
        <w:rPr>
          <w:sz w:val="20"/>
          <w:szCs w:val="20"/>
          <w:color w:val="auto"/>
        </w:rPr>
      </w:pPr>
    </w:p>
    <w:p>
      <w:pPr>
        <w:ind w:left="732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/s/ Brendan Brennan</w:t>
      </w:r>
    </w:p>
    <w:p>
      <w:pPr>
        <w:spacing w:after="0" w:line="23" w:lineRule="exact"/>
        <w:rPr>
          <w:sz w:val="20"/>
          <w:szCs w:val="20"/>
          <w:color w:val="auto"/>
        </w:rPr>
      </w:pPr>
    </w:p>
    <w:p>
      <w:pPr>
        <w:ind w:left="7320" w:right="2260" w:hanging="7302"/>
        <w:spacing w:after="0" w:line="323" w:lineRule="auto"/>
        <w:tabs>
          <w:tab w:leader="none" w:pos="7300" w:val="left"/>
        </w:tabs>
        <w:rPr>
          <w:sz w:val="20"/>
          <w:szCs w:val="20"/>
          <w:color w:val="auto"/>
        </w:rPr>
      </w:pPr>
      <w:r>
        <w:rPr>
          <w:rFonts w:ascii="Arial" w:cs="Arial" w:eastAsia="Arial" w:hAnsi="Arial"/>
          <w:sz w:val="18"/>
          <w:szCs w:val="18"/>
          <w:color w:val="auto"/>
        </w:rPr>
        <w:t>Date: November 5, 2021</w:t>
      </w:r>
      <w:r>
        <w:rPr>
          <w:sz w:val="20"/>
          <w:szCs w:val="20"/>
          <w:color w:val="auto"/>
        </w:rPr>
        <w:tab/>
      </w:r>
      <w:r>
        <w:rPr>
          <w:rFonts w:ascii="Arial" w:cs="Arial" w:eastAsia="Arial" w:hAnsi="Arial"/>
          <w:sz w:val="16"/>
          <w:szCs w:val="16"/>
          <w:color w:val="auto"/>
        </w:rPr>
        <w:t>Brendan Brennan Chief Financial Officer</w:t>
      </w:r>
    </w:p>
    <w:p>
      <w:pPr>
        <w:sectPr>
          <w:pgSz w:w="11900" w:h="16838" w:orient="portrait"/>
          <w:cols w:equalWidth="0" w:num="1">
            <w:col w:w="11240"/>
          </w:cols>
          <w:pgMar w:left="320" w:top="11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ind w:left="340" w:right="400"/>
        <w:spacing w:after="0" w:line="282" w:lineRule="auto"/>
        <w:rPr>
          <w:sz w:val="20"/>
          <w:szCs w:val="20"/>
          <w:color w:val="auto"/>
        </w:rPr>
      </w:pPr>
      <w:r>
        <w:rPr>
          <w:rFonts w:ascii="Arial" w:cs="Arial" w:eastAsia="Arial" w:hAnsi="Arial"/>
          <w:sz w:val="25"/>
          <w:szCs w:val="25"/>
          <w:b w:val="1"/>
          <w:bCs w:val="1"/>
          <w:color w:val="auto"/>
        </w:rPr>
        <w:t>ICON plc to Present at the 30th Annual Credit Suisse Healthcare Conference and the 4th Annual Evercore ISI HealthCONx Conference</w:t>
      </w:r>
    </w:p>
    <w:p>
      <w:pPr>
        <w:spacing w:after="0" w:line="136" w:lineRule="exact"/>
        <w:rPr>
          <w:sz w:val="20"/>
          <w:szCs w:val="20"/>
          <w:color w:val="auto"/>
        </w:rPr>
      </w:pPr>
    </w:p>
    <w:p>
      <w:pPr>
        <w:ind w:right="220"/>
        <w:spacing w:after="0" w:line="274" w:lineRule="auto"/>
        <w:rPr>
          <w:sz w:val="20"/>
          <w:szCs w:val="20"/>
          <w:color w:val="auto"/>
        </w:rPr>
      </w:pPr>
      <w:r>
        <w:rPr>
          <w:rFonts w:ascii="Arial" w:cs="Arial" w:eastAsia="Arial" w:hAnsi="Arial"/>
          <w:sz w:val="21"/>
          <w:szCs w:val="21"/>
          <w:color w:val="auto"/>
        </w:rPr>
        <w:t>DUBLIN--(BUSINESS WIRE)--November 5, 2021--ICON plc, (NASDAQ: ICLR) a world-leading healthcare intelligence and clinical research organisation, today announced that Mr. Brendan Brennan, CFO of ICON plc, will present at:</w:t>
      </w:r>
    </w:p>
    <w:p>
      <w:pPr>
        <w:spacing w:after="0" w:line="151" w:lineRule="exact"/>
        <w:rPr>
          <w:sz w:val="20"/>
          <w:szCs w:val="20"/>
          <w:color w:val="auto"/>
        </w:rPr>
      </w:pPr>
    </w:p>
    <w:p>
      <w:pPr>
        <w:jc w:val="both"/>
        <w:ind w:left="540" w:right="1620"/>
        <w:spacing w:after="0" w:line="328" w:lineRule="auto"/>
        <w:rPr>
          <w:sz w:val="20"/>
          <w:szCs w:val="20"/>
          <w:color w:val="auto"/>
        </w:rPr>
      </w:pPr>
      <w:r>
        <w:rPr>
          <w:rFonts w:ascii="Arial" w:cs="Arial" w:eastAsia="Arial" w:hAnsi="Arial"/>
          <w:sz w:val="19"/>
          <w:szCs w:val="19"/>
          <w:color w:val="auto"/>
        </w:rPr>
        <w:t>the 30th Annual Credit Suisse Healthcare Conference on Tuesday, November 9, 2021 at 8.50am ET; and the 4th Annual Evercore ISI HealthCONx Conference on Wednesday, December 1, 2021 at 12:10pm 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-317500</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-163195</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5" w:lineRule="exact"/>
        <w:rPr>
          <w:sz w:val="20"/>
          <w:szCs w:val="20"/>
          <w:color w:val="auto"/>
        </w:rPr>
      </w:pPr>
    </w:p>
    <w:p>
      <w:pPr>
        <w:ind w:right="60"/>
        <w:spacing w:after="0" w:line="250" w:lineRule="auto"/>
        <w:rPr>
          <w:sz w:val="20"/>
          <w:szCs w:val="20"/>
          <w:color w:val="auto"/>
        </w:rPr>
      </w:pPr>
      <w:r>
        <w:rPr>
          <w:rFonts w:ascii="Arial" w:cs="Arial" w:eastAsia="Arial" w:hAnsi="Arial"/>
          <w:sz w:val="22"/>
          <w:szCs w:val="22"/>
          <w:color w:val="auto"/>
        </w:rPr>
        <w:t>Any changes to these events and links to the live webcasts (where available) will be posted on the Investor section of our website under “Events”.</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220"/>
        <w:spacing w:after="0" w:line="282" w:lineRule="auto"/>
        <w:rPr>
          <w:sz w:val="20"/>
          <w:szCs w:val="20"/>
          <w:color w:val="auto"/>
        </w:rPr>
      </w:pPr>
      <w:r>
        <w:rPr>
          <w:rFonts w:ascii="Arial" w:cs="Arial" w:eastAsia="Arial" w:hAnsi="Arial"/>
          <w:sz w:val="19"/>
          <w:szCs w:val="19"/>
          <w:color w:val="auto"/>
        </w:rPr>
        <w:t>ICON plc is a world-leading healthcare intelligence and clinical research organisation. From molecule to medicine, we advance clinical research providing outsourced services to pharmaceutical, biotechnology, medical device and government and public health organisations. We develop new innovations, drive emerging therapies forward and improve patient lives. With headquarters in Dublin, Ireland, ICON employed approximately 37,960 employees in 159 locations in 53 countries as at September 30, 2021. For further information about ICON, visit: www.iconplc.com and www.iconplc.com/pra.</w:t>
      </w:r>
    </w:p>
    <w:p>
      <w:pPr>
        <w:spacing w:after="0" w:line="147" w:lineRule="exact"/>
        <w:rPr>
          <w:sz w:val="20"/>
          <w:szCs w:val="20"/>
          <w:color w:val="auto"/>
        </w:rPr>
      </w:pPr>
    </w:p>
    <w:p>
      <w:pPr>
        <w:ind w:right="60"/>
        <w:spacing w:after="0" w:line="271" w:lineRule="auto"/>
        <w:rPr>
          <w:sz w:val="20"/>
          <w:szCs w:val="20"/>
          <w:color w:val="auto"/>
        </w:rPr>
      </w:pPr>
      <w:r>
        <w:rPr>
          <w:rFonts w:ascii="Arial" w:cs="Arial" w:eastAsia="Arial" w:hAnsi="Arial"/>
          <w:sz w:val="19"/>
          <w:szCs w:val="19"/>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the impact of COVID-19 on our business, as well as other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F-4, S-8, F-3 and certain other reports, which are available on the SEC's website at http://www.sec.gov.</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ICON/ICLR-G</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Kate Haven</w:t>
      </w:r>
    </w:p>
    <w:p>
      <w:pPr>
        <w:spacing w:after="0" w:line="238" w:lineRule="auto"/>
        <w:rPr>
          <w:sz w:val="20"/>
          <w:szCs w:val="20"/>
          <w:color w:val="auto"/>
        </w:rPr>
      </w:pPr>
      <w:r>
        <w:rPr>
          <w:rFonts w:ascii="Arial" w:cs="Arial" w:eastAsia="Arial" w:hAnsi="Arial"/>
          <w:sz w:val="22"/>
          <w:szCs w:val="22"/>
          <w:color w:val="auto"/>
        </w:rPr>
        <w:t>Vice President Investor Relations</w:t>
      </w:r>
    </w:p>
    <w:p>
      <w:pPr>
        <w:spacing w:after="0"/>
        <w:rPr>
          <w:sz w:val="20"/>
          <w:szCs w:val="20"/>
          <w:color w:val="auto"/>
        </w:rPr>
      </w:pPr>
      <w:r>
        <w:rPr>
          <w:rFonts w:ascii="Arial" w:cs="Arial" w:eastAsia="Arial" w:hAnsi="Arial"/>
          <w:sz w:val="22"/>
          <w:szCs w:val="22"/>
          <w:color w:val="auto"/>
        </w:rPr>
        <w:t>+1888 381 7923</w:t>
      </w:r>
    </w:p>
    <w:sectPr>
      <w:pgSz w:w="11900" w:h="16838" w:orient="portrait"/>
      <w:cols w:equalWidth="0" w:num="1">
        <w:col w:w="11240"/>
      </w:cols>
      <w:pgMar w:left="320" w:top="1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2021-11-05T16:11:02Z</dcterms:created>
  <dcterms:modified xsi:type="dcterms:W3CDTF">2021-11-05T16:11:02Z</dcterms:modified>
</cp:coreProperties>
</file>