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6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0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08"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8"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ind w:left="2200"/>
        <w:spacing w:after="0"/>
        <w:rPr>
          <w:sz w:val="20"/>
          <w:szCs w:val="20"/>
          <w:color w:val="auto"/>
        </w:rPr>
      </w:pPr>
      <w:r>
        <w:rPr>
          <w:rFonts w:ascii="Courier New" w:cs="Courier New" w:eastAsia="Courier New" w:hAnsi="Courier New"/>
          <w:sz w:val="15"/>
          <w:szCs w:val="15"/>
          <w:color w:val="auto"/>
        </w:rPr>
        <w:t>PURSUANT TO RULE 13A - 16 UNDER</w:t>
      </w:r>
    </w:p>
    <w:p>
      <w:pPr>
        <w:ind w:left="20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38"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For the quarterly period ended February 29, 2004</w:t>
      </w:r>
    </w:p>
    <w:p>
      <w:pPr>
        <w:spacing w:after="0" w:line="33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ind w:left="2720"/>
        <w:spacing w:after="0"/>
        <w:rPr>
          <w:sz w:val="20"/>
          <w:szCs w:val="20"/>
          <w:color w:val="auto"/>
        </w:rPr>
      </w:pPr>
      <w:r>
        <w:rPr>
          <w:rFonts w:ascii="Courier New" w:cs="Courier New" w:eastAsia="Courier New" w:hAnsi="Courier New"/>
          <w:sz w:val="15"/>
          <w:szCs w:val="15"/>
          <w:color w:val="auto"/>
        </w:rPr>
        <w:t>(Registrant's name)</w:t>
      </w:r>
    </w:p>
    <w:p>
      <w:pPr>
        <w:spacing w:after="0" w:line="338"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0-29714</w:t>
      </w:r>
    </w:p>
    <w:p>
      <w:pPr>
        <w:ind w:left="2460"/>
        <w:spacing w:after="0"/>
        <w:rPr>
          <w:sz w:val="20"/>
          <w:szCs w:val="20"/>
          <w:color w:val="auto"/>
        </w:rPr>
      </w:pPr>
      <w:r>
        <w:rPr>
          <w:rFonts w:ascii="Courier New" w:cs="Courier New" w:eastAsia="Courier New" w:hAnsi="Courier New"/>
          <w:sz w:val="15"/>
          <w:szCs w:val="15"/>
          <w:color w:val="auto"/>
        </w:rPr>
        <w:t>(Commission file number)</w:t>
      </w:r>
    </w:p>
    <w:p>
      <w:pPr>
        <w:spacing w:after="0" w:line="33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4"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Yes___X___ No_______</w:t>
      </w:r>
    </w:p>
    <w:p>
      <w:pPr>
        <w:spacing w:after="0" w:line="175" w:lineRule="exact"/>
        <w:rPr>
          <w:sz w:val="24"/>
          <w:szCs w:val="24"/>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Yes______ No___X___</w:t>
      </w:r>
    </w:p>
    <w:p>
      <w:pPr>
        <w:spacing w:after="0" w:line="175" w:lineRule="exact"/>
        <w:rPr>
          <w:sz w:val="24"/>
          <w:szCs w:val="24"/>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0"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Yes______ No___X___</w:t>
      </w:r>
    </w:p>
    <w:p>
      <w:pPr>
        <w:spacing w:after="0" w:line="175" w:lineRule="exact"/>
        <w:rPr>
          <w:sz w:val="24"/>
          <w:szCs w:val="24"/>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Yes_______ No___X___</w:t>
      </w:r>
    </w:p>
    <w:p>
      <w:pPr>
        <w:spacing w:after="0" w:line="175" w:lineRule="exact"/>
        <w:rPr>
          <w:sz w:val="24"/>
          <w:szCs w:val="24"/>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QUARTERLY PERIOD ENDED FEBRUARY 29, 2004</w:t>
      </w:r>
    </w:p>
    <w:p>
      <w:pPr>
        <w:spacing w:after="0" w:line="339" w:lineRule="exact"/>
        <w:rPr>
          <w:sz w:val="24"/>
          <w:szCs w:val="24"/>
          <w:color w:val="auto"/>
        </w:rPr>
      </w:pPr>
    </w:p>
    <w:p>
      <w:pPr>
        <w:spacing w:after="0"/>
        <w:tabs>
          <w:tab w:leader="none" w:pos="650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4"/>
          <w:szCs w:val="14"/>
          <w:color w:val="auto"/>
        </w:rPr>
        <w:t>PAGE</w:t>
      </w:r>
    </w:p>
    <w:p>
      <w:pPr>
        <w:spacing w:after="0" w:line="339" w:lineRule="exact"/>
        <w:rPr>
          <w:sz w:val="24"/>
          <w:szCs w:val="24"/>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as at</w:t>
      </w:r>
    </w:p>
    <w:p>
      <w:pPr>
        <w:spacing w:after="0"/>
        <w:tabs>
          <w:tab w:leader="dot" w:pos="6760" w:val="left"/>
        </w:tabs>
        <w:rPr>
          <w:sz w:val="20"/>
          <w:szCs w:val="20"/>
          <w:color w:val="auto"/>
        </w:rPr>
      </w:pPr>
      <w:r>
        <w:rPr>
          <w:rFonts w:ascii="Courier New" w:cs="Courier New" w:eastAsia="Courier New" w:hAnsi="Courier New"/>
          <w:sz w:val="15"/>
          <w:szCs w:val="15"/>
          <w:color w:val="auto"/>
        </w:rPr>
        <w:t>February 29, 2004 and May 31, 2003</w:t>
      </w:r>
      <w:r>
        <w:rPr>
          <w:sz w:val="20"/>
          <w:szCs w:val="20"/>
          <w:color w:val="auto"/>
        </w:rPr>
        <w:tab/>
      </w:r>
      <w:r>
        <w:rPr>
          <w:rFonts w:ascii="Courier New" w:cs="Courier New" w:eastAsia="Courier New" w:hAnsi="Courier New"/>
          <w:sz w:val="13"/>
          <w:szCs w:val="13"/>
          <w:color w:val="auto"/>
        </w:rPr>
        <w:t>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tabs>
          <w:tab w:leader="dot" w:pos="6760" w:val="left"/>
        </w:tabs>
        <w:rPr>
          <w:sz w:val="20"/>
          <w:szCs w:val="20"/>
          <w:color w:val="auto"/>
        </w:rPr>
      </w:pPr>
      <w:r>
        <w:rPr>
          <w:rFonts w:ascii="Courier New" w:cs="Courier New" w:eastAsia="Courier New" w:hAnsi="Courier New"/>
          <w:sz w:val="15"/>
          <w:szCs w:val="15"/>
          <w:color w:val="auto"/>
        </w:rPr>
        <w:t>three and nine months ended February 29, 2004 and 2003</w:t>
      </w:r>
      <w:r>
        <w:rPr>
          <w:sz w:val="20"/>
          <w:szCs w:val="20"/>
          <w:color w:val="auto"/>
        </w:rPr>
        <w:tab/>
      </w:r>
      <w:r>
        <w:rPr>
          <w:rFonts w:ascii="Courier New" w:cs="Courier New" w:eastAsia="Courier New" w:hAnsi="Courier New"/>
          <w:sz w:val="13"/>
          <w:szCs w:val="13"/>
          <w:color w:val="auto"/>
        </w:rPr>
        <w:t>3</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tabs>
          <w:tab w:leader="dot" w:pos="6760" w:val="left"/>
        </w:tabs>
        <w:rPr>
          <w:sz w:val="20"/>
          <w:szCs w:val="20"/>
          <w:color w:val="auto"/>
        </w:rPr>
      </w:pPr>
      <w:r>
        <w:rPr>
          <w:rFonts w:ascii="Courier New" w:cs="Courier New" w:eastAsia="Courier New" w:hAnsi="Courier New"/>
          <w:sz w:val="15"/>
          <w:szCs w:val="15"/>
          <w:color w:val="auto"/>
        </w:rPr>
        <w:t>nine months ended February 29, 2004 and 2003</w:t>
      </w:r>
      <w:r>
        <w:rPr>
          <w:sz w:val="20"/>
          <w:szCs w:val="20"/>
          <w:color w:val="auto"/>
        </w:rPr>
        <w:tab/>
      </w:r>
      <w:r>
        <w:rPr>
          <w:rFonts w:ascii="Courier New" w:cs="Courier New" w:eastAsia="Courier New" w:hAnsi="Courier New"/>
          <w:sz w:val="13"/>
          <w:szCs w:val="13"/>
          <w:color w:val="auto"/>
        </w:rPr>
        <w:t>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tabs>
          <w:tab w:leader="dot" w:pos="676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tabs>
          <w:tab w:leader="dot" w:pos="676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3"/>
          <w:szCs w:val="13"/>
          <w:color w:val="auto"/>
        </w:rPr>
        <w:t>6</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tabs>
          <w:tab w:leader="dot" w:pos="676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12</w:t>
      </w:r>
    </w:p>
    <w:p>
      <w:pPr>
        <w:spacing w:after="0" w:line="338" w:lineRule="exact"/>
        <w:rPr>
          <w:sz w:val="24"/>
          <w:szCs w:val="24"/>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21</w:t>
      </w:r>
    </w:p>
    <w:p>
      <w:pPr>
        <w:sectPr>
          <w:pgSz w:w="11900" w:h="16838" w:orient="portrait"/>
          <w:cols w:equalWidth="0" w:num="1">
            <w:col w:w="10219"/>
          </w:cols>
          <w:pgMar w:left="240" w:top="226" w:right="1440" w:bottom="305" w:gutter="0" w:footer="0" w:header="0"/>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2,450 employees and operations in 33 locations in 20 countries. For the nine months ended February 29, 2004, we derived approximately 63.1%, 33.4%, and 3.5% of our net revenue in the United States, Europe and Rest of World, respectively.</w:t>
      </w:r>
    </w:p>
    <w:p>
      <w:pPr>
        <w:spacing w:after="0" w:line="18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2" w:name="page3"/>
    <w:bookmarkEnd w:id="2"/>
    <w:p>
      <w:pPr>
        <w:jc w:val="center"/>
        <w:ind w:right="344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70"/>
        </w:trPr>
        <w:tc>
          <w:tcPr>
            <w:tcW w:w="7580" w:type="dxa"/>
            <w:vAlign w:val="bottom"/>
          </w:tcPr>
          <w:p>
            <w:pPr>
              <w:ind w:left="1760"/>
              <w:spacing w:after="0"/>
              <w:rPr>
                <w:sz w:val="20"/>
                <w:szCs w:val="20"/>
                <w:color w:val="auto"/>
              </w:rPr>
            </w:pPr>
            <w:r>
              <w:rPr>
                <w:rFonts w:ascii="Courier New" w:cs="Courier New" w:eastAsia="Courier New" w:hAnsi="Courier New"/>
                <w:sz w:val="15"/>
                <w:szCs w:val="15"/>
                <w:color w:val="auto"/>
              </w:rPr>
              <w:t>AS AT FEBRUARY 29, 2004 AND MAY 31, 2003</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8"/>
        </w:trPr>
        <w:tc>
          <w:tcPr>
            <w:tcW w:w="7580" w:type="dxa"/>
            <w:vAlign w:val="bottom"/>
          </w:tcPr>
          <w:p>
            <w:pPr>
              <w:spacing w:after="0"/>
              <w:rPr>
                <w:sz w:val="24"/>
                <w:szCs w:val="2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(UNAUDITED)</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(AUDITED)</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FEBRUARY 29, 2004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MAY 31, 2003</w:t>
            </w:r>
          </w:p>
        </w:tc>
      </w:tr>
      <w:tr>
        <w:trPr>
          <w:trHeight w:val="170"/>
        </w:trPr>
        <w:tc>
          <w:tcPr>
            <w:tcW w:w="7580" w:type="dxa"/>
            <w:vAlign w:val="bottom"/>
          </w:tcPr>
          <w:p>
            <w:pPr>
              <w:spacing w:after="0"/>
              <w:rPr>
                <w:sz w:val="14"/>
                <w:szCs w:val="14"/>
                <w:color w:val="auto"/>
              </w:rPr>
            </w:pPr>
          </w:p>
        </w:tc>
        <w:tc>
          <w:tcPr>
            <w:tcW w:w="29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Cash and cash equivalents.......................................................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$67,114</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$18,311</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Accounts receivable.............................................................</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73,888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74,645</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Unbilled revenue................................................................</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56,340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44,783</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Other receivables...............................................................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7,915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Deferred taxes..................................................................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Prepayments and other current assets............................................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8,326</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Total current assets............................................................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214,776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150,482</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43,182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39,503</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Goodwill........................................................................</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62,158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45,029</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w w:val="97"/>
              </w:rPr>
              <w:t>Total Assets..........................................................................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$320,116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$235,014</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Accounts payable................................................................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$ 9,338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$11,092</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Payments on account.............................................................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59,979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45,763</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Other liabilities...............................................................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30,660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28,289</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Taxes payable...................................................................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Bank creditlines and loan facilities............................................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7,126</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w w:val="97"/>
              </w:rPr>
              <w:t>Total current liabilities......................................................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110,258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96,655</w:t>
            </w: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Long term government grants.....................................................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Deferred consideration - loan notes.............................................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Other liabilities...............................................................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w:t>
            </w:r>
          </w:p>
        </w:tc>
      </w:tr>
      <w:tr>
        <w:trPr>
          <w:trHeight w:val="170"/>
        </w:trPr>
        <w:tc>
          <w:tcPr>
            <w:tcW w:w="758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authorized, 13,637,996 shares issued and outstanding at February 29, 2004</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and</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11,841,557 shares issued and outstanding at May 31, 2003</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Additional paid-in capital......................................................</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109,017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61,164</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Accumulated other comprehensive income..........................................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11,415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7,787</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Merger reserve..................................................................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w w:val="97"/>
              </w:rPr>
              <w:t>Retained earnings...............................................................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85,591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67,071</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w w:val="97"/>
              </w:rPr>
              <w:t>Total Shareholders' Equity............................................................</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207,036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136,910</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w w:val="97"/>
              </w:rPr>
              <w:t>Total Liabilities and Shareholders' Equity............................................</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$320,116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$235,014</w:t>
            </w:r>
          </w:p>
        </w:tc>
      </w:tr>
      <w:tr>
        <w:trPr>
          <w:trHeight w:val="170"/>
        </w:trPr>
        <w:tc>
          <w:tcPr>
            <w:tcW w:w="758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800" w:firstLine="88"/>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80"/>
          </w:cols>
          <w:pgMar w:left="240" w:top="791" w:right="1179" w:bottom="1440" w:gutter="0" w:footer="0" w:header="0"/>
        </w:sectPr>
      </w:pPr>
    </w:p>
    <w:bookmarkStart w:id="3" w:name="page4"/>
    <w:bookmarkEnd w:id="3"/>
    <w:p>
      <w:pPr>
        <w:jc w:val="center"/>
        <w:ind w:right="4480"/>
        <w:spacing w:after="0"/>
        <w:rPr>
          <w:sz w:val="20"/>
          <w:szCs w:val="20"/>
          <w:color w:val="auto"/>
        </w:rPr>
      </w:pPr>
      <w:r>
        <w:rPr>
          <w:rFonts w:ascii="Courier New" w:cs="Courier New" w:eastAsia="Courier New" w:hAnsi="Courier New"/>
          <w:sz w:val="15"/>
          <w:szCs w:val="15"/>
          <w:color w:val="auto"/>
        </w:rPr>
        <w:t>ICON PLC</w:t>
      </w:r>
    </w:p>
    <w:p>
      <w:pPr>
        <w:spacing w:after="0" w:line="17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CONDENSED CONSOLIDATED STATEMENTS OF OPERATIONS FOR THE THREE AND NINE MONTHS ENDED FEBRUARY 29, 2004 AND FEBRUARY 28, 2003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268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608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FEBRUARY</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FEBRUARY</w:t>
            </w:r>
          </w:p>
        </w:tc>
        <w:tc>
          <w:tcPr>
            <w:tcW w:w="1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FEBRUARY</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608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w:t>
            </w:r>
          </w:p>
        </w:tc>
      </w:tr>
      <w:tr>
        <w:trPr>
          <w:trHeight w:val="170"/>
        </w:trPr>
        <w:tc>
          <w:tcPr>
            <w:tcW w:w="608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2003</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080" w:type="dxa"/>
            <w:vAlign w:val="bottom"/>
          </w:tcPr>
          <w:p>
            <w:pPr>
              <w:spacing w:after="0"/>
              <w:rPr>
                <w:sz w:val="14"/>
                <w:szCs w:val="14"/>
                <w:color w:val="auto"/>
              </w:rPr>
            </w:pPr>
          </w:p>
        </w:tc>
        <w:tc>
          <w:tcPr>
            <w:tcW w:w="544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Revenue:</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9"/>
        </w:trPr>
        <w:tc>
          <w:tcPr>
            <w:tcW w:w="6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Gross revenue.......................................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$112,831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$79,205</w:t>
            </w:r>
          </w:p>
        </w:tc>
        <w:tc>
          <w:tcPr>
            <w:tcW w:w="1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$332,181</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$236,270</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Subcontractor costs........................................</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(35,969)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(19,894)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(113,177)</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(76,565)</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revenue................................................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76,862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59,311</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219,004</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159,705</w:t>
            </w:r>
          </w:p>
        </w:tc>
      </w:tr>
      <w:tr>
        <w:trPr>
          <w:trHeight w:val="339"/>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Direct costs...............................................</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42,502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33,366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120,271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87,507</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22,708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17,890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65,774</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49,481</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Depreciation ..............................................</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2,894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8,215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5,017</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 costs and expenses...................................</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68,104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53,125</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194,260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142,005</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Income from operations........................................</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8,758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24,744</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17,700</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Interest income...............................................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594</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w:t>
            </w:r>
          </w:p>
        </w:tc>
      </w:tr>
      <w:tr>
        <w:trPr>
          <w:trHeight w:val="170"/>
        </w:trPr>
        <w:tc>
          <w:tcPr>
            <w:tcW w:w="608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Income before provision for income taxes......................</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8,833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6,306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24,941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18,079</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Provision for income taxes....................................</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(6,421)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(5,090)</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$6,651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$4,597</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$18,520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$12,989</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Ordinary Share:</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$0.38</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60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7"/>
              </w:rPr>
              <w:t>Weighted average number of Ordinary Shares outstanding:</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9"/>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13,622,514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11,818,704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12,797,089</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11,804,576</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14,070,194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12,220,266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13,288,688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12,169,875</w:t>
            </w:r>
          </w:p>
        </w:tc>
      </w:tr>
      <w:tr>
        <w:trPr>
          <w:trHeight w:val="170"/>
        </w:trPr>
        <w:tc>
          <w:tcPr>
            <w:tcW w:w="6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14" w:lineRule="exact"/>
        <w:rPr>
          <w:sz w:val="20"/>
          <w:szCs w:val="20"/>
          <w:color w:val="auto"/>
        </w:rPr>
      </w:pPr>
    </w:p>
    <w:p>
      <w:pPr>
        <w:ind w:right="492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791" w:right="139" w:bottom="1440" w:gutter="0" w:footer="0" w:header="0"/>
        </w:sectPr>
      </w:pPr>
    </w:p>
    <w:bookmarkStart w:id="4" w:name="page5"/>
    <w:bookmarkEnd w:id="4"/>
    <w:p>
      <w:pPr>
        <w:jc w:val="center"/>
        <w:ind w:right="3180"/>
        <w:spacing w:after="0"/>
        <w:rPr>
          <w:sz w:val="20"/>
          <w:szCs w:val="20"/>
          <w:color w:val="auto"/>
        </w:rPr>
      </w:pPr>
      <w:r>
        <w:rPr>
          <w:rFonts w:ascii="Courier New" w:cs="Courier New" w:eastAsia="Courier New" w:hAnsi="Courier New"/>
          <w:sz w:val="15"/>
          <w:szCs w:val="15"/>
          <w:color w:val="auto"/>
        </w:rPr>
        <w:t>ICON PLC</w:t>
      </w:r>
    </w:p>
    <w:p>
      <w:pPr>
        <w:spacing w:after="0" w:line="175" w:lineRule="exact"/>
        <w:rPr>
          <w:sz w:val="20"/>
          <w:szCs w:val="20"/>
          <w:color w:val="auto"/>
        </w:rPr>
      </w:pPr>
    </w:p>
    <w:p>
      <w:pPr>
        <w:jc w:val="center"/>
        <w:ind w:right="3100"/>
        <w:spacing w:after="0" w:line="237" w:lineRule="auto"/>
        <w:rPr>
          <w:sz w:val="20"/>
          <w:szCs w:val="20"/>
          <w:color w:val="auto"/>
        </w:rPr>
      </w:pPr>
      <w:r>
        <w:rPr>
          <w:rFonts w:ascii="Courier New" w:cs="Courier New" w:eastAsia="Courier New" w:hAnsi="Courier New"/>
          <w:sz w:val="15"/>
          <w:szCs w:val="15"/>
          <w:color w:val="auto"/>
        </w:rPr>
        <w:t>CONDENSED CONSOLIDATED STATEMENTS OF CASH FLOWS FOR THE NINE MONTHS ENDED FEBRUARY 29, 2004 AND FEBRUARY 28, 2003 (UNAUDITED)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NINE</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c>
          <w:tcPr>
            <w:tcW w:w="1760" w:type="dxa"/>
            <w:vAlign w:val="bottom"/>
          </w:tcPr>
          <w:p>
            <w:pPr>
              <w:ind w:left="780"/>
              <w:spacing w:after="0"/>
              <w:rPr>
                <w:sz w:val="20"/>
                <w:szCs w:val="20"/>
                <w:color w:val="auto"/>
              </w:rPr>
            </w:pPr>
            <w:r>
              <w:rPr>
                <w:rFonts w:ascii="Courier New" w:cs="Courier New" w:eastAsia="Courier New" w:hAnsi="Courier New"/>
                <w:sz w:val="15"/>
                <w:szCs w:val="15"/>
                <w:color w:val="auto"/>
                <w:w w:val="96"/>
              </w:rPr>
              <w:t>FEBRUARY 28</w:t>
            </w:r>
          </w:p>
        </w:tc>
      </w:tr>
      <w:tr>
        <w:trPr>
          <w:trHeight w:val="170"/>
        </w:trPr>
        <w:tc>
          <w:tcPr>
            <w:tcW w:w="6600" w:type="dxa"/>
            <w:vAlign w:val="bottom"/>
          </w:tcPr>
          <w:p>
            <w:pPr>
              <w:spacing w:after="0"/>
              <w:rPr>
                <w:sz w:val="14"/>
                <w:szCs w:val="14"/>
                <w:color w:val="auto"/>
              </w:rPr>
            </w:pP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2004</w:t>
            </w:r>
          </w:p>
        </w:tc>
        <w:tc>
          <w:tcPr>
            <w:tcW w:w="1760" w:type="dxa"/>
            <w:vAlign w:val="bottom"/>
          </w:tcPr>
          <w:p>
            <w:pPr>
              <w:ind w:left="780"/>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$18,520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$12,989</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activities:............................................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Loss on disposal of fixed assets.......................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Depreciation...........................................</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8,215</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5,017</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Amortization of grants.................................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Decrease in accounts receivable........................</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4,710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4,395</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Increase in unbilled revenue...........................</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(11,803)</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(22,704)</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Decrease/ (increase) in other receivables..............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2,184</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(2,044)</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Increase in prepayments and other current assets.......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(743)</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(2,752)</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Increase in payments on account........................</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12,236</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17,762</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Decrease in other liabilities..........................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Increase in taxes payable..............................</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5,673</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3,887</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(Decrease)/ increase in accounts payable...............</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(4,445)</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Net cash provided by operating activities.................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30,811</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16,563</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Purchase of fixed assets...............................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(9,697)</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(11,157)</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Sale of short term investments.........................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23,190</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Purchase of short term investments.....................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(4,639)</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Purchase of subsidiary.................................</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(11,180)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(35,721)</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Cash acquired with subsidiary .........................</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891</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1,910</w:t>
            </w:r>
          </w:p>
        </w:tc>
      </w:tr>
      <w:tr>
        <w:trPr>
          <w:trHeight w:val="170"/>
        </w:trPr>
        <w:tc>
          <w:tcPr>
            <w:tcW w:w="660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Payments in respect of prior period acquisitions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(1,588)</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(3,078)</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(21,574)</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(29,495)</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Repayment of bank overdraft...............................</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(7,126)</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(1,941)</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Proceeds from issuance of share capital...................</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45,705</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Proceeds from exercise of share options...................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3,696</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Share issuance costs......................................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(1,178)</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Repayment of other liabilities............................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Net cash provided by/ (used in) by financing activities...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40,935</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(1,636)</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Effect of exchange rate movements on cash.................</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(1,369)</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48,803</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(14,429)</w:t>
            </w:r>
          </w:p>
        </w:tc>
      </w:tr>
      <w:tr>
        <w:trPr>
          <w:trHeight w:val="170"/>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18,311</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36,291</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$67,114</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$21,862</w:t>
            </w:r>
          </w:p>
        </w:tc>
      </w:tr>
      <w:tr>
        <w:trPr>
          <w:trHeight w:val="170"/>
        </w:trPr>
        <w:tc>
          <w:tcPr>
            <w:tcW w:w="6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62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0"/>
          </w:cols>
          <w:pgMar w:left="240" w:top="791" w:right="1439" w:bottom="1440" w:gutter="0" w:footer="0" w:header="0"/>
        </w:sectPr>
      </w:pPr>
    </w:p>
    <w:bookmarkStart w:id="5" w:name="page6"/>
    <w:bookmarkEnd w:id="5"/>
    <w:p>
      <w:pPr>
        <w:jc w:val="center"/>
        <w:ind w:right="414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CONDENSED CONSOLIDATED STATEMENTS OF SHAREHOLDERS'</w:t>
      </w:r>
    </w:p>
    <w:p>
      <w:pPr>
        <w:ind w:left="2100"/>
        <w:spacing w:after="0"/>
        <w:rPr>
          <w:sz w:val="20"/>
          <w:szCs w:val="20"/>
          <w:color w:val="auto"/>
        </w:rPr>
      </w:pPr>
      <w:r>
        <w:rPr>
          <w:rFonts w:ascii="Courier New" w:cs="Courier New" w:eastAsia="Courier New" w:hAnsi="Courier New"/>
          <w:sz w:val="15"/>
          <w:szCs w:val="15"/>
          <w:color w:val="auto"/>
        </w:rPr>
        <w:t>EQUITY AND COMPREHENSIVE INCOME</w:t>
      </w: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ACCUMULATED</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ADDITIONAL</w:t>
            </w:r>
          </w:p>
        </w:tc>
        <w:tc>
          <w:tcPr>
            <w:tcW w:w="17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c>
          <w:tcPr>
            <w:tcW w:w="17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COMPREHENSIVE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RETAINED</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MERGER</w:t>
            </w:r>
          </w:p>
        </w:tc>
        <w:tc>
          <w:tcPr>
            <w:tcW w:w="1060" w:type="dxa"/>
            <w:vAlign w:val="bottom"/>
          </w:tcPr>
          <w:p>
            <w:pPr>
              <w:spacing w:after="0"/>
              <w:rPr>
                <w:sz w:val="14"/>
                <w:szCs w:val="14"/>
                <w:color w:val="auto"/>
              </w:rPr>
            </w:pPr>
          </w:p>
        </w:tc>
      </w:tr>
      <w:tr>
        <w:trPr>
          <w:trHeight w:val="170"/>
        </w:trPr>
        <w:tc>
          <w:tcPr>
            <w:tcW w:w="31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EARNINGS</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RESERVE</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339"/>
        </w:trPr>
        <w:tc>
          <w:tcPr>
            <w:tcW w:w="3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(DOLLARS IN THOUSANDS, EXCEPT SHARE DATA)</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8"/>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BALANCE AT MAY 31, 2003............</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11,841,557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$61,164</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$67,071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$136,910</w:t>
            </w:r>
          </w:p>
        </w:tc>
      </w:tr>
      <w:tr>
        <w:trPr>
          <w:trHeight w:val="509"/>
        </w:trPr>
        <w:tc>
          <w:tcPr>
            <w:tcW w:w="3180" w:type="dxa"/>
            <w:vAlign w:val="bottom"/>
          </w:tcPr>
          <w:p>
            <w:pPr>
              <w:jc w:val="right"/>
              <w:ind w:right="1267"/>
              <w:spacing w:after="0"/>
              <w:rPr>
                <w:sz w:val="20"/>
                <w:szCs w:val="20"/>
                <w:color w:val="auto"/>
              </w:rPr>
            </w:pPr>
            <w:r>
              <w:rPr>
                <w:rFonts w:ascii="Courier New" w:cs="Courier New" w:eastAsia="Courier New" w:hAnsi="Courier New"/>
                <w:sz w:val="15"/>
                <w:szCs w:val="15"/>
                <w:color w:val="auto"/>
                <w:w w:val="96"/>
              </w:rPr>
              <w:t>Comprehensive Income:</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18,520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18,520</w:t>
            </w:r>
          </w:p>
        </w:tc>
      </w:tr>
      <w:tr>
        <w:trPr>
          <w:trHeight w:val="170"/>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Currency translation adjustment..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3,628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3,628</w:t>
            </w:r>
          </w:p>
        </w:tc>
      </w:tr>
      <w:tr>
        <w:trPr>
          <w:trHeight w:val="170"/>
        </w:trPr>
        <w:tc>
          <w:tcPr>
            <w:tcW w:w="3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comprehensive income.......</w:t>
            </w: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22,148</w:t>
            </w:r>
          </w:p>
        </w:tc>
      </w:tr>
      <w:tr>
        <w:trPr>
          <w:trHeight w:val="170"/>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Exercise of Share Options........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296,439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3,675</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3,696</w:t>
            </w:r>
          </w:p>
        </w:tc>
      </w:tr>
      <w:tr>
        <w:trPr>
          <w:trHeight w:val="170"/>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 issued....................</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45,601</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45,705</w:t>
            </w:r>
          </w:p>
        </w:tc>
      </w:tr>
      <w:tr>
        <w:trPr>
          <w:trHeight w:val="170"/>
        </w:trPr>
        <w:tc>
          <w:tcPr>
            <w:tcW w:w="3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 Issue costs................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(1,423)</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(1,423)</w:t>
            </w:r>
          </w:p>
        </w:tc>
      </w:tr>
      <w:tr>
        <w:trPr>
          <w:trHeight w:val="170"/>
        </w:trPr>
        <w:tc>
          <w:tcPr>
            <w:tcW w:w="318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_________</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____</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______</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_______</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______</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______</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______</w:t>
            </w:r>
          </w:p>
        </w:tc>
      </w:tr>
      <w:tr>
        <w:trPr>
          <w:trHeight w:val="170"/>
        </w:trPr>
        <w:tc>
          <w:tcPr>
            <w:tcW w:w="3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BALANCE AT FEBRUARY 29, 2004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13,637,996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$109,017</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$11,415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$85,591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$207,036</w:t>
            </w:r>
          </w:p>
        </w:tc>
      </w:tr>
    </w:tbl>
    <w:p>
      <w:pPr>
        <w:spacing w:after="0" w:line="344" w:lineRule="exact"/>
        <w:rPr>
          <w:sz w:val="20"/>
          <w:szCs w:val="20"/>
          <w:color w:val="auto"/>
        </w:rPr>
      </w:pPr>
    </w:p>
    <w:p>
      <w:pPr>
        <w:ind w:right="458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80"/>
          </w:cols>
          <w:pgMar w:left="240" w:top="961" w:right="479" w:bottom="1440" w:gutter="0" w:footer="0" w:header="0"/>
        </w:sectPr>
      </w:pPr>
    </w:p>
    <w:bookmarkStart w:id="6" w:name="page7"/>
    <w:bookmarkEnd w:id="6"/>
    <w:p>
      <w:pPr>
        <w:spacing w:after="0" w:line="3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jc w:val="center"/>
        <w:ind w:right="3090"/>
        <w:spacing w:after="0"/>
        <w:rPr>
          <w:sz w:val="20"/>
          <w:szCs w:val="20"/>
          <w:color w:val="auto"/>
        </w:rPr>
      </w:pPr>
      <w:r>
        <w:rPr>
          <w:rFonts w:ascii="Courier New" w:cs="Courier New" w:eastAsia="Courier New" w:hAnsi="Courier New"/>
          <w:sz w:val="15"/>
          <w:szCs w:val="15"/>
          <w:color w:val="auto"/>
        </w:rPr>
        <w:t>FEBRUARY 29, 2004</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BASIS OF PRESENTATION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2003, except as described below.</w:t>
      </w:r>
    </w:p>
    <w:p>
      <w:pPr>
        <w:spacing w:after="0" w:line="182"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2003 annual report on Form 20-F. Operating results for the nine months ended February 29, 2004 are not necessarily indicative of the results that may be expected for the fiscal year ending May 31, 2004.</w:t>
      </w:r>
    </w:p>
    <w:p>
      <w:pPr>
        <w:spacing w:after="0" w:line="200" w:lineRule="exact"/>
        <w:rPr>
          <w:sz w:val="20"/>
          <w:szCs w:val="20"/>
          <w:color w:val="auto"/>
        </w:rPr>
      </w:pPr>
    </w:p>
    <w:p>
      <w:pPr>
        <w:spacing w:after="0" w:line="318" w:lineRule="exact"/>
        <w:rPr>
          <w:sz w:val="20"/>
          <w:szCs w:val="20"/>
          <w:color w:val="auto"/>
        </w:rPr>
      </w:pPr>
    </w:p>
    <w:p>
      <w:pPr>
        <w:ind w:left="10" w:right="8199" w:hanging="10"/>
        <w:spacing w:after="0" w:line="513" w:lineRule="auto"/>
        <w:tabs>
          <w:tab w:leader="none" w:pos="27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Acquisition of Globomax</w:t>
      </w:r>
    </w:p>
    <w:p>
      <w:pPr>
        <w:ind w:left="10"/>
        <w:spacing w:after="0" w:line="232" w:lineRule="auto"/>
        <w:rPr>
          <w:sz w:val="20"/>
          <w:szCs w:val="20"/>
          <w:color w:val="auto"/>
        </w:rPr>
      </w:pPr>
      <w:r>
        <w:rPr>
          <w:rFonts w:ascii="Courier New" w:cs="Courier New" w:eastAsia="Courier New" w:hAnsi="Courier New"/>
          <w:sz w:val="15"/>
          <w:szCs w:val="15"/>
          <w:color w:val="auto"/>
        </w:rPr>
        <w:t>On September 9, 2003, the Company acquired 100% of the outstanding shares of</w:t>
      </w:r>
    </w:p>
    <w:p>
      <w:pPr>
        <w:ind w:left="10"/>
        <w:spacing w:after="0"/>
        <w:rPr>
          <w:sz w:val="20"/>
          <w:szCs w:val="20"/>
          <w:color w:val="auto"/>
        </w:rPr>
      </w:pPr>
      <w:r>
        <w:rPr>
          <w:rFonts w:ascii="Courier New" w:cs="Courier New" w:eastAsia="Courier New" w:hAnsi="Courier New"/>
          <w:sz w:val="15"/>
          <w:szCs w:val="15"/>
          <w:color w:val="auto"/>
        </w:rPr>
        <w:t>Globomax LLC, based in Maryland, USA, for an initial cash consideration of</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U.S.$10.9 million, excluding costs of acquisition. Earn-out provisions have been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built into the acquisition contract requiring the potential payment of</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additional deferred consideration up to a maximum of U.S.$4.0 million depending</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on the performance of Globomax over the period from date of acquisition to May</w:t>
      </w:r>
    </w:p>
    <w:p>
      <w:pPr>
        <w:ind w:left="10"/>
        <w:spacing w:after="0"/>
        <w:rPr>
          <w:sz w:val="20"/>
          <w:szCs w:val="20"/>
          <w:color w:val="auto"/>
        </w:rPr>
      </w:pPr>
      <w:r>
        <w:rPr>
          <w:rFonts w:ascii="Courier New" w:cs="Courier New" w:eastAsia="Courier New" w:hAnsi="Courier New"/>
          <w:sz w:val="15"/>
          <w:szCs w:val="15"/>
          <w:color w:val="auto"/>
        </w:rPr>
        <w:t>31, 2006. Such potential additional consideration will be accounted for as</w:t>
      </w:r>
    </w:p>
    <w:p>
      <w:pPr>
        <w:ind w:left="10"/>
        <w:spacing w:after="0"/>
        <w:rPr>
          <w:sz w:val="20"/>
          <w:szCs w:val="20"/>
          <w:color w:val="auto"/>
        </w:rPr>
      </w:pPr>
      <w:r>
        <w:rPr>
          <w:rFonts w:ascii="Courier New" w:cs="Courier New" w:eastAsia="Courier New" w:hAnsi="Courier New"/>
          <w:sz w:val="15"/>
          <w:szCs w:val="15"/>
          <w:color w:val="auto"/>
        </w:rPr>
        <w:t>goodwill. The total amount of goodwill is expected to be tax deductible.</w:t>
      </w:r>
    </w:p>
    <w:p>
      <w:pPr>
        <w:spacing w:after="0" w:line="174"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The acquisition of Globomax has been accounted for as a purchase in accordance with SFAS No. 141, "Business Combinations". The following table summarises the fair values of the assets acquired and the liabilities assumed at the date of acquisition.</w:t>
      </w:r>
    </w:p>
    <w:p>
      <w:pPr>
        <w:spacing w:after="0" w:line="171" w:lineRule="exact"/>
        <w:rPr>
          <w:sz w:val="20"/>
          <w:szCs w:val="20"/>
          <w:color w:val="auto"/>
        </w:rPr>
      </w:pPr>
    </w:p>
    <w:p>
      <w:pPr>
        <w:ind w:left="4850"/>
        <w:spacing w:after="0"/>
        <w:rPr>
          <w:sz w:val="20"/>
          <w:szCs w:val="20"/>
          <w:color w:val="auto"/>
        </w:rPr>
      </w:pPr>
      <w:r>
        <w:rPr>
          <w:rFonts w:ascii="Courier New" w:cs="Courier New" w:eastAsia="Courier New" w:hAnsi="Courier New"/>
          <w:sz w:val="15"/>
          <w:szCs w:val="15"/>
          <w:color w:val="auto"/>
        </w:rPr>
        <w:t>AT SEPTEMBER 9,</w:t>
      </w:r>
    </w:p>
    <w:p>
      <w:pPr>
        <w:ind w:left="5810"/>
        <w:spacing w:after="0"/>
        <w:rPr>
          <w:sz w:val="20"/>
          <w:szCs w:val="20"/>
          <w:color w:val="auto"/>
        </w:rPr>
      </w:pPr>
      <w:r>
        <w:rPr>
          <w:rFonts w:ascii="Courier New" w:cs="Courier New" w:eastAsia="Courier New" w:hAnsi="Courier New"/>
          <w:sz w:val="15"/>
          <w:szCs w:val="15"/>
          <w:color w:val="auto"/>
        </w:rPr>
        <w:t>2003</w:t>
      </w:r>
    </w:p>
    <w:p>
      <w:pPr>
        <w:ind w:left="4930"/>
        <w:spacing w:after="0"/>
        <w:rPr>
          <w:sz w:val="20"/>
          <w:szCs w:val="20"/>
          <w:color w:val="auto"/>
        </w:rPr>
      </w:pPr>
      <w:r>
        <w:rPr>
          <w:rFonts w:ascii="Courier New" w:cs="Courier New" w:eastAsia="Courier New" w:hAnsi="Courier New"/>
          <w:sz w:val="15"/>
          <w:szCs w:val="15"/>
          <w:color w:val="auto"/>
        </w:rPr>
        <w:t>(IN THOUSANDS)</w:t>
      </w:r>
    </w:p>
    <w:p>
      <w:pPr>
        <w:ind w:left="610"/>
        <w:spacing w:after="0"/>
        <w:tabs>
          <w:tab w:leader="none" w:pos="5889"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4"/>
          <w:szCs w:val="14"/>
          <w:color w:val="auto"/>
        </w:rPr>
        <w:t>370</w:t>
      </w:r>
    </w:p>
    <w:p>
      <w:pPr>
        <w:ind w:left="610"/>
        <w:spacing w:after="0"/>
        <w:tabs>
          <w:tab w:leader="none" w:pos="5629"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4"/>
          <w:szCs w:val="14"/>
          <w:color w:val="auto"/>
        </w:rPr>
        <w:t>13,134</w:t>
      </w:r>
    </w:p>
    <w:p>
      <w:pPr>
        <w:ind w:left="610"/>
        <w:spacing w:after="0"/>
        <w:tabs>
          <w:tab w:leader="none" w:pos="5889" w:val="left"/>
        </w:tabs>
        <w:rPr>
          <w:sz w:val="20"/>
          <w:szCs w:val="20"/>
          <w:color w:val="auto"/>
        </w:rPr>
      </w:pP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4"/>
          <w:szCs w:val="14"/>
          <w:color w:val="auto"/>
        </w:rPr>
        <w:t>891</w:t>
      </w:r>
    </w:p>
    <w:p>
      <w:pPr>
        <w:ind w:left="610"/>
        <w:spacing w:after="0"/>
        <w:tabs>
          <w:tab w:leader="none" w:pos="5709" w:val="left"/>
        </w:tabs>
        <w:rPr>
          <w:sz w:val="20"/>
          <w:szCs w:val="20"/>
          <w:color w:val="auto"/>
        </w:rPr>
      </w:pPr>
      <w:r>
        <w:rPr>
          <w:rFonts w:ascii="Courier New" w:cs="Courier New" w:eastAsia="Courier New" w:hAnsi="Courier New"/>
          <w:sz w:val="15"/>
          <w:szCs w:val="15"/>
          <w:color w:val="auto"/>
        </w:rPr>
        <w:t>Other Current Assets</w:t>
      </w:r>
      <w:r>
        <w:rPr>
          <w:sz w:val="20"/>
          <w:szCs w:val="20"/>
          <w:color w:val="auto"/>
        </w:rPr>
        <w:tab/>
      </w:r>
      <w:r>
        <w:rPr>
          <w:rFonts w:ascii="Courier New" w:cs="Courier New" w:eastAsia="Courier New" w:hAnsi="Courier New"/>
          <w:sz w:val="14"/>
          <w:szCs w:val="14"/>
          <w:color w:val="auto"/>
        </w:rPr>
        <w:t>3,306</w:t>
      </w:r>
    </w:p>
    <w:p>
      <w:pPr>
        <w:ind w:left="610"/>
        <w:spacing w:after="0"/>
        <w:tabs>
          <w:tab w:leader="none" w:pos="5529"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4"/>
          <w:szCs w:val="14"/>
          <w:color w:val="auto"/>
        </w:rPr>
        <w:t>(6,376)</w:t>
      </w:r>
    </w:p>
    <w:p>
      <w:pPr>
        <w:ind w:left="610"/>
        <w:spacing w:after="0"/>
        <w:rPr>
          <w:sz w:val="20"/>
          <w:szCs w:val="20"/>
          <w:color w:val="auto"/>
        </w:rPr>
      </w:pPr>
      <w:r>
        <w:rPr>
          <w:rFonts w:ascii="Courier New" w:cs="Courier New" w:eastAsia="Courier New" w:hAnsi="Courier New"/>
          <w:sz w:val="15"/>
          <w:szCs w:val="15"/>
          <w:color w:val="auto"/>
        </w:rPr>
        <w:t>----------------------------------------------------------------</w:t>
      </w:r>
    </w:p>
    <w:p>
      <w:pPr>
        <w:ind w:left="610"/>
        <w:spacing w:after="0"/>
        <w:rPr>
          <w:sz w:val="20"/>
          <w:szCs w:val="20"/>
          <w:color w:val="auto"/>
        </w:rPr>
      </w:pPr>
      <w:r>
        <w:rPr>
          <w:rFonts w:ascii="Courier New" w:cs="Courier New" w:eastAsia="Courier New" w:hAnsi="Courier New"/>
          <w:sz w:val="15"/>
          <w:szCs w:val="15"/>
          <w:color w:val="auto"/>
        </w:rPr>
        <w:t>----------------------------------------------------------------</w:t>
      </w:r>
    </w:p>
    <w:p>
      <w:pPr>
        <w:ind w:left="610"/>
        <w:spacing w:after="0"/>
        <w:tabs>
          <w:tab w:leader="none" w:pos="5529"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4"/>
          <w:szCs w:val="14"/>
          <w:color w:val="auto"/>
        </w:rPr>
        <w:t>$11,325</w:t>
      </w:r>
    </w:p>
    <w:p>
      <w:pPr>
        <w:ind w:left="6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The results of Globomax have been included in the consolidated financial statements from September 9, 2003.</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144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75" w:lineRule="exact"/>
        <w:rPr>
          <w:sz w:val="20"/>
          <w:szCs w:val="20"/>
          <w:color w:val="auto"/>
        </w:rPr>
      </w:pPr>
    </w:p>
    <w:p>
      <w:pPr>
        <w:ind w:right="4220"/>
        <w:spacing w:after="0" w:line="258" w:lineRule="auto"/>
        <w:rPr>
          <w:sz w:val="20"/>
          <w:szCs w:val="20"/>
          <w:color w:val="auto"/>
        </w:rPr>
      </w:pPr>
      <w:r>
        <w:rPr>
          <w:rFonts w:ascii="Courier New" w:cs="Courier New" w:eastAsia="Courier New" w:hAnsi="Courier New"/>
          <w:sz w:val="14"/>
          <w:szCs w:val="14"/>
          <w:color w:val="auto"/>
        </w:rPr>
        <w:t>On July 25, 2003, August 20, 2003, August 29, 2003 and September 11, 2003, additional cash payments totaling U.S.$110,897 were made to the former shareholders of Barton &amp; Polansky Associates, Inc. ("BPA") and Managed Clinical Solutions, Inc. ("MCS"), as part of the working capital provisions in the applicable acquisition contract. We acquired BPA and MCS on October 9, 2002.</w:t>
      </w:r>
    </w:p>
    <w:p>
      <w:pPr>
        <w:spacing w:after="0" w:line="165" w:lineRule="exact"/>
        <w:rPr>
          <w:sz w:val="20"/>
          <w:szCs w:val="20"/>
          <w:color w:val="auto"/>
        </w:rPr>
      </w:pPr>
    </w:p>
    <w:p>
      <w:pPr>
        <w:ind w:right="4140"/>
        <w:spacing w:after="0" w:line="257" w:lineRule="auto"/>
        <w:rPr>
          <w:sz w:val="20"/>
          <w:szCs w:val="20"/>
          <w:color w:val="auto"/>
        </w:rPr>
      </w:pPr>
      <w:r>
        <w:rPr>
          <w:rFonts w:ascii="Courier New" w:cs="Courier New" w:eastAsia="Courier New" w:hAnsi="Courier New"/>
          <w:sz w:val="14"/>
          <w:szCs w:val="14"/>
          <w:color w:val="auto"/>
        </w:rPr>
        <w:t>On May 31, 2003, an amount of Stg(pound)1.225 million (U.S.$2.0 million) was accrued in relation to the Medeval Group Limited ("Medeval") acquisition, a company we acquired on January 24, 2003, as the first earn-out target identified in the acquisition contract was reached on this date. It was provided in the applicable acquisition agreement that the form of the earn-out would consist of cash payable to one specific named selling shareholder, with the balance due to the other selling shareholders being in the form of guaranteed loan notes. These guaranteed loan notes have a repayment date of 3 years from the date of issue but are exercisable six months from that date. On September 30, 2003, Stg(pound)0.472 million (U.S.$0.8 million) was paid in cash to the specific named selling shareholder. On the same date, Stg(pound)0.753 million (U.S.$1.403 million) of guaranteed loan notes were issued to the remaining selling shareholders and are included in Deferred consideration - loan notes.</w:t>
      </w:r>
    </w:p>
    <w:p>
      <w:pPr>
        <w:spacing w:after="0" w:line="165" w:lineRule="exact"/>
        <w:rPr>
          <w:sz w:val="20"/>
          <w:szCs w:val="20"/>
          <w:color w:val="auto"/>
        </w:rPr>
      </w:pPr>
    </w:p>
    <w:p>
      <w:pPr>
        <w:ind w:right="4400"/>
        <w:spacing w:after="0" w:line="237" w:lineRule="auto"/>
        <w:rPr>
          <w:sz w:val="20"/>
          <w:szCs w:val="20"/>
          <w:color w:val="auto"/>
        </w:rPr>
      </w:pPr>
      <w:r>
        <w:rPr>
          <w:rFonts w:ascii="Courier New" w:cs="Courier New" w:eastAsia="Courier New" w:hAnsi="Courier New"/>
          <w:sz w:val="15"/>
          <w:szCs w:val="15"/>
          <w:color w:val="auto"/>
        </w:rPr>
        <w:t>On October 2, 2003, a cash payment of U.S.$421,000 was made to the former shareholders of UCT (U.S.) Inc.as part of the earn-out provisions in the contract. This represents the final payment due to the former shareholders of UCT under the acquisition contract.</w:t>
      </w:r>
    </w:p>
    <w:p>
      <w:pPr>
        <w:spacing w:after="0" w:line="176" w:lineRule="exact"/>
        <w:rPr>
          <w:sz w:val="20"/>
          <w:szCs w:val="20"/>
          <w:color w:val="auto"/>
        </w:rPr>
      </w:pPr>
    </w:p>
    <w:p>
      <w:pPr>
        <w:ind w:right="4320"/>
        <w:spacing w:after="0" w:line="260" w:lineRule="auto"/>
        <w:rPr>
          <w:sz w:val="20"/>
          <w:szCs w:val="20"/>
          <w:color w:val="auto"/>
        </w:rPr>
      </w:pPr>
      <w:r>
        <w:rPr>
          <w:rFonts w:ascii="Courier New" w:cs="Courier New" w:eastAsia="Courier New" w:hAnsi="Courier New"/>
          <w:sz w:val="14"/>
          <w:szCs w:val="14"/>
          <w:color w:val="auto"/>
        </w:rPr>
        <w:t>On December 30, 2003, a cash payment of Stg(pound)100,000 (U.S.$176,897) was made to the former shareholders of YRCR Limited. This represents the final payment due to the former shareholders of YRCR under the acquisition contract.</w:t>
      </w:r>
    </w:p>
    <w:p>
      <w:pPr>
        <w:spacing w:after="0" w:line="163" w:lineRule="exact"/>
        <w:rPr>
          <w:sz w:val="20"/>
          <w:szCs w:val="20"/>
          <w:color w:val="auto"/>
        </w:rPr>
      </w:pPr>
    </w:p>
    <w:p>
      <w:pPr>
        <w:ind w:right="4500"/>
        <w:spacing w:after="0" w:line="237" w:lineRule="auto"/>
        <w:rPr>
          <w:sz w:val="20"/>
          <w:szCs w:val="20"/>
          <w:color w:val="auto"/>
        </w:rPr>
      </w:pPr>
      <w:r>
        <w:rPr>
          <w:rFonts w:ascii="Courier New" w:cs="Courier New" w:eastAsia="Courier New" w:hAnsi="Courier New"/>
          <w:sz w:val="15"/>
          <w:szCs w:val="15"/>
          <w:color w:val="auto"/>
        </w:rPr>
        <w:t>The pro forma effect of the BPA, MCS, Medeval and Globomax acquisitions if completed on June 1, 2002 would have resulted in net revenue, net income and earnings per share for the three and nine months ended February 29, 2004 and February 28, 2003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418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THREE MONTHS ENDED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NINE</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3980" w:type="dxa"/>
            <w:vAlign w:val="bottom"/>
          </w:tcPr>
          <w:p>
            <w:pPr>
              <w:spacing w:after="0"/>
              <w:rPr>
                <w:sz w:val="14"/>
                <w:szCs w:val="14"/>
                <w:color w:val="auto"/>
              </w:rPr>
            </w:pP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 29</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FEBRUARY 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FEBRUARY 28</w:t>
            </w:r>
          </w:p>
        </w:tc>
      </w:tr>
      <w:tr>
        <w:trPr>
          <w:trHeight w:val="170"/>
        </w:trPr>
        <w:tc>
          <w:tcPr>
            <w:tcW w:w="3980" w:type="dxa"/>
            <w:vAlign w:val="bottom"/>
          </w:tcPr>
          <w:p>
            <w:pPr>
              <w:spacing w:after="0"/>
              <w:rPr>
                <w:sz w:val="14"/>
                <w:szCs w:val="14"/>
                <w:color w:val="auto"/>
              </w:rPr>
            </w:pPr>
          </w:p>
        </w:tc>
        <w:tc>
          <w:tcPr>
            <w:tcW w:w="28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2004</w:t>
            </w:r>
          </w:p>
        </w:tc>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980" w:type="dxa"/>
            <w:vAlign w:val="bottom"/>
          </w:tcPr>
          <w:p>
            <w:pPr>
              <w:spacing w:after="0"/>
              <w:rPr>
                <w:sz w:val="14"/>
                <w:szCs w:val="14"/>
                <w:color w:val="auto"/>
              </w:rPr>
            </w:pPr>
          </w:p>
        </w:tc>
        <w:tc>
          <w:tcPr>
            <w:tcW w:w="4180" w:type="dxa"/>
            <w:vAlign w:val="bottom"/>
            <w:gridSpan w:val="2"/>
          </w:tcPr>
          <w:p>
            <w:pPr>
              <w:ind w:left="2200"/>
              <w:spacing w:after="0"/>
              <w:rPr>
                <w:sz w:val="20"/>
                <w:szCs w:val="20"/>
                <w:color w:val="auto"/>
              </w:rPr>
            </w:pPr>
            <w:r>
              <w:rPr>
                <w:rFonts w:ascii="Courier New" w:cs="Courier New" w:eastAsia="Courier New" w:hAnsi="Courier New"/>
                <w:sz w:val="15"/>
                <w:szCs w:val="15"/>
                <w:color w:val="auto"/>
              </w:rPr>
              <w:t>(IN THOUSANDS)</w:t>
            </w:r>
          </w:p>
        </w:tc>
        <w:tc>
          <w:tcPr>
            <w:tcW w:w="242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$76,862</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$64,882</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$222,030</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w w:val="94"/>
              </w:rPr>
              <w:t>$185,835</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$6,651</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$5,180</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$18,696</w:t>
            </w:r>
          </w:p>
        </w:tc>
        <w:tc>
          <w:tcPr>
            <w:tcW w:w="340" w:type="dxa"/>
            <w:vAlign w:val="bottom"/>
          </w:tcPr>
          <w:p>
            <w:pPr>
              <w:spacing w:after="0"/>
              <w:rPr>
                <w:sz w:val="14"/>
                <w:szCs w:val="14"/>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$14,811</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$0.49</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$0.44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w:t>
            </w:r>
          </w:p>
        </w:tc>
        <w:tc>
          <w:tcPr>
            <w:tcW w:w="3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$0.47</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$0.42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w:t>
            </w:r>
          </w:p>
        </w:tc>
        <w:tc>
          <w:tcPr>
            <w:tcW w:w="3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w:t>
            </w:r>
          </w:p>
        </w:tc>
      </w:tr>
    </w:tbl>
    <w:p>
      <w:pPr>
        <w:spacing w:after="0" w:line="344" w:lineRule="exact"/>
        <w:rPr>
          <w:sz w:val="20"/>
          <w:szCs w:val="20"/>
          <w:color w:val="auto"/>
        </w:rPr>
      </w:pPr>
    </w:p>
    <w:p>
      <w:pPr>
        <w:ind w:right="4220"/>
        <w:spacing w:after="0" w:line="238" w:lineRule="auto"/>
        <w:rPr>
          <w:sz w:val="20"/>
          <w:szCs w:val="20"/>
          <w:color w:val="auto"/>
        </w:rPr>
      </w:pPr>
      <w:r>
        <w:rPr>
          <w:rFonts w:ascii="Courier New" w:cs="Courier New" w:eastAsia="Courier New" w:hAnsi="Courier New"/>
          <w:sz w:val="15"/>
          <w:szCs w:val="15"/>
          <w:color w:val="auto"/>
        </w:rPr>
        <w:t>In August 2002, a $900,000 distribution was made to the former shareholders of BPA and MCS, which was recorded as other expenses. In July 2001 and 2002, dividends were paid to the former shareholders of Medeval of Stg(pound)25,679 (U.S.$36,148) and Stg(pound)109,700 (U.S.$168,134) respectively which were also recorded as other expenses. These payments are included in the pro forma results.</w:t>
      </w:r>
    </w:p>
    <w:p>
      <w:pPr>
        <w:spacing w:after="0" w:line="176" w:lineRule="exact"/>
        <w:rPr>
          <w:sz w:val="20"/>
          <w:szCs w:val="20"/>
          <w:color w:val="auto"/>
        </w:rPr>
      </w:pPr>
    </w:p>
    <w:p>
      <w:pPr>
        <w:ind w:right="4140"/>
        <w:spacing w:after="0" w:line="235" w:lineRule="auto"/>
        <w:rPr>
          <w:sz w:val="20"/>
          <w:szCs w:val="20"/>
          <w:color w:val="auto"/>
        </w:rPr>
      </w:pPr>
      <w:r>
        <w:rPr>
          <w:rFonts w:ascii="Courier New" w:cs="Courier New" w:eastAsia="Courier New" w:hAnsi="Courier New"/>
          <w:sz w:val="15"/>
          <w:szCs w:val="15"/>
          <w:color w:val="auto"/>
        </w:rPr>
        <w:t>An effective tax rate of 35.0% was imputed on the profits before tax of Globomax LLC for the periods prior to acquisition.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GOODWILL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NINE MONTHS ENDED</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FEBRUARY 29</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 THOUSANDS)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Opening Balance</w:t>
            </w:r>
          </w:p>
        </w:tc>
        <w:tc>
          <w:tcPr>
            <w:tcW w:w="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$45,029</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$10,093</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Arising during</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the year</w:t>
            </w:r>
          </w:p>
        </w:tc>
        <w:tc>
          <w:tcPr>
            <w:tcW w:w="3200" w:type="dxa"/>
            <w:vAlign w:val="bottom"/>
          </w:tcPr>
          <w:p>
            <w:pPr>
              <w:spacing w:after="0"/>
              <w:rPr>
                <w:sz w:val="14"/>
                <w:szCs w:val="1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13,134</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32,302</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Arising   on</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earn-out</w:t>
            </w:r>
          </w:p>
        </w:tc>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(current   and   prior   year</w:t>
            </w: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709</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Exchange Movement</w:t>
            </w:r>
          </w:p>
        </w:tc>
        <w:tc>
          <w:tcPr>
            <w:tcW w:w="3200" w:type="dxa"/>
            <w:vAlign w:val="bottom"/>
          </w:tcPr>
          <w:p>
            <w:pPr>
              <w:spacing w:after="0"/>
              <w:rPr>
                <w:sz w:val="14"/>
                <w:szCs w:val="14"/>
                <w:color w:val="auto"/>
              </w:rPr>
            </w:pPr>
          </w:p>
        </w:tc>
        <w:tc>
          <w:tcPr>
            <w:tcW w:w="2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3,286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Closing Balance</w:t>
            </w:r>
          </w:p>
        </w:tc>
        <w:tc>
          <w:tcPr>
            <w:tcW w:w="4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$62,158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180"/>
          </w:cols>
          <w:pgMar w:left="240" w:top="622" w:right="479" w:bottom="1440" w:gutter="0" w:footer="0" w:header="0"/>
        </w:sectPr>
      </w:pPr>
    </w:p>
    <w:bookmarkStart w:id="8" w:name="page9"/>
    <w:bookmarkEnd w:id="8"/>
    <w:p>
      <w:pPr>
        <w:ind w:left="10"/>
        <w:spacing w:after="0"/>
        <w:rPr>
          <w:sz w:val="20"/>
          <w:szCs w:val="20"/>
          <w:color w:val="auto"/>
        </w:rPr>
      </w:pPr>
      <w:r>
        <w:rPr>
          <w:rFonts w:ascii="Courier New" w:cs="Courier New" w:eastAsia="Courier New" w:hAnsi="Courier New"/>
          <w:sz w:val="15"/>
          <w:szCs w:val="15"/>
          <w:color w:val="auto"/>
        </w:rPr>
        <w:t>4. NET INCOME PER ORDINARY SHARE</w:t>
      </w:r>
    </w:p>
    <w:p>
      <w:pPr>
        <w:spacing w:after="0" w:line="175" w:lineRule="exact"/>
        <w:rPr>
          <w:sz w:val="20"/>
          <w:szCs w:val="20"/>
          <w:color w:val="auto"/>
        </w:rPr>
      </w:pPr>
    </w:p>
    <w:p>
      <w:pPr>
        <w:ind w:left="10" w:right="4140"/>
        <w:spacing w:after="0" w:line="257"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67" w:lineRule="exact"/>
        <w:rPr>
          <w:sz w:val="20"/>
          <w:szCs w:val="20"/>
          <w:color w:val="auto"/>
        </w:rPr>
      </w:pPr>
    </w:p>
    <w:p>
      <w:pPr>
        <w:ind w:left="10" w:right="4320"/>
        <w:spacing w:after="0" w:line="260" w:lineRule="auto"/>
        <w:rPr>
          <w:sz w:val="20"/>
          <w:szCs w:val="20"/>
          <w:color w:val="auto"/>
        </w:rPr>
      </w:pPr>
      <w:r>
        <w:rPr>
          <w:rFonts w:ascii="Courier New" w:cs="Courier New" w:eastAsia="Courier New" w:hAnsi="Courier New"/>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c>
          <w:tcPr>
            <w:tcW w:w="24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5420" w:type="dxa"/>
            <w:vAlign w:val="bottom"/>
          </w:tcPr>
          <w:p>
            <w:pPr>
              <w:spacing w:after="0"/>
              <w:rPr>
                <w:sz w:val="14"/>
                <w:szCs w:val="1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FEBRUARY</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FEBRUARY</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5420" w:type="dxa"/>
            <w:vAlign w:val="bottom"/>
          </w:tcPr>
          <w:p>
            <w:pPr>
              <w:spacing w:after="0"/>
              <w:rPr>
                <w:sz w:val="14"/>
                <w:szCs w:val="1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5420" w:type="dxa"/>
            <w:vAlign w:val="bottom"/>
          </w:tcPr>
          <w:p>
            <w:pPr>
              <w:spacing w:after="0"/>
              <w:rPr>
                <w:sz w:val="14"/>
                <w:szCs w:val="1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 for</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13,622,514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11,818,704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12,797,089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11,804,576</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447,680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401,562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491,599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365,299</w:t>
            </w:r>
          </w:p>
        </w:tc>
      </w:tr>
      <w:tr>
        <w:trPr>
          <w:trHeight w:val="170"/>
        </w:trPr>
        <w:tc>
          <w:tcPr>
            <w:tcW w:w="5420" w:type="dxa"/>
            <w:vAlign w:val="bottom"/>
          </w:tcPr>
          <w:p>
            <w:pPr>
              <w:spacing w:after="0"/>
              <w:rPr>
                <w:sz w:val="14"/>
                <w:szCs w:val="14"/>
                <w:color w:val="auto"/>
              </w:rPr>
            </w:pPr>
          </w:p>
        </w:tc>
        <w:tc>
          <w:tcPr>
            <w:tcW w:w="5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for diluted net</w:t>
            </w: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income per Ordinary Share</w:t>
            </w: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14,070,194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12,220,266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13,288,688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12,169,875</w:t>
            </w:r>
          </w:p>
        </w:tc>
      </w:tr>
      <w:tr>
        <w:trPr>
          <w:trHeight w:val="170"/>
        </w:trPr>
        <w:tc>
          <w:tcPr>
            <w:tcW w:w="5420" w:type="dxa"/>
            <w:vAlign w:val="bottom"/>
          </w:tcPr>
          <w:p>
            <w:pPr>
              <w:spacing w:after="0"/>
              <w:rPr>
                <w:sz w:val="14"/>
                <w:szCs w:val="14"/>
                <w:color w:val="auto"/>
              </w:rPr>
            </w:pPr>
          </w:p>
        </w:tc>
        <w:tc>
          <w:tcPr>
            <w:tcW w:w="5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BUSINESS SEGMENT INFORMATION</w:t>
      </w:r>
    </w:p>
    <w:p>
      <w:pPr>
        <w:spacing w:after="0" w:line="175" w:lineRule="exact"/>
        <w:rPr>
          <w:sz w:val="20"/>
          <w:szCs w:val="20"/>
          <w:color w:val="auto"/>
        </w:rPr>
      </w:pPr>
    </w:p>
    <w:p>
      <w:pPr>
        <w:ind w:left="10" w:right="4140"/>
        <w:spacing w:after="0" w:line="237"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States, United Kingdom, Germany, France, The Netherlands, Latvia, Israel, Sweden, Australia, Argentina, Japan, Singapore, South Africa, Canada and India. Segment information for the three and nine month periods ended February 29, 2004 and February 28, 2003 are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41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NINE</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3180" w:type="dxa"/>
            <w:vAlign w:val="bottom"/>
          </w:tcPr>
          <w:p>
            <w:pPr>
              <w:spacing w:after="0"/>
              <w:rPr>
                <w:sz w:val="14"/>
                <w:szCs w:val="14"/>
                <w:color w:val="auto"/>
              </w:rPr>
            </w:pPr>
          </w:p>
        </w:tc>
        <w:tc>
          <w:tcPr>
            <w:tcW w:w="2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FEBRUARY</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3180" w:type="dxa"/>
            <w:vAlign w:val="bottom"/>
          </w:tcPr>
          <w:p>
            <w:pPr>
              <w:spacing w:after="0"/>
              <w:rPr>
                <w:sz w:val="14"/>
                <w:szCs w:val="14"/>
                <w:color w:val="auto"/>
              </w:rPr>
            </w:pPr>
          </w:p>
        </w:tc>
        <w:tc>
          <w:tcPr>
            <w:tcW w:w="2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3180" w:type="dxa"/>
            <w:vAlign w:val="bottom"/>
          </w:tcPr>
          <w:p>
            <w:pPr>
              <w:spacing w:after="0"/>
              <w:rPr>
                <w:sz w:val="14"/>
                <w:szCs w:val="14"/>
                <w:color w:val="auto"/>
              </w:rPr>
            </w:pPr>
          </w:p>
        </w:tc>
        <w:tc>
          <w:tcPr>
            <w:tcW w:w="2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180" w:type="dxa"/>
            <w:vAlign w:val="bottom"/>
          </w:tcPr>
          <w:p>
            <w:pPr>
              <w:spacing w:after="0"/>
              <w:rPr>
                <w:sz w:val="14"/>
                <w:szCs w:val="14"/>
                <w:color w:val="auto"/>
              </w:rPr>
            </w:pPr>
          </w:p>
        </w:tc>
        <w:tc>
          <w:tcPr>
            <w:tcW w:w="41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1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$9,366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$27,523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$18,419</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18,171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45,633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23,795</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46,660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42,860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138,232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113,439</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2,665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7,616</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4,052</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$76,862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$59,311</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$219,004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$159,705</w:t>
            </w:r>
          </w:p>
        </w:tc>
      </w:tr>
    </w:tbl>
    <w:p>
      <w:pPr>
        <w:ind w:left="610"/>
        <w:spacing w:after="0"/>
        <w:rPr>
          <w:sz w:val="20"/>
          <w:szCs w:val="20"/>
          <w:color w:val="auto"/>
        </w:rPr>
      </w:pPr>
      <w:r>
        <w:rPr>
          <w:rFonts w:ascii="Courier New" w:cs="Courier New" w:eastAsia="Courier New" w:hAnsi="Courier New"/>
          <w:sz w:val="15"/>
          <w:szCs w:val="15"/>
          <w:color w:val="auto"/>
        </w:rPr>
        <w:t>-----------------------------------------------------------------------------------------------------------------</w:t>
      </w:r>
    </w:p>
    <w:p>
      <w:pPr>
        <w:ind w:left="61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left="3430" w:right="7040" w:hanging="3430"/>
        <w:spacing w:after="0" w:line="380" w:lineRule="auto"/>
        <w:tabs>
          <w:tab w:leader="none" w:pos="16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sales shown for Ireland are export sales. 8</w:t>
      </w:r>
    </w:p>
    <w:p>
      <w:pPr>
        <w:sectPr>
          <w:pgSz w:w="11900" w:h="16838" w:orient="portrait"/>
          <w:cols w:equalWidth="0" w:num="1">
            <w:col w:w="11190"/>
          </w:cols>
          <w:pgMar w:left="230" w:top="791" w:right="47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b) The distribution of net revenue by business segment was as follows:</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678"/>
        </w:trPr>
        <w:tc>
          <w:tcPr>
            <w:tcW w:w="6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MONTHS ENDED</w:t>
            </w:r>
          </w:p>
        </w:tc>
        <w:tc>
          <w:tcPr>
            <w:tcW w:w="26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63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FEBRUARY</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63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28</w:t>
            </w:r>
          </w:p>
        </w:tc>
      </w:tr>
      <w:tr>
        <w:trPr>
          <w:trHeight w:val="170"/>
        </w:trPr>
        <w:tc>
          <w:tcPr>
            <w:tcW w:w="6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4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9"/>
              </w:rPr>
              <w:t>THOUSANDS)</w:t>
            </w:r>
          </w:p>
        </w:tc>
        <w:tc>
          <w:tcPr>
            <w:tcW w:w="880" w:type="dxa"/>
            <w:vAlign w:val="bottom"/>
          </w:tcPr>
          <w:p>
            <w:pPr>
              <w:spacing w:after="0"/>
              <w:rPr>
                <w:sz w:val="14"/>
                <w:szCs w:val="14"/>
                <w:color w:val="auto"/>
              </w:rPr>
            </w:pP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(IN THOUSANDS)</w:t>
            </w:r>
          </w:p>
        </w:tc>
      </w:tr>
      <w:tr>
        <w:trPr>
          <w:trHeight w:val="339"/>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Central laboratory</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$7,212</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$19,549</w:t>
            </w:r>
          </w:p>
        </w:tc>
        <w:tc>
          <w:tcPr>
            <w:tcW w:w="1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$19,402</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Clinical research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69,650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53,126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199,455</w:t>
            </w:r>
          </w:p>
        </w:tc>
        <w:tc>
          <w:tcPr>
            <w:tcW w:w="1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140,303</w:t>
            </w:r>
          </w:p>
        </w:tc>
      </w:tr>
      <w:tr>
        <w:trPr>
          <w:trHeight w:val="170"/>
        </w:trPr>
        <w:tc>
          <w:tcPr>
            <w:tcW w:w="11520" w:type="dxa"/>
            <w:vAlign w:val="bottom"/>
            <w:gridSpan w:val="5"/>
          </w:tcPr>
          <w:p>
            <w:pPr>
              <w:ind w:left="6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$76,862</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$219,004</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$159,705</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left="10" w:right="5100" w:hanging="10"/>
        <w:spacing w:after="0" w:line="235" w:lineRule="auto"/>
        <w:tabs>
          <w:tab w:leader="none" w:pos="2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37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FEBRUARY</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37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37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7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840" w:type="dxa"/>
            <w:vAlign w:val="bottom"/>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(IN THOUSANDS)</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$3,454</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$8,390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$2,129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2,150</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3,886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2,572</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11,299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13,813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582</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$8,758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$24,744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$17,700</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left="10" w:right="5180" w:hanging="10"/>
        <w:spacing w:after="0" w:line="235" w:lineRule="auto"/>
        <w:tabs>
          <w:tab w:leader="none" w:pos="27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4600" w:type="dxa"/>
            <w:vAlign w:val="bottom"/>
            <w:gridSpan w:val="2"/>
          </w:tcPr>
          <w:p>
            <w:pPr>
              <w:ind w:left="2480"/>
              <w:spacing w:after="0"/>
              <w:rPr>
                <w:sz w:val="20"/>
                <w:szCs w:val="20"/>
                <w:color w:val="auto"/>
              </w:rPr>
            </w:pPr>
            <w:r>
              <w:rPr>
                <w:rFonts w:ascii="Courier New" w:cs="Courier New" w:eastAsia="Courier New" w:hAnsi="Courier New"/>
                <w:sz w:val="15"/>
                <w:szCs w:val="15"/>
                <w:color w:val="auto"/>
              </w:rPr>
              <w:t>THREE MONTHS ENDED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NINE</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3700" w:type="dxa"/>
            <w:vAlign w:val="bottom"/>
          </w:tcPr>
          <w:p>
            <w:pPr>
              <w:spacing w:after="0"/>
              <w:rPr>
                <w:sz w:val="14"/>
                <w:szCs w:val="14"/>
                <w:color w:val="auto"/>
              </w:rPr>
            </w:pPr>
          </w:p>
        </w:tc>
        <w:tc>
          <w:tcPr>
            <w:tcW w:w="3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FEBRUARY</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FEBRUARY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3700" w:type="dxa"/>
            <w:vAlign w:val="bottom"/>
          </w:tcPr>
          <w:p>
            <w:pPr>
              <w:spacing w:after="0"/>
              <w:rPr>
                <w:sz w:val="14"/>
                <w:szCs w:val="14"/>
                <w:color w:val="auto"/>
              </w:rPr>
            </w:pPr>
          </w:p>
        </w:tc>
        <w:tc>
          <w:tcPr>
            <w:tcW w:w="3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3700" w:type="dxa"/>
            <w:vAlign w:val="bottom"/>
          </w:tcPr>
          <w:p>
            <w:pPr>
              <w:spacing w:after="0"/>
              <w:rPr>
                <w:sz w:val="14"/>
                <w:szCs w:val="14"/>
                <w:color w:val="auto"/>
              </w:rPr>
            </w:pPr>
          </w:p>
        </w:tc>
        <w:tc>
          <w:tcPr>
            <w:tcW w:w="3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700" w:type="dxa"/>
            <w:vAlign w:val="bottom"/>
          </w:tcPr>
          <w:p>
            <w:pPr>
              <w:spacing w:after="0"/>
              <w:rPr>
                <w:sz w:val="14"/>
                <w:szCs w:val="14"/>
                <w:color w:val="auto"/>
              </w:rPr>
            </w:pPr>
          </w:p>
        </w:tc>
        <w:tc>
          <w:tcPr>
            <w:tcW w:w="4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3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$(2,796)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3280" w:type="dxa"/>
            <w:vAlign w:val="bottom"/>
          </w:tcPr>
          <w:p>
            <w:pPr>
              <w:ind w:left="2480"/>
              <w:spacing w:after="0"/>
              <w:rPr>
                <w:sz w:val="20"/>
                <w:szCs w:val="20"/>
                <w:color w:val="auto"/>
              </w:rPr>
            </w:pPr>
            <w:r>
              <w:rPr>
                <w:rFonts w:ascii="Courier New" w:cs="Courier New" w:eastAsia="Courier New" w:hAnsi="Courier New"/>
                <w:sz w:val="15"/>
                <w:szCs w:val="15"/>
                <w:color w:val="auto"/>
              </w:rPr>
              <w:t>9,241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27,540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17,441</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$8,758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$24,744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$17,700</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4560" w:hanging="10"/>
        <w:spacing w:after="0" w:line="235" w:lineRule="auto"/>
        <w:tabs>
          <w:tab w:leader="none" w:pos="27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(IN THOUSANDS)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6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$18,315</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$17,003</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Rest of</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Europe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7,179</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6,316</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6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16,635</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15,066</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Rest of</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the World</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1,053</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1,118</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$43,182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30"/>
          </w:cols>
          <w:pgMar w:left="230" w:top="1130" w:right="139" w:bottom="1440" w:gutter="0" w:footer="0" w:header="0"/>
        </w:sectPr>
      </w:pPr>
    </w:p>
    <w:bookmarkStart w:id="10" w:name="page11"/>
    <w:bookmarkEnd w:id="10"/>
    <w:p>
      <w:pPr>
        <w:ind w:left="10" w:right="4660" w:hanging="10"/>
        <w:spacing w:after="0" w:line="235" w:lineRule="auto"/>
        <w:tabs>
          <w:tab w:leader="none" w:pos="27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FEBRUARY 29,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2600" w:type="dxa"/>
            <w:vAlign w:val="bottom"/>
          </w:tcPr>
          <w:p>
            <w:pPr>
              <w:spacing w:after="0"/>
              <w:rPr>
                <w:sz w:val="14"/>
                <w:szCs w:val="14"/>
                <w:color w:val="auto"/>
              </w:rPr>
            </w:pPr>
          </w:p>
        </w:tc>
        <w:tc>
          <w:tcPr>
            <w:tcW w:w="2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600" w:type="dxa"/>
            <w:vAlign w:val="bottom"/>
          </w:tcPr>
          <w:p>
            <w:pPr>
              <w:spacing w:after="0"/>
              <w:rPr>
                <w:sz w:val="14"/>
                <w:szCs w:val="14"/>
                <w:color w:val="auto"/>
              </w:rPr>
            </w:pPr>
          </w:p>
        </w:tc>
        <w:tc>
          <w:tcPr>
            <w:tcW w:w="3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$3,994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39,188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35,943</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$43,182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 The distribution of depreciation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880" w:type="dxa"/>
            <w:vAlign w:val="bottom"/>
          </w:tcPr>
          <w:p>
            <w:pPr>
              <w:spacing w:after="0"/>
              <w:rPr>
                <w:sz w:val="14"/>
                <w:szCs w:val="14"/>
                <w:color w:val="auto"/>
              </w:rPr>
            </w:pP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(IN THOUSANDS)</w:t>
            </w:r>
          </w:p>
        </w:tc>
      </w:tr>
      <w:tr>
        <w:trPr>
          <w:trHeight w:val="339"/>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Ireland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$965</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$2,691</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$1,599</w:t>
            </w:r>
          </w:p>
        </w:tc>
      </w:tr>
      <w:tr>
        <w:trPr>
          <w:trHeight w:val="170"/>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Rest of Europe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1,320</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w:t>
            </w:r>
          </w:p>
        </w:tc>
      </w:tr>
      <w:tr>
        <w:trPr>
          <w:trHeight w:val="170"/>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U.S.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1,367</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3,948</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2,512</w:t>
            </w:r>
          </w:p>
        </w:tc>
      </w:tr>
      <w:tr>
        <w:trPr>
          <w:trHeight w:val="170"/>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Rest of the World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11520" w:type="dxa"/>
            <w:vAlign w:val="bottom"/>
            <w:gridSpan w:val="5"/>
          </w:tcPr>
          <w:p>
            <w:pPr>
              <w:ind w:left="600"/>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$8,215</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$5,017</w:t>
            </w:r>
          </w:p>
        </w:tc>
      </w:tr>
      <w:tr>
        <w:trPr>
          <w:trHeight w:val="170"/>
        </w:trPr>
        <w:tc>
          <w:tcPr>
            <w:tcW w:w="11520" w:type="dxa"/>
            <w:vAlign w:val="bottom"/>
            <w:gridSpan w:val="5"/>
          </w:tcPr>
          <w:p>
            <w:pPr>
              <w:ind w:left="600"/>
              <w:spacing w:after="0"/>
              <w:rPr>
                <w:sz w:val="20"/>
                <w:szCs w:val="20"/>
                <w:color w:val="auto"/>
              </w:rPr>
            </w:pPr>
            <w:r>
              <w:rPr>
                <w:rFonts w:ascii="Courier New" w:cs="Courier New" w:eastAsia="Courier New" w:hAnsi="Courier New"/>
                <w:sz w:val="15"/>
                <w:szCs w:val="15"/>
                <w:color w:val="auto"/>
                <w:w w:val="97"/>
              </w:rPr>
              <w:t>--------------------------------------------------------------------------------------------------------- ------------------</w:t>
            </w:r>
          </w:p>
        </w:tc>
      </w:tr>
      <w:tr>
        <w:trPr>
          <w:trHeight w:val="678"/>
        </w:trPr>
        <w:tc>
          <w:tcPr>
            <w:tcW w:w="6340" w:type="dxa"/>
            <w:vAlign w:val="bottom"/>
          </w:tcPr>
          <w:p>
            <w:pPr>
              <w:spacing w:after="0"/>
              <w:rPr>
                <w:sz w:val="20"/>
                <w:szCs w:val="20"/>
                <w:color w:val="auto"/>
              </w:rPr>
            </w:pPr>
            <w:r>
              <w:rPr>
                <w:rFonts w:ascii="Courier New" w:cs="Courier New" w:eastAsia="Courier New" w:hAnsi="Courier New"/>
                <w:sz w:val="15"/>
                <w:szCs w:val="15"/>
                <w:color w:val="auto"/>
                <w:w w:val="98"/>
              </w:rPr>
              <w:t>h) The distribution of depreciation by business segment was as follows:</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48"/>
        </w:trPr>
        <w:tc>
          <w:tcPr>
            <w:tcW w:w="6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634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FEBRUARY</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880" w:type="dxa"/>
            <w:vAlign w:val="bottom"/>
          </w:tcPr>
          <w:p>
            <w:pPr>
              <w:spacing w:after="0"/>
              <w:rPr>
                <w:sz w:val="14"/>
                <w:szCs w:val="14"/>
                <w:color w:val="auto"/>
              </w:rPr>
            </w:pP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(IN THOUSANDS)</w:t>
            </w:r>
          </w:p>
        </w:tc>
      </w:tr>
      <w:tr>
        <w:trPr>
          <w:trHeight w:val="339"/>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Central laboratory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w:t>
            </w:r>
          </w:p>
        </w:tc>
      </w:tr>
      <w:tr>
        <w:trPr>
          <w:trHeight w:val="170"/>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Clinical research</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2,655</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7,449</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4,527</w:t>
            </w:r>
          </w:p>
        </w:tc>
      </w:tr>
      <w:tr>
        <w:trPr>
          <w:trHeight w:val="170"/>
        </w:trPr>
        <w:tc>
          <w:tcPr>
            <w:tcW w:w="11520" w:type="dxa"/>
            <w:vAlign w:val="bottom"/>
            <w:gridSpan w:val="5"/>
          </w:tcPr>
          <w:p>
            <w:pPr>
              <w:ind w:left="6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34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$8,215</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$5,017</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FEBRUARY 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600" w:type="dxa"/>
            <w:vAlign w:val="bottom"/>
          </w:tcPr>
          <w:p>
            <w:pPr>
              <w:spacing w:after="0"/>
              <w:rPr>
                <w:sz w:val="14"/>
                <w:szCs w:val="14"/>
                <w:color w:val="auto"/>
              </w:rPr>
            </w:pPr>
          </w:p>
        </w:tc>
        <w:tc>
          <w:tcPr>
            <w:tcW w:w="2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$88,059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Rest of</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Europe</w:t>
            </w:r>
          </w:p>
        </w:tc>
        <w:tc>
          <w:tcPr>
            <w:tcW w:w="2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89,533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60,982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600" w:type="dxa"/>
            <w:vAlign w:val="bottom"/>
          </w:tcPr>
          <w:p>
            <w:pPr>
              <w:spacing w:after="0"/>
              <w:rPr>
                <w:sz w:val="14"/>
                <w:szCs w:val="14"/>
                <w:color w:val="auto"/>
              </w:rPr>
            </w:pPr>
          </w:p>
        </w:tc>
        <w:tc>
          <w:tcPr>
            <w:tcW w:w="2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139,505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110,602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Rest of</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the World</w:t>
            </w:r>
          </w:p>
        </w:tc>
        <w:tc>
          <w:tcPr>
            <w:tcW w:w="2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3,019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3,592</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$320,116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30"/>
          </w:cols>
          <w:pgMar w:left="230" w:top="627" w:right="1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2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FEBRUARY 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2340" w:type="dxa"/>
            <w:vAlign w:val="bottom"/>
          </w:tcPr>
          <w:p>
            <w:pPr>
              <w:spacing w:after="0"/>
              <w:rPr>
                <w:sz w:val="14"/>
                <w:szCs w:val="14"/>
                <w:color w:val="auto"/>
              </w:rPr>
            </w:pP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340" w:type="dxa"/>
            <w:vAlign w:val="bottom"/>
          </w:tcPr>
          <w:p>
            <w:pPr>
              <w:spacing w:after="0"/>
              <w:rPr>
                <w:sz w:val="14"/>
                <w:szCs w:val="14"/>
                <w:color w:val="auto"/>
              </w:rPr>
            </w:pPr>
          </w:p>
        </w:tc>
        <w:tc>
          <w:tcPr>
            <w:tcW w:w="34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$20,185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$19,175</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299,931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215,839</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$320,116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61"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3160"/>
        <w:spacing w:after="0"/>
        <w:rPr>
          <w:sz w:val="20"/>
          <w:szCs w:val="20"/>
          <w:color w:val="auto"/>
        </w:rPr>
      </w:pPr>
      <w:r>
        <w:rPr>
          <w:rFonts w:ascii="Courier New" w:cs="Courier New" w:eastAsia="Courier New" w:hAnsi="Courier New"/>
          <w:sz w:val="15"/>
          <w:szCs w:val="15"/>
          <w:color w:val="auto"/>
        </w:rPr>
        <w:t>ICON PLC</w:t>
      </w:r>
    </w:p>
    <w:p>
      <w:pPr>
        <w:spacing w:after="0" w:line="34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2003.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2,450 employees and operations in 33 locations in 20 countries. Our main operations are in the United States and Europe. For the nine months ended February 29, 2004, we derived approximately 63.1%, 33.4%, and 3.5% of our net revenue in the United States, Europe and Rest of World, respectively.</w:t>
      </w:r>
    </w:p>
    <w:p>
      <w:pPr>
        <w:spacing w:after="0" w:line="18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8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7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8"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14" w:name="page15"/>
    <w:bookmarkEnd w:id="14"/>
    <w:p>
      <w:pPr>
        <w:ind w:right="860"/>
        <w:spacing w:after="0" w:line="256"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twelve operations trading in U.S. dollars, four trading in Euros, three in pounds Sterling, and one each in Australian Dollars, Singapore Dollars, Yen, Israeli New Shekels, Latvian Lats, Swedish Krona, Argentine Peso, South African Rand, Indian Rupee, Russian Rouble, Hungarian Forint, Canadian dollar and Chinese Yuan Renminbi.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346" w:lineRule="exact"/>
        <w:rPr>
          <w:sz w:val="20"/>
          <w:szCs w:val="20"/>
          <w:color w:val="auto"/>
        </w:rPr>
      </w:pPr>
    </w:p>
    <w:p>
      <w:pPr>
        <w:ind w:right="860"/>
        <w:spacing w:after="0" w:line="238"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February 29, 2004, we have received $1,557,014 and $1,896,249 under the capital grants and operating grants, respectively. Pursuant to the terms of the grant agreements we are restricted from distributing some of these amounts by way of dividend or otherwise.</w:t>
      </w:r>
    </w:p>
    <w:p>
      <w:pPr>
        <w:spacing w:after="0" w:line="186" w:lineRule="exact"/>
        <w:rPr>
          <w:sz w:val="20"/>
          <w:szCs w:val="20"/>
          <w:color w:val="auto"/>
        </w:rPr>
      </w:pPr>
    </w:p>
    <w:p>
      <w:pPr>
        <w:ind w:right="860"/>
        <w:spacing w:after="0" w:line="238"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1040"/>
        <w:spacing w:after="0" w:line="235" w:lineRule="auto"/>
        <w:rPr>
          <w:sz w:val="20"/>
          <w:szCs w:val="20"/>
          <w:color w:val="auto"/>
        </w:rPr>
      </w:pPr>
      <w:r>
        <w:rPr>
          <w:rFonts w:ascii="Courier New" w:cs="Courier New" w:eastAsia="Courier New" w:hAnsi="Courier New"/>
          <w:sz w:val="15"/>
          <w:szCs w:val="15"/>
          <w:color w:val="auto"/>
        </w:rPr>
        <w:t>THREE MONTHS ENDED FEBRUARY 29, 2004 COMPARED WITH THREE MONTHS ENDED FEBRUARY 28, 2003</w:t>
      </w:r>
    </w:p>
    <w:p>
      <w:pPr>
        <w:spacing w:after="0" w:line="176"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2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740" w:type="dxa"/>
            <w:vAlign w:val="bottom"/>
          </w:tcPr>
          <w:p>
            <w:pPr>
              <w:spacing w:after="0"/>
              <w:rPr>
                <w:sz w:val="14"/>
                <w:szCs w:val="14"/>
                <w:color w:val="auto"/>
              </w:rPr>
            </w:pP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FEBRUARY 29,</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 28,</w:t>
            </w:r>
          </w:p>
        </w:tc>
      </w:tr>
      <w:tr>
        <w:trPr>
          <w:trHeight w:val="170"/>
        </w:trPr>
        <w:tc>
          <w:tcPr>
            <w:tcW w:w="374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2003</w:t>
            </w:r>
          </w:p>
        </w:tc>
      </w:tr>
      <w:tr>
        <w:trPr>
          <w:trHeight w:val="339"/>
        </w:trPr>
        <w:tc>
          <w:tcPr>
            <w:tcW w:w="3740" w:type="dxa"/>
            <w:vAlign w:val="bottom"/>
          </w:tcPr>
          <w:p>
            <w:pPr>
              <w:spacing w:after="0"/>
              <w:rPr>
                <w:sz w:val="24"/>
                <w:szCs w:val="2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55.3%</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56.3%</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29.5%</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w:t>
            </w:r>
          </w:p>
        </w:tc>
      </w:tr>
    </w:tbl>
    <w:p>
      <w:pPr>
        <w:spacing w:after="0" w:line="200" w:lineRule="exact"/>
        <w:rPr>
          <w:sz w:val="20"/>
          <w:szCs w:val="20"/>
          <w:color w:val="auto"/>
        </w:rPr>
      </w:pPr>
    </w:p>
    <w:p>
      <w:pPr>
        <w:spacing w:after="0" w:line="314" w:lineRule="exact"/>
        <w:rPr>
          <w:sz w:val="20"/>
          <w:szCs w:val="20"/>
          <w:color w:val="auto"/>
        </w:rPr>
      </w:pPr>
    </w:p>
    <w:p>
      <w:pPr>
        <w:ind w:right="860"/>
        <w:spacing w:after="0" w:line="238" w:lineRule="auto"/>
        <w:rPr>
          <w:sz w:val="20"/>
          <w:szCs w:val="20"/>
          <w:color w:val="auto"/>
        </w:rPr>
      </w:pPr>
      <w:r>
        <w:rPr>
          <w:rFonts w:ascii="Courier New" w:cs="Courier New" w:eastAsia="Courier New" w:hAnsi="Courier New"/>
          <w:sz w:val="15"/>
          <w:szCs w:val="15"/>
          <w:color w:val="auto"/>
        </w:rPr>
        <w:t>Net revenue increased by $17.6 million or 29.6%, from $59.3 million to $76.9 million. This improvement arose through a combination of increased business from existing clients, business won from new clients and revenues from acquisitions not included in the comparative period. The additional revenues from these acquisitions (Medeval &amp; Globomax) amounted to $4.5 million for the three months ended February 29, 2004. Including the impact of acquisitions, revenues in the United States and Europe/Rest of World grew</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2003</w:t>
      </w:r>
    </w:p>
    <w:p>
      <w:pPr>
        <w:jc w:val="right"/>
        <w:ind w:right="799"/>
        <w:spacing w:after="0"/>
        <w:rPr>
          <w:sz w:val="20"/>
          <w:szCs w:val="20"/>
          <w:color w:val="auto"/>
        </w:rPr>
      </w:pPr>
      <w:r>
        <w:rPr>
          <w:rFonts w:ascii="Courier New" w:cs="Courier New" w:eastAsia="Courier New" w:hAnsi="Courier New"/>
          <w:sz w:val="15"/>
          <w:szCs w:val="15"/>
          <w:color w:val="auto"/>
        </w:rPr>
        <w:t>TO 2004</w:t>
      </w:r>
    </w:p>
    <w:p>
      <w:pPr>
        <w:spacing w:after="0" w:line="5" w:lineRule="exact"/>
        <w:rPr>
          <w:sz w:val="20"/>
          <w:szCs w:val="20"/>
          <w:color w:val="auto"/>
        </w:rPr>
      </w:pPr>
    </w:p>
    <w:p>
      <w:pPr>
        <w:jc w:val="right"/>
        <w:ind w:right="719"/>
        <w:spacing w:after="0"/>
        <w:rPr>
          <w:sz w:val="20"/>
          <w:szCs w:val="20"/>
          <w:color w:val="auto"/>
        </w:rPr>
      </w:pPr>
      <w:r>
        <w:rPr>
          <w:rFonts w:ascii="Courier New" w:cs="Courier New" w:eastAsia="Courier New" w:hAnsi="Courier New"/>
          <w:sz w:val="14"/>
          <w:szCs w:val="14"/>
          <w:color w:val="auto"/>
        </w:rPr>
        <w:t>PERCENTAGE</w:t>
      </w:r>
    </w:p>
    <w:p>
      <w:pPr>
        <w:spacing w:after="0" w:line="5" w:lineRule="exact"/>
        <w:rPr>
          <w:sz w:val="20"/>
          <w:szCs w:val="20"/>
          <w:color w:val="auto"/>
        </w:rPr>
      </w:pPr>
    </w:p>
    <w:p>
      <w:pPr>
        <w:jc w:val="right"/>
        <w:ind w:right="719"/>
        <w:spacing w:after="0"/>
        <w:rPr>
          <w:sz w:val="20"/>
          <w:szCs w:val="20"/>
          <w:color w:val="auto"/>
        </w:rPr>
      </w:pPr>
      <w:r>
        <w:rPr>
          <w:rFonts w:ascii="Courier New" w:cs="Courier New" w:eastAsia="Courier New" w:hAnsi="Courier New"/>
          <w:sz w:val="15"/>
          <w:szCs w:val="15"/>
          <w:color w:val="auto"/>
        </w:rPr>
        <w:t>INCREASE</w:t>
      </w:r>
    </w:p>
    <w:p>
      <w:pPr>
        <w:spacing w:after="0" w:line="339" w:lineRule="exact"/>
        <w:rPr>
          <w:sz w:val="20"/>
          <w:szCs w:val="20"/>
          <w:color w:val="auto"/>
        </w:rPr>
      </w:pPr>
    </w:p>
    <w:p>
      <w:pPr>
        <w:jc w:val="right"/>
        <w:ind w:right="719"/>
        <w:spacing w:after="0"/>
        <w:rPr>
          <w:sz w:val="20"/>
          <w:szCs w:val="20"/>
          <w:color w:val="auto"/>
        </w:rPr>
      </w:pPr>
      <w:r>
        <w:rPr>
          <w:rFonts w:ascii="Courier New" w:cs="Courier New" w:eastAsia="Courier New" w:hAnsi="Courier New"/>
          <w:sz w:val="15"/>
          <w:szCs w:val="15"/>
          <w:color w:val="auto"/>
        </w:rPr>
        <w:t>29.6%</w:t>
      </w:r>
    </w:p>
    <w:p>
      <w:pPr>
        <w:spacing w:after="0" w:line="169" w:lineRule="exact"/>
        <w:rPr>
          <w:sz w:val="20"/>
          <w:szCs w:val="20"/>
          <w:color w:val="auto"/>
        </w:rPr>
      </w:pPr>
    </w:p>
    <w:p>
      <w:pPr>
        <w:jc w:val="right"/>
        <w:ind w:right="719"/>
        <w:spacing w:after="0"/>
        <w:rPr>
          <w:sz w:val="20"/>
          <w:szCs w:val="20"/>
          <w:color w:val="auto"/>
        </w:rPr>
      </w:pPr>
      <w:r>
        <w:rPr>
          <w:rFonts w:ascii="Courier New" w:cs="Courier New" w:eastAsia="Courier New" w:hAnsi="Courier New"/>
          <w:sz w:val="15"/>
          <w:szCs w:val="15"/>
          <w:color w:val="auto"/>
        </w:rPr>
        <w:t>27.4%</w:t>
      </w:r>
    </w:p>
    <w:p>
      <w:pPr>
        <w:jc w:val="right"/>
        <w:ind w:right="719"/>
        <w:spacing w:after="0"/>
        <w:rPr>
          <w:sz w:val="20"/>
          <w:szCs w:val="20"/>
          <w:color w:val="auto"/>
        </w:rPr>
      </w:pPr>
      <w:r>
        <w:rPr>
          <w:rFonts w:ascii="Courier New" w:cs="Courier New" w:eastAsia="Courier New" w:hAnsi="Courier New"/>
          <w:sz w:val="15"/>
          <w:szCs w:val="15"/>
          <w:color w:val="auto"/>
        </w:rPr>
        <w:t>26.9%</w:t>
      </w:r>
    </w:p>
    <w:p>
      <w:pPr>
        <w:jc w:val="right"/>
        <w:ind w:right="719"/>
        <w:spacing w:after="0"/>
        <w:rPr>
          <w:sz w:val="20"/>
          <w:szCs w:val="20"/>
          <w:color w:val="auto"/>
        </w:rPr>
      </w:pPr>
      <w:r>
        <w:rPr>
          <w:rFonts w:ascii="Courier New" w:cs="Courier New" w:eastAsia="Courier New" w:hAnsi="Courier New"/>
          <w:sz w:val="15"/>
          <w:szCs w:val="15"/>
          <w:color w:val="auto"/>
        </w:rPr>
        <w:t>54.8%</w:t>
      </w:r>
    </w:p>
    <w:p>
      <w:pPr>
        <w:jc w:val="right"/>
        <w:ind w:right="719"/>
        <w:spacing w:after="0" w:line="238" w:lineRule="auto"/>
        <w:rPr>
          <w:sz w:val="20"/>
          <w:szCs w:val="20"/>
          <w:color w:val="auto"/>
        </w:rPr>
      </w:pPr>
      <w:r>
        <w:rPr>
          <w:rFonts w:ascii="Courier New" w:cs="Courier New" w:eastAsia="Courier New" w:hAnsi="Courier New"/>
          <w:sz w:val="15"/>
          <w:szCs w:val="15"/>
          <w:color w:val="auto"/>
        </w:rPr>
        <w:t>41.6%</w:t>
      </w:r>
    </w:p>
    <w:p>
      <w:pPr>
        <w:sectPr>
          <w:pgSz w:w="11900" w:h="16838" w:orient="portrait"/>
          <w:cols w:equalWidth="0" w:num="2">
            <w:col w:w="7900" w:space="720"/>
            <w:col w:w="1599"/>
          </w:cols>
          <w:pgMar w:left="240" w:top="627" w:right="1440" w:bottom="1074" w:gutter="0" w:footer="0" w:header="0"/>
        </w:sectPr>
      </w:pPr>
    </w:p>
    <w:bookmarkStart w:id="15" w:name="page16"/>
    <w:bookmarkEnd w:id="15"/>
    <w:p>
      <w:pPr>
        <w:ind w:right="3179"/>
        <w:spacing w:after="0" w:line="238" w:lineRule="auto"/>
        <w:rPr>
          <w:sz w:val="20"/>
          <w:szCs w:val="20"/>
          <w:color w:val="auto"/>
        </w:rPr>
      </w:pPr>
      <w:r>
        <w:rPr>
          <w:rFonts w:ascii="Courier New" w:cs="Courier New" w:eastAsia="Courier New" w:hAnsi="Courier New"/>
          <w:sz w:val="15"/>
          <w:szCs w:val="15"/>
          <w:color w:val="auto"/>
        </w:rPr>
        <w:t>8.9% and 83.6% respectively. For the three months ended February 29, 2004, net revenue for our central laboratory business grew by 16.6% from $6.2 million to $7.2 million while our clinical research segment grew by 31.1% from $53.1 million to $69.7 million over the comparable period. The growth in net revenue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Direct costs increased by $9.1 million, or 27.4%, from $33.4 million to $42.5 million, primarily due to increased staff numbers needed to support increased project related activity and increased direct costs arising from the acquisitions amounting to $2.5 million. Direct costs, as a percentage of net revenue decreased from 56.3% in the three months to February 28, 2003 to 55.3% for the quarter ended February 29, 2004, or 55.5% when the effects of acquisitions have been excluded.</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Selling, general and administrative expense increased by $4.8 million, or 26.9%, from $17.9 million to $22.7 million. The increase in costs is due to the continued expansion of our operations and additional selling, general and administrative costs from acquisitions of $2.7 million not included in the comparative period. As a percentage of net revenue, selling, general and administrative expenses, decreased from 30.2% in the three months to February 28, 2003, to 29.5% for the quarter ended February 29, 2004 or 27.7% when the effects of acquisitions have been excluded.</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Depreciation increased by $1.0 million, or 54.8%, from $1.9 million to $2.9 million. This increase is due to the continued investment in facilities and information technology to support the growth in activity and in providing for future capacity and increased cost arising from acquisitions of $0.1 million in the current quarter. As a percentage of net revenue, depreciation and amortization increased from 3.1% of net revenues in the three months to February 28, 2003, to 3.8% for the three months ended February 29, 2004. Excluding the effects of acquisitions, it was 3.8%.</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Income from operations increased by $2.6 million, or 41.6%, from $6.2 million to $8.8 million, including acquisitions. This improvement is due to increased levels of activity carried out across the Company together with the acquisition of Medeval and Globomax. As a percentage of net revenue, including the effect of acquisitions, income from operations increased from 10.4% in the three months to February 28, 2003, to 11.4% for the quarter ended February 29, 2004. For the quarter, income from operations, as a percentage of net revenue, for the central laboratory was (6.7%) from (7.3%) in the same quarter in fiscal 2003. The central laboratory constitutes approximately 9% of our business. Operating margins for our clinical research segment increased from 12.5% in the three months ended February 28, 2003, to 13.3% for the three months ended February 29, 2004.</w:t>
      </w:r>
    </w:p>
    <w:p>
      <w:pPr>
        <w:spacing w:after="0" w:line="18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Net interest income for the three months ended February 29, 2004, was $0.75 million compared to $0.12 million for the equivalent period last year. Net cash invested increased from $11.2 million at May 31, 2003, to $67.1 million at February 29, 2004, due principally to the net proceeds of $44.3 million raised in our secondary offering in August 2003. Lower interest rates for the third quarter when compared to the same period last year, contributed to the lower returns on our investments.</w:t>
      </w:r>
    </w:p>
    <w:p>
      <w:pPr>
        <w:spacing w:after="0" w:line="17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Our effective tax rate for the three months ended February 29, 2004 was 24.7% compared to 27.1% for the comparable period last year. The decrease in the effective rate was due to a change in the geographic distribution of pre-tax earnings.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7" w:right="1440" w:bottom="1440" w:gutter="0" w:footer="0" w:header="0"/>
        </w:sectPr>
      </w:pPr>
    </w:p>
    <w:bookmarkStart w:id="16" w:name="page17"/>
    <w:bookmarkEnd w:id="16"/>
    <w:p>
      <w:pPr>
        <w:ind w:right="700"/>
        <w:spacing w:after="0" w:line="235" w:lineRule="auto"/>
        <w:rPr>
          <w:sz w:val="20"/>
          <w:szCs w:val="20"/>
          <w:color w:val="auto"/>
        </w:rPr>
      </w:pPr>
      <w:r>
        <w:rPr>
          <w:rFonts w:ascii="Courier New" w:cs="Courier New" w:eastAsia="Courier New" w:hAnsi="Courier New"/>
          <w:sz w:val="15"/>
          <w:szCs w:val="15"/>
          <w:color w:val="auto"/>
        </w:rPr>
        <w:t>NINE MONTHS ENDED FEBRUARY 29, 2004 COMPARED WITH NINE MONTHS ENDED FEBRUARY 28, 2003</w:t>
      </w:r>
    </w:p>
    <w:p>
      <w:pPr>
        <w:spacing w:after="0" w:line="176" w:lineRule="exact"/>
        <w:rPr>
          <w:sz w:val="20"/>
          <w:szCs w:val="20"/>
          <w:color w:val="auto"/>
        </w:rPr>
      </w:pPr>
    </w:p>
    <w:p>
      <w:pPr>
        <w:ind w:right="700"/>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 29,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720" w:type="dxa"/>
            <w:vAlign w:val="bottom"/>
          </w:tcPr>
          <w:p>
            <w:pPr>
              <w:spacing w:after="0"/>
              <w:rPr>
                <w:sz w:val="14"/>
                <w:szCs w:val="14"/>
                <w:color w:val="auto"/>
              </w:rPr>
            </w:pPr>
          </w:p>
        </w:tc>
      </w:tr>
      <w:tr>
        <w:trPr>
          <w:trHeight w:val="339"/>
        </w:trPr>
        <w:tc>
          <w:tcPr>
            <w:tcW w:w="374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REVENUE</w:t>
            </w: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54.9%</w:t>
            </w: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54.8%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31.0%</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114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3.1%</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11.1%</w:t>
            </w:r>
          </w:p>
        </w:tc>
      </w:tr>
    </w:tbl>
    <w:p>
      <w:pPr>
        <w:spacing w:after="0" w:line="200" w:lineRule="exact"/>
        <w:rPr>
          <w:sz w:val="20"/>
          <w:szCs w:val="20"/>
          <w:color w:val="auto"/>
        </w:rPr>
      </w:pPr>
    </w:p>
    <w:p>
      <w:pPr>
        <w:spacing w:after="0" w:line="314"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15"/>
          <w:szCs w:val="15"/>
          <w:color w:val="auto"/>
        </w:rPr>
        <w:t>Net revenue increased by $59.3 million or 37.1%, from $159.7 million to $219.0 million. This improvement arose through a combination of increased business from existing clients, business won from new clients and revenues from acquisitions not included in the comparative period. The additional revenues from these acquisitions (BPA, MCS, Medeval &amp; Globomax) amounted to $21.0 million for the nine months ended February 29, 2004. Including the impact of acquisitions, revenues in the United States and Europe /Rest of World grew 21.9% and 74.6% respectively. For the nine months ended February 29, 2004, net revenue for our central laboratory business increased by 0.8% from $19.4 million to $19.5 million while our clinical research segment grew by 42.2% from $140.3 million to $199.5 million over the comparable period. The growth in net revenue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85"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5"/>
          <w:szCs w:val="15"/>
          <w:color w:val="auto"/>
        </w:rPr>
        <w:t>Direct costs increased by $32.8 million, or 37.4%, from $87.5 million to $120.3 million, primarily due to increased staff numbers needed to support increased project related activity and increased direct costs arising from the acquisitions amounting to $11.9 million. Direct costs, as a percentage of net revenue increased from 54.8% in the nine months to February 28, 2003 to 54.9% for the nine months ended February 29, 2004. Excluding the effects of acquisitions it was 55.3%.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 increased by $16.3 million, or</w:t>
      </w:r>
    </w:p>
    <w:p>
      <w:pPr>
        <w:spacing w:after="0" w:line="5"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15"/>
          <w:szCs w:val="15"/>
          <w:color w:val="auto"/>
        </w:rPr>
        <w:t>32.9%, from $49.5 million to $65.8 million. The increase in costs is due to the continued expansion of our operations and additional selling, general and administrative costs from acquisitions of $7.7 million not included in the comparative period. As a percentage of net revenue, selling, general and administrative expenses, decreased from 31.0% in the nine months to February 28, 2003, to 30.0% for the nine months ended February 29, 2004 or 27.7% when the effects of acquisitions have been excluded.</w:t>
      </w:r>
    </w:p>
    <w:p>
      <w:pPr>
        <w:spacing w:after="0" w:line="177"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5"/>
          <w:szCs w:val="15"/>
          <w:color w:val="auto"/>
        </w:rPr>
        <w:t>Depreciation expense increased by $3.2 million, or 63.7%, from $5.0 million to $8.2 million over the same period last year. This increase is due to the continued investment in facilities and information technology to support the growth in activity and in providing for future capacity and increased cost arising from acquisitions of $0.5 million not included in the comparative period. As a percentage of net revenue, depreciation and amortization increased from 3.1% of net revenues in the nine months to February 28, 2003, to 3.8% for the nine months ended February 29, 2004, or 3.8% when the effects of acquisitions have been excluded.</w:t>
      </w:r>
    </w:p>
    <w:p>
      <w:pPr>
        <w:spacing w:after="0" w:line="179" w:lineRule="exact"/>
        <w:rPr>
          <w:sz w:val="20"/>
          <w:szCs w:val="20"/>
          <w:color w:val="auto"/>
        </w:rPr>
      </w:pPr>
    </w:p>
    <w:p>
      <w:pPr>
        <w:ind w:right="700"/>
        <w:spacing w:after="0" w:line="257" w:lineRule="auto"/>
        <w:rPr>
          <w:sz w:val="20"/>
          <w:szCs w:val="20"/>
          <w:color w:val="auto"/>
        </w:rPr>
      </w:pPr>
      <w:r>
        <w:rPr>
          <w:rFonts w:ascii="Courier New" w:cs="Courier New" w:eastAsia="Courier New" w:hAnsi="Courier New"/>
          <w:sz w:val="14"/>
          <w:szCs w:val="14"/>
          <w:color w:val="auto"/>
        </w:rPr>
        <w:t>Income from operations increased by $7.0 million or 39.8%, from $17.7 million to $24.7 million, including acquisitions. This improvement is due to increased levels of activity carried out across the Company together with the acquisition of BPA, MCS, Medeval and Globomax. As a percentage of net revenue, including the effect of acquisitions, income from operations increased to 11.3% from 11.1% in the comparative period. For the nine months, income from operations, as a percentage of net revenue, for the central laboratory was (14.3%) from 1.3% in the same period in fiscal 2003. This fall was due to a lower than anticipated level of processing activity in fiscal 2004 compared to last year. The central laboratory constitutes approximately 9% of our business. Operating margins for our clinical research segment increased from 12.4% in the nine months ended February 28, 2003, to 13.8% for the nine months ended February 29, 2004.</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 TO 2003</w:t>
      </w:r>
    </w:p>
    <w:p>
      <w:pPr>
        <w:spacing w:after="0" w:line="180"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4"/>
          <w:szCs w:val="14"/>
          <w:color w:val="auto"/>
        </w:rPr>
        <w:t>PERCENTAGE</w:t>
      </w:r>
    </w:p>
    <w:p>
      <w:pPr>
        <w:spacing w:after="0" w:line="5"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5"/>
          <w:szCs w:val="15"/>
          <w:color w:val="auto"/>
        </w:rPr>
        <w:t>INCREASE</w:t>
      </w:r>
    </w:p>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37.1%</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37.4%</w:t>
      </w:r>
    </w:p>
    <w:p>
      <w:pPr>
        <w:ind w:left="160"/>
        <w:spacing w:after="0"/>
        <w:rPr>
          <w:sz w:val="20"/>
          <w:szCs w:val="20"/>
          <w:color w:val="auto"/>
        </w:rPr>
      </w:pPr>
      <w:r>
        <w:rPr>
          <w:rFonts w:ascii="Courier New" w:cs="Courier New" w:eastAsia="Courier New" w:hAnsi="Courier New"/>
          <w:sz w:val="15"/>
          <w:szCs w:val="15"/>
          <w:color w:val="auto"/>
        </w:rPr>
        <w:t>32.9%</w:t>
      </w:r>
    </w:p>
    <w:p>
      <w:pPr>
        <w:ind w:left="160"/>
        <w:spacing w:after="0"/>
        <w:rPr>
          <w:sz w:val="20"/>
          <w:szCs w:val="20"/>
          <w:color w:val="auto"/>
        </w:rPr>
      </w:pPr>
      <w:r>
        <w:rPr>
          <w:rFonts w:ascii="Courier New" w:cs="Courier New" w:eastAsia="Courier New" w:hAnsi="Courier New"/>
          <w:sz w:val="15"/>
          <w:szCs w:val="15"/>
          <w:color w:val="auto"/>
        </w:rPr>
        <w:t>63.7%</w:t>
      </w:r>
    </w:p>
    <w:p>
      <w:pPr>
        <w:ind w:left="160"/>
        <w:spacing w:after="0" w:line="238" w:lineRule="auto"/>
        <w:rPr>
          <w:sz w:val="20"/>
          <w:szCs w:val="20"/>
          <w:color w:val="auto"/>
        </w:rPr>
      </w:pPr>
      <w:r>
        <w:rPr>
          <w:rFonts w:ascii="Courier New" w:cs="Courier New" w:eastAsia="Courier New" w:hAnsi="Courier New"/>
          <w:sz w:val="15"/>
          <w:szCs w:val="15"/>
          <w:color w:val="auto"/>
        </w:rPr>
        <w:t>39.8%</w:t>
      </w:r>
    </w:p>
    <w:p>
      <w:pPr>
        <w:sectPr>
          <w:pgSz w:w="11900" w:h="16838" w:orient="portrait"/>
          <w:cols w:equalWidth="0" w:num="2">
            <w:col w:w="7740" w:space="720"/>
            <w:col w:w="1759"/>
          </w:cols>
          <w:pgMar w:left="240" w:top="966" w:right="1440" w:bottom="904" w:gutter="0" w:footer="0" w:header="0"/>
        </w:sectPr>
      </w:pPr>
    </w:p>
    <w:bookmarkStart w:id="17" w:name="page18"/>
    <w:bookmarkEnd w:id="17"/>
    <w:p>
      <w:pPr>
        <w:ind w:right="3359"/>
        <w:spacing w:after="0" w:line="238" w:lineRule="auto"/>
        <w:rPr>
          <w:sz w:val="20"/>
          <w:szCs w:val="20"/>
          <w:color w:val="auto"/>
        </w:rPr>
      </w:pPr>
      <w:r>
        <w:rPr>
          <w:rFonts w:ascii="Courier New" w:cs="Courier New" w:eastAsia="Courier New" w:hAnsi="Courier New"/>
          <w:sz w:val="15"/>
          <w:szCs w:val="15"/>
          <w:color w:val="auto"/>
        </w:rPr>
        <w:t>Net interest income for the nine months ended February 29, 2004, was $196,485 compared to $379,623 for the equivalent period last year. Net cash invested increased from $11.2 million at May 31, 2003, to $67.1 million at February 29, 2004, due principally to the net proceeds of $44.3 million raised in our secondary offering in August 2003. Lower interest rates for the first nine months when compared to the same period last year contributed to the lower returns on our investments.</w:t>
      </w:r>
    </w:p>
    <w:p>
      <w:pPr>
        <w:spacing w:after="0" w:line="177"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Our effective tax rate for the nine months ended February 29, 2004 was 25.7% compared to 28.2% for the comparable period last year. The decrease in the effective rate was due to a change in the geographic distribution of pre-tax earnings and the impact of acquisitions.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subcontractors. The aggregate amount of employee compensation, excluding stock compensation expense, paid by us and our subsidiaries in the nine months ended February 28, 2003 and February 29, 2004, amounted to $96.0 million and $128.7 million, respectively. Investing activities primarily reflect capital expenditures for facilities and for information systems enhancements, the sale and purchase of short-term investments and acquisitions.</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of February 29, 2004, our working capital amounted to $104.5 million, compared to $53.8 million at May 31, 2003, principally due to the receipt of net proceeds of the secondary offering of $44.3 million.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decreased from 64 days at May 31, 2003 to 57 days at February 29, 2004.</w:t>
      </w:r>
    </w:p>
    <w:p>
      <w:pPr>
        <w:spacing w:after="0" w:line="17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Net cash provided by operating activities was $30.8 million in the nine months ended February 29, 2004, compared to $16.6 million in the nine months ended February 28, 2003.</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Net cash used in investing activities was $21.6 million in the nine months ended February 29, 2004, compared to $29.5 million in the nine months ended February 28, 2003.</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Net cash provided by financing activities was $40.9 million in the nine months ended February 29, 2004, compared with $1.6 million used in financing activities in the nine months ended February 28, 2003. The main reason for this increase is the receipt of the net proceeds of $44.3 million, following the sale of 1,500,000 American Depositary Shares in August 2003 by the Company.</w:t>
      </w:r>
    </w:p>
    <w:p>
      <w:pPr>
        <w:spacing w:after="0" w:line="16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As a result of these cash flows, cash and cash equivalents increased by $48.8 million in the nine months ended February 29, 2004, compared to a decrease of $14.4 million in the nine months ended February 28, 2003.</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The obligations of the borrowers under the Facilities are secured by certain composite guarantees and indemnities and pledges in favour of each of the banks. This facility bears interest at an annual rate equal to the Banks Prime Rate plus three quarters of one percent. ICON is entitled to make borrowings under a term loan facility of $40 million and a multi currency overdraft facility of $5 million. As at February 29, 2004, the full amount of these facilities were available to be drawn down. ICON Clinical Research, Inc. (a subsidiary of ICON plc) is entitled to make borrowings under a revolving credit facility of $15 million. As at February 29, 2004, the full amount of this facility was available to be drawn down.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($3,157,247) with Allied Irish Banks plc ("A.I.B."). This facility bore an annual interest rate equal to A.I.B. Bank's Prime Rate plus one-quarter of one percent. The full sum of the unpaid principal and interest was repayable on demand. This facility was terminated on July 3, 2003.</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July 29, 2002, we entered into an additional A.I.B. facility for STG(pound)50,000 ($93,144) This facility bore interest at an annual rate equal to A.I.B. Bank's Prime Rate plus two percent. The full sum of the unpaid principal and interest was repayable on demand. This facility was terminated on July 3, 2003.</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Our U.S. subsidiary, ICON Clinical Research, Inc. (the "Borrower"), had a $12 million secured line of credit (the "PNC Facility") with PNC Bank N.A. ("P.N.C."). The PNC Facility bore interest at an annual rate equal to PNC's Prime Rate less three-quarters of one percent. The full sum of the unpaid principal and interest was payable on demand. The PNC Facility was secured by a first priority security interest in certain assets of the Borrower. This facility was terminated on July 3, 2003.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entered into an overdraft agreement with A.I.B., whereby we guaranteed</w:t>
      </w:r>
    </w:p>
    <w:p>
      <w:pPr>
        <w:spacing w:after="0"/>
        <w:rPr>
          <w:sz w:val="20"/>
          <w:szCs w:val="20"/>
          <w:color w:val="auto"/>
        </w:rPr>
      </w:pPr>
      <w:r>
        <w:rPr>
          <w:rFonts w:ascii="Courier New" w:cs="Courier New" w:eastAsia="Courier New" w:hAnsi="Courier New"/>
          <w:sz w:val="15"/>
          <w:szCs w:val="15"/>
          <w:color w:val="auto"/>
        </w:rPr>
        <w:t>any overdrafts of our subsidiaries, ICON Clinical Research GmbH and ICON</w:t>
      </w:r>
    </w:p>
    <w:p>
      <w:pPr>
        <w:spacing w:after="0"/>
        <w:rPr>
          <w:sz w:val="20"/>
          <w:szCs w:val="20"/>
          <w:color w:val="auto"/>
        </w:rPr>
      </w:pPr>
      <w:r>
        <w:rPr>
          <w:rFonts w:ascii="Courier New" w:cs="Courier New" w:eastAsia="Courier New" w:hAnsi="Courier New"/>
          <w:sz w:val="15"/>
          <w:szCs w:val="15"/>
          <w:color w:val="auto"/>
        </w:rPr>
        <w:t>Clinical Research Israel Ltd., up to an amount (euro)112,484 ($139,874)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 (ILS 1,122,687), respectively. As at February 29, 2004, the full German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Israeli facilities were available to be drawn down.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expect to spend approximately $16.0 million in the next twelve months on further investments in information technology, the expansion of existing facilities and the addition of new offices, and expect an increased level of spending in subsequent years. We believe that we will be able to fund our additional foreseeable cash needs for the next twelve months from cash flow from operations and existing cash balances. In the future, we will consider acquiring further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Reimbursed costs include such items as payments to investigators and travel costs for our clinical research staff. The Company does not generally earn a profit on these costs. The Company has always included such reimbursed costs within the measure of gross revenues and adoption of EITF Issue 01-14 had no effect on the reported results.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the Company's results of operations and financial position.</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costs associated with an exit or disposal activity be recognized and measured initially at fair value only when the liability is incurred. SFAS No. 146 is effective for exit or disposal activities that are initiated after December 31, 2002. SFAS No. 146 did not have a material impact on our results of operations and financial postion.</w:t>
      </w:r>
    </w:p>
    <w:p>
      <w:pPr>
        <w:spacing w:after="0" w:line="18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November 2002, the FASB issued Interpretation No. 45, Guarantor's Accounting and Disclosure Requirements for Guarantees, Including Indirect Guarantees of Indebtedness of Others ("FIN 45"), This interpretation addresses the disclosure to be made by a</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9" w:name="page20"/>
    <w:bookmarkEnd w:id="19"/>
    <w:p>
      <w:pPr>
        <w:ind w:right="3179"/>
        <w:spacing w:after="0" w:line="257" w:lineRule="auto"/>
        <w:rPr>
          <w:sz w:val="20"/>
          <w:szCs w:val="20"/>
          <w:color w:val="auto"/>
        </w:rPr>
      </w:pPr>
      <w:r>
        <w:rPr>
          <w:rFonts w:ascii="Courier New" w:cs="Courier New" w:eastAsia="Courier New" w:hAnsi="Courier New"/>
          <w:sz w:val="14"/>
          <w:szCs w:val="14"/>
          <w:color w:val="auto"/>
        </w:rPr>
        <w:t>guarantor in its financial statements about its obligation under guarantees. FIN 45 also requires the guarantor to recognize a liability for the non-contingent component of the guarantee, that is the obligation to stand ready to perform in the event that specified triggering events or conditions occur. The initial measurement of this liability is the fair value of the guarantee at inception. The disclosure requirements in this Interpretation are effective for financial statements of interim and annual periods ending after December 15, 2002. The recognition and measurement provisions are applicable on a prospective basis to guarantees issued or modified after December 31, 2002, irrespective of the guarantors fiscal year-end. Adoption of FIN 45 did not have a significant effect on the Company's financial position or results of operations.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December 2002, the FASB issued SFAS No. 148, "Accounting for Stock Based Compensation - Transition and Disclosure - an amendment of FASB statement No. 123" ("SFAS 148"). SFAS 148 provides alternative methods of transition for a voluntary change to the fair value based method of accounting for stock-based employee compensation. In addition, this statement amends the disclosure requirements of SFAS 123 to require prominent disclosures in both annual and interim financial statements about the method of accounting for stock-based employee compensation and the effect of the method used on reported results. The transition provisions of SFAS 148 are effective for fiscal years ending after December 15, 2002. The enhanced disclosure requirements are included in the financial statements. The Company has decided to continue to account for stock options in accordance with the provisions of APB No. 25.</w:t>
      </w:r>
    </w:p>
    <w:p>
      <w:pPr>
        <w:spacing w:after="0" w:line="18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January 2003, the FASB issued FASB Interpretation No. 46, Consolidation of Variable Interest Entities ("FIN 46"), which interprets Accounting Research Bulletin ("ARB") No. 51, Consolidated Financial Statements. FIN 46 clarifies the application of ARB No. 51 with respect to the consolidation of certain entities (variable interest entities - "VIE's") to which the usual condition for consolidation described in ARB No. 51 does not apply because the controlling financial interest in VIE's may be achieved through arrangements that do not involve voting interests. In addition, FIN 46 requires the primary beneficiary of VIE's and the holder of a significant variable interest in VIE's to disclose certain information relating to their involvement with the VIE's. The provisions of FIN 46 apply immediately to VIE's created after January 31, 2003, and to VIE's in which an enterprise obtains an interest after that date. FIN 46 applies in the first fiscal year beginning after June 15, 2003, to VIE's in which an enterprise holds a variable interest that it acquired before February 1, 2003. The Company did not create or obtain an interest in a VIE after January 31, 2003 and does not expect the impact of fully adopting FIN 46 to have a significant impact on our financial statements.</w:t>
      </w:r>
    </w:p>
    <w:p>
      <w:pPr>
        <w:spacing w:after="0" w:line="16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 Company's foreign exchange contracts do not qualify for hedge accounting treatment. The Company does not expect the impact of adopting Statement 149 to have a significant impact on our financial statements.</w:t>
      </w:r>
    </w:p>
    <w:p>
      <w:pPr>
        <w:spacing w:after="0" w:line="33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an accounting principle for financial instruments created before the issuance date of the Statement and still existing at the beginning of the interim period of adoption. Restatement is not permitted. The adoption of Statement 150 did not have a significant impact on our financial statements.</w:t>
      </w:r>
    </w:p>
    <w:p>
      <w:pPr>
        <w:spacing w:after="0" w:line="18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The Company have adopted EITF Issue No.</w:t>
      </w:r>
    </w:p>
    <w:p>
      <w:pPr>
        <w:spacing w:after="0" w:line="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00-21 on June 1, 2003 and it did not have a significant impact on the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565"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In December 2003, the FASB issued SFAS Statement No. 132 (revised), "Employers' Disclosures about Pensions and Other Postretirement Benefits" ("SFAS No.132 (revised)"). SFAS No. 132 (revised) will revise employers' disclosures about pension plans and other postretirement benefit plans. It does not change the measurement or recognition of those plans. SFAS No.132 (revised) will retain and revise the disclosure requirements contained in the original SFAS No.132. It also requires additional disclosures about the assets, obligations, cash flows, and net periodic benefit costs of denied benefit pension plans and other postretirement benefit plans. The company will present the disclosures required by this statement in its annual report for the year ended May 31, 2003.</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LEGAL PROCEEDINGS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91" w:right="1440" w:bottom="1440" w:gutter="0" w:footer="0" w:header="0"/>
        </w:sectPr>
      </w:pPr>
    </w:p>
    <w:bookmarkStart w:id="22" w:name="page23"/>
    <w:bookmarkEnd w:id="2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26, 2004</w:t>
      </w:r>
    </w:p>
    <w:p>
      <w:pPr>
        <w:sectPr>
          <w:pgSz w:w="11900" w:h="16838" w:orient="portrait"/>
          <w:cols w:equalWidth="0" w:num="1">
            <w:col w:w="10219"/>
          </w:cols>
          <w:pgMar w:left="240" w:top="791" w:right="1440" w:bottom="1440" w:gutter="0" w:footer="0" w:header="0"/>
        </w:sectPr>
      </w:pPr>
    </w:p>
    <w:p>
      <w:pPr>
        <w:spacing w:after="0" w:line="175" w:lineRule="exact"/>
        <w:rPr>
          <w:sz w:val="20"/>
          <w:szCs w:val="20"/>
          <w:color w:val="auto"/>
        </w:rPr>
      </w:pPr>
    </w:p>
    <w:p>
      <w:pPr>
        <w:ind w:right="1320"/>
        <w:spacing w:after="0" w:line="235" w:lineRule="auto"/>
        <w:rPr>
          <w:sz w:val="20"/>
          <w:szCs w:val="20"/>
          <w:color w:val="auto"/>
        </w:rPr>
      </w:pPr>
      <w:r>
        <w:rPr>
          <w:rFonts w:ascii="Courier New" w:cs="Courier New" w:eastAsia="Courier New" w:hAnsi="Courier New"/>
          <w:sz w:val="15"/>
          <w:szCs w:val="15"/>
          <w:color w:val="auto"/>
        </w:rPr>
        <w:t>- ---------------------------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Sean Leech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860" w:space="720"/>
            <w:col w:w="5639"/>
          </w:cols>
          <w:pgMar w:left="240" w:top="791" w:right="1440"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sectPr>
      <w:pgSz w:w="11900" w:h="16838" w:orient="portrait"/>
      <w:cols w:equalWidth="0" w:num="1">
        <w:col w:w="10219"/>
      </w:cols>
      <w:pgMar w:left="240" w:top="7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2019-12-14T20:59:24Z</dcterms:created>
  <dcterms:modified xsi:type="dcterms:W3CDTF">2019-12-14T20:59:24Z</dcterms:modified>
</cp:coreProperties>
</file>