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5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7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200" w:lineRule="exact"/>
        <w:rPr>
          <w:sz w:val="24"/>
          <w:szCs w:val="24"/>
          <w:color w:val="auto"/>
        </w:rPr>
      </w:pPr>
    </w:p>
    <w:p>
      <w:pPr>
        <w:spacing w:after="0" w:line="2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7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32" w:lineRule="exact"/>
        <w:rPr>
          <w:sz w:val="24"/>
          <w:szCs w:val="24"/>
          <w:color w:val="auto"/>
        </w:rPr>
      </w:pPr>
    </w:p>
    <w:p>
      <w:pPr>
        <w:ind w:left="2420"/>
        <w:spacing w:after="0"/>
        <w:tabs>
          <w:tab w:leader="none" w:pos="638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20-F 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242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2420"/>
        <w:spacing w:after="0"/>
        <w:tabs>
          <w:tab w:leader="none" w:pos="638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7"/>
          <w:szCs w:val="17"/>
          <w:color w:val="auto"/>
        </w:rPr>
        <w:t>No___</w:t>
      </w:r>
      <w:r>
        <w:rPr>
          <w:rFonts w:ascii="Times New Roman" w:cs="Times New Roman" w:eastAsia="Times New Roman" w:hAnsi="Times New Roman"/>
          <w:sz w:val="17"/>
          <w:szCs w:val="17"/>
          <w:b w:val="1"/>
          <w:bCs w:val="1"/>
          <w:color w:val="auto"/>
        </w:rPr>
        <w:t>X</w:t>
      </w:r>
      <w:r>
        <w:rPr>
          <w:rFonts w:ascii="Times New Roman" w:cs="Times New Roman" w:eastAsia="Times New Roman" w:hAnsi="Times New Roman"/>
          <w:sz w:val="17"/>
          <w:szCs w:val="17"/>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spacing w:after="0" w:line="2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70"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u w:val="single" w:color="auto"/>
          <w:color w:val="3051F2"/>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April 30, 2024 - ICON Announces Pricing of USD 2 Billion Notes</w:t>
      </w:r>
    </w:p>
    <w:p>
      <w:pPr>
        <w:sectPr>
          <w:pgSz w:w="11900" w:h="16838" w:orient="portrait"/>
          <w:cols w:equalWidth="0" w:num="1">
            <w:col w:w="10119"/>
          </w:cols>
          <w:pgMar w:left="340" w:top="144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225"/>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2024</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302895</wp:posOffset>
            </wp:positionV>
            <wp:extent cx="1619885"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Announces Pricing of USD 2 Billion Notes</w:t>
      </w:r>
    </w:p>
    <w:p>
      <w:pPr>
        <w:spacing w:after="0" w:line="256" w:lineRule="exact"/>
        <w:rPr>
          <w:sz w:val="20"/>
          <w:szCs w:val="20"/>
          <w:color w:val="auto"/>
        </w:rPr>
      </w:pPr>
    </w:p>
    <w:p>
      <w:pPr>
        <w:jc w:val="both"/>
        <w:ind w:right="40"/>
        <w:spacing w:after="0" w:line="313" w:lineRule="auto"/>
        <w:rPr>
          <w:sz w:val="20"/>
          <w:szCs w:val="20"/>
          <w:color w:val="auto"/>
        </w:rPr>
      </w:pPr>
      <w:r>
        <w:rPr>
          <w:rFonts w:ascii="Times New Roman" w:cs="Times New Roman" w:eastAsia="Times New Roman" w:hAnsi="Times New Roman"/>
          <w:sz w:val="18"/>
          <w:szCs w:val="18"/>
          <w:color w:val="auto"/>
        </w:rPr>
        <w:t>Dublin, Ireland, April 30, 2024 – ICON plc (NASDAQ: ICLR) (“ICON”), a world-leading healthcare intelligence and clinical research organization, today announced the pricing of a USD 2 billion SEC-registered bond offering, consisting of $750,000,000 5.809% Senior Secured Notes due 2027, $750,000,000 5.849% Senior Secured Notes due 2029 and $500,000,000 6.000% Senior Secured Notes due 2034 (collectively, the “Notes”).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Notes will be issued by ICON’s wholly-owned subsidiary, ICON Investments Six Designated Activity Company (the “Issuer”), and will be guaranteed on a senior secured basis by ICON and its existing and future wholly owned subsidiaries organized in the United States, Ireland and the Grand Duchy of Luxembourg (“Luxembourg”) (the “Subsidiary Guarantors” and, collectively with ICON, the “Guarantors”), in each case that guarantee the obligations under our senior secured U.S. dollar denominated term loan facility and senior secured revolving credit facility (together, the “Senior Secured Credit Facilities”) and the 2.875% senior secured notes due 2026 issued by PRA Health Sciences, Inc., a wholly owned subsidiary of ICON (the “Existing Notes”). The Notes will be senior secured obligations of the Issuer and the Guarantors and the Notes will rank equally in right of payment to all of the Issuer’s and Guarantors’ existing and future senior debt (including the Senior Secured Credit Facilities and the Existing Notes) and senior in right of payment to all of the Issuer’s and Guarantors’ existing and future subordinated debt.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is expected to close on May 8, 2024, subject to the satisfaction of customary closing conditions.</w:t>
      </w:r>
    </w:p>
    <w:p>
      <w:pPr>
        <w:spacing w:after="0" w:line="2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net proceeds of the offering will be used to (i) provide funds to the borrowers under our Senior Secured Credit Facilities, through intercompany loans and other means, to repay a portion of the senior secured term loans outstanding under the Senior Secured Credit Facilities and (ii) pay fees, costs and expenses related to the offering.</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Issuer and ICON have filed a registration statement (including a prospectus) (“the Registration Statement”) with the U.S. Securities and Exchange Commission (the “SEC”) and a preliminary prospectus supplement (the “Preliminary Prospectus Supplement”) for the Notes to which this communication relates. Before investing, potential investors should read the Preliminary Prospectus Supplement and prospectus in the Registration Statement, and the other documents incorporated by reference in the Preliminary Prospectus Supplement and the Registration Statement for more complete information about the Issuer, ICON and the offering. These documents may be obtained free of charge by visiting EDGAR on the SEC website at www.sec.gov. Alternatively, a copy of the Preliminary Prospectus Supplement may be requested by contacting Citigroup Global Markets Inc., c/o Broadridge Financial Solutions, 1155 Long Island Avenue, Edgewood, NY 11717, Telephone: (800) 831-9146, E-mail: prospectus@citi.com; HSBC Securities (USA) Inc., (866) 811-8049; J.P. Morgan Securities LLC, 383 Madison Avenue, New York, New York, 10179, Attention: Investment Grade Syndicate Desk, 3rd Floor, telephone collect at 1-212-834-4533; Morgan Stanley &amp; Co. LLC, 1585 Broadway, 29th Floor, New York, New York 10036, Attention: Investment Banking Division, Facsimile: (212) 507-8999; Santander US Capital Markets LLC, 437 Madison Avenue, New York, NY 10022, Attention: Debt Capital Markets, Facsimile: (212) 407-0930, E-mail: DCMAmericas@santander.us.</w:t>
      </w:r>
    </w:p>
    <w:p>
      <w:pPr>
        <w:spacing w:after="0" w:line="2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any securities, including the Notes. There shall not be any sale of the securities described herein in any state or other jurisdiction in which such offer, solicitation or sale would be unlawful prior to registration or qualification under the securities laws of any such state or other jurisdiction.</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Reference is also made to the restrictions set out in “Important Information” below. The distribution of this press release and other information in connection with the offering in certain jurisdictions may be restricted by law and persons into whose possession any document or other information referred to herein comes should inform themselves about and observe any such restriction. Any failure to comply with these restrictions may constitute a violation of the securities laws of any such jurisdiction.</w:t>
      </w:r>
    </w:p>
    <w:p>
      <w:pPr>
        <w:spacing w:after="0" w:line="207"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w:t>
      </w:r>
    </w:p>
    <w:p>
      <w:pPr>
        <w:sectPr>
          <w:pgSz w:w="11900" w:h="16838" w:orient="portrait"/>
          <w:cols w:equalWidth="0" w:num="1">
            <w:col w:w="11240"/>
          </w:cols>
          <w:pgMar w:left="320" w:top="347" w:right="3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t>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the Registration Statement and certain other reports, which are available on the SEC's website at http://www.sec.gov.</w:t>
      </w:r>
    </w:p>
    <w:p>
      <w:pPr>
        <w:spacing w:after="0" w:line="22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102 locations in 54 countries as at March 31, 2024.</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these purposes, (a) a retail investor means a person who is one (or more) of: (i) a retail client as defined in point (8) of Article 2 of Regulation (EU) No 2017/565 as it forms part of domestic law by virtue of the European Union (Withdrawal) Act 2018 (the “EUWA”); (ii) a customer within the meaning of the provisions of the Financial Services and Markets Act 2000 (as amended, the “FSMA”) and any rules or regulations made under the FSMA to implement the Insurance Distribution Directive, where that customer would not qualify as a professional client as defined in point</w:t>
      </w:r>
    </w:p>
    <w:p>
      <w:pPr>
        <w:spacing w:after="0" w:line="3" w:lineRule="exact"/>
        <w:rPr>
          <w:sz w:val="20"/>
          <w:szCs w:val="20"/>
          <w:color w:val="auto"/>
        </w:rPr>
      </w:pPr>
    </w:p>
    <w:p>
      <w:pPr>
        <w:ind w:right="20" w:firstLine="8"/>
        <w:spacing w:after="0" w:line="252"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2(1) of Regulation (EU) No 600/2014 as it forms part of domestic law by virtue of the EUWA; or (iii) not a qualified investor as defined in Article 2 of Regulation (EU) 2017/1129 as it forms part of domestic law by virtue of the EUWA (as amended, the “UK Prospectus Regulation”) and (b) the expression “offer” includes the communication in any form and by any means of sufficient information on the terms of the offer and the Notes to be offered so as to enable an investor to decide to purchase or subscribe to the Notes. Consequently, no key information document required by Regulation (EU) No 1286/2014 as it forms part of domestic law by virtue of the EUWA (the “UK PRIIPs Regulation”) for offering or selling the Notes or otherwise making them available to retail investors in the United Kingdom has been prepared and therefore offering or selling the Notes or otherwise making them available to any retail investor in the United Kingdom may be unlawful under the UK PRIIPs Regulation.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Investor Relations +1 888 381 7923 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at ICON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2024-04-30T16:17:45Z</dcterms:created>
  <dcterms:modified xsi:type="dcterms:W3CDTF">2024-04-30T16:17:45Z</dcterms:modified>
</cp:coreProperties>
</file>