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0"/>
        <w:spacing w:after="0"/>
        <w:rPr>
          <w:sz w:val="20"/>
          <w:szCs w:val="20"/>
          <w:color w:val="auto"/>
        </w:rPr>
      </w:pPr>
      <w:r>
        <w:rPr>
          <w:rFonts w:ascii="Courier New" w:cs="Courier New" w:eastAsia="Courier New" w:hAnsi="Courier New"/>
          <w:sz w:val="15"/>
          <w:szCs w:val="15"/>
          <w:color w:val="auto"/>
        </w:rPr>
        <w:t>FORM 6-K</w:t>
      </w:r>
    </w:p>
    <w:p>
      <w:pPr>
        <w:spacing w:after="0" w:line="200" w:lineRule="exact"/>
        <w:rPr>
          <w:sz w:val="24"/>
          <w:szCs w:val="24"/>
          <w:color w:val="auto"/>
        </w:rPr>
      </w:pPr>
    </w:p>
    <w:p>
      <w:pPr>
        <w:spacing w:after="0" w:line="329" w:lineRule="exact"/>
        <w:rPr>
          <w:sz w:val="24"/>
          <w:szCs w:val="24"/>
          <w:color w:val="auto"/>
        </w:rPr>
      </w:pPr>
    </w:p>
    <w:p>
      <w:pPr>
        <w:ind w:left="208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00" w:lineRule="exact"/>
        <w:rPr>
          <w:sz w:val="24"/>
          <w:szCs w:val="24"/>
          <w:color w:val="auto"/>
        </w:rPr>
      </w:pPr>
    </w:p>
    <w:p>
      <w:pPr>
        <w:spacing w:after="0" w:line="329" w:lineRule="exact"/>
        <w:rPr>
          <w:sz w:val="24"/>
          <w:szCs w:val="24"/>
          <w:color w:val="auto"/>
        </w:rPr>
      </w:pPr>
    </w:p>
    <w:p>
      <w:pPr>
        <w:ind w:left="2620"/>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Pursuant to Rule 13a - 16 under</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54" w:lineRule="exact"/>
        <w:rPr>
          <w:sz w:val="24"/>
          <w:szCs w:val="24"/>
          <w:color w:val="auto"/>
        </w:rPr>
      </w:pPr>
    </w:p>
    <w:p>
      <w:pPr>
        <w:ind w:left="1540"/>
        <w:spacing w:after="0"/>
        <w:rPr>
          <w:sz w:val="20"/>
          <w:szCs w:val="20"/>
          <w:color w:val="auto"/>
        </w:rPr>
      </w:pPr>
      <w:r>
        <w:rPr>
          <w:rFonts w:ascii="Courier New" w:cs="Courier New" w:eastAsia="Courier New" w:hAnsi="Courier New"/>
          <w:sz w:val="15"/>
          <w:szCs w:val="15"/>
          <w:color w:val="auto"/>
        </w:rPr>
        <w:t>For the quarterly period ended August 31, 2005</w:t>
      </w:r>
    </w:p>
    <w:p>
      <w:pPr>
        <w:spacing w:after="0" w:line="354"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ICON plc</w:t>
      </w:r>
    </w:p>
    <w:p>
      <w:pPr>
        <w:spacing w:after="0" w:line="5" w:lineRule="exact"/>
        <w:rPr>
          <w:sz w:val="24"/>
          <w:szCs w:val="24"/>
          <w:color w:val="auto"/>
        </w:rPr>
      </w:pPr>
    </w:p>
    <w:p>
      <w:pPr>
        <w:ind w:left="2820"/>
        <w:spacing w:after="0"/>
        <w:rPr>
          <w:sz w:val="20"/>
          <w:szCs w:val="20"/>
          <w:color w:val="auto"/>
        </w:rPr>
      </w:pPr>
      <w:r>
        <w:rPr>
          <w:rFonts w:ascii="Courier New" w:cs="Courier New" w:eastAsia="Courier New" w:hAnsi="Courier New"/>
          <w:sz w:val="15"/>
          <w:szCs w:val="15"/>
          <w:color w:val="auto"/>
        </w:rPr>
        <w:t>(Registrant's name)</w:t>
      </w:r>
    </w:p>
    <w:p>
      <w:pPr>
        <w:spacing w:after="0" w:line="354" w:lineRule="exact"/>
        <w:rPr>
          <w:sz w:val="24"/>
          <w:szCs w:val="24"/>
          <w:color w:val="auto"/>
        </w:rPr>
      </w:pPr>
    </w:p>
    <w:p>
      <w:pPr>
        <w:ind w:left="3360"/>
        <w:spacing w:after="0"/>
        <w:rPr>
          <w:sz w:val="20"/>
          <w:szCs w:val="20"/>
          <w:color w:val="auto"/>
        </w:rPr>
      </w:pPr>
      <w:r>
        <w:rPr>
          <w:rFonts w:ascii="Courier New" w:cs="Courier New" w:eastAsia="Courier New" w:hAnsi="Courier New"/>
          <w:sz w:val="15"/>
          <w:szCs w:val="15"/>
          <w:color w:val="auto"/>
        </w:rPr>
        <w:t>0-29714</w:t>
      </w:r>
    </w:p>
    <w:p>
      <w:pPr>
        <w:spacing w:after="0" w:line="5"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(Commission file number)</w:t>
      </w:r>
    </w:p>
    <w:p>
      <w:pPr>
        <w:spacing w:after="0" w:line="354"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South County Business Park, Leopardstown, Dublin 18, Ireland.</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354" w:lineRule="exact"/>
        <w:rPr>
          <w:sz w:val="24"/>
          <w:szCs w:val="24"/>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Form 20-F or Form 40-F.</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Yes___X___ No_______</w:t>
      </w:r>
    </w:p>
    <w:p>
      <w:pPr>
        <w:spacing w:after="0" w:line="180" w:lineRule="exact"/>
        <w:rPr>
          <w:sz w:val="24"/>
          <w:szCs w:val="24"/>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101(b)(1):</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Yes______ No___X___</w:t>
      </w:r>
    </w:p>
    <w:p>
      <w:pPr>
        <w:spacing w:after="0" w:line="180" w:lineRule="exact"/>
        <w:rPr>
          <w:sz w:val="24"/>
          <w:szCs w:val="24"/>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Indicate by check mark whether the registrant is submitting the Form 6-K in paper as permitted by Regulation S-T Rule 101(b)(7):</w:t>
      </w:r>
    </w:p>
    <w:p>
      <w:pPr>
        <w:spacing w:after="0" w:line="175"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Yes______ No___X___</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4" w:lineRule="exact"/>
        <w:rPr>
          <w:sz w:val="24"/>
          <w:szCs w:val="24"/>
          <w:color w:val="auto"/>
        </w:rPr>
      </w:pPr>
    </w:p>
    <w:p>
      <w:pPr>
        <w:ind w:left="2440"/>
        <w:spacing w:after="0"/>
        <w:rPr>
          <w:sz w:val="20"/>
          <w:szCs w:val="20"/>
          <w:color w:val="auto"/>
        </w:rPr>
      </w:pPr>
      <w:r>
        <w:rPr>
          <w:rFonts w:ascii="Courier New" w:cs="Courier New" w:eastAsia="Courier New" w:hAnsi="Courier New"/>
          <w:sz w:val="15"/>
          <w:szCs w:val="15"/>
          <w:color w:val="auto"/>
        </w:rPr>
        <w:t>Yes_______ No___X___</w:t>
      </w:r>
    </w:p>
    <w:p>
      <w:pPr>
        <w:spacing w:after="0" w:line="180" w:lineRule="exact"/>
        <w:rPr>
          <w:sz w:val="24"/>
          <w:szCs w:val="24"/>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4"/>
          <w:szCs w:val="24"/>
          <w:color w:val="auto"/>
        </w:rPr>
      </w:pPr>
    </w:p>
    <w:p>
      <w:pPr>
        <w:ind w:left="1900"/>
        <w:spacing w:after="0"/>
        <w:rPr>
          <w:sz w:val="20"/>
          <w:szCs w:val="20"/>
          <w:color w:val="auto"/>
        </w:rPr>
      </w:pPr>
      <w:r>
        <w:rPr>
          <w:rFonts w:ascii="Courier New" w:cs="Courier New" w:eastAsia="Courier New" w:hAnsi="Courier New"/>
          <w:sz w:val="15"/>
          <w:szCs w:val="15"/>
          <w:color w:val="auto"/>
        </w:rPr>
        <w:t>Quarterly Period Ended August 31, 2005</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CONTENTS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Page</w:t>
            </w:r>
          </w:p>
        </w:tc>
      </w:tr>
      <w:tr>
        <w:trPr>
          <w:trHeight w:val="524"/>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General..................................................................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as at</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August 31, 2005 and May 31, 2005.........................................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50"/>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three months ended August 31, 2005 and August 31, 2004...................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0"/>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Cash Flows for</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rPr>
              <w:t>the three months ended August 31, 2005 and August 31,</w:t>
            </w:r>
          </w:p>
        </w:tc>
        <w:tc>
          <w:tcPr>
            <w:tcW w:w="460" w:type="dxa"/>
            <w:vAlign w:val="bottom"/>
          </w:tcPr>
          <w:p>
            <w:pPr>
              <w:spacing w:after="0"/>
              <w:rPr>
                <w:sz w:val="15"/>
                <w:szCs w:val="15"/>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65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Shareholders' Equity</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and Comprehensive Income.................................................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524"/>
        </w:trPr>
        <w:tc>
          <w:tcPr>
            <w:tcW w:w="6540" w:type="dxa"/>
            <w:vAlign w:val="bottom"/>
          </w:tcPr>
          <w:p>
            <w:pPr>
              <w:spacing w:after="0"/>
              <w:rPr>
                <w:sz w:val="20"/>
                <w:szCs w:val="20"/>
                <w:color w:val="auto"/>
              </w:rPr>
            </w:pPr>
            <w:r>
              <w:rPr>
                <w:rFonts w:ascii="Courier New" w:cs="Courier New" w:eastAsia="Courier New" w:hAnsi="Courier New"/>
                <w:sz w:val="15"/>
                <w:szCs w:val="15"/>
                <w:color w:val="auto"/>
              </w:rPr>
              <w:t>Notes to the Condensed Consolidated Financial</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524"/>
        </w:trPr>
        <w:tc>
          <w:tcPr>
            <w:tcW w:w="65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460" w:type="dxa"/>
            <w:vAlign w:val="bottom"/>
          </w:tcPr>
          <w:p>
            <w:pPr>
              <w:spacing w:after="0"/>
              <w:rPr>
                <w:sz w:val="24"/>
                <w:szCs w:val="24"/>
                <w:color w:val="auto"/>
              </w:rPr>
            </w:pPr>
          </w:p>
        </w:tc>
      </w:tr>
      <w:tr>
        <w:trPr>
          <w:trHeight w:val="175"/>
        </w:trPr>
        <w:tc>
          <w:tcPr>
            <w:tcW w:w="6540" w:type="dxa"/>
            <w:vAlign w:val="bottom"/>
          </w:tcPr>
          <w:p>
            <w:pPr>
              <w:spacing w:after="0"/>
              <w:rPr>
                <w:sz w:val="20"/>
                <w:szCs w:val="20"/>
                <w:color w:val="auto"/>
              </w:rPr>
            </w:pPr>
            <w:r>
              <w:rPr>
                <w:rFonts w:ascii="Courier New" w:cs="Courier New" w:eastAsia="Courier New" w:hAnsi="Courier New"/>
                <w:sz w:val="15"/>
                <w:szCs w:val="15"/>
                <w:color w:val="auto"/>
                <w:w w:val="99"/>
              </w:rPr>
              <w:t>Condition and Results of Operations......................................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759" w:right="1440" w:bottom="0" w:gutter="0" w:footer="0" w:header="0"/>
        </w:sectPr>
      </w:pPr>
    </w:p>
    <w:bookmarkStart w:id="1" w:name="page2"/>
    <w:bookmarkEnd w:id="1"/>
    <w:p>
      <w:pPr>
        <w:spacing w:after="0"/>
        <w:tabs>
          <w:tab w:leader="dot" w:pos="6780" w:val="left"/>
        </w:tabs>
        <w:rPr>
          <w:sz w:val="20"/>
          <w:szCs w:val="20"/>
          <w:color w:val="auto"/>
        </w:rPr>
      </w:pPr>
      <w:r>
        <w:rPr>
          <w:rFonts w:ascii="Courier New" w:cs="Courier New" w:eastAsia="Courier New" w:hAnsi="Courier New"/>
          <w:sz w:val="15"/>
          <w:szCs w:val="15"/>
          <w:color w:val="auto"/>
        </w:rPr>
        <w:t>Signature Page</w:t>
      </w:r>
      <w:r>
        <w:rPr>
          <w:sz w:val="20"/>
          <w:szCs w:val="20"/>
          <w:color w:val="auto"/>
        </w:rPr>
        <w:tab/>
      </w:r>
      <w:r>
        <w:rPr>
          <w:rFonts w:ascii="Courier New" w:cs="Courier New" w:eastAsia="Courier New" w:hAnsi="Courier New"/>
          <w:sz w:val="15"/>
          <w:szCs w:val="15"/>
          <w:color w:val="auto"/>
        </w:rPr>
        <w:t>16</w:t>
      </w:r>
    </w:p>
    <w:p>
      <w:pPr>
        <w:sectPr>
          <w:pgSz w:w="11900" w:h="16838" w:orient="portrait"/>
          <w:cols w:equalWidth="0" w:num="1">
            <w:col w:w="10219"/>
          </w:cols>
          <w:pgMar w:left="240" w:top="491" w:right="1440" w:bottom="144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679"/>
        <w:spacing w:after="0" w:line="247" w:lineRule="auto"/>
        <w:rPr>
          <w:sz w:val="20"/>
          <w:szCs w:val="20"/>
          <w:color w:val="auto"/>
        </w:rPr>
      </w:pPr>
      <w:r>
        <w:rPr>
          <w:rFonts w:ascii="Courier New" w:cs="Courier New" w:eastAsia="Courier New" w:hAnsi="Courier New"/>
          <w:sz w:val="15"/>
          <w:szCs w:val="15"/>
          <w:color w:val="auto"/>
        </w:rPr>
        <w:t>As used herein, "ICON", the "Company" and "we" refer to ICON plc and its consolidated subsidiaries, unless the context requires otherwise.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2,800 employees worldwide, with operations in 37 locations in 23 countries, including the United States and major markets in Europe and Rest of World and have managed clinical trials in over 55 countries. For the three months ended August 31, 2005, we derived approximately 55.4%, 37.6%, and 7.0% of our net revenue in the United States, Europe and Rest of World, respectively.</w:t>
      </w:r>
    </w:p>
    <w:p>
      <w:pPr>
        <w:spacing w:after="0" w:line="183"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Headquartered in Dublin, Ireland, we began operations in 1990 and have expanded our business through internal growth and strategic acquisitions.</w:t>
      </w:r>
    </w:p>
    <w:p>
      <w:pPr>
        <w:spacing w:after="0" w:line="175"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July 27, 2005 the Board of Directors of the Company approved a change of the Company's fiscal year end from a twelve-month period ending on May 31 to a twelve-month period ending on December 31. The Company is making this change in order to align its fiscal year end with the majority of other contract research organizations. As a requirement of this change, the Company will report results for the seven-month period from June 1, 2005 to December 31, 2005 as a separate transition period in a Transition Report filed on Form 20-F. Going forward, the Company's fiscal quarters will end on the last day of March, June, September and December of each year.</w:t>
      </w:r>
    </w:p>
    <w:p>
      <w:pPr>
        <w:spacing w:after="0" w:line="200" w:lineRule="exact"/>
        <w:rPr>
          <w:sz w:val="20"/>
          <w:szCs w:val="20"/>
          <w:color w:val="auto"/>
        </w:rPr>
      </w:pP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17" w:right="1440" w:bottom="1440" w:gutter="0" w:footer="0" w:header="0"/>
        </w:sectPr>
      </w:pPr>
    </w:p>
    <w:bookmarkStart w:id="3" w:name="page4"/>
    <w:bookmarkEnd w:id="3"/>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ind w:left="3260"/>
              <w:spacing w:after="0"/>
              <w:rPr>
                <w:sz w:val="20"/>
                <w:szCs w:val="20"/>
                <w:color w:val="auto"/>
              </w:rPr>
            </w:pPr>
            <w:r>
              <w:rPr>
                <w:rFonts w:ascii="Courier New" w:cs="Courier New" w:eastAsia="Courier New" w:hAnsi="Courier New"/>
                <w:sz w:val="15"/>
                <w:szCs w:val="15"/>
                <w:color w:val="auto"/>
              </w:rPr>
              <w:t>ICON plc</w:t>
            </w:r>
          </w:p>
        </w:tc>
        <w:tc>
          <w:tcPr>
            <w:tcW w:w="146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50"/>
        </w:trPr>
        <w:tc>
          <w:tcPr>
            <w:tcW w:w="7940" w:type="dxa"/>
            <w:vAlign w:val="bottom"/>
          </w:tcPr>
          <w:p>
            <w:pPr>
              <w:jc w:val="right"/>
              <w:ind w:right="2504"/>
              <w:spacing w:after="0"/>
              <w:rPr>
                <w:sz w:val="20"/>
                <w:szCs w:val="20"/>
                <w:color w:val="auto"/>
              </w:rPr>
            </w:pPr>
            <w:r>
              <w:rPr>
                <w:rFonts w:ascii="Courier New" w:cs="Courier New" w:eastAsia="Courier New" w:hAnsi="Courier New"/>
                <w:sz w:val="15"/>
                <w:szCs w:val="15"/>
                <w:color w:val="auto"/>
              </w:rPr>
              <w:t>CONDENSED CONSOLIDATED BALANCE SHEETS</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7940" w:type="dxa"/>
            <w:vAlign w:val="bottom"/>
          </w:tcPr>
          <w:p>
            <w:pPr>
              <w:jc w:val="right"/>
              <w:ind w:right="2504"/>
              <w:spacing w:after="0"/>
              <w:rPr>
                <w:sz w:val="20"/>
                <w:szCs w:val="20"/>
                <w:color w:val="auto"/>
              </w:rPr>
            </w:pPr>
            <w:r>
              <w:rPr>
                <w:rFonts w:ascii="Courier New" w:cs="Courier New" w:eastAsia="Courier New" w:hAnsi="Courier New"/>
                <w:sz w:val="15"/>
                <w:szCs w:val="15"/>
                <w:color w:val="auto"/>
              </w:rPr>
              <w:t>AS AT AUGUST 31, 2005 AND MAY 31, 2005</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50"/>
        </w:trPr>
        <w:tc>
          <w:tcPr>
            <w:tcW w:w="7940" w:type="dxa"/>
            <w:vAlign w:val="bottom"/>
          </w:tcPr>
          <w:p>
            <w:pPr>
              <w:spacing w:after="0"/>
              <w:rPr>
                <w:sz w:val="24"/>
                <w:szCs w:val="24"/>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(Unaudited)</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(Audited)</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August 31,</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2005</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spacing w:after="0"/>
              <w:rPr>
                <w:sz w:val="15"/>
                <w:szCs w:val="15"/>
                <w:color w:val="auto"/>
              </w:rPr>
            </w:pPr>
          </w:p>
        </w:tc>
        <w:tc>
          <w:tcPr>
            <w:tcW w:w="30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50"/>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Cash and cash equivalents.......................................................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$58,321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$56,341</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Short term investments - available for sale ....................................</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17,030</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22,034</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Accounts receivable.............................................................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68,224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80,486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Unbilled revenue................................................................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71,584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56,762</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Other receivables...............................................................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5,739</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5,662</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Deferred tax asset..............................................................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2,637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2,637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Prepayments and other current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11,374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10,717</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234,909</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234,639</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Property, plant and equipment, net..............................................</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44,501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45,286</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Goodwill........................................................................</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67,033</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67,440</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Intangible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188</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$346,600</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$347,553</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Accounts payable................................................................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$7,324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$10,379</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Payments on account.............................................................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51,707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52,583</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35,571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39,890</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Deferred tax liability..........................................................</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310</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Income taxes payable............................................................</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7,977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6,189</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ind w:left="620"/>
              <w:spacing w:after="0"/>
              <w:rPr>
                <w:sz w:val="20"/>
                <w:szCs w:val="20"/>
                <w:color w:val="auto"/>
              </w:rPr>
            </w:pPr>
            <w:r>
              <w:rPr>
                <w:rFonts w:ascii="Courier New" w:cs="Courier New" w:eastAsia="Courier New" w:hAnsi="Courier New"/>
                <w:sz w:val="15"/>
                <w:szCs w:val="15"/>
                <w:color w:val="auto"/>
              </w:rPr>
              <w:t>Total current liabilities......................................................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102,889</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109,351</w:t>
            </w:r>
          </w:p>
        </w:tc>
      </w:tr>
      <w:tr>
        <w:trPr>
          <w:trHeight w:val="175"/>
        </w:trPr>
        <w:tc>
          <w:tcPr>
            <w:tcW w:w="79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Long term government grants.....................................................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1,175</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1,257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Long term finance leases........................................................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248</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Non-current deferred tax liability..............................................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2,747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2,747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Minority interest...............................................................</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884</w:t>
            </w:r>
          </w:p>
        </w:tc>
      </w:tr>
      <w:tr>
        <w:trPr>
          <w:trHeight w:val="175"/>
        </w:trPr>
        <w:tc>
          <w:tcPr>
            <w:tcW w:w="7940" w:type="dxa"/>
            <w:vAlign w:val="bottom"/>
          </w:tcPr>
          <w:p>
            <w:pPr>
              <w:ind w:left="180"/>
              <w:spacing w:after="0"/>
              <w:rPr>
                <w:sz w:val="20"/>
                <w:szCs w:val="20"/>
                <w:color w:val="auto"/>
              </w:rPr>
            </w:pPr>
            <w:r>
              <w:rPr>
                <w:rFonts w:ascii="Courier New" w:cs="Courier New" w:eastAsia="Courier New" w:hAnsi="Courier New"/>
                <w:sz w:val="15"/>
                <w:szCs w:val="15"/>
                <w:color w:val="auto"/>
              </w:rPr>
              <w:t>Shareholders' Equity:</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Ordinary shares, par value 6 euro cents per share; 20,000,000 shares</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authorized, 13,991,209 shares issued and outstanding at August 31, 2005</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and</w:t>
            </w: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13,899,096 shares issued and outstanding at May 31, 2005</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985</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Additional paid-in capital......................................................</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115,658</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114,447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Accumulated other comprehensive income..........................................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9,324</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11,229</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Merger reserve..................................................................</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w:t>
            </w:r>
          </w:p>
        </w:tc>
      </w:tr>
      <w:tr>
        <w:trPr>
          <w:trHeight w:val="175"/>
        </w:trPr>
        <w:tc>
          <w:tcPr>
            <w:tcW w:w="7940" w:type="dxa"/>
            <w:vAlign w:val="bottom"/>
          </w:tcPr>
          <w:p>
            <w:pPr>
              <w:ind w:left="540"/>
              <w:spacing w:after="0"/>
              <w:rPr>
                <w:sz w:val="20"/>
                <w:szCs w:val="20"/>
                <w:color w:val="auto"/>
              </w:rPr>
            </w:pPr>
            <w:r>
              <w:rPr>
                <w:rFonts w:ascii="Courier New" w:cs="Courier New" w:eastAsia="Courier New" w:hAnsi="Courier New"/>
                <w:sz w:val="15"/>
                <w:szCs w:val="15"/>
                <w:color w:val="auto"/>
              </w:rPr>
              <w:t>Retained earnings...............................................................</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112,741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106,358</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238,761</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233,066</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$346,600</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$347,553</w:t>
            </w:r>
          </w:p>
        </w:tc>
      </w:tr>
      <w:tr>
        <w:trPr>
          <w:trHeight w:val="175"/>
        </w:trPr>
        <w:tc>
          <w:tcPr>
            <w:tcW w:w="794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980"/>
          </w:cols>
          <w:pgMar w:left="240" w:top="1440" w:right="6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794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ICON plc</w:t>
            </w: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874"/>
        </w:trPr>
        <w:tc>
          <w:tcPr>
            <w:tcW w:w="7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CONDENSED CONSOLIDATED STATEMENTS OF OPERATIONS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7940" w:type="dxa"/>
            <w:vAlign w:val="bottom"/>
          </w:tcPr>
          <w:p>
            <w:pPr>
              <w:jc w:val="right"/>
              <w:spacing w:after="0"/>
              <w:rPr>
                <w:sz w:val="20"/>
                <w:szCs w:val="20"/>
                <w:color w:val="auto"/>
              </w:rPr>
            </w:pPr>
            <w:r>
              <w:rPr>
                <w:rFonts w:ascii="Courier New" w:cs="Courier New" w:eastAsia="Courier New" w:hAnsi="Courier New"/>
                <w:sz w:val="15"/>
                <w:szCs w:val="15"/>
                <w:color w:val="auto"/>
              </w:rPr>
              <w:t>FOR THE THREE MONTHS ENDED AUGUST 31, 2005 AND AUGUST 31, 2004</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94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(UNAUDITED)</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7940" w:type="dxa"/>
            <w:vAlign w:val="bottom"/>
          </w:tcPr>
          <w:p>
            <w:pPr>
              <w:spacing w:after="0"/>
              <w:rPr>
                <w:sz w:val="24"/>
                <w:szCs w:val="24"/>
                <w:color w:val="auto"/>
              </w:rPr>
            </w:pPr>
          </w:p>
        </w:tc>
        <w:tc>
          <w:tcPr>
            <w:tcW w:w="28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7940" w:type="dxa"/>
            <w:vAlign w:val="bottom"/>
          </w:tcPr>
          <w:p>
            <w:pPr>
              <w:spacing w:after="0"/>
              <w:rPr>
                <w:sz w:val="15"/>
                <w:szCs w:val="15"/>
                <w:color w:val="auto"/>
              </w:rPr>
            </w:pPr>
          </w:p>
        </w:tc>
        <w:tc>
          <w:tcPr>
            <w:tcW w:w="286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2005</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7940" w:type="dxa"/>
            <w:vAlign w:val="bottom"/>
          </w:tcPr>
          <w:p>
            <w:pPr>
              <w:spacing w:after="0"/>
              <w:rPr>
                <w:sz w:val="15"/>
                <w:szCs w:val="15"/>
                <w:color w:val="auto"/>
              </w:rPr>
            </w:pPr>
          </w:p>
        </w:tc>
        <w:tc>
          <w:tcPr>
            <w:tcW w:w="2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(in thousands except share</w:t>
            </w:r>
          </w:p>
        </w:tc>
      </w:tr>
      <w:tr>
        <w:trPr>
          <w:trHeight w:val="175"/>
        </w:trPr>
        <w:tc>
          <w:tcPr>
            <w:tcW w:w="7940" w:type="dxa"/>
            <w:vAlign w:val="bottom"/>
          </w:tcPr>
          <w:p>
            <w:pPr>
              <w:spacing w:after="0"/>
              <w:rPr>
                <w:sz w:val="15"/>
                <w:szCs w:val="15"/>
                <w:color w:val="auto"/>
              </w:rPr>
            </w:pPr>
          </w:p>
        </w:tc>
        <w:tc>
          <w:tcPr>
            <w:tcW w:w="286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and per share data)</w:t>
            </w:r>
          </w:p>
        </w:tc>
      </w:tr>
      <w:tr>
        <w:trPr>
          <w:trHeight w:val="175"/>
        </w:trPr>
        <w:tc>
          <w:tcPr>
            <w:tcW w:w="794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Gross revenue..................................................................</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$115,352</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$117,195</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Subcontractor costs............................................................</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(29,431)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(38,856)</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Net revenue....................................................................</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85,921</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78,339</w:t>
            </w:r>
          </w:p>
        </w:tc>
      </w:tr>
      <w:tr>
        <w:trPr>
          <w:trHeight w:val="350"/>
        </w:trPr>
        <w:tc>
          <w:tcPr>
            <w:tcW w:w="7940" w:type="dxa"/>
            <w:vAlign w:val="bottom"/>
          </w:tcPr>
          <w:p>
            <w:pPr>
              <w:ind w:left="260"/>
              <w:spacing w:after="0"/>
              <w:rPr>
                <w:sz w:val="20"/>
                <w:szCs w:val="20"/>
                <w:color w:val="auto"/>
              </w:rPr>
            </w:pPr>
            <w:r>
              <w:rPr>
                <w:rFonts w:ascii="Courier New" w:cs="Courier New" w:eastAsia="Courier New" w:hAnsi="Courier New"/>
                <w:sz w:val="15"/>
                <w:szCs w:val="15"/>
                <w:color w:val="auto"/>
              </w:rPr>
              <w:t>Costs and expenses: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Direct costs...................................................................</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47,310</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42,453</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Selling, general and administrative ...........................................</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26,809</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23,339</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3,434</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3,062</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Total costs and expenses.......................................................</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77,553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68,854</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Income from operations...........................................................</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8,368</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9,485</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Interest income..................................................................</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427</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197</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Interest expense.................................................................</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Income before provision for income taxes.........................................</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8,783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9,649</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Provision for income taxes.......................................................</w:t>
            </w: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(2,322)</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Minority interest................................................................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$6,383</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$7,305</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ind w:left="260"/>
              <w:spacing w:after="0"/>
              <w:rPr>
                <w:sz w:val="20"/>
                <w:szCs w:val="20"/>
                <w:color w:val="auto"/>
              </w:rPr>
            </w:pPr>
            <w:r>
              <w:rPr>
                <w:rFonts w:ascii="Courier New" w:cs="Courier New" w:eastAsia="Courier New" w:hAnsi="Courier New"/>
                <w:sz w:val="15"/>
                <w:szCs w:val="15"/>
                <w:color w:val="auto"/>
              </w:rPr>
              <w:t>Net income per ordinary share:</w:t>
            </w: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Basic .........................................................................</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$0.46</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$0.53</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Diluted........................................................................</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$0.45</w:t>
            </w:r>
          </w:p>
        </w:tc>
        <w:tc>
          <w:tcPr>
            <w:tcW w:w="1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$0.52</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864"/>
              <w:spacing w:after="0"/>
              <w:rPr>
                <w:sz w:val="20"/>
                <w:szCs w:val="20"/>
                <w:color w:val="auto"/>
              </w:rPr>
            </w:pPr>
            <w:r>
              <w:rPr>
                <w:rFonts w:ascii="Courier New" w:cs="Courier New" w:eastAsia="Courier New" w:hAnsi="Courier New"/>
                <w:sz w:val="15"/>
                <w:szCs w:val="15"/>
                <w:color w:val="auto"/>
              </w:rPr>
              <w:t>Weighted average number of ordinary shares outstanding:</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Basic..........................................................................</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13,919,606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13,837,986</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79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Diluted........................................................................</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14,150,212</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14,105,288</w:t>
            </w:r>
          </w:p>
        </w:tc>
      </w:tr>
      <w:tr>
        <w:trPr>
          <w:trHeight w:val="175"/>
        </w:trPr>
        <w:tc>
          <w:tcPr>
            <w:tcW w:w="7940" w:type="dxa"/>
            <w:vAlign w:val="bottom"/>
          </w:tcPr>
          <w:p>
            <w:pPr>
              <w:spacing w:after="0"/>
              <w:rPr>
                <w:sz w:val="15"/>
                <w:szCs w:val="15"/>
                <w:color w:val="auto"/>
              </w:rPr>
            </w:pPr>
          </w:p>
        </w:tc>
        <w:tc>
          <w:tcPr>
            <w:tcW w:w="14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800"/>
          </w:cols>
          <w:pgMar w:left="240" w:top="992" w:right="859" w:bottom="1440" w:gutter="0" w:footer="0" w:header="0"/>
        </w:sectPr>
      </w:pPr>
    </w:p>
    <w:bookmarkStart w:id="5" w:name="page6"/>
    <w:bookmarkEnd w:id="5"/>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jc w:val="right"/>
              <w:ind w:right="2644"/>
              <w:spacing w:after="0"/>
              <w:rPr>
                <w:sz w:val="20"/>
                <w:szCs w:val="20"/>
                <w:color w:val="auto"/>
              </w:rPr>
            </w:pPr>
            <w:r>
              <w:rPr>
                <w:rFonts w:ascii="Courier New" w:cs="Courier New" w:eastAsia="Courier New" w:hAnsi="Courier New"/>
                <w:sz w:val="15"/>
                <w:szCs w:val="15"/>
                <w:color w:val="auto"/>
              </w:rPr>
              <w:t>ICON plc</w:t>
            </w: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50"/>
        </w:trPr>
        <w:tc>
          <w:tcPr>
            <w:tcW w:w="67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CONDENSED CONSOLIDATED STATEMENTS OF CASH FLOWS</w:t>
            </w:r>
          </w:p>
        </w:tc>
        <w:tc>
          <w:tcPr>
            <w:tcW w:w="2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8860" w:type="dxa"/>
            <w:vAlign w:val="bottom"/>
            <w:gridSpan w:val="2"/>
          </w:tcPr>
          <w:p>
            <w:pPr>
              <w:jc w:val="right"/>
              <w:ind w:right="1064"/>
              <w:spacing w:after="0"/>
              <w:rPr>
                <w:sz w:val="20"/>
                <w:szCs w:val="20"/>
                <w:color w:val="auto"/>
              </w:rPr>
            </w:pPr>
            <w:r>
              <w:rPr>
                <w:rFonts w:ascii="Courier New" w:cs="Courier New" w:eastAsia="Courier New" w:hAnsi="Courier New"/>
                <w:sz w:val="15"/>
                <w:szCs w:val="15"/>
                <w:color w:val="auto"/>
              </w:rPr>
              <w:t>FOR THE THREE MONTHS ENDED AUGUST 31, 2005 AND AUGUST 31, 2004</w:t>
            </w:r>
          </w:p>
        </w:tc>
        <w:tc>
          <w:tcPr>
            <w:tcW w:w="1580" w:type="dxa"/>
            <w:vAlign w:val="bottom"/>
          </w:tcPr>
          <w:p>
            <w:pPr>
              <w:spacing w:after="0"/>
              <w:rPr>
                <w:sz w:val="15"/>
                <w:szCs w:val="15"/>
                <w:color w:val="auto"/>
              </w:rPr>
            </w:pPr>
          </w:p>
        </w:tc>
      </w:tr>
      <w:tr>
        <w:trPr>
          <w:trHeight w:val="175"/>
        </w:trPr>
        <w:tc>
          <w:tcPr>
            <w:tcW w:w="6720" w:type="dxa"/>
            <w:vAlign w:val="bottom"/>
          </w:tcPr>
          <w:p>
            <w:pPr>
              <w:jc w:val="right"/>
              <w:ind w:right="2464"/>
              <w:spacing w:after="0"/>
              <w:rPr>
                <w:sz w:val="20"/>
                <w:szCs w:val="20"/>
                <w:color w:val="auto"/>
              </w:rPr>
            </w:pPr>
            <w:r>
              <w:rPr>
                <w:rFonts w:ascii="Courier New" w:cs="Courier New" w:eastAsia="Courier New" w:hAnsi="Courier New"/>
                <w:sz w:val="15"/>
                <w:szCs w:val="15"/>
                <w:color w:val="auto"/>
              </w:rPr>
              <w:t>(UNAUDITED)</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50"/>
        </w:trPr>
        <w:tc>
          <w:tcPr>
            <w:tcW w:w="6720" w:type="dxa"/>
            <w:vAlign w:val="bottom"/>
          </w:tcPr>
          <w:p>
            <w:pPr>
              <w:spacing w:after="0"/>
              <w:rPr>
                <w:sz w:val="24"/>
                <w:szCs w:val="24"/>
                <w:color w:val="auto"/>
              </w:rPr>
            </w:pPr>
          </w:p>
        </w:tc>
        <w:tc>
          <w:tcPr>
            <w:tcW w:w="372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6720" w:type="dxa"/>
            <w:vAlign w:val="bottom"/>
          </w:tcPr>
          <w:p>
            <w:pPr>
              <w:spacing w:after="0"/>
              <w:rPr>
                <w:sz w:val="15"/>
                <w:szCs w:val="15"/>
                <w:color w:val="auto"/>
              </w:rPr>
            </w:pPr>
          </w:p>
        </w:tc>
        <w:tc>
          <w:tcPr>
            <w:tcW w:w="372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August 31</w:t>
            </w:r>
          </w:p>
        </w:tc>
        <w:tc>
          <w:tcPr>
            <w:tcW w:w="1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2005</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spacing w:after="0"/>
              <w:rPr>
                <w:sz w:val="15"/>
                <w:szCs w:val="15"/>
                <w:color w:val="auto"/>
              </w:rPr>
            </w:pPr>
          </w:p>
        </w:tc>
        <w:tc>
          <w:tcPr>
            <w:tcW w:w="3720" w:type="dxa"/>
            <w:vAlign w:val="bottom"/>
            <w:gridSpan w:val="2"/>
          </w:tcPr>
          <w:p>
            <w:pPr>
              <w:jc w:val="right"/>
              <w:ind w:right="110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350"/>
        </w:trPr>
        <w:tc>
          <w:tcPr>
            <w:tcW w:w="6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$6,383</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$7,305</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(used in)/provided by</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operating activities:..................................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Loss on disposal of property, plant and equipment......</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Depreciation and amortization..........................</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3,434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3,062</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Amortization of grants.................................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(48)</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Minority interest....................................</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Decrease in accounts receivable........................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11,737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4,340</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Increase in unbilled revenue...........................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(14,965)</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(6,837)</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Increase in other receivables..........................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(1,548)</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(555)</w:t>
            </w:r>
          </w:p>
        </w:tc>
      </w:tr>
      <w:tr>
        <w:trPr>
          <w:trHeight w:val="175"/>
        </w:trPr>
        <w:tc>
          <w:tcPr>
            <w:tcW w:w="67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(Increase)/decrease in prepayments and other current assets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669</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Decrease in payments on account........................</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(780)</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Increase/(decrease) in other liabilities...............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571</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(2,179)</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Increase in income taxes payable.......................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1,850</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1,785</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Decrease in accounts payable..........................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(2,984)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(5,625)</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2,826</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1,391</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Purchase of property, plant and equipment..............</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(3,214)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(4,546)</w:t>
            </w:r>
          </w:p>
        </w:tc>
      </w:tr>
      <w:tr>
        <w:trPr>
          <w:trHeight w:val="175"/>
        </w:trPr>
        <w:tc>
          <w:tcPr>
            <w:tcW w:w="672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Purchase of subsidiary undertakings and acquisition costs..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(9,913)</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Sale of short term investments.........................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5,004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Cash acquired with subsidiary undertakings.............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1,658</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Deferred payments in respect of prior year acquisitions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(3,374)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(1,386)</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Net cash used in investing activities.....................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(1,584)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(14,187)</w:t>
            </w:r>
          </w:p>
        </w:tc>
      </w:tr>
      <w:tr>
        <w:trPr>
          <w:trHeight w:val="175"/>
        </w:trPr>
        <w:tc>
          <w:tcPr>
            <w:tcW w:w="6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4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Proceeds from bank overdraft..............................</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7,000</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Proceeds from exercise of share options...................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1,217</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Costs in relation to prior year share issuance............</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(104)</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Repayment of other liabilities............................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1,173</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6,854</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Effect of exchange rate movements on cash.................</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(435)</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(244)</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Net increase/(decrease) in cash and cash equivalents......</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1,980</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(6,186)</w:t>
            </w:r>
          </w:p>
        </w:tc>
      </w:tr>
      <w:tr>
        <w:trPr>
          <w:trHeight w:val="175"/>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56,341</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55,678</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7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21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$58,321</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$49,492</w:t>
            </w:r>
          </w:p>
        </w:tc>
      </w:tr>
      <w:tr>
        <w:trPr>
          <w:trHeight w:val="175"/>
        </w:trPr>
        <w:tc>
          <w:tcPr>
            <w:tcW w:w="6720" w:type="dxa"/>
            <w:vAlign w:val="bottom"/>
          </w:tcPr>
          <w:p>
            <w:pPr>
              <w:spacing w:after="0"/>
              <w:rPr>
                <w:sz w:val="15"/>
                <w:szCs w:val="15"/>
                <w:color w:val="auto"/>
              </w:rPr>
            </w:pPr>
          </w:p>
        </w:tc>
        <w:tc>
          <w:tcPr>
            <w:tcW w:w="2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40"/>
          </w:cols>
          <w:pgMar w:left="240" w:top="1440" w:right="1219" w:bottom="1440" w:gutter="0" w:footer="0" w:header="0"/>
        </w:sectPr>
      </w:pPr>
    </w:p>
    <w:bookmarkStart w:id="6" w:name="page7"/>
    <w:bookmarkEnd w:id="6"/>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15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ICON plc</w:t>
            </w: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50"/>
        </w:trPr>
        <w:tc>
          <w:tcPr>
            <w:tcW w:w="8460" w:type="dxa"/>
            <w:vAlign w:val="bottom"/>
            <w:gridSpan w:val="5"/>
          </w:tcPr>
          <w:p>
            <w:pPr>
              <w:jc w:val="right"/>
              <w:ind w:right="924"/>
              <w:spacing w:after="0"/>
              <w:rPr>
                <w:sz w:val="20"/>
                <w:szCs w:val="20"/>
                <w:color w:val="auto"/>
              </w:rPr>
            </w:pPr>
            <w:r>
              <w:rPr>
                <w:rFonts w:ascii="Courier New" w:cs="Courier New" w:eastAsia="Courier New" w:hAnsi="Courier New"/>
                <w:sz w:val="15"/>
                <w:szCs w:val="15"/>
                <w:color w:val="auto"/>
              </w:rPr>
              <w:t>CONDENSED CONSOLIDATED STATEMENTS OF SHAREHOLDERS' EQUITY AND COMPREHENSIVE INCOME</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00" w:type="dxa"/>
            <w:vAlign w:val="bottom"/>
          </w:tcPr>
          <w:p>
            <w:pPr>
              <w:spacing w:after="0"/>
              <w:rPr>
                <w:sz w:val="15"/>
                <w:szCs w:val="15"/>
                <w:color w:val="auto"/>
              </w:rPr>
            </w:pPr>
          </w:p>
        </w:tc>
        <w:tc>
          <w:tcPr>
            <w:tcW w:w="1540" w:type="dxa"/>
            <w:vAlign w:val="bottom"/>
          </w:tcPr>
          <w:p>
            <w:pPr>
              <w:jc w:val="right"/>
              <w:ind w:right="464"/>
              <w:spacing w:after="0"/>
              <w:rPr>
                <w:sz w:val="20"/>
                <w:szCs w:val="20"/>
                <w:color w:val="auto"/>
              </w:rPr>
            </w:pPr>
            <w:r>
              <w:rPr>
                <w:rFonts w:ascii="Courier New" w:cs="Courier New" w:eastAsia="Courier New" w:hAnsi="Courier New"/>
                <w:sz w:val="15"/>
                <w:szCs w:val="15"/>
                <w:color w:val="auto"/>
                <w:w w:val="98"/>
              </w:rPr>
              <w:t>(UNAUDITED)</w:t>
            </w: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0"/>
        </w:trPr>
        <w:tc>
          <w:tcPr>
            <w:tcW w:w="3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Accumulated</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Additional</w:t>
            </w:r>
          </w:p>
        </w:tc>
        <w:tc>
          <w:tcPr>
            <w:tcW w:w="1780" w:type="dxa"/>
            <w:vAlign w:val="bottom"/>
          </w:tcPr>
          <w:p>
            <w:pPr>
              <w:ind w:left="50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Paid-in</w:t>
            </w:r>
          </w:p>
        </w:tc>
        <w:tc>
          <w:tcPr>
            <w:tcW w:w="17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Comprehensive</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Retained</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Merger</w:t>
            </w:r>
          </w:p>
        </w:tc>
        <w:tc>
          <w:tcPr>
            <w:tcW w:w="1080" w:type="dxa"/>
            <w:vAlign w:val="bottom"/>
          </w:tcPr>
          <w:p>
            <w:pPr>
              <w:spacing w:after="0"/>
              <w:rPr>
                <w:sz w:val="15"/>
                <w:szCs w:val="15"/>
                <w:color w:val="auto"/>
              </w:rPr>
            </w:pPr>
          </w:p>
        </w:tc>
      </w:tr>
      <w:tr>
        <w:trPr>
          <w:trHeight w:val="175"/>
        </w:trPr>
        <w:tc>
          <w:tcPr>
            <w:tcW w:w="3100" w:type="dxa"/>
            <w:vAlign w:val="bottom"/>
          </w:tcPr>
          <w:p>
            <w:pPr>
              <w:spacing w:after="0"/>
              <w:rPr>
                <w:sz w:val="15"/>
                <w:szCs w:val="15"/>
                <w:color w:val="auto"/>
              </w:rPr>
            </w:pP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Capital</w:t>
            </w:r>
          </w:p>
        </w:tc>
        <w:tc>
          <w:tcPr>
            <w:tcW w:w="1780" w:type="dxa"/>
            <w:vAlign w:val="bottom"/>
          </w:tcPr>
          <w:p>
            <w:pPr>
              <w:ind w:left="500"/>
              <w:spacing w:after="0"/>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Earnings</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Reserve</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3100" w:type="dxa"/>
            <w:vAlign w:val="bottom"/>
          </w:tcPr>
          <w:p>
            <w:pPr>
              <w:spacing w:after="0"/>
              <w:rPr>
                <w:sz w:val="15"/>
                <w:szCs w:val="15"/>
                <w:color w:val="auto"/>
              </w:rPr>
            </w:pP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350"/>
        </w:trPr>
        <w:tc>
          <w:tcPr>
            <w:tcW w:w="3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2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(dollars in thousands, except share data)</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99"/>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w w:val="97"/>
              </w:rPr>
              <w:t>Balance at May 31, 2005........</w:t>
            </w: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13,899,096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$985</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$114,447</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$11,229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$106,358</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$233,066</w:t>
            </w:r>
          </w:p>
        </w:tc>
      </w:tr>
      <w:tr>
        <w:trPr>
          <w:trHeight w:val="524"/>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Comprehensive Income:</w:t>
            </w: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4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6,383</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6,383</w:t>
            </w:r>
          </w:p>
        </w:tc>
      </w:tr>
      <w:tr>
        <w:trPr>
          <w:trHeight w:val="175"/>
        </w:trPr>
        <w:tc>
          <w:tcPr>
            <w:tcW w:w="4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Currency translation adjustment..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(1,905)</w:t>
            </w:r>
          </w:p>
        </w:tc>
      </w:tr>
      <w:tr>
        <w:trPr>
          <w:trHeight w:val="175"/>
        </w:trPr>
        <w:tc>
          <w:tcPr>
            <w:tcW w:w="3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4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comprehensive income.......</w:t>
            </w:r>
          </w:p>
        </w:tc>
        <w:tc>
          <w:tcPr>
            <w:tcW w:w="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4,478</w:t>
            </w:r>
          </w:p>
        </w:tc>
      </w:tr>
      <w:tr>
        <w:trPr>
          <w:trHeight w:val="175"/>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 of share options........</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92,113</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1,211</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1,217</w:t>
            </w:r>
          </w:p>
        </w:tc>
      </w:tr>
      <w:tr>
        <w:trPr>
          <w:trHeight w:val="175"/>
        </w:trPr>
        <w:tc>
          <w:tcPr>
            <w:tcW w:w="3100" w:type="dxa"/>
            <w:vAlign w:val="bottom"/>
          </w:tcPr>
          <w:p>
            <w:pPr>
              <w:spacing w:after="0"/>
              <w:rPr>
                <w:sz w:val="15"/>
                <w:szCs w:val="15"/>
                <w:color w:val="auto"/>
              </w:rPr>
            </w:pPr>
          </w:p>
        </w:tc>
        <w:tc>
          <w:tcPr>
            <w:tcW w:w="15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_________</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____</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______</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_______</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______</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______</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______</w:t>
            </w:r>
          </w:p>
        </w:tc>
      </w:tr>
      <w:tr>
        <w:trPr>
          <w:trHeight w:val="175"/>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Balance at August 31, 2005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13,991,209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$991</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$115,658</w:t>
            </w:r>
          </w:p>
        </w:tc>
        <w:tc>
          <w:tcPr>
            <w:tcW w:w="1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$9,324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$112,741</w:t>
            </w:r>
          </w:p>
        </w:tc>
        <w:tc>
          <w:tcPr>
            <w:tcW w:w="9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$238,761</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1440"/>
          </w:cols>
          <w:pgMar w:left="320" w:top="1440" w:right="139" w:bottom="1440" w:gutter="0" w:footer="0" w:header="0"/>
        </w:sectPr>
      </w:pPr>
    </w:p>
    <w:bookmarkStart w:id="7" w:name="page8"/>
    <w:bookmarkEnd w:id="7"/>
    <w:p>
      <w:pPr>
        <w:jc w:val="center"/>
        <w:ind w:right="2959"/>
        <w:spacing w:after="0"/>
        <w:rPr>
          <w:sz w:val="20"/>
          <w:szCs w:val="20"/>
          <w:color w:val="auto"/>
        </w:rPr>
      </w:pPr>
      <w:r>
        <w:rPr>
          <w:rFonts w:ascii="Courier New" w:cs="Courier New" w:eastAsia="Courier New" w:hAnsi="Courier New"/>
          <w:sz w:val="15"/>
          <w:szCs w:val="15"/>
          <w:color w:val="auto"/>
        </w:rPr>
        <w:t>ICON plc</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NOTES TO THE CONDENSED CONSOLIDATED FINANCIAL STATEMENTS</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(UNAUDITED)</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AUGUST 31, 2005</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2005.</w:t>
      </w:r>
    </w:p>
    <w:p>
      <w:pPr>
        <w:spacing w:after="0" w:line="182"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2005 annual report on Form 20-F. Operating results for the three months ended August 31, 2005 are not necessarily indicative of the results that may be expected for the fiscal period ending December 31, 2005.</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Acquisitions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Period Acquisitions</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January 24, 2003, the Company acquired 100% of the outstanding shares of Medeval Group Limited ("Medeval"), a company based in Manchester, England, for an initial cash consideration of Stg(pound)9.5 million (U.S.$15.5 million), excluding costs of acquisition which amounted to U.S.$1.0 million. Earn-out provisions have been built into the acquisition contract requiring the potential payment of additional deferred consideration up to a maximum of Stg(pound)4.3 million (U.S.$6.9 million) depending on the performance of Medeval over the period to May 31, 2004. Such additional consideration is accounted for as goodwill.</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September 30, 2004, cash consideration of Stg(pound)0.54 million (U.S.$0.97 million) was paid to a number of the former shareholders of Medeval and guaranteed loan notes with a value of Stg(pound)1.08 million (U.S.$1.93 million) were issued to the remaining selling shareholders. At May 31, 2004, Stg(pound)1.37 million (U.S.$2.5 million) of this amount had been provided, therefore an additional Stg(pound)0.253 million (U.S.$0.452 million) was provided in fiscal 2005. These guaranteed loan notes had a repayment date of three years from the date of issue but were exercisable nine months from the date of issue. The guaranteed loan note holders issued redemption notices to the Company, which required the Company to redeem all the guaranteed loan notes on June 30, 2005, in consideration of a cash payment of Stg(pound)1.08 million (U.S.$1.93 million), the total amount of which was accrued for at May 31, 2005.</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September 9, 2003, the Company acquired 100% of the outstanding shares of Globomax LLC ("GloboMax"), based in Maryland, USA, for an initial cash consideration of U.S.$10.9 million, excluding costs of acquisition. Earn-out provisions have been built into the acquisition contract requiring the potential payment of additional deferred consideration up to a maximum of U.S.$4.0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May 31, 2005, an amount of U.S.$1.4 million was accrued as the first earn-out target in the acquisition contract was reached on this date. This amount of U.S.$1.4 million was paid to the former shareholders GloboMax on August 31, 2005.</w:t>
      </w:r>
    </w:p>
    <w:p>
      <w:pPr>
        <w:spacing w:after="0" w:line="177"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On July 1, 2004, the Company acquired 70% of the common stock of Beacon Biosciences, Inc. ("Beacon"), based in Pennsylvania, USA, for an initial cash consideration of U.S.$9.9 million, excluding costs of acquisition.</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1342" w:right="1440" w:bottom="431" w:gutter="0" w:footer="0" w:header="0"/>
        </w:sectPr>
      </w:pPr>
    </w:p>
    <w:bookmarkStart w:id="8" w:name="page9"/>
    <w:bookmarkEnd w:id="8"/>
    <w:p>
      <w:pPr>
        <w:ind w:right="3260"/>
        <w:spacing w:after="0" w:line="247" w:lineRule="auto"/>
        <w:rPr>
          <w:sz w:val="20"/>
          <w:szCs w:val="20"/>
          <w:color w:val="auto"/>
        </w:rPr>
      </w:pPr>
      <w:r>
        <w:rPr>
          <w:rFonts w:ascii="Courier New" w:cs="Courier New" w:eastAsia="Courier New" w:hAnsi="Courier New"/>
          <w:sz w:val="15"/>
          <w:szCs w:val="15"/>
          <w:color w:val="auto"/>
        </w:rPr>
        <w:t>The pro forma effect of the Beacon acquisition if completed on June 1, 2004 would have resulted in net revenue, net income and earnings per share for the three months ended August 31, 2005 and 2004 as follows:</w:t>
      </w:r>
    </w:p>
    <w:p>
      <w:pPr>
        <w:sectPr>
          <w:pgSz w:w="11900" w:h="16838" w:orient="portrait"/>
          <w:cols w:equalWidth="0" w:num="1">
            <w:col w:w="10260"/>
          </w:cols>
          <w:pgMar w:left="240" w:top="64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Net revenue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Basic earnings per share</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Diluted earnings per share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540"/>
        <w:spacing w:after="0"/>
        <w:tabs>
          <w:tab w:leader="none" w:pos="2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260"/>
        <w:spacing w:after="0"/>
        <w:tabs>
          <w:tab w:leader="none" w:pos="1980" w:val="left"/>
        </w:tabs>
        <w:rPr>
          <w:sz w:val="20"/>
          <w:szCs w:val="20"/>
          <w:color w:val="auto"/>
        </w:rPr>
      </w:pPr>
      <w:r>
        <w:rPr>
          <w:rFonts w:ascii="Courier New" w:cs="Courier New" w:eastAsia="Courier New" w:hAnsi="Courier New"/>
          <w:sz w:val="15"/>
          <w:szCs w:val="15"/>
          <w:color w:val="auto"/>
        </w:rPr>
        <w:t>$85,921</w:t>
      </w:r>
      <w:r>
        <w:rPr>
          <w:sz w:val="20"/>
          <w:szCs w:val="20"/>
          <w:color w:val="auto"/>
        </w:rPr>
        <w:tab/>
      </w:r>
      <w:r>
        <w:rPr>
          <w:rFonts w:ascii="Courier New" w:cs="Courier New" w:eastAsia="Courier New" w:hAnsi="Courier New"/>
          <w:sz w:val="14"/>
          <w:szCs w:val="14"/>
          <w:color w:val="auto"/>
        </w:rPr>
        <w:t>$78,721</w:t>
      </w:r>
    </w:p>
    <w:p>
      <w:pPr>
        <w:spacing w:after="0" w:line="5" w:lineRule="exact"/>
        <w:rPr>
          <w:sz w:val="20"/>
          <w:szCs w:val="20"/>
          <w:color w:val="auto"/>
        </w:rPr>
      </w:pPr>
    </w:p>
    <w:p>
      <w:pPr>
        <w:ind w:left="360"/>
        <w:spacing w:after="0"/>
        <w:tabs>
          <w:tab w:leader="none" w:pos="2060" w:val="left"/>
        </w:tabs>
        <w:rPr>
          <w:sz w:val="20"/>
          <w:szCs w:val="20"/>
          <w:color w:val="auto"/>
        </w:rPr>
      </w:pPr>
      <w:r>
        <w:rPr>
          <w:rFonts w:ascii="Courier New" w:cs="Courier New" w:eastAsia="Courier New" w:hAnsi="Courier New"/>
          <w:sz w:val="15"/>
          <w:szCs w:val="15"/>
          <w:color w:val="auto"/>
        </w:rPr>
        <w:t>$6,383</w:t>
      </w:r>
      <w:r>
        <w:rPr>
          <w:sz w:val="20"/>
          <w:szCs w:val="20"/>
          <w:color w:val="auto"/>
        </w:rPr>
        <w:tab/>
      </w:r>
      <w:r>
        <w:rPr>
          <w:rFonts w:ascii="Courier New" w:cs="Courier New" w:eastAsia="Courier New" w:hAnsi="Courier New"/>
          <w:sz w:val="15"/>
          <w:szCs w:val="15"/>
          <w:color w:val="auto"/>
        </w:rPr>
        <w:t>$7,258</w:t>
      </w:r>
    </w:p>
    <w:p>
      <w:pPr>
        <w:spacing w:after="0" w:line="5" w:lineRule="exact"/>
        <w:rPr>
          <w:sz w:val="20"/>
          <w:szCs w:val="20"/>
          <w:color w:val="auto"/>
        </w:rPr>
      </w:pPr>
    </w:p>
    <w:p>
      <w:pPr>
        <w:ind w:left="440"/>
        <w:spacing w:after="0"/>
        <w:tabs>
          <w:tab w:leader="none" w:pos="2160" w:val="left"/>
        </w:tabs>
        <w:rPr>
          <w:sz w:val="20"/>
          <w:szCs w:val="20"/>
          <w:color w:val="auto"/>
        </w:rPr>
      </w:pPr>
      <w:r>
        <w:rPr>
          <w:rFonts w:ascii="Courier New" w:cs="Courier New" w:eastAsia="Courier New" w:hAnsi="Courier New"/>
          <w:sz w:val="15"/>
          <w:szCs w:val="15"/>
          <w:color w:val="auto"/>
        </w:rPr>
        <w:t>$0.46</w:t>
      </w:r>
      <w:r>
        <w:rPr>
          <w:sz w:val="20"/>
          <w:szCs w:val="20"/>
          <w:color w:val="auto"/>
        </w:rPr>
        <w:tab/>
      </w:r>
      <w:r>
        <w:rPr>
          <w:rFonts w:ascii="Courier New" w:cs="Courier New" w:eastAsia="Courier New" w:hAnsi="Courier New"/>
          <w:sz w:val="14"/>
          <w:szCs w:val="14"/>
          <w:color w:val="auto"/>
        </w:rPr>
        <w:t>$0.52</w:t>
      </w:r>
    </w:p>
    <w:p>
      <w:pPr>
        <w:spacing w:after="0" w:line="5" w:lineRule="exact"/>
        <w:rPr>
          <w:sz w:val="20"/>
          <w:szCs w:val="20"/>
          <w:color w:val="auto"/>
        </w:rPr>
      </w:pPr>
    </w:p>
    <w:p>
      <w:pPr>
        <w:ind w:left="440"/>
        <w:spacing w:after="0"/>
        <w:tabs>
          <w:tab w:leader="none" w:pos="2160" w:val="left"/>
        </w:tabs>
        <w:rPr>
          <w:sz w:val="20"/>
          <w:szCs w:val="20"/>
          <w:color w:val="auto"/>
        </w:rPr>
      </w:pPr>
      <w:r>
        <w:rPr>
          <w:rFonts w:ascii="Courier New" w:cs="Courier New" w:eastAsia="Courier New" w:hAnsi="Courier New"/>
          <w:sz w:val="15"/>
          <w:szCs w:val="15"/>
          <w:color w:val="auto"/>
        </w:rPr>
        <w:t>$0.45</w:t>
      </w:r>
      <w:r>
        <w:rPr>
          <w:sz w:val="20"/>
          <w:szCs w:val="20"/>
          <w:color w:val="auto"/>
        </w:rPr>
        <w:tab/>
      </w:r>
      <w:r>
        <w:rPr>
          <w:rFonts w:ascii="Courier New" w:cs="Courier New" w:eastAsia="Courier New" w:hAnsi="Courier New"/>
          <w:sz w:val="14"/>
          <w:szCs w:val="14"/>
          <w:color w:val="auto"/>
        </w:rPr>
        <w:t>$0.51</w:t>
      </w:r>
    </w:p>
    <w:p>
      <w:pPr>
        <w:spacing w:after="0" w:line="200" w:lineRule="exact"/>
        <w:rPr>
          <w:sz w:val="20"/>
          <w:szCs w:val="20"/>
          <w:color w:val="auto"/>
        </w:rPr>
      </w:pPr>
    </w:p>
    <w:p>
      <w:pPr>
        <w:sectPr>
          <w:pgSz w:w="11900" w:h="16838" w:orient="portrait"/>
          <w:cols w:equalWidth="0" w:num="2">
            <w:col w:w="3280" w:space="720"/>
            <w:col w:w="6260"/>
          </w:cols>
          <w:pgMar w:left="240" w:top="643" w:right="139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Goodwill</w:t>
      </w:r>
    </w:p>
    <w:p>
      <w:pPr>
        <w:sectPr>
          <w:pgSz w:w="11900" w:h="16838" w:orient="portrait"/>
          <w:cols w:equalWidth="0" w:num="1">
            <w:col w:w="10260"/>
          </w:cols>
          <w:pgMar w:left="240" w:top="643" w:right="1399" w:bottom="1440" w:gutter="0" w:footer="0" w:header="0"/>
          <w:type w:val="continuous"/>
        </w:sectPr>
      </w:pPr>
    </w:p>
    <w:p>
      <w:pPr>
        <w:spacing w:after="0" w:line="35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August 31,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Year ended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May 31,</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2005</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w:t>
      </w:r>
    </w:p>
    <w:p>
      <w:pPr>
        <w:spacing w:after="0" w:line="180" w:lineRule="exact"/>
        <w:rPr>
          <w:sz w:val="20"/>
          <w:szCs w:val="20"/>
          <w:color w:val="auto"/>
        </w:rPr>
      </w:pPr>
    </w:p>
    <w:p>
      <w:pPr>
        <w:sectPr>
          <w:pgSz w:w="11900" w:h="16838" w:orient="portrait"/>
          <w:cols w:equalWidth="0" w:num="2">
            <w:col w:w="5180" w:space="720"/>
            <w:col w:w="4360"/>
          </w:cols>
          <w:pgMar w:left="240" w:top="643" w:right="1399" w:bottom="1440" w:gutter="0" w:footer="0" w:header="0"/>
          <w:type w:val="continuous"/>
        </w:sectPr>
      </w:pPr>
    </w:p>
    <w:p>
      <w:pPr>
        <w:ind w:left="620"/>
        <w:spacing w:after="0"/>
        <w:tabs>
          <w:tab w:leader="none" w:pos="4700" w:val="left"/>
          <w:tab w:leader="none" w:pos="6420" w:val="left"/>
        </w:tabs>
        <w:rPr>
          <w:sz w:val="20"/>
          <w:szCs w:val="20"/>
          <w:color w:val="auto"/>
        </w:rPr>
      </w:pPr>
      <w:r>
        <w:rPr>
          <w:rFonts w:ascii="Courier New" w:cs="Courier New" w:eastAsia="Courier New" w:hAnsi="Courier New"/>
          <w:sz w:val="15"/>
          <w:szCs w:val="15"/>
          <w:color w:val="auto"/>
        </w:rPr>
        <w:t>Opening balance</w:t>
      </w:r>
      <w:r>
        <w:rPr>
          <w:sz w:val="20"/>
          <w:szCs w:val="20"/>
          <w:color w:val="auto"/>
        </w:rPr>
        <w:tab/>
      </w:r>
      <w:r>
        <w:rPr>
          <w:rFonts w:ascii="Courier New" w:cs="Courier New" w:eastAsia="Courier New" w:hAnsi="Courier New"/>
          <w:sz w:val="15"/>
          <w:szCs w:val="15"/>
          <w:color w:val="auto"/>
        </w:rPr>
        <w:t>$67,440</w:t>
      </w:r>
      <w:r>
        <w:rPr>
          <w:sz w:val="20"/>
          <w:szCs w:val="20"/>
          <w:color w:val="auto"/>
        </w:rPr>
        <w:tab/>
      </w:r>
      <w:r>
        <w:rPr>
          <w:rFonts w:ascii="Courier New" w:cs="Courier New" w:eastAsia="Courier New" w:hAnsi="Courier New"/>
          <w:sz w:val="15"/>
          <w:szCs w:val="15"/>
          <w:color w:val="auto"/>
        </w:rPr>
        <w:t>$64,226</w:t>
      </w:r>
    </w:p>
    <w:p>
      <w:pPr>
        <w:spacing w:after="0" w:line="5" w:lineRule="exact"/>
        <w:rPr>
          <w:sz w:val="20"/>
          <w:szCs w:val="20"/>
          <w:color w:val="auto"/>
        </w:rPr>
      </w:pPr>
    </w:p>
    <w:p>
      <w:pPr>
        <w:ind w:left="620"/>
        <w:spacing w:after="0"/>
        <w:tabs>
          <w:tab w:leader="none" w:pos="5240" w:val="left"/>
          <w:tab w:leader="none" w:pos="6600" w:val="left"/>
        </w:tabs>
        <w:rPr>
          <w:sz w:val="20"/>
          <w:szCs w:val="20"/>
          <w:color w:val="auto"/>
        </w:rPr>
      </w:pPr>
      <w:r>
        <w:rPr>
          <w:rFonts w:ascii="Courier New" w:cs="Courier New" w:eastAsia="Courier New" w:hAnsi="Courier New"/>
          <w:sz w:val="15"/>
          <w:szCs w:val="15"/>
          <w:color w:val="auto"/>
        </w:rPr>
        <w:t>Arising during the year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8,463</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Arising on earn-out (prior</w:t>
      </w:r>
    </w:p>
    <w:p>
      <w:pPr>
        <w:spacing w:after="0" w:line="5" w:lineRule="exact"/>
        <w:rPr>
          <w:sz w:val="20"/>
          <w:szCs w:val="20"/>
          <w:color w:val="auto"/>
        </w:rPr>
      </w:pPr>
    </w:p>
    <w:p>
      <w:pPr>
        <w:ind w:left="820"/>
        <w:spacing w:after="0"/>
        <w:tabs>
          <w:tab w:leader="none" w:pos="5240" w:val="left"/>
          <w:tab w:leader="none" w:pos="6600" w:val="left"/>
        </w:tabs>
        <w:rPr>
          <w:sz w:val="20"/>
          <w:szCs w:val="20"/>
          <w:color w:val="auto"/>
        </w:rPr>
      </w:pPr>
      <w:r>
        <w:rPr>
          <w:rFonts w:ascii="Courier New" w:cs="Courier New" w:eastAsia="Courier New" w:hAnsi="Courier New"/>
          <w:sz w:val="15"/>
          <w:szCs w:val="15"/>
          <w:color w:val="auto"/>
        </w:rPr>
        <w:t>year acquisitions)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1,856</w:t>
      </w:r>
    </w:p>
    <w:p>
      <w:pPr>
        <w:spacing w:after="0" w:line="5" w:lineRule="exact"/>
        <w:rPr>
          <w:sz w:val="20"/>
          <w:szCs w:val="20"/>
          <w:color w:val="auto"/>
        </w:rPr>
      </w:pPr>
    </w:p>
    <w:p>
      <w:pPr>
        <w:ind w:left="620"/>
        <w:spacing w:after="0"/>
        <w:tabs>
          <w:tab w:leader="none" w:pos="5240" w:val="left"/>
          <w:tab w:leader="none" w:pos="6420" w:val="left"/>
        </w:tabs>
        <w:rPr>
          <w:sz w:val="20"/>
          <w:szCs w:val="20"/>
          <w:color w:val="auto"/>
        </w:rPr>
      </w:pPr>
      <w:r>
        <w:rPr>
          <w:rFonts w:ascii="Courier New" w:cs="Courier New" w:eastAsia="Courier New" w:hAnsi="Courier New"/>
          <w:sz w:val="15"/>
          <w:szCs w:val="15"/>
          <w:color w:val="auto"/>
        </w:rPr>
        <w:t>Goodwill impairment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(7,017)</w:t>
      </w:r>
    </w:p>
    <w:p>
      <w:pPr>
        <w:spacing w:after="0" w:line="5" w:lineRule="exact"/>
        <w:rPr>
          <w:sz w:val="20"/>
          <w:szCs w:val="20"/>
          <w:color w:val="auto"/>
        </w:rPr>
      </w:pPr>
    </w:p>
    <w:p>
      <w:pPr>
        <w:ind w:left="620"/>
        <w:spacing w:after="0"/>
        <w:tabs>
          <w:tab w:leader="none" w:pos="4880" w:val="left"/>
          <w:tab w:leader="none" w:pos="6700" w:val="left"/>
        </w:tabs>
        <w:rPr>
          <w:sz w:val="20"/>
          <w:szCs w:val="20"/>
          <w:color w:val="auto"/>
        </w:rPr>
      </w:pPr>
      <w:r>
        <w:rPr>
          <w:rFonts w:ascii="Courier New" w:cs="Courier New" w:eastAsia="Courier New" w:hAnsi="Courier New"/>
          <w:sz w:val="15"/>
          <w:szCs w:val="15"/>
          <w:color w:val="auto"/>
        </w:rPr>
        <w:t>Foreign exchange movement</w:t>
      </w:r>
      <w:r>
        <w:rPr>
          <w:sz w:val="20"/>
          <w:szCs w:val="20"/>
          <w:color w:val="auto"/>
        </w:rPr>
        <w:tab/>
      </w:r>
      <w:r>
        <w:rPr>
          <w:rFonts w:ascii="Courier New" w:cs="Courier New" w:eastAsia="Courier New" w:hAnsi="Courier New"/>
          <w:sz w:val="15"/>
          <w:szCs w:val="15"/>
          <w:color w:val="auto"/>
        </w:rPr>
        <w:t>(407)</w:t>
      </w:r>
      <w:r>
        <w:rPr>
          <w:sz w:val="20"/>
          <w:szCs w:val="20"/>
          <w:color w:val="auto"/>
        </w:rPr>
        <w:tab/>
      </w:r>
      <w:r>
        <w:rPr>
          <w:rFonts w:ascii="Courier New" w:cs="Courier New" w:eastAsia="Courier New" w:hAnsi="Courier New"/>
          <w:sz w:val="15"/>
          <w:szCs w:val="15"/>
          <w:color w:val="auto"/>
        </w:rPr>
        <w:t>(88)</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0"/>
        <w:spacing w:after="0"/>
        <w:tabs>
          <w:tab w:leader="none" w:pos="4700" w:val="left"/>
          <w:tab w:leader="none" w:pos="6420" w:val="left"/>
        </w:tabs>
        <w:rPr>
          <w:sz w:val="20"/>
          <w:szCs w:val="20"/>
          <w:color w:val="auto"/>
        </w:rPr>
      </w:pPr>
      <w:r>
        <w:rPr>
          <w:rFonts w:ascii="Courier New" w:cs="Courier New" w:eastAsia="Courier New" w:hAnsi="Courier New"/>
          <w:sz w:val="15"/>
          <w:szCs w:val="15"/>
          <w:color w:val="auto"/>
        </w:rPr>
        <w:t>Closing balance</w:t>
      </w:r>
      <w:r>
        <w:rPr>
          <w:sz w:val="20"/>
          <w:szCs w:val="20"/>
          <w:color w:val="auto"/>
        </w:rPr>
        <w:tab/>
      </w:r>
      <w:r>
        <w:rPr>
          <w:rFonts w:ascii="Courier New" w:cs="Courier New" w:eastAsia="Courier New" w:hAnsi="Courier New"/>
          <w:sz w:val="15"/>
          <w:szCs w:val="15"/>
          <w:color w:val="auto"/>
        </w:rPr>
        <w:t>$67,033</w:t>
      </w:r>
      <w:r>
        <w:rPr>
          <w:sz w:val="20"/>
          <w:szCs w:val="20"/>
          <w:color w:val="auto"/>
        </w:rPr>
        <w:tab/>
      </w:r>
      <w:r>
        <w:rPr>
          <w:rFonts w:ascii="Courier New" w:cs="Courier New" w:eastAsia="Courier New" w:hAnsi="Courier New"/>
          <w:sz w:val="15"/>
          <w:szCs w:val="15"/>
          <w:color w:val="auto"/>
        </w:rPr>
        <w:t>$67,440</w:t>
      </w:r>
    </w:p>
    <w:p>
      <w:pPr>
        <w:sectPr>
          <w:pgSz w:w="11900" w:h="16838" w:orient="portrait"/>
          <w:cols w:equalWidth="0" w:num="1">
            <w:col w:w="10260"/>
          </w:cols>
          <w:pgMar w:left="240" w:top="643" w:right="1399" w:bottom="1440" w:gutter="0" w:footer="0" w:header="0"/>
          <w:type w:val="continuous"/>
        </w:sectPr>
      </w:pP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goodwill balance relates completely to the clinical research segment.</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Net income per ordinary share</w:t>
      </w:r>
    </w:p>
    <w:p>
      <w:pPr>
        <w:spacing w:after="0" w:line="180" w:lineRule="exact"/>
        <w:rPr>
          <w:sz w:val="20"/>
          <w:szCs w:val="20"/>
          <w:color w:val="auto"/>
        </w:rPr>
      </w:pPr>
    </w:p>
    <w:p>
      <w:pPr>
        <w:ind w:right="3000"/>
        <w:spacing w:after="0" w:line="246" w:lineRule="auto"/>
        <w:rPr>
          <w:sz w:val="20"/>
          <w:szCs w:val="20"/>
          <w:color w:val="auto"/>
        </w:rPr>
      </w:pPr>
      <w:r>
        <w:rPr>
          <w:rFonts w:ascii="Courier New" w:cs="Courier New" w:eastAsia="Courier New" w:hAnsi="Courier New"/>
          <w:sz w:val="15"/>
          <w:szCs w:val="15"/>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179" w:lineRule="exact"/>
        <w:rPr>
          <w:sz w:val="20"/>
          <w:szCs w:val="20"/>
          <w:color w:val="auto"/>
        </w:rPr>
      </w:pPr>
    </w:p>
    <w:p>
      <w:pPr>
        <w:ind w:right="3180"/>
        <w:spacing w:after="0" w:line="247" w:lineRule="auto"/>
        <w:rPr>
          <w:sz w:val="20"/>
          <w:szCs w:val="20"/>
          <w:color w:val="auto"/>
        </w:rPr>
      </w:pPr>
      <w:r>
        <w:rPr>
          <w:rFonts w:ascii="Courier New" w:cs="Courier New" w:eastAsia="Courier New" w:hAnsi="Courier New"/>
          <w:sz w:val="15"/>
          <w:szCs w:val="15"/>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90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7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7720"/>
        <w:spacing w:after="0"/>
        <w:tabs>
          <w:tab w:leader="none" w:pos="924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7720"/>
        <w:spacing w:after="0"/>
        <w:tabs>
          <w:tab w:leader="none" w:pos="9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8260"/>
        <w:spacing w:after="0"/>
        <w:tabs>
          <w:tab w:leader="none" w:pos="978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8260"/>
        <w:spacing w:after="0"/>
        <w:tabs>
          <w:tab w:leader="none" w:pos="9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Weighted average number of ordinary shares outstanding for basic</w:t>
      </w:r>
    </w:p>
    <w:p>
      <w:pPr>
        <w:sectPr>
          <w:pgSz w:w="11900" w:h="16838" w:orient="portrait"/>
          <w:cols w:equalWidth="0" w:num="1">
            <w:col w:w="10260"/>
          </w:cols>
          <w:pgMar w:left="240" w:top="643" w:right="139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ordinary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dilutive share options outstanding</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60"/>
        <w:spacing w:after="0"/>
        <w:tabs>
          <w:tab w:leader="none" w:pos="1980" w:val="left"/>
        </w:tabs>
        <w:rPr>
          <w:sz w:val="20"/>
          <w:szCs w:val="20"/>
          <w:color w:val="auto"/>
        </w:rPr>
      </w:pPr>
      <w:r>
        <w:rPr>
          <w:rFonts w:ascii="Courier New" w:cs="Courier New" w:eastAsia="Courier New" w:hAnsi="Courier New"/>
          <w:sz w:val="15"/>
          <w:szCs w:val="15"/>
          <w:color w:val="auto"/>
        </w:rPr>
        <w:t>13,919,606</w:t>
      </w:r>
      <w:r>
        <w:rPr>
          <w:sz w:val="20"/>
          <w:szCs w:val="20"/>
          <w:color w:val="auto"/>
        </w:rPr>
        <w:tab/>
      </w:r>
      <w:r>
        <w:rPr>
          <w:rFonts w:ascii="Courier New" w:cs="Courier New" w:eastAsia="Courier New" w:hAnsi="Courier New"/>
          <w:sz w:val="15"/>
          <w:szCs w:val="15"/>
          <w:color w:val="auto"/>
        </w:rPr>
        <w:t>13,837,986</w:t>
      </w:r>
    </w:p>
    <w:p>
      <w:pPr>
        <w:spacing w:after="0" w:line="5" w:lineRule="exact"/>
        <w:rPr>
          <w:sz w:val="20"/>
          <w:szCs w:val="20"/>
          <w:color w:val="auto"/>
        </w:rPr>
      </w:pPr>
    </w:p>
    <w:p>
      <w:pPr>
        <w:ind w:left="740"/>
        <w:spacing w:after="0"/>
        <w:tabs>
          <w:tab w:leader="none" w:pos="2260" w:val="left"/>
        </w:tabs>
        <w:rPr>
          <w:sz w:val="20"/>
          <w:szCs w:val="20"/>
          <w:color w:val="auto"/>
        </w:rPr>
      </w:pPr>
      <w:r>
        <w:rPr>
          <w:rFonts w:ascii="Courier New" w:cs="Courier New" w:eastAsia="Courier New" w:hAnsi="Courier New"/>
          <w:sz w:val="15"/>
          <w:szCs w:val="15"/>
          <w:color w:val="auto"/>
        </w:rPr>
        <w:t>230,606</w:t>
      </w:r>
      <w:r>
        <w:rPr>
          <w:sz w:val="20"/>
          <w:szCs w:val="20"/>
          <w:color w:val="auto"/>
        </w:rPr>
        <w:tab/>
      </w:r>
      <w:r>
        <w:rPr>
          <w:rFonts w:ascii="Courier New" w:cs="Courier New" w:eastAsia="Courier New" w:hAnsi="Courier New"/>
          <w:sz w:val="15"/>
          <w:szCs w:val="15"/>
          <w:color w:val="auto"/>
        </w:rPr>
        <w:t>267,302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ectPr>
          <w:pgSz w:w="11900" w:h="16838" w:orient="portrait"/>
          <w:cols w:equalWidth="0" w:num="2">
            <w:col w:w="6540" w:space="720"/>
            <w:col w:w="3000"/>
          </w:cols>
          <w:pgMar w:left="240" w:top="643" w:right="1399" w:bottom="1440" w:gutter="0" w:footer="0" w:header="0"/>
          <w:type w:val="continuous"/>
        </w:sectPr>
      </w:pPr>
    </w:p>
    <w:p>
      <w:pPr>
        <w:ind w:right="640"/>
        <w:spacing w:after="0" w:line="247" w:lineRule="auto"/>
        <w:rPr>
          <w:sz w:val="20"/>
          <w:szCs w:val="20"/>
          <w:color w:val="auto"/>
        </w:rPr>
      </w:pPr>
      <w:r>
        <w:rPr>
          <w:rFonts w:ascii="Courier New" w:cs="Courier New" w:eastAsia="Courier New" w:hAnsi="Courier New"/>
          <w:sz w:val="15"/>
          <w:szCs w:val="15"/>
          <w:color w:val="auto"/>
        </w:rPr>
        <w:t>Weighted average number of ordinary shares for diluted net income per ordinary share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60"/>
        <w:spacing w:after="0"/>
        <w:tabs>
          <w:tab w:leader="none" w:pos="1980" w:val="left"/>
        </w:tabs>
        <w:rPr>
          <w:sz w:val="20"/>
          <w:szCs w:val="20"/>
          <w:color w:val="auto"/>
        </w:rPr>
      </w:pPr>
      <w:r>
        <w:rPr>
          <w:rFonts w:ascii="Courier New" w:cs="Courier New" w:eastAsia="Courier New" w:hAnsi="Courier New"/>
          <w:sz w:val="15"/>
          <w:szCs w:val="15"/>
          <w:color w:val="auto"/>
        </w:rPr>
        <w:t>14,150,212</w:t>
      </w:r>
      <w:r>
        <w:rPr>
          <w:sz w:val="20"/>
          <w:szCs w:val="20"/>
          <w:color w:val="auto"/>
        </w:rPr>
        <w:tab/>
      </w:r>
      <w:r>
        <w:rPr>
          <w:rFonts w:ascii="Courier New" w:cs="Courier New" w:eastAsia="Courier New" w:hAnsi="Courier New"/>
          <w:sz w:val="15"/>
          <w:szCs w:val="15"/>
          <w:color w:val="auto"/>
        </w:rPr>
        <w:t>14,105,288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ectPr>
          <w:pgSz w:w="11900" w:h="16838" w:orient="portrait"/>
          <w:cols w:equalWidth="0" w:num="2">
            <w:col w:w="6540" w:space="720"/>
            <w:col w:w="3000"/>
          </w:cols>
          <w:pgMar w:left="240" w:top="643" w:right="139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60"/>
          </w:cols>
          <w:pgMar w:left="240" w:top="643" w:right="1399"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5. Business Segment Information</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The Company's areas of operation outside of Ireland principally include the United Kingdom, United States, Germany, Australia, Argentina, France, Japan, Israel, Singapore, Canada, Sweden, The Netherlands, Latvia, Russia, Taiwan, Hong Kong, South Africa, Spain, Hungary, India, Mexico and Brazil. Segment information for the three month periods ended August 31, 2005 and August 31, 2004 are as follows: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The distribution of net revenue by geographical area was as follows:</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340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780" w:type="dxa"/>
            <w:vAlign w:val="bottom"/>
          </w:tcPr>
          <w:p>
            <w:pPr>
              <w:spacing w:after="0"/>
              <w:rPr>
                <w:sz w:val="15"/>
                <w:szCs w:val="15"/>
                <w:color w:val="auto"/>
              </w:rPr>
            </w:pPr>
          </w:p>
        </w:tc>
        <w:tc>
          <w:tcPr>
            <w:tcW w:w="3400" w:type="dxa"/>
            <w:vAlign w:val="bottom"/>
            <w:gridSpan w:val="2"/>
          </w:tcPr>
          <w:p>
            <w:pPr>
              <w:ind w:left="1220"/>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2320" w:type="dxa"/>
            <w:vAlign w:val="bottom"/>
          </w:tcPr>
          <w:p>
            <w:pPr>
              <w:ind w:left="1220"/>
              <w:spacing w:after="0"/>
              <w:rPr>
                <w:sz w:val="20"/>
                <w:szCs w:val="20"/>
                <w:color w:val="auto"/>
              </w:rPr>
            </w:pPr>
            <w:r>
              <w:rPr>
                <w:rFonts w:ascii="Courier New" w:cs="Courier New" w:eastAsia="Courier New" w:hAnsi="Courier New"/>
                <w:sz w:val="15"/>
                <w:szCs w:val="15"/>
                <w:color w:val="auto"/>
              </w:rPr>
              <w:t>August 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2780" w:type="dxa"/>
            <w:vAlign w:val="bottom"/>
          </w:tcPr>
          <w:p>
            <w:pPr>
              <w:spacing w:after="0"/>
              <w:rPr>
                <w:sz w:val="15"/>
                <w:szCs w:val="15"/>
                <w:color w:val="auto"/>
              </w:rPr>
            </w:pP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780" w:type="dxa"/>
            <w:vAlign w:val="bottom"/>
          </w:tcPr>
          <w:p>
            <w:pPr>
              <w:spacing w:after="0"/>
              <w:rPr>
                <w:sz w:val="15"/>
                <w:szCs w:val="15"/>
                <w:color w:val="auto"/>
              </w:rPr>
            </w:pP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80" w:type="dxa"/>
            <w:vAlign w:val="bottom"/>
          </w:tcPr>
          <w:p>
            <w:pPr>
              <w:spacing w:after="0"/>
              <w:rPr>
                <w:sz w:val="15"/>
                <w:szCs w:val="15"/>
                <w:color w:val="auto"/>
              </w:rPr>
            </w:pPr>
          </w:p>
        </w:tc>
        <w:tc>
          <w:tcPr>
            <w:tcW w:w="34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$10,753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$10,638</w:t>
            </w: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21,510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17,214</w:t>
            </w: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45,784</w:t>
            </w:r>
          </w:p>
        </w:tc>
      </w:tr>
      <w:tr>
        <w:trPr>
          <w:trHeight w:val="175"/>
        </w:trPr>
        <w:tc>
          <w:tcPr>
            <w:tcW w:w="278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4,703</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$85,921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$78,339</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820" w:hanging="191"/>
        <w:spacing w:after="0"/>
        <w:tabs>
          <w:tab w:leader="none" w:pos="82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sales shown for Ireland are export sales.</w:t>
      </w:r>
    </w:p>
    <w:p>
      <w:pPr>
        <w:spacing w:after="0" w:line="179" w:lineRule="exact"/>
        <w:rPr>
          <w:rFonts w:ascii="Courier New" w:cs="Courier New" w:eastAsia="Courier New" w:hAnsi="Courier New"/>
          <w:sz w:val="15"/>
          <w:szCs w:val="15"/>
          <w:color w:val="auto"/>
        </w:rPr>
      </w:pPr>
    </w:p>
    <w:p>
      <w:pPr>
        <w:ind w:left="720" w:hanging="272"/>
        <w:spacing w:after="0"/>
        <w:tabs>
          <w:tab w:leader="none" w:pos="7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net revenue by business segment was as follows: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40"/>
        <w:spacing w:after="0"/>
        <w:tabs>
          <w:tab w:leader="none" w:pos="578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4440"/>
        <w:spacing w:after="0"/>
        <w:tabs>
          <w:tab w:leader="none" w:pos="5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900"/>
        <w:spacing w:after="0"/>
        <w:tabs>
          <w:tab w:leader="none" w:pos="624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4900"/>
        <w:spacing w:after="0"/>
        <w:tabs>
          <w:tab w:leader="none" w:pos="6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620"/>
        <w:spacing w:after="0"/>
        <w:tabs>
          <w:tab w:leader="none" w:pos="4700" w:val="left"/>
          <w:tab w:leader="none" w:pos="606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$7,235</w:t>
      </w:r>
      <w:r>
        <w:rPr>
          <w:sz w:val="20"/>
          <w:szCs w:val="20"/>
          <w:color w:val="auto"/>
        </w:rPr>
        <w:tab/>
      </w:r>
      <w:r>
        <w:rPr>
          <w:rFonts w:ascii="Courier New" w:cs="Courier New" w:eastAsia="Courier New" w:hAnsi="Courier New"/>
          <w:sz w:val="15"/>
          <w:szCs w:val="15"/>
          <w:color w:val="auto"/>
        </w:rPr>
        <w:t>$6,550</w:t>
      </w:r>
    </w:p>
    <w:p>
      <w:pPr>
        <w:spacing w:after="0" w:line="5" w:lineRule="exact"/>
        <w:rPr>
          <w:sz w:val="20"/>
          <w:szCs w:val="20"/>
          <w:color w:val="auto"/>
        </w:rPr>
      </w:pPr>
    </w:p>
    <w:p>
      <w:pPr>
        <w:ind w:left="620"/>
        <w:spacing w:after="0"/>
        <w:tabs>
          <w:tab w:leader="none" w:pos="4700" w:val="left"/>
          <w:tab w:leader="none" w:pos="606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78,686</w:t>
      </w:r>
      <w:r>
        <w:rPr>
          <w:sz w:val="20"/>
          <w:szCs w:val="20"/>
          <w:color w:val="auto"/>
        </w:rPr>
        <w:tab/>
      </w:r>
      <w:r>
        <w:rPr>
          <w:rFonts w:ascii="Courier New" w:cs="Courier New" w:eastAsia="Courier New" w:hAnsi="Courier New"/>
          <w:sz w:val="15"/>
          <w:szCs w:val="15"/>
          <w:color w:val="auto"/>
        </w:rPr>
        <w:t>71,789</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$85,921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$78,339</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20" w:hanging="272"/>
        <w:spacing w:after="0"/>
        <w:tabs>
          <w:tab w:leader="none" w:pos="7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geographical area was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330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700" w:type="dxa"/>
            <w:vAlign w:val="bottom"/>
          </w:tcPr>
          <w:p>
            <w:pPr>
              <w:spacing w:after="0"/>
              <w:rPr>
                <w:sz w:val="15"/>
                <w:szCs w:val="15"/>
                <w:color w:val="auto"/>
              </w:rPr>
            </w:pPr>
          </w:p>
        </w:tc>
        <w:tc>
          <w:tcPr>
            <w:tcW w:w="3300" w:type="dxa"/>
            <w:vAlign w:val="bottom"/>
            <w:gridSpan w:val="2"/>
          </w:tcPr>
          <w:p>
            <w:pPr>
              <w:ind w:left="1120"/>
              <w:spacing w:after="0"/>
              <w:rPr>
                <w:sz w:val="20"/>
                <w:szCs w:val="20"/>
                <w:color w:val="auto"/>
              </w:rPr>
            </w:pPr>
            <w:r>
              <w:rPr>
                <w:rFonts w:ascii="Courier New" w:cs="Courier New" w:eastAsia="Courier New" w:hAnsi="Courier New"/>
                <w:sz w:val="15"/>
                <w:szCs w:val="15"/>
                <w:color w:val="auto"/>
              </w:rPr>
              <w:t>------------------</w:t>
            </w:r>
          </w:p>
        </w:tc>
      </w:tr>
      <w:tr>
        <w:trPr>
          <w:trHeight w:val="175"/>
        </w:trPr>
        <w:tc>
          <w:tcPr>
            <w:tcW w:w="2700" w:type="dxa"/>
            <w:vAlign w:val="bottom"/>
          </w:tcPr>
          <w:p>
            <w:pPr>
              <w:spacing w:after="0"/>
              <w:rPr>
                <w:sz w:val="15"/>
                <w:szCs w:val="15"/>
                <w:color w:val="auto"/>
              </w:rPr>
            </w:pPr>
          </w:p>
        </w:tc>
        <w:tc>
          <w:tcPr>
            <w:tcW w:w="2220" w:type="dxa"/>
            <w:vAlign w:val="bottom"/>
          </w:tcPr>
          <w:p>
            <w:pPr>
              <w:ind w:left="1120"/>
              <w:spacing w:after="0"/>
              <w:rPr>
                <w:sz w:val="20"/>
                <w:szCs w:val="20"/>
                <w:color w:val="auto"/>
              </w:rPr>
            </w:pPr>
            <w:r>
              <w:rPr>
                <w:rFonts w:ascii="Courier New" w:cs="Courier New" w:eastAsia="Courier New" w:hAnsi="Courier New"/>
                <w:sz w:val="15"/>
                <w:szCs w:val="15"/>
                <w:color w:val="auto"/>
              </w:rPr>
              <w:t>August 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2700" w:type="dxa"/>
            <w:vAlign w:val="bottom"/>
          </w:tcPr>
          <w:p>
            <w:pPr>
              <w:spacing w:after="0"/>
              <w:rPr>
                <w:sz w:val="15"/>
                <w:szCs w:val="15"/>
                <w:color w:val="auto"/>
              </w:rPr>
            </w:pPr>
          </w:p>
        </w:tc>
        <w:tc>
          <w:tcPr>
            <w:tcW w:w="222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00" w:type="dxa"/>
            <w:vAlign w:val="bottom"/>
          </w:tcPr>
          <w:p>
            <w:pPr>
              <w:spacing w:after="0"/>
              <w:rPr>
                <w:sz w:val="15"/>
                <w:szCs w:val="15"/>
                <w:color w:val="auto"/>
              </w:rPr>
            </w:pP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700" w:type="dxa"/>
            <w:vAlign w:val="bottom"/>
          </w:tcPr>
          <w:p>
            <w:pPr>
              <w:spacing w:after="0"/>
              <w:rPr>
                <w:sz w:val="15"/>
                <w:szCs w:val="15"/>
                <w:color w:val="auto"/>
              </w:rPr>
            </w:pP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00" w:type="dxa"/>
            <w:vAlign w:val="bottom"/>
          </w:tcPr>
          <w:p>
            <w:pPr>
              <w:spacing w:after="0"/>
              <w:rPr>
                <w:sz w:val="15"/>
                <w:szCs w:val="15"/>
                <w:color w:val="auto"/>
              </w:rPr>
            </w:pPr>
          </w:p>
        </w:tc>
        <w:tc>
          <w:tcPr>
            <w:tcW w:w="33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$462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$2,811</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4,623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2,338</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1,640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2,699</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2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1,643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1,637</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$8,368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$9,485</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3" w:right="1440" w:bottom="1440" w:gutter="0" w:footer="0" w:header="0"/>
        </w:sectPr>
      </w:pPr>
    </w:p>
    <w:bookmarkStart w:id="10" w:name="page11"/>
    <w:bookmarkEnd w:id="10"/>
    <w:p>
      <w:pPr>
        <w:ind w:left="720" w:hanging="272"/>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income from operations by business segment was as</w:t>
      </w:r>
    </w:p>
    <w:p>
      <w:pPr>
        <w:spacing w:after="0" w:line="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follows:</w:t>
      </w:r>
    </w:p>
    <w:p>
      <w:pPr>
        <w:spacing w:after="0" w:line="180"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720"/>
        <w:spacing w:after="0"/>
        <w:tabs>
          <w:tab w:leader="none" w:pos="606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4720"/>
        <w:spacing w:after="0"/>
        <w:tabs>
          <w:tab w:leader="none" w:pos="60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tabs>
          <w:tab w:leader="none" w:pos="652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5180"/>
        <w:spacing w:after="0"/>
        <w:tabs>
          <w:tab w:leader="none" w:pos="6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620"/>
        <w:spacing w:after="0"/>
        <w:tabs>
          <w:tab w:leader="none" w:pos="4780" w:val="left"/>
          <w:tab w:leader="none" w:pos="634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$(1,615)</w:t>
      </w:r>
      <w:r>
        <w:rPr>
          <w:sz w:val="20"/>
          <w:szCs w:val="20"/>
          <w:color w:val="auto"/>
        </w:rPr>
        <w:tab/>
      </w:r>
      <w:r>
        <w:rPr>
          <w:rFonts w:ascii="Courier New" w:cs="Courier New" w:eastAsia="Courier New" w:hAnsi="Courier New"/>
          <w:sz w:val="15"/>
          <w:szCs w:val="15"/>
          <w:color w:val="auto"/>
        </w:rPr>
        <w:t>$(861)</w:t>
      </w:r>
    </w:p>
    <w:p>
      <w:pPr>
        <w:spacing w:after="0" w:line="5" w:lineRule="exact"/>
        <w:rPr>
          <w:sz w:val="20"/>
          <w:szCs w:val="20"/>
          <w:color w:val="auto"/>
        </w:rPr>
      </w:pPr>
    </w:p>
    <w:p>
      <w:pPr>
        <w:ind w:left="620"/>
        <w:spacing w:after="0"/>
        <w:tabs>
          <w:tab w:leader="none" w:pos="5060" w:val="left"/>
          <w:tab w:leader="none" w:pos="634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9,983</w:t>
      </w:r>
      <w:r>
        <w:rPr>
          <w:sz w:val="20"/>
          <w:szCs w:val="20"/>
          <w:color w:val="auto"/>
        </w:rPr>
        <w:tab/>
      </w:r>
      <w:r>
        <w:rPr>
          <w:rFonts w:ascii="Courier New" w:cs="Courier New" w:eastAsia="Courier New" w:hAnsi="Courier New"/>
          <w:sz w:val="15"/>
          <w:szCs w:val="15"/>
          <w:color w:val="auto"/>
        </w:rPr>
        <w:t>10,346</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$8,368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$9,485</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039" w:firstLine="448"/>
        <w:spacing w:after="0" w:line="247" w:lineRule="auto"/>
        <w:tabs>
          <w:tab w:leader="none" w:pos="7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geographical area was as follows: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August 31,</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700" w:type="dxa"/>
            <w:vAlign w:val="bottom"/>
          </w:tcPr>
          <w:p>
            <w:pPr>
              <w:spacing w:after="0"/>
              <w:rPr>
                <w:sz w:val="15"/>
                <w:szCs w:val="15"/>
                <w:color w:val="auto"/>
              </w:rPr>
            </w:pP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00" w:type="dxa"/>
            <w:vAlign w:val="bottom"/>
          </w:tcPr>
          <w:p>
            <w:pPr>
              <w:spacing w:after="0"/>
              <w:rPr>
                <w:sz w:val="15"/>
                <w:szCs w:val="15"/>
                <w:color w:val="auto"/>
              </w:rPr>
            </w:pP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2005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2700" w:type="dxa"/>
            <w:vAlign w:val="bottom"/>
          </w:tcPr>
          <w:p>
            <w:pPr>
              <w:spacing w:after="0"/>
              <w:rPr>
                <w:sz w:val="15"/>
                <w:szCs w:val="15"/>
                <w:color w:val="auto"/>
              </w:rPr>
            </w:pP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00" w:type="dxa"/>
            <w:vAlign w:val="bottom"/>
          </w:tcPr>
          <w:p>
            <w:pPr>
              <w:spacing w:after="0"/>
              <w:rPr>
                <w:sz w:val="15"/>
                <w:szCs w:val="15"/>
                <w:color w:val="auto"/>
              </w:rPr>
            </w:pP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5"/>
                <w:szCs w:val="15"/>
                <w:color w:val="auto"/>
              </w:rPr>
            </w:pP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$19,778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$20,471</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7,119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7,273</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16,055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15,927</w:t>
            </w:r>
          </w:p>
        </w:tc>
      </w:tr>
      <w:tr>
        <w:trPr>
          <w:trHeight w:val="175"/>
        </w:trPr>
        <w:tc>
          <w:tcPr>
            <w:tcW w:w="27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98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1,549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1,615</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$44,501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419" w:firstLine="448"/>
        <w:spacing w:after="0" w:line="247" w:lineRule="auto"/>
        <w:tabs>
          <w:tab w:leader="none" w:pos="7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property, plant and equipment, net, by business segment was as follows: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7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274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Central laboratory</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$3,363</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$2,940</w:t>
            </w:r>
          </w:p>
        </w:tc>
      </w:tr>
      <w:tr>
        <w:trPr>
          <w:trHeight w:val="175"/>
        </w:trPr>
        <w:tc>
          <w:tcPr>
            <w:tcW w:w="2740" w:type="dxa"/>
            <w:vAlign w:val="bottom"/>
          </w:tcPr>
          <w:p>
            <w:pPr>
              <w:spacing w:after="0"/>
              <w:rPr>
                <w:sz w:val="20"/>
                <w:szCs w:val="20"/>
                <w:color w:val="auto"/>
              </w:rPr>
            </w:pPr>
            <w:r>
              <w:rPr>
                <w:rFonts w:ascii="Courier New" w:cs="Courier New" w:eastAsia="Courier New" w:hAnsi="Courier New"/>
                <w:sz w:val="15"/>
                <w:szCs w:val="15"/>
                <w:color w:val="auto"/>
              </w:rPr>
              <w:t>Clinical research</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41,138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42,346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$44,501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$45,286</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right="3139" w:firstLine="448"/>
        <w:spacing w:after="0" w:line="247" w:lineRule="auto"/>
        <w:tabs>
          <w:tab w:leader="none" w:pos="7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geographical area was as follows: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354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2920" w:type="dxa"/>
            <w:vAlign w:val="bottom"/>
          </w:tcPr>
          <w:p>
            <w:pPr>
              <w:spacing w:after="0"/>
              <w:rPr>
                <w:sz w:val="15"/>
                <w:szCs w:val="15"/>
                <w:color w:val="auto"/>
              </w:rPr>
            </w:pPr>
          </w:p>
        </w:tc>
        <w:tc>
          <w:tcPr>
            <w:tcW w:w="3540" w:type="dxa"/>
            <w:vAlign w:val="bottom"/>
            <w:gridSpan w:val="2"/>
          </w:tcPr>
          <w:p>
            <w:pPr>
              <w:ind w:left="1360"/>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2460" w:type="dxa"/>
            <w:vAlign w:val="bottom"/>
          </w:tcPr>
          <w:p>
            <w:pPr>
              <w:ind w:left="1360"/>
              <w:spacing w:after="0"/>
              <w:rPr>
                <w:sz w:val="20"/>
                <w:szCs w:val="20"/>
                <w:color w:val="auto"/>
              </w:rPr>
            </w:pPr>
            <w:r>
              <w:rPr>
                <w:rFonts w:ascii="Courier New" w:cs="Courier New" w:eastAsia="Courier New" w:hAnsi="Courier New"/>
                <w:sz w:val="15"/>
                <w:szCs w:val="15"/>
                <w:color w:val="auto"/>
              </w:rPr>
              <w:t>August 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2920" w:type="dxa"/>
            <w:vAlign w:val="bottom"/>
          </w:tcPr>
          <w:p>
            <w:pPr>
              <w:spacing w:after="0"/>
              <w:rPr>
                <w:sz w:val="15"/>
                <w:szCs w:val="15"/>
                <w:color w:val="auto"/>
              </w:rPr>
            </w:pP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2920" w:type="dxa"/>
            <w:vAlign w:val="bottom"/>
          </w:tcPr>
          <w:p>
            <w:pPr>
              <w:spacing w:after="0"/>
              <w:rPr>
                <w:sz w:val="15"/>
                <w:szCs w:val="15"/>
                <w:color w:val="auto"/>
              </w:rPr>
            </w:pP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920" w:type="dxa"/>
            <w:vAlign w:val="bottom"/>
          </w:tcPr>
          <w:p>
            <w:pPr>
              <w:spacing w:after="0"/>
              <w:rPr>
                <w:sz w:val="15"/>
                <w:szCs w:val="15"/>
                <w:color w:val="auto"/>
              </w:rPr>
            </w:pPr>
          </w:p>
        </w:tc>
        <w:tc>
          <w:tcPr>
            <w:tcW w:w="354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1,361</w:t>
            </w:r>
          </w:p>
        </w:tc>
      </w:tr>
      <w:tr>
        <w:trPr>
          <w:trHeight w:val="175"/>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$3,062</w:t>
            </w:r>
          </w:p>
        </w:tc>
      </w:tr>
    </w:tbl>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2" w:right="1440" w:bottom="1440" w:gutter="0" w:footer="0" w:header="0"/>
        </w:sectPr>
      </w:pPr>
    </w:p>
    <w:bookmarkStart w:id="11" w:name="page12"/>
    <w:bookmarkEnd w:id="11"/>
    <w:p>
      <w:pPr>
        <w:ind w:left="-440" w:right="3219" w:firstLine="448"/>
        <w:spacing w:after="0" w:line="247" w:lineRule="auto"/>
        <w:tabs>
          <w:tab w:leader="none" w:pos="2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of depreciation and amortization by business segment was as follows:</w:t>
      </w:r>
    </w:p>
    <w:p>
      <w:pPr>
        <w:spacing w:after="0" w:line="17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Three Months Ended</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460"/>
        <w:spacing w:after="0"/>
        <w:tabs>
          <w:tab w:leader="none" w:pos="580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August 31</w:t>
      </w:r>
    </w:p>
    <w:p>
      <w:pPr>
        <w:spacing w:after="0" w:line="5" w:lineRule="exact"/>
        <w:rPr>
          <w:sz w:val="20"/>
          <w:szCs w:val="20"/>
          <w:color w:val="auto"/>
        </w:rPr>
      </w:pPr>
    </w:p>
    <w:p>
      <w:pPr>
        <w:ind w:left="4460"/>
        <w:spacing w:after="0"/>
        <w:tabs>
          <w:tab w:leader="none" w:pos="5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920"/>
        <w:spacing w:after="0"/>
        <w:tabs>
          <w:tab w:leader="none" w:pos="626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2004</w:t>
      </w:r>
    </w:p>
    <w:p>
      <w:pPr>
        <w:spacing w:after="0" w:line="5" w:lineRule="exact"/>
        <w:rPr>
          <w:sz w:val="20"/>
          <w:szCs w:val="20"/>
          <w:color w:val="auto"/>
        </w:rPr>
      </w:pPr>
    </w:p>
    <w:p>
      <w:pPr>
        <w:ind w:left="4920"/>
        <w:spacing w:after="0"/>
        <w:tabs>
          <w:tab w:leader="none" w:pos="6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180"/>
        <w:spacing w:after="0"/>
        <w:tabs>
          <w:tab w:leader="none" w:pos="4900" w:val="left"/>
          <w:tab w:leader="none" w:pos="626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$286</w:t>
      </w:r>
      <w:r>
        <w:rPr>
          <w:sz w:val="20"/>
          <w:szCs w:val="20"/>
          <w:color w:val="auto"/>
        </w:rPr>
        <w:tab/>
      </w:r>
      <w:r>
        <w:rPr>
          <w:rFonts w:ascii="Courier New" w:cs="Courier New" w:eastAsia="Courier New" w:hAnsi="Courier New"/>
          <w:sz w:val="15"/>
          <w:szCs w:val="15"/>
          <w:color w:val="auto"/>
        </w:rPr>
        <w:t>$236</w:t>
      </w:r>
    </w:p>
    <w:p>
      <w:pPr>
        <w:spacing w:after="0" w:line="5" w:lineRule="exact"/>
        <w:rPr>
          <w:sz w:val="20"/>
          <w:szCs w:val="20"/>
          <w:color w:val="auto"/>
        </w:rPr>
      </w:pPr>
    </w:p>
    <w:p>
      <w:pPr>
        <w:ind w:left="180"/>
        <w:spacing w:after="0"/>
        <w:tabs>
          <w:tab w:leader="none" w:pos="4800" w:val="left"/>
          <w:tab w:leader="none" w:pos="616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3,148</w:t>
      </w:r>
      <w:r>
        <w:rPr>
          <w:sz w:val="20"/>
          <w:szCs w:val="20"/>
          <w:color w:val="auto"/>
        </w:rPr>
        <w:tab/>
      </w:r>
      <w:r>
        <w:rPr>
          <w:rFonts w:ascii="Courier New" w:cs="Courier New" w:eastAsia="Courier New" w:hAnsi="Courier New"/>
          <w:sz w:val="15"/>
          <w:szCs w:val="15"/>
          <w:color w:val="auto"/>
        </w:rPr>
        <w:t>2,826</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0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$3,434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$3,062</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The distribution of total assets by geographical area was as follows: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August 31,</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May 31,</w:t>
            </w:r>
          </w:p>
        </w:tc>
      </w:tr>
      <w:tr>
        <w:trPr>
          <w:trHeight w:val="175"/>
        </w:trPr>
        <w:tc>
          <w:tcPr>
            <w:tcW w:w="2460" w:type="dxa"/>
            <w:vAlign w:val="bottom"/>
          </w:tcPr>
          <w:p>
            <w:pPr>
              <w:spacing w:after="0"/>
              <w:rPr>
                <w:sz w:val="15"/>
                <w:szCs w:val="15"/>
                <w:color w:val="auto"/>
              </w:rPr>
            </w:pP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2460" w:type="dxa"/>
            <w:vAlign w:val="bottom"/>
          </w:tcPr>
          <w:p>
            <w:pPr>
              <w:spacing w:after="0"/>
              <w:rPr>
                <w:sz w:val="15"/>
                <w:szCs w:val="15"/>
                <w:color w:val="auto"/>
              </w:rPr>
            </w:pPr>
          </w:p>
        </w:tc>
        <w:tc>
          <w:tcPr>
            <w:tcW w:w="26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2005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r>
      <w:tr>
        <w:trPr>
          <w:trHeight w:val="175"/>
        </w:trPr>
        <w:tc>
          <w:tcPr>
            <w:tcW w:w="2460" w:type="dxa"/>
            <w:vAlign w:val="bottom"/>
          </w:tcPr>
          <w:p>
            <w:pPr>
              <w:spacing w:after="0"/>
              <w:rPr>
                <w:sz w:val="15"/>
                <w:szCs w:val="15"/>
                <w:color w:val="auto"/>
              </w:rPr>
            </w:pPr>
          </w:p>
        </w:tc>
        <w:tc>
          <w:tcPr>
            <w:tcW w:w="268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460" w:type="dxa"/>
            <w:vAlign w:val="bottom"/>
          </w:tcPr>
          <w:p>
            <w:pPr>
              <w:spacing w:after="0"/>
              <w:rPr>
                <w:sz w:val="15"/>
                <w:szCs w:val="15"/>
                <w:color w:val="auto"/>
              </w:rPr>
            </w:pPr>
          </w:p>
        </w:tc>
        <w:tc>
          <w:tcPr>
            <w:tcW w:w="2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5"/>
                <w:szCs w:val="15"/>
                <w:color w:val="auto"/>
              </w:rPr>
            </w:pP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Ireland</w:t>
            </w: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$105,869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$109,596</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Rest of Europe</w:t>
            </w: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80,950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79,878</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154,557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153,577</w:t>
            </w:r>
          </w:p>
        </w:tc>
      </w:tr>
      <w:tr>
        <w:trPr>
          <w:trHeight w:val="175"/>
        </w:trPr>
        <w:tc>
          <w:tcPr>
            <w:tcW w:w="246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268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5,224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4,502</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7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$346,600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 The distribution of total assets by business segment was as follows:</w:t>
      </w:r>
    </w:p>
    <w:p>
      <w:pPr>
        <w:spacing w:after="0" w:line="180" w:lineRule="exact"/>
        <w:rPr>
          <w:sz w:val="20"/>
          <w:szCs w:val="20"/>
          <w:color w:val="auto"/>
        </w:rPr>
      </w:pPr>
    </w:p>
    <w:p>
      <w:pPr>
        <w:ind w:left="3560"/>
        <w:spacing w:after="0"/>
        <w:tabs>
          <w:tab w:leader="none" w:pos="5440" w:val="left"/>
        </w:tabs>
        <w:rPr>
          <w:sz w:val="20"/>
          <w:szCs w:val="20"/>
          <w:color w:val="auto"/>
        </w:rPr>
      </w:pPr>
      <w:r>
        <w:rPr>
          <w:rFonts w:ascii="Courier New" w:cs="Courier New" w:eastAsia="Courier New" w:hAnsi="Courier New"/>
          <w:sz w:val="15"/>
          <w:szCs w:val="15"/>
          <w:color w:val="auto"/>
        </w:rPr>
        <w:t>August 31,</w:t>
      </w:r>
      <w:r>
        <w:rPr>
          <w:sz w:val="20"/>
          <w:szCs w:val="20"/>
          <w:color w:val="auto"/>
        </w:rPr>
        <w:tab/>
      </w:r>
      <w:r>
        <w:rPr>
          <w:rFonts w:ascii="Courier New" w:cs="Courier New" w:eastAsia="Courier New" w:hAnsi="Courier New"/>
          <w:sz w:val="15"/>
          <w:szCs w:val="15"/>
          <w:color w:val="auto"/>
        </w:rPr>
        <w:t>May 31,</w:t>
      </w:r>
    </w:p>
    <w:p>
      <w:pPr>
        <w:spacing w:after="0" w:line="5" w:lineRule="exact"/>
        <w:rPr>
          <w:sz w:val="20"/>
          <w:szCs w:val="20"/>
          <w:color w:val="auto"/>
        </w:rPr>
      </w:pPr>
    </w:p>
    <w:p>
      <w:pPr>
        <w:ind w:left="3560"/>
        <w:spacing w:after="0"/>
        <w:tabs>
          <w:tab w:leader="none" w:pos="5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000"/>
        <w:spacing w:after="0"/>
        <w:tabs>
          <w:tab w:leader="none" w:pos="5800" w:val="left"/>
        </w:tabs>
        <w:rPr>
          <w:sz w:val="20"/>
          <w:szCs w:val="20"/>
          <w:color w:val="auto"/>
        </w:rPr>
      </w:pPr>
      <w:r>
        <w:rPr>
          <w:rFonts w:ascii="Courier New" w:cs="Courier New" w:eastAsia="Courier New" w:hAnsi="Courier New"/>
          <w:sz w:val="15"/>
          <w:szCs w:val="15"/>
          <w:color w:val="auto"/>
        </w:rPr>
        <w:t>2005</w:t>
      </w:r>
      <w:r>
        <w:rPr>
          <w:sz w:val="20"/>
          <w:szCs w:val="20"/>
          <w:color w:val="auto"/>
        </w:rPr>
        <w:tab/>
      </w:r>
      <w:r>
        <w:rPr>
          <w:rFonts w:ascii="Courier New" w:cs="Courier New" w:eastAsia="Courier New" w:hAnsi="Courier New"/>
          <w:sz w:val="15"/>
          <w:szCs w:val="15"/>
          <w:color w:val="auto"/>
        </w:rPr>
        <w:t>2005</w:t>
      </w:r>
    </w:p>
    <w:p>
      <w:pPr>
        <w:spacing w:after="0" w:line="5" w:lineRule="exact"/>
        <w:rPr>
          <w:sz w:val="20"/>
          <w:szCs w:val="20"/>
          <w:color w:val="auto"/>
        </w:rPr>
      </w:pPr>
    </w:p>
    <w:p>
      <w:pPr>
        <w:ind w:left="4000"/>
        <w:spacing w:after="0"/>
        <w:tabs>
          <w:tab w:leader="none" w:pos="58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(in thousands)</w:t>
      </w:r>
    </w:p>
    <w:p>
      <w:pPr>
        <w:spacing w:after="0" w:line="5" w:lineRule="exact"/>
        <w:rPr>
          <w:sz w:val="20"/>
          <w:szCs w:val="20"/>
          <w:color w:val="auto"/>
        </w:rPr>
      </w:pPr>
    </w:p>
    <w:p>
      <w:pPr>
        <w:ind w:left="180"/>
        <w:spacing w:after="0"/>
        <w:tabs>
          <w:tab w:leader="none" w:pos="4160" w:val="left"/>
          <w:tab w:leader="none" w:pos="5900" w:val="left"/>
        </w:tabs>
        <w:rPr>
          <w:sz w:val="20"/>
          <w:szCs w:val="20"/>
          <w:color w:val="auto"/>
        </w:rPr>
      </w:pPr>
      <w:r>
        <w:rPr>
          <w:rFonts w:ascii="Courier New" w:cs="Courier New" w:eastAsia="Courier New" w:hAnsi="Courier New"/>
          <w:sz w:val="15"/>
          <w:szCs w:val="15"/>
          <w:color w:val="auto"/>
        </w:rPr>
        <w:t>Central laboratory</w:t>
      </w:r>
      <w:r>
        <w:rPr>
          <w:sz w:val="20"/>
          <w:szCs w:val="20"/>
          <w:color w:val="auto"/>
        </w:rPr>
        <w:tab/>
      </w:r>
      <w:r>
        <w:rPr>
          <w:rFonts w:ascii="Courier New" w:cs="Courier New" w:eastAsia="Courier New" w:hAnsi="Courier New"/>
          <w:sz w:val="15"/>
          <w:szCs w:val="15"/>
          <w:color w:val="auto"/>
        </w:rPr>
        <w:t>$18,921</w:t>
      </w:r>
      <w:r>
        <w:rPr>
          <w:sz w:val="20"/>
          <w:szCs w:val="20"/>
          <w:color w:val="auto"/>
        </w:rPr>
        <w:tab/>
      </w:r>
      <w:r>
        <w:rPr>
          <w:rFonts w:ascii="Courier New" w:cs="Courier New" w:eastAsia="Courier New" w:hAnsi="Courier New"/>
          <w:sz w:val="15"/>
          <w:szCs w:val="15"/>
          <w:color w:val="auto"/>
        </w:rPr>
        <w:t>$18,083</w:t>
      </w:r>
    </w:p>
    <w:p>
      <w:pPr>
        <w:spacing w:after="0" w:line="5" w:lineRule="exact"/>
        <w:rPr>
          <w:sz w:val="20"/>
          <w:szCs w:val="20"/>
          <w:color w:val="auto"/>
        </w:rPr>
      </w:pPr>
    </w:p>
    <w:p>
      <w:pPr>
        <w:ind w:left="180"/>
        <w:spacing w:after="0"/>
        <w:tabs>
          <w:tab w:leader="none" w:pos="4160" w:val="left"/>
          <w:tab w:leader="none" w:pos="5900" w:val="left"/>
        </w:tabs>
        <w:rPr>
          <w:sz w:val="20"/>
          <w:szCs w:val="20"/>
          <w:color w:val="auto"/>
        </w:rPr>
      </w:pPr>
      <w:r>
        <w:rPr>
          <w:rFonts w:ascii="Courier New" w:cs="Courier New" w:eastAsia="Courier New" w:hAnsi="Courier New"/>
          <w:sz w:val="15"/>
          <w:szCs w:val="15"/>
          <w:color w:val="auto"/>
        </w:rPr>
        <w:t>Clinical research</w:t>
      </w:r>
      <w:r>
        <w:rPr>
          <w:sz w:val="20"/>
          <w:szCs w:val="20"/>
          <w:color w:val="auto"/>
        </w:rPr>
        <w:tab/>
      </w:r>
      <w:r>
        <w:rPr>
          <w:rFonts w:ascii="Courier New" w:cs="Courier New" w:eastAsia="Courier New" w:hAnsi="Courier New"/>
          <w:sz w:val="15"/>
          <w:szCs w:val="15"/>
          <w:color w:val="auto"/>
        </w:rPr>
        <w:t>327,679</w:t>
      </w:r>
      <w:r>
        <w:rPr>
          <w:sz w:val="20"/>
          <w:szCs w:val="20"/>
          <w:color w:val="auto"/>
        </w:rPr>
        <w:tab/>
      </w:r>
      <w:r>
        <w:rPr>
          <w:rFonts w:ascii="Courier New" w:cs="Courier New" w:eastAsia="Courier New" w:hAnsi="Courier New"/>
          <w:sz w:val="15"/>
          <w:szCs w:val="15"/>
          <w:color w:val="auto"/>
        </w:rPr>
        <w:t>329,470</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$346,600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$347,553</w:t>
            </w:r>
          </w:p>
        </w:tc>
      </w:tr>
    </w:tbl>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4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ICON plc</w:t>
      </w:r>
    </w:p>
    <w:p>
      <w:pPr>
        <w:spacing w:after="0" w:line="354"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fiscal year ended May 31, 2005. The Consolidated Financial Statements have been prepared in accordance with accounting principles generally accepted in the United States.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2,800 employees worldwide, with operations in 37 locations in 23 countries including the United States and major markets in Europe and Rest of World and have managed clinical trials in over 55 countries. For the three months ended August 31, 2005, we derived approximately 55.4%, 37.6%, and 7.0% of our net revenue in the United States, Europe and Rest of World, respectively.</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182"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18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92" w:right="1440" w:bottom="256" w:gutter="0" w:footer="0" w:header="0"/>
        </w:sectPr>
      </w:pPr>
    </w:p>
    <w:bookmarkStart w:id="13" w:name="page14"/>
    <w:bookmarkEnd w:id="13"/>
    <w:p>
      <w:pPr>
        <w:ind w:right="740"/>
        <w:spacing w:after="0" w:line="246" w:lineRule="auto"/>
        <w:rPr>
          <w:sz w:val="20"/>
          <w:szCs w:val="20"/>
          <w:color w:val="auto"/>
        </w:rPr>
      </w:pPr>
      <w:r>
        <w:rPr>
          <w:rFonts w:ascii="Courier New" w:cs="Courier New" w:eastAsia="Courier New" w:hAnsi="Courier New"/>
          <w:sz w:val="15"/>
          <w:szCs w:val="15"/>
          <w:color w:val="auto"/>
        </w:rPr>
        <w:t>In addition to translation exposures, we are also subject to transaction exposures because the currency in which contracts are priced can be different from the currencies in which costs relating to those contracts are incurred. We have thirteen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Hong Kong dollar, Mexican Peso and Brazilian Real.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187"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August 31, 2005, we have received $2,520,459 and $1,873,375 under the capital grants and operating grants, respectively. Pursuant to the terms of the grant agreements, we are restricted from distributing some of these amounts by way of dividend or otherwise.</w:t>
      </w:r>
    </w:p>
    <w:p>
      <w:pPr>
        <w:spacing w:after="0" w:line="184"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920"/>
        <w:spacing w:after="0" w:line="247" w:lineRule="auto"/>
        <w:rPr>
          <w:sz w:val="20"/>
          <w:szCs w:val="20"/>
          <w:color w:val="auto"/>
        </w:rPr>
      </w:pPr>
      <w:r>
        <w:rPr>
          <w:rFonts w:ascii="Courier New" w:cs="Courier New" w:eastAsia="Courier New" w:hAnsi="Courier New"/>
          <w:sz w:val="15"/>
          <w:szCs w:val="15"/>
          <w:color w:val="auto"/>
        </w:rPr>
        <w:t>Three Months Ended August 31, 2005 Compared with Three Months Ended August 31, 2004</w:t>
      </w:r>
    </w:p>
    <w:p>
      <w:pPr>
        <w:spacing w:after="0" w:line="175"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3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Three Months Ended</w:t>
            </w:r>
          </w:p>
        </w:tc>
      </w:tr>
      <w:tr>
        <w:trPr>
          <w:trHeight w:val="175"/>
        </w:trPr>
        <w:tc>
          <w:tcPr>
            <w:tcW w:w="4040" w:type="dxa"/>
            <w:vAlign w:val="bottom"/>
          </w:tcPr>
          <w:p>
            <w:pPr>
              <w:spacing w:after="0"/>
              <w:rPr>
                <w:sz w:val="15"/>
                <w:szCs w:val="15"/>
                <w:color w:val="auto"/>
              </w:rPr>
            </w:pPr>
          </w:p>
        </w:tc>
        <w:tc>
          <w:tcPr>
            <w:tcW w:w="33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August 31,</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August 31,</w:t>
            </w:r>
          </w:p>
        </w:tc>
      </w:tr>
      <w:tr>
        <w:trPr>
          <w:trHeight w:val="175"/>
        </w:trPr>
        <w:tc>
          <w:tcPr>
            <w:tcW w:w="4040" w:type="dxa"/>
            <w:vAlign w:val="bottom"/>
          </w:tcPr>
          <w:p>
            <w:pPr>
              <w:spacing w:after="0"/>
              <w:rPr>
                <w:sz w:val="15"/>
                <w:szCs w:val="15"/>
                <w:color w:val="auto"/>
              </w:rPr>
            </w:pPr>
          </w:p>
        </w:tc>
        <w:tc>
          <w:tcPr>
            <w:tcW w:w="1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5"/>
        </w:trPr>
        <w:tc>
          <w:tcPr>
            <w:tcW w:w="4040" w:type="dxa"/>
            <w:vAlign w:val="bottom"/>
          </w:tcPr>
          <w:p>
            <w:pPr>
              <w:spacing w:after="0"/>
              <w:rPr>
                <w:sz w:val="15"/>
                <w:szCs w:val="15"/>
                <w:color w:val="auto"/>
              </w:rPr>
            </w:pP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2005</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2004</w:t>
            </w:r>
          </w:p>
        </w:tc>
      </w:tr>
      <w:tr>
        <w:trPr>
          <w:trHeight w:val="175"/>
        </w:trPr>
        <w:tc>
          <w:tcPr>
            <w:tcW w:w="4040" w:type="dxa"/>
            <w:vAlign w:val="bottom"/>
          </w:tcPr>
          <w:p>
            <w:pPr>
              <w:spacing w:after="0"/>
              <w:rPr>
                <w:sz w:val="15"/>
                <w:szCs w:val="15"/>
                <w:color w:val="auto"/>
              </w:rPr>
            </w:pPr>
          </w:p>
        </w:tc>
        <w:tc>
          <w:tcPr>
            <w:tcW w:w="18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524"/>
        </w:trPr>
        <w:tc>
          <w:tcPr>
            <w:tcW w:w="4040" w:type="dxa"/>
            <w:vAlign w:val="bottom"/>
          </w:tcPr>
          <w:p>
            <w:pPr>
              <w:spacing w:after="0"/>
              <w:rPr>
                <w:sz w:val="24"/>
                <w:szCs w:val="24"/>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Net Revenue</w:t>
            </w:r>
          </w:p>
        </w:tc>
      </w:tr>
      <w:tr>
        <w:trPr>
          <w:trHeight w:val="175"/>
        </w:trPr>
        <w:tc>
          <w:tcPr>
            <w:tcW w:w="404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4"/>
        </w:trPr>
        <w:tc>
          <w:tcPr>
            <w:tcW w:w="4040" w:type="dxa"/>
            <w:vAlign w:val="bottom"/>
          </w:tcPr>
          <w:p>
            <w:pPr>
              <w:spacing w:after="0"/>
              <w:rPr>
                <w:sz w:val="20"/>
                <w:szCs w:val="20"/>
                <w:color w:val="auto"/>
              </w:rPr>
            </w:pPr>
            <w:r>
              <w:rPr>
                <w:rFonts w:ascii="Courier New" w:cs="Courier New" w:eastAsia="Courier New" w:hAnsi="Courier New"/>
                <w:sz w:val="15"/>
                <w:szCs w:val="15"/>
                <w:color w:val="auto"/>
              </w:rPr>
              <w:t>Net revenue............................</w:t>
            </w:r>
          </w:p>
        </w:tc>
        <w:tc>
          <w:tcPr>
            <w:tcW w:w="1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100.0%</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100.0%</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Direct costs...........................</w:t>
            </w:r>
          </w:p>
        </w:tc>
        <w:tc>
          <w:tcPr>
            <w:tcW w:w="1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55.1%</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54.2%</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31.2%</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29.8%</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w:t>
            </w:r>
          </w:p>
        </w:tc>
      </w:tr>
      <w:tr>
        <w:trPr>
          <w:trHeight w:val="175"/>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12.1%</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740"/>
        <w:spacing w:after="0" w:line="246" w:lineRule="auto"/>
        <w:rPr>
          <w:sz w:val="20"/>
          <w:szCs w:val="20"/>
          <w:color w:val="auto"/>
        </w:rPr>
      </w:pPr>
      <w:r>
        <w:rPr>
          <w:rFonts w:ascii="Courier New" w:cs="Courier New" w:eastAsia="Courier New" w:hAnsi="Courier New"/>
          <w:sz w:val="15"/>
          <w:szCs w:val="15"/>
          <w:color w:val="auto"/>
        </w:rPr>
        <w:t>Net revenue increased by $7.6 million, or 9.7%, from $78.3 million to $85.9 million. This improvement arose through a combination of increased business from existing clients, business won from new clients and revenues from acquisition not included in the comparative period. The additional revenues relating to the Beacon acquisition amounted to $0.6 million for the three months ended August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2004</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2005</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Increase/(decrease)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9.7%</w:t>
      </w:r>
    </w:p>
    <w:p>
      <w:pPr>
        <w:spacing w:after="0" w:line="180"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11.4%</w:t>
      </w:r>
    </w:p>
    <w:p>
      <w:pPr>
        <w:spacing w:after="0" w:line="5"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14.9%</w:t>
      </w:r>
    </w:p>
    <w:p>
      <w:pPr>
        <w:spacing w:after="0" w:line="5"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12.1%</w:t>
      </w:r>
    </w:p>
    <w:p>
      <w:pPr>
        <w:spacing w:after="0" w:line="5" w:lineRule="exact"/>
        <w:rPr>
          <w:sz w:val="20"/>
          <w:szCs w:val="20"/>
          <w:color w:val="auto"/>
        </w:rPr>
      </w:pPr>
    </w:p>
    <w:p>
      <w:pPr>
        <w:jc w:val="right"/>
        <w:ind w:right="64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2">
            <w:col w:w="8000" w:space="720"/>
            <w:col w:w="1720"/>
          </w:cols>
          <w:pgMar w:left="240" w:top="643" w:right="1219" w:bottom="80" w:gutter="0" w:footer="0" w:header="0"/>
        </w:sectPr>
      </w:pPr>
    </w:p>
    <w:bookmarkStart w:id="14" w:name="page15"/>
    <w:bookmarkEnd w:id="14"/>
    <w:p>
      <w:pPr>
        <w:ind w:left="2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316" w:right="1440" w:bottom="1440" w:gutter="0" w:footer="0" w:header="0"/>
        </w:sectPr>
      </w:pPr>
    </w:p>
    <w:bookmarkStart w:id="15" w:name="page16"/>
    <w:bookmarkEnd w:id="15"/>
    <w:p>
      <w:pPr>
        <w:ind w:right="3039"/>
        <w:spacing w:after="0" w:line="246" w:lineRule="auto"/>
        <w:rPr>
          <w:sz w:val="20"/>
          <w:szCs w:val="20"/>
          <w:color w:val="auto"/>
        </w:rPr>
      </w:pPr>
      <w:r>
        <w:rPr>
          <w:rFonts w:ascii="Courier New" w:cs="Courier New" w:eastAsia="Courier New" w:hAnsi="Courier New"/>
          <w:sz w:val="15"/>
          <w:szCs w:val="15"/>
          <w:color w:val="auto"/>
        </w:rPr>
        <w:t>2005. Revenues in the United States, Europe and the Rest of World grew by 4.0%, 15.8% and 28.3% respectively. In the three months ended August 31, 2005, net revenue from our central laboratory business increased by 10.5% from $6.6 million to $7.2 million, while our clinical research segment grew by 9.6% from $71.8 million to $78.7 million over the comparable period. The increase in net revenue in our central laboratory segment is primarily due to higher testing volumes in the first quarter of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Direct costs increased by $4.8 million, or 11.4%, from $42.5 million to $47.3 million, primarily due to increased staff numbers needed to support increased project related activity and increased costs arising from the Beacon acquisition amounting to $0.3 million. Direct costs as a percentage of net revenue increased from 54.2% in the three months to August 31, 2004 to 55.1% in the three months to August 31, 2005.</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Selling, general and administrative expenses increased by $3.5 million, or 14.9%, from $23.3 million to $26.8 million. This increase is due to the continued expansion of our operations and additional selling, general and administrative costs of $0.2 million from the Beacon acquisition not included in the comparative period. As a percentage of net revenue, selling, general and administrative expenses, increased from 29.8% in the three months ended August 31, 2004 to 31.2% in the three months ended August 31, 2005.</w:t>
      </w:r>
    </w:p>
    <w:p>
      <w:pPr>
        <w:spacing w:after="0" w:line="179"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Depreciation and amortization expense increased by $0.3 million, or 12.1%, from $3.1 million to $3.4 million. This increase is due to the continued investment in facilities and information technology to support the growth in activity and in providing for future capacity. As a percentage of net revenue, depreciation and amortization increased from 3.9% in the three months ended August 31, 2004 to 4.0% in the three months ended August 31, 2005.</w:t>
      </w:r>
    </w:p>
    <w:p>
      <w:pPr>
        <w:spacing w:after="0" w:line="178"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Income from operations decreased by $1.1 million, or 11.8%, from $9.5 million to $8.4 million, including acquisitions. As a percentage of net revenue, income from operations decreased from 12.1% for the three months to August 31, 2004 to 9.7% of net revenues for the three months ended August 31, 2005. For first three months of fiscal 2006, losses from operations, as a percentage of net revenue for the central laboratory, increased from 13.1% for the first three months of fiscal 2004 to 22.3% for the comparable period in 2005 due to the expansion of infrastructure in the laboratory. The central laboratory constitutes approximately 8% of our business revenues. Operating margins for our clinical research segment decreased from 14.4% in the three months ended August 31, 2004 to 12.7% for the three months ended August 31, 2005.</w:t>
      </w:r>
    </w:p>
    <w:p>
      <w:pPr>
        <w:spacing w:after="0" w:line="181" w:lineRule="exact"/>
        <w:rPr>
          <w:sz w:val="20"/>
          <w:szCs w:val="20"/>
          <w:color w:val="auto"/>
        </w:rPr>
      </w:pPr>
    </w:p>
    <w:p>
      <w:pPr>
        <w:jc w:val="both"/>
        <w:ind w:right="2959"/>
        <w:spacing w:after="0" w:line="246" w:lineRule="auto"/>
        <w:rPr>
          <w:sz w:val="20"/>
          <w:szCs w:val="20"/>
          <w:color w:val="auto"/>
        </w:rPr>
      </w:pPr>
      <w:r>
        <w:rPr>
          <w:rFonts w:ascii="Courier New" w:cs="Courier New" w:eastAsia="Courier New" w:hAnsi="Courier New"/>
          <w:sz w:val="15"/>
          <w:szCs w:val="15"/>
          <w:color w:val="auto"/>
        </w:rPr>
        <w:t>Net interest income for the three months ended August 31, 2005 was $0.4 million, an increase of $0.2 million over the amount of net interest income for the three months ended August 31, 2004. Higher average level of funds invested and higher interest rates over fiscal 2005 contributed to the increased interest income.</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ICON's effective tax rate for the three months ended August 31, 2005 was 28.0% compared with 24.1% for the comparable period last year. The increase in the effective rate was primarily due to a change in the geographic distribution of pre-tax earnings.</w:t>
      </w:r>
    </w:p>
    <w:p>
      <w:pPr>
        <w:spacing w:after="0" w:line="200" w:lineRule="exact"/>
        <w:rPr>
          <w:sz w:val="20"/>
          <w:szCs w:val="20"/>
          <w:color w:val="auto"/>
        </w:rPr>
      </w:pPr>
    </w:p>
    <w:p>
      <w:pPr>
        <w:spacing w:after="0" w:line="32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three months ended August 31, 2004 and August 31, 2005 amounted to $46.5 million and $51.6 million, respectively. Investing activities primarily reflect capital expenditures for facilities and for information systems enhancements, the sale and purchase of short-term investments and acquisitions.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As of August 31, 2005, our working capital amounted to $132.0 million, compared to $125.3 million at May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70 days at August 31, 2005, compared to 63 days at May 31, 2005.</w:t>
      </w:r>
    </w:p>
    <w:p>
      <w:pPr>
        <w:spacing w:after="0" w:line="180"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Net cash provided by operating activities was $2.8 million in the three months ended August 31, 2005, compared to $1.4 million in the three months ended August 31, 2004.</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cash used in investing activities was $1.6 million in the three months ended August 31, 2005, compared to $14.2 million in the three months ended August 31, 2004. The decrease in cash used in investing activities is due principally to the acquisition of Beacon in July 2004.</w:t>
      </w:r>
    </w:p>
    <w:p>
      <w:pPr>
        <w:spacing w:after="0" w:line="17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Net cash provided by financing activities was $1.2 million in the three months ended August 31, 2005, compared to $6.9 million in the three months ended August 31, 2004. This decrease is principally due to the funds drawdown from a bank overdraft in the first quarter of fiscal 2005.</w:t>
      </w:r>
    </w:p>
    <w:p>
      <w:pPr>
        <w:spacing w:after="0" w:line="177"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As a result of these cash flows, cash and cash equivalents increased by $2.0 million in the three months ended August 31, 2005, compared to a decrease of $6.2 million in the three months ended August 31, 2004.</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August 31, 2005, the full amount of these facilities were available to be drawn down. ICON Clinical Research, Inc. (a subsidiary of ICON plc) is entitled to make borrowings under a revolving credit facility of $15 million. As at August 31, 2005, the full amount of this facility was available to be drawn down.</w:t>
      </w:r>
    </w:p>
    <w:p>
      <w:pPr>
        <w:spacing w:after="0" w:line="184"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entered into an overdraft agreement with Allied Irish Banks, plc ("AIB") whereby the company guarantees any overdraft of its subsidiary ICON Clinical Research GmbH up to an amount (euro)120,000 (U.S.$147.420). As of August 31, 2005, the full facility was available to be drawn down.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We believe the effects of inflation generally do not have a material adverse impact on our operations or financial conditions.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817" w:right="1440" w:bottom="113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New Accounting Pronouncements not yet adopted</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March 2005, the Financial Accounting Standards Board (FASB) issued FASB Interpretation No. 47. In accordance with FASB Interpretation 47 companies must recognise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company does not expect the impacts of adopting FASB Interpretation No 47 to be material.</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year that begins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187"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181"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183"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3" w:right="1440" w:bottom="1130" w:gutter="0" w:footer="0" w:header="0"/>
        </w:sectPr>
      </w:pPr>
    </w:p>
    <w:bookmarkStart w:id="18" w:name="page19"/>
    <w:bookmarkEnd w:id="18"/>
    <w:p>
      <w:pPr>
        <w:ind w:left="3187"/>
        <w:spacing w:after="0"/>
        <w:rPr>
          <w:sz w:val="20"/>
          <w:szCs w:val="20"/>
          <w:color w:val="auto"/>
        </w:rPr>
      </w:pPr>
      <w:r>
        <w:rPr>
          <w:rFonts w:ascii="Courier New" w:cs="Courier New" w:eastAsia="Courier New" w:hAnsi="Courier New"/>
          <w:sz w:val="15"/>
          <w:szCs w:val="15"/>
          <w:color w:val="auto"/>
        </w:rPr>
        <w:t>SIGNATURES</w:t>
      </w:r>
    </w:p>
    <w:p>
      <w:pPr>
        <w:spacing w:after="0" w:line="180" w:lineRule="exact"/>
        <w:rPr>
          <w:sz w:val="20"/>
          <w:szCs w:val="20"/>
          <w:color w:val="auto"/>
        </w:rPr>
      </w:pPr>
    </w:p>
    <w:p>
      <w:pPr>
        <w:jc w:val="both"/>
        <w:ind w:left="7"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87"/>
        <w:spacing w:after="0"/>
        <w:rPr>
          <w:sz w:val="20"/>
          <w:szCs w:val="20"/>
          <w:color w:val="auto"/>
        </w:rPr>
      </w:pPr>
      <w:r>
        <w:rPr>
          <w:rFonts w:ascii="Courier New" w:cs="Courier New" w:eastAsia="Courier New" w:hAnsi="Courier New"/>
          <w:sz w:val="15"/>
          <w:szCs w:val="15"/>
          <w:color w:val="auto"/>
        </w:rPr>
        <w:t>ICON plc</w:t>
      </w:r>
    </w:p>
    <w:p>
      <w:pPr>
        <w:sectPr>
          <w:pgSz w:w="11900" w:h="16838" w:orient="portrait"/>
          <w:cols w:equalWidth="0" w:num="1">
            <w:col w:w="10226"/>
          </w:cols>
          <w:pgMar w:left="233" w:top="9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October 14, 2005</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Sean Leech</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Sean Leech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Commercial and Organizational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3467" w:space="720"/>
            <w:col w:w="6039"/>
          </w:cols>
          <w:pgMar w:left="233" w:top="992" w:right="1440" w:bottom="1440" w:gutter="0" w:footer="0" w:header="0"/>
          <w:type w:val="continuous"/>
        </w:sectPr>
      </w:pPr>
    </w:p>
    <w:p>
      <w:pPr>
        <w:spacing w:after="0" w:line="329" w:lineRule="exact"/>
        <w:rPr>
          <w:sz w:val="20"/>
          <w:szCs w:val="20"/>
          <w:color w:val="auto"/>
        </w:rPr>
      </w:pPr>
    </w:p>
    <w:p>
      <w:pPr>
        <w:ind w:left="7" w:right="2959" w:hanging="7"/>
        <w:spacing w:after="0" w:line="246" w:lineRule="auto"/>
        <w:tabs>
          <w:tab w:leader="none" w:pos="18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Sean Leech, Executive Vice President - Commercial and Organizational Development, was replaced by Ciaran Murray as the Chief Financial Officer of the Registrant on October 3, 2005. Sean Leech is the person performing the functions of the Principal Financial Officer of the Registrant on an interim basis as of the date hereof.</w:t>
      </w: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sectPr>
      <w:pgSz w:w="11900" w:h="16838" w:orient="portrait"/>
      <w:cols w:equalWidth="0" w:num="1">
        <w:col w:w="10226"/>
      </w:cols>
      <w:pgMar w:left="233" w:top="99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lvl w:ilvl="1">
      <w:lvlJc w:val="left"/>
      <w:lvlText w:val="*"/>
      <w:numFmt w:val="bullet"/>
      <w:start w:val="1"/>
    </w:lvl>
  </w:abstractNum>
  <w:abstractNum w:abstractNumId="1">
    <w:nsid w:val="46E87CCD"/>
    <w:multiLevelType w:val="hybridMultilevel"/>
    <w:lvl w:ilvl="0">
      <w:lvlJc w:val="left"/>
      <w:lvlText w:val="%1)"/>
      <w:numFmt w:val="lowerLetter"/>
      <w:start w:val="3"/>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7"/>
    </w:lvl>
  </w:abstractNum>
  <w:abstractNum w:abstractNumId="6">
    <w:nsid w:val="79E2A9E3"/>
    <w:multiLevelType w:val="hybridMultilevel"/>
    <w:lvl w:ilvl="0">
      <w:lvlJc w:val="left"/>
      <w:lvlText w:val="%1)"/>
      <w:numFmt w:val="lowerLetter"/>
      <w:start w:val="8"/>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2019-12-14T20:47:02Z</dcterms:created>
  <dcterms:modified xsi:type="dcterms:W3CDTF">2019-12-14T20:47:02Z</dcterms:modified>
</cp:coreProperties>
</file>