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2013</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July 25,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July 25, 2013</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color w:val="auto"/>
        </w:rPr>
        <w:t>ICON Reports second quarter 2013 Revenue of $334 million, up 21% year on year, non-GAAP EPS of 43c and raises FY 2013 Guidance.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Second Quarter Fiscal 2013.</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Quarter 2 net revenue increased 21% year on year to $334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Income from operations, excluding restructuring charges of $4.6 million, was $30.9 million or 9.3%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-73025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excluding restructuring charges, was 43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140"/>
        <w:spacing w:after="0" w:line="256" w:lineRule="auto"/>
        <w:rPr>
          <w:sz w:val="20"/>
          <w:szCs w:val="20"/>
          <w:color w:val="auto"/>
        </w:rPr>
      </w:pPr>
      <w:r>
        <w:rPr>
          <w:rFonts w:ascii="Arial" w:cs="Arial" w:eastAsia="Arial" w:hAnsi="Arial"/>
          <w:sz w:val="22"/>
          <w:szCs w:val="22"/>
          <w:b w:val="1"/>
          <w:bCs w:val="1"/>
          <w:color w:val="auto"/>
        </w:rPr>
        <w:t>Gross Business wins were $496 million, representing a gross book to bill of 1.48. Net business wins were $364 million, representing a net book to bill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300"/>
        <w:spacing w:after="0" w:line="256" w:lineRule="auto"/>
        <w:rPr>
          <w:sz w:val="20"/>
          <w:szCs w:val="20"/>
          <w:color w:val="auto"/>
        </w:rPr>
      </w:pPr>
      <w:r>
        <w:rPr>
          <w:rFonts w:ascii="Arial" w:cs="Arial" w:eastAsia="Arial" w:hAnsi="Arial"/>
          <w:sz w:val="22"/>
          <w:szCs w:val="22"/>
          <w:b w:val="1"/>
          <w:bCs w:val="1"/>
          <w:color w:val="auto"/>
        </w:rPr>
        <w:t>FY 2013 Guidance updated: Revenue in the range of $1,300 million - $1,320 million and EPS in the range of $1.54 - $1.64.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jc w:val="both"/>
        <w:ind w:right="500"/>
        <w:spacing w:after="0" w:line="243" w:lineRule="auto"/>
        <w:rPr>
          <w:sz w:val="20"/>
          <w:szCs w:val="20"/>
          <w:color w:val="auto"/>
        </w:rPr>
      </w:pPr>
      <w:r>
        <w:rPr>
          <w:rFonts w:ascii="Arial" w:cs="Arial" w:eastAsia="Arial" w:hAnsi="Arial"/>
          <w:sz w:val="22"/>
          <w:szCs w:val="22"/>
          <w:color w:val="auto"/>
        </w:rPr>
        <w:t>DUBLIN--(BUSINESS WIRE)--July 25, 2013--</w:t>
      </w:r>
      <w:r>
        <w:rPr>
          <w:rFonts w:ascii="Arial" w:cs="Arial" w:eastAsia="Arial" w:hAnsi="Arial"/>
          <w:sz w:val="22"/>
          <w:szCs w:val="22"/>
          <w:b w:val="1"/>
          <w:bCs w:val="1"/>
          <w:color w:val="auto"/>
        </w:rPr>
        <w:t>ICON plc</w:t>
      </w:r>
      <w:r>
        <w:rPr>
          <w:rFonts w:ascii="Arial" w:cs="Arial" w:eastAsia="Arial" w:hAnsi="Arial"/>
          <w:sz w:val="22"/>
          <w:szCs w:val="22"/>
          <w:color w:val="auto"/>
        </w:rPr>
        <w:t xml:space="preserve">, </w:t>
      </w:r>
      <w:r>
        <w:rPr>
          <w:rFonts w:ascii="Arial" w:cs="Arial" w:eastAsia="Arial" w:hAnsi="Arial"/>
          <w:sz w:val="22"/>
          <w:szCs w:val="22"/>
          <w:b w:val="1"/>
          <w:bCs w:val="1"/>
          <w:color w:val="auto"/>
        </w:rPr>
        <w:t>(NASDAQ: ICLR),</w:t>
      </w:r>
      <w:r>
        <w:rPr>
          <w:rFonts w:ascii="Arial" w:cs="Arial" w:eastAsia="Arial" w:hAnsi="Arial"/>
          <w:sz w:val="22"/>
          <w:szCs w:val="22"/>
          <w:color w:val="auto"/>
        </w:rPr>
        <w:t xml:space="preserve"> a global provider of outsourced development services to the pharmaceutical, biotechnology and medical device industries, today reported its financial results for the second quarter ended June 30, 2013.</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Net revenues grew 21% year on year to $334.2 million from $277.0 million in Q2 2012.</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Income from operations, excluding restructuring charges of $4.6 million, was $30.9 million or 9.3% of revenue, compared to $16.6 million or 6.0% for the same quarter last year.</w:t>
      </w:r>
    </w:p>
    <w:p>
      <w:pPr>
        <w:spacing w:after="0" w:line="173"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Net income, excluding restructuring charges, was $26.5 million or 43 cents per share on a diluted basis, compared with $12.9 million or 21 cents per share last year.</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Revenue in the first half of 2013 increased 23% to $651 million from $529 million in 2012.</w:t>
      </w:r>
    </w:p>
    <w:p>
      <w:pPr>
        <w:spacing w:after="0" w:line="206"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Income from operations in the first half of 2013, excluding restructuring charges, was $58.3 million or 9.0% of revenue, compared with $28.4m or 5.4% of revenue in the previous year.</w:t>
      </w:r>
    </w:p>
    <w:p>
      <w:pPr>
        <w:spacing w:after="0" w:line="17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Net income, in the first half of 2013, excluding restructuring charges, was $48.7 million or 79 cents per share on a diluted basis, compared with $21.9 million or 36 cents per diluted share last year.</w:t>
      </w:r>
    </w:p>
    <w:p>
      <w:pPr>
        <w:spacing w:after="0" w:line="17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Guidance for the full year 2013 has been updated with revenue expected to be in the range of $1.3 billion - $1.32 billion and EPS guidance in the range of $1.54 - $1.64.</w:t>
      </w:r>
    </w:p>
    <w:p>
      <w:pPr>
        <w:spacing w:after="0" w:line="17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33 days at June 30, 2013, compared with 40 days at the end of December 2012.</w:t>
      </w:r>
    </w:p>
    <w:p>
      <w:pPr>
        <w:spacing w:after="0" w:line="17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For the quarter ended June 30, 2013, cash generated from operating activities was $10.8 million after expenditure of $26 million on prior period acquisition earn outs and capital expenditure of $7.8 million. The company’s net cash amounted to $184 million at June 30, 2013, compared to net cash of $190 million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ind w:right="40"/>
        <w:spacing w:after="0" w:line="241" w:lineRule="auto"/>
        <w:rPr>
          <w:sz w:val="20"/>
          <w:szCs w:val="20"/>
          <w:color w:val="auto"/>
        </w:rPr>
      </w:pPr>
      <w:r>
        <w:rPr>
          <w:rFonts w:ascii="Arial" w:cs="Arial" w:eastAsia="Arial" w:hAnsi="Arial"/>
          <w:sz w:val="22"/>
          <w:szCs w:val="22"/>
          <w:color w:val="auto"/>
        </w:rPr>
        <w:t>During the quarter the company recorded a charge of $4.6 million in relation to various restructuring costs. US GAAP income from operations after these items amounted to $26 million or 7.9% of revenue. US GAAP net income for the quarter was $22 million or 36 cents per share.</w:t>
      </w:r>
    </w:p>
    <w:p>
      <w:pPr>
        <w:spacing w:after="0" w:line="184" w:lineRule="exact"/>
        <w:rPr>
          <w:sz w:val="20"/>
          <w:szCs w:val="20"/>
          <w:color w:val="auto"/>
        </w:rPr>
      </w:pPr>
    </w:p>
    <w:p>
      <w:pPr>
        <w:jc w:val="both"/>
        <w:ind w:right="80"/>
        <w:spacing w:after="0" w:line="252" w:lineRule="auto"/>
        <w:rPr>
          <w:sz w:val="20"/>
          <w:szCs w:val="20"/>
          <w:color w:val="auto"/>
        </w:rPr>
      </w:pPr>
      <w:r>
        <w:rPr>
          <w:rFonts w:ascii="Arial" w:cs="Arial" w:eastAsia="Arial" w:hAnsi="Arial"/>
          <w:sz w:val="21"/>
          <w:szCs w:val="21"/>
          <w:color w:val="auto"/>
        </w:rPr>
        <w:t xml:space="preserve">CEO Ciaran Murray commented, </w:t>
      </w:r>
      <w:r>
        <w:rPr>
          <w:rFonts w:ascii="Arial" w:cs="Arial" w:eastAsia="Arial" w:hAnsi="Arial"/>
          <w:sz w:val="21"/>
          <w:szCs w:val="21"/>
          <w:i w:val="1"/>
          <w:iCs w:val="1"/>
          <w:color w:val="auto"/>
        </w:rPr>
        <w:t>“I am happy that Q2 was another strong quarter for ICON. We reported revenue growth of 21%</w:t>
      </w:r>
      <w:r>
        <w:rPr>
          <w:rFonts w:ascii="Arial" w:cs="Arial" w:eastAsia="Arial" w:hAnsi="Arial"/>
          <w:sz w:val="21"/>
          <w:szCs w:val="21"/>
          <w:color w:val="auto"/>
        </w:rPr>
        <w:t xml:space="preserve"> </w:t>
      </w:r>
      <w:r>
        <w:rPr>
          <w:rFonts w:ascii="Arial" w:cs="Arial" w:eastAsia="Arial" w:hAnsi="Arial"/>
          <w:sz w:val="21"/>
          <w:szCs w:val="21"/>
          <w:i w:val="1"/>
          <w:iCs w:val="1"/>
          <w:color w:val="auto"/>
        </w:rPr>
        <w:t>year on year and operating margins of 9.3%. We have continued to book satisfactory levels of new business and our trailing twelve month book to bill now stands at 1.3. Consequently we are raising our revenue guidance to the range of $1.3-$1.32 billion and our EPS guidance to the range of $1.54-$1.64 for the financial year 2013.”</w:t>
      </w:r>
    </w:p>
    <w:p>
      <w:pPr>
        <w:spacing w:after="0" w:line="174"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ICON will hold its second quarter conference call today, July 25, 2013 at 9:00 EST [14:00 Ireland &amp; UK]. This call and linked slide presentation can be accessed live from our website at </w:t>
      </w:r>
      <w:r>
        <w:rPr>
          <w:rFonts w:ascii="Arial" w:cs="Arial" w:eastAsia="Arial" w:hAnsi="Arial"/>
          <w:sz w:val="22"/>
          <w:szCs w:val="22"/>
          <w:u w:val="single" w:color="auto"/>
          <w:color w:val="auto"/>
        </w:rPr>
        <w:t>http://investor.iconplc.com</w:t>
      </w:r>
      <w:r>
        <w:rPr>
          <w:rFonts w:ascii="Arial" w:cs="Arial" w:eastAsia="Arial" w:hAnsi="Arial"/>
          <w:sz w:val="22"/>
          <w:szCs w:val="22"/>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reports filed with the US Securities and Exchange Commission by ICON, including its Form 20-F, F-1, S-8 and F-3, may affect the actual results achieved by ICON. ICON disclaims any intent or obligation to update these forward-looking statements.</w:t>
      </w:r>
    </w:p>
    <w:p>
      <w:pPr>
        <w:spacing w:after="0" w:line="177"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78 locations in 37 countries and has approximately 10,170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 Investor Relations 1-888-381-7923 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Chief Financial Officer + 353 –1-291-2000 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Simon Holmes EVP Investor Relations and Corporate Development + 353 –1-291-2000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ICON plc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Income Statements (Unaudited)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(Before restructuring and other items)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Six Months ended June 30, 2013 and June 30, 2012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2820" w:type="dxa"/>
            <w:vAlign w:val="bottom"/>
            <w:gridSpan w:val="3"/>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840" w:type="dxa"/>
            <w:vAlign w:val="bottom"/>
            <w:gridSpan w:val="3"/>
          </w:tcPr>
          <w:p>
            <w:pPr>
              <w:ind w:left="8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15"/>
                <w:szCs w:val="15"/>
                <w:color w:val="auto"/>
              </w:rPr>
            </w:pP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340" w:type="dxa"/>
            <w:vAlign w:val="bottom"/>
          </w:tcPr>
          <w:p>
            <w:pPr>
              <w:ind w:left="4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9"/>
              </w:rPr>
              <w:t>2012</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2013</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5500" w:type="dxa"/>
            <w:vAlign w:val="bottom"/>
          </w:tcPr>
          <w:p>
            <w:pPr>
              <w:spacing w:after="0"/>
              <w:rPr>
                <w:sz w:val="20"/>
                <w:szCs w:val="20"/>
                <w:color w:val="auto"/>
              </w:rPr>
            </w:pPr>
            <w:r>
              <w:rPr>
                <w:rFonts w:ascii="Arial" w:cs="Arial" w:eastAsia="Arial" w:hAnsi="Arial"/>
                <w:sz w:val="14"/>
                <w:szCs w:val="14"/>
                <w:color w:val="auto"/>
              </w:rPr>
              <w:t>Gross Revenue</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469,626</w:t>
            </w:r>
          </w:p>
        </w:tc>
        <w:tc>
          <w:tcPr>
            <w:tcW w:w="148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379,620</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888,685</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722,675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00" w:type="dxa"/>
            <w:vAlign w:val="bottom"/>
          </w:tcPr>
          <w:p>
            <w:pPr>
              <w:spacing w:after="0"/>
              <w:rPr>
                <w:sz w:val="20"/>
                <w:szCs w:val="20"/>
                <w:color w:val="auto"/>
              </w:rPr>
            </w:pPr>
            <w:r>
              <w:rPr>
                <w:rFonts w:ascii="Arial" w:cs="Arial" w:eastAsia="Arial" w:hAnsi="Arial"/>
                <w:sz w:val="14"/>
                <w:szCs w:val="14"/>
                <w:color w:val="auto"/>
              </w:rPr>
              <w:t>Reimbursable expenses</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135,407</w:t>
            </w:r>
          </w:p>
        </w:tc>
        <w:tc>
          <w:tcPr>
            <w:tcW w:w="148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102,613</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237,677</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193,335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334,219</w:t>
            </w:r>
          </w:p>
        </w:tc>
        <w:tc>
          <w:tcPr>
            <w:tcW w:w="1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277,007</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651,008</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529,340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5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20"/>
                <w:szCs w:val="20"/>
                <w:color w:val="auto"/>
              </w:rPr>
            </w:pPr>
            <w:r>
              <w:rPr>
                <w:rFonts w:ascii="Arial" w:cs="Arial" w:eastAsia="Arial" w:hAnsi="Arial"/>
                <w:sz w:val="14"/>
                <w:szCs w:val="14"/>
                <w:color w:val="auto"/>
              </w:rPr>
              <w:t>Direct costs</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214,231</w:t>
            </w:r>
          </w:p>
        </w:tc>
        <w:tc>
          <w:tcPr>
            <w:tcW w:w="148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180,127</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416,592</w:t>
            </w:r>
          </w:p>
        </w:tc>
        <w:tc>
          <w:tcPr>
            <w:tcW w:w="150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342,411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77,548</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69,410</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153,112</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136,925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11,520</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10,830</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22,976</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21,632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340" w:type="dxa"/>
            <w:vAlign w:val="bottom"/>
          </w:tcPr>
          <w:p>
            <w:pPr>
              <w:spacing w:after="0"/>
              <w:rPr>
                <w:sz w:val="15"/>
                <w:szCs w:val="15"/>
                <w:color w:val="auto"/>
              </w:rPr>
            </w:pPr>
          </w:p>
        </w:tc>
        <w:tc>
          <w:tcPr>
            <w:tcW w:w="1480" w:type="dxa"/>
            <w:vAlign w:val="bottom"/>
            <w:gridSpan w:val="2"/>
          </w:tcPr>
          <w:p>
            <w:pPr>
              <w:spacing w:after="0"/>
              <w:rPr>
                <w:sz w:val="15"/>
                <w:szCs w:val="15"/>
                <w:color w:val="auto"/>
              </w:rPr>
            </w:pPr>
          </w:p>
        </w:tc>
        <w:tc>
          <w:tcPr>
            <w:tcW w:w="1460" w:type="dxa"/>
            <w:vAlign w:val="bottom"/>
            <w:gridSpan w:val="2"/>
          </w:tcPr>
          <w:p>
            <w:pPr>
              <w:spacing w:after="0"/>
              <w:rPr>
                <w:sz w:val="15"/>
                <w:szCs w:val="15"/>
                <w:color w:val="auto"/>
              </w:rPr>
            </w:pPr>
          </w:p>
        </w:tc>
        <w:tc>
          <w:tcPr>
            <w:tcW w:w="15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303,299</w:t>
            </w:r>
          </w:p>
        </w:tc>
        <w:tc>
          <w:tcPr>
            <w:tcW w:w="14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260,367</w:t>
            </w:r>
          </w:p>
        </w:tc>
        <w:tc>
          <w:tcPr>
            <w:tcW w:w="12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592,680</w:t>
            </w:r>
          </w:p>
        </w:tc>
        <w:tc>
          <w:tcPr>
            <w:tcW w:w="14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500,968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5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30,920</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16,640</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58,328</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28,372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00" w:type="dxa"/>
            <w:vAlign w:val="bottom"/>
          </w:tcPr>
          <w:p>
            <w:pPr>
              <w:spacing w:after="0"/>
              <w:rPr>
                <w:sz w:val="20"/>
                <w:szCs w:val="20"/>
                <w:color w:val="auto"/>
              </w:rPr>
            </w:pPr>
            <w:r>
              <w:rPr>
                <w:rFonts w:ascii="Arial" w:cs="Arial" w:eastAsia="Arial" w:hAnsi="Arial"/>
                <w:sz w:val="14"/>
                <w:szCs w:val="14"/>
                <w:color w:val="auto"/>
              </w:rPr>
              <w:t>Net interest expense</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(100)</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7"/>
              </w:rPr>
              <w:t>(231)</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7"/>
              </w:rPr>
              <w:t>(285)</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7"/>
              </w:rPr>
              <w:t>(266)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340" w:type="dxa"/>
            <w:vAlign w:val="bottom"/>
          </w:tcPr>
          <w:p>
            <w:pPr>
              <w:spacing w:after="0"/>
              <w:rPr>
                <w:sz w:val="15"/>
                <w:szCs w:val="15"/>
                <w:color w:val="auto"/>
              </w:rPr>
            </w:pPr>
          </w:p>
        </w:tc>
        <w:tc>
          <w:tcPr>
            <w:tcW w:w="1480" w:type="dxa"/>
            <w:vAlign w:val="bottom"/>
            <w:gridSpan w:val="2"/>
          </w:tcPr>
          <w:p>
            <w:pPr>
              <w:spacing w:after="0"/>
              <w:rPr>
                <w:sz w:val="15"/>
                <w:szCs w:val="15"/>
                <w:color w:val="auto"/>
              </w:rPr>
            </w:pPr>
          </w:p>
        </w:tc>
        <w:tc>
          <w:tcPr>
            <w:tcW w:w="1460" w:type="dxa"/>
            <w:vAlign w:val="bottom"/>
            <w:gridSpan w:val="2"/>
          </w:tcPr>
          <w:p>
            <w:pPr>
              <w:spacing w:after="0"/>
              <w:rPr>
                <w:sz w:val="15"/>
                <w:szCs w:val="15"/>
                <w:color w:val="auto"/>
              </w:rPr>
            </w:pPr>
          </w:p>
        </w:tc>
        <w:tc>
          <w:tcPr>
            <w:tcW w:w="15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30,820</w:t>
            </w:r>
          </w:p>
        </w:tc>
        <w:tc>
          <w:tcPr>
            <w:tcW w:w="14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16,409</w:t>
            </w:r>
          </w:p>
        </w:tc>
        <w:tc>
          <w:tcPr>
            <w:tcW w:w="12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58,043</w:t>
            </w:r>
          </w:p>
        </w:tc>
        <w:tc>
          <w:tcPr>
            <w:tcW w:w="14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28,106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5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4,315</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3,514</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9,336</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6,240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500" w:type="dxa"/>
            <w:vAlign w:val="bottom"/>
            <w:vMerge w:val="continue"/>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26,505</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12,895</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48,707</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21,866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20"/>
                <w:szCs w:val="20"/>
                <w:color w:val="auto"/>
              </w:rPr>
            </w:pPr>
            <w:r>
              <w:rPr>
                <w:rFonts w:ascii="Arial" w:cs="Arial" w:eastAsia="Arial" w:hAnsi="Arial"/>
                <w:sz w:val="14"/>
                <w:szCs w:val="14"/>
                <w:color w:val="auto"/>
              </w:rPr>
              <w:t>Basic</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$0.44</w:t>
            </w: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$0.21</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$0.80</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500" w:type="dxa"/>
            <w:vAlign w:val="bottom"/>
          </w:tcPr>
          <w:p>
            <w:pPr>
              <w:spacing w:after="0"/>
              <w:rPr>
                <w:sz w:val="20"/>
                <w:szCs w:val="20"/>
                <w:color w:val="auto"/>
              </w:rPr>
            </w:pPr>
            <w:r>
              <w:rPr>
                <w:rFonts w:ascii="Arial" w:cs="Arial" w:eastAsia="Arial" w:hAnsi="Arial"/>
                <w:sz w:val="14"/>
                <w:szCs w:val="14"/>
                <w:color w:val="auto"/>
              </w:rPr>
              <w:t>Diluted</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$0.43</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$0.21</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$0.79</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$0.36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50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500" w:type="dxa"/>
            <w:vAlign w:val="bottom"/>
          </w:tcPr>
          <w:p>
            <w:pPr>
              <w:spacing w:after="0"/>
              <w:rPr>
                <w:sz w:val="20"/>
                <w:szCs w:val="20"/>
                <w:color w:val="auto"/>
              </w:rPr>
            </w:pPr>
            <w:r>
              <w:rPr>
                <w:rFonts w:ascii="Arial" w:cs="Arial" w:eastAsia="Arial" w:hAnsi="Arial"/>
                <w:sz w:val="14"/>
                <w:szCs w:val="14"/>
                <w:color w:val="auto"/>
              </w:rPr>
              <w:t>Basic</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60,724,296</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59,978,509</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60,555,945</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60,032,306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5500" w:type="dxa"/>
            <w:vAlign w:val="bottom"/>
          </w:tcPr>
          <w:p>
            <w:pPr>
              <w:spacing w:after="0"/>
              <w:rPr>
                <w:sz w:val="20"/>
                <w:szCs w:val="20"/>
                <w:color w:val="auto"/>
              </w:rPr>
            </w:pPr>
            <w:r>
              <w:rPr>
                <w:rFonts w:ascii="Arial" w:cs="Arial" w:eastAsia="Arial" w:hAnsi="Arial"/>
                <w:sz w:val="14"/>
                <w:szCs w:val="14"/>
                <w:color w:val="auto"/>
              </w:rPr>
              <w:t>Diluted</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61,898,903</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60,630,891</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61,607,757</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60,607,635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5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50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ICON plc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Income Statements (Unaudited)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GAAP)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Six Months ended June 30, 2013 and June 30, 2012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00" w:type="dxa"/>
            <w:vAlign w:val="bottom"/>
          </w:tcPr>
          <w:p>
            <w:pPr>
              <w:spacing w:after="0"/>
              <w:rPr>
                <w:sz w:val="15"/>
                <w:szCs w:val="15"/>
                <w:color w:val="auto"/>
              </w:rPr>
            </w:pPr>
          </w:p>
        </w:tc>
        <w:tc>
          <w:tcPr>
            <w:tcW w:w="2820" w:type="dxa"/>
            <w:vAlign w:val="bottom"/>
            <w:gridSpan w:val="3"/>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840" w:type="dxa"/>
            <w:vAlign w:val="bottom"/>
            <w:gridSpan w:val="3"/>
          </w:tcPr>
          <w:p>
            <w:pPr>
              <w:ind w:left="8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15"/>
                <w:szCs w:val="15"/>
                <w:color w:val="auto"/>
              </w:rPr>
            </w:pP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340" w:type="dxa"/>
            <w:vAlign w:val="bottom"/>
          </w:tcPr>
          <w:p>
            <w:pPr>
              <w:ind w:left="4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5"/>
                <w:szCs w:val="15"/>
                <w:color w:val="auto"/>
              </w:rPr>
            </w:pP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9"/>
              </w:rPr>
              <w:t>2012</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2013</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5500" w:type="dxa"/>
            <w:vAlign w:val="bottom"/>
          </w:tcPr>
          <w:p>
            <w:pPr>
              <w:spacing w:after="0"/>
              <w:rPr>
                <w:sz w:val="20"/>
                <w:szCs w:val="20"/>
                <w:color w:val="auto"/>
              </w:rPr>
            </w:pPr>
            <w:r>
              <w:rPr>
                <w:rFonts w:ascii="Arial" w:cs="Arial" w:eastAsia="Arial" w:hAnsi="Arial"/>
                <w:sz w:val="14"/>
                <w:szCs w:val="14"/>
                <w:color w:val="auto"/>
              </w:rPr>
              <w:t>Gross Revenue</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469,626</w:t>
            </w:r>
          </w:p>
        </w:tc>
        <w:tc>
          <w:tcPr>
            <w:tcW w:w="148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379,620</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888,685</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722,675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00" w:type="dxa"/>
            <w:vAlign w:val="bottom"/>
          </w:tcPr>
          <w:p>
            <w:pPr>
              <w:spacing w:after="0"/>
              <w:rPr>
                <w:sz w:val="20"/>
                <w:szCs w:val="20"/>
                <w:color w:val="auto"/>
              </w:rPr>
            </w:pPr>
            <w:r>
              <w:rPr>
                <w:rFonts w:ascii="Arial" w:cs="Arial" w:eastAsia="Arial" w:hAnsi="Arial"/>
                <w:sz w:val="14"/>
                <w:szCs w:val="14"/>
                <w:color w:val="auto"/>
              </w:rPr>
              <w:t>Reimbursable expenses</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135,407</w:t>
            </w:r>
          </w:p>
        </w:tc>
        <w:tc>
          <w:tcPr>
            <w:tcW w:w="148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102,613</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237,677</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193,335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334,219</w:t>
            </w:r>
          </w:p>
        </w:tc>
        <w:tc>
          <w:tcPr>
            <w:tcW w:w="1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277,007</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651,008</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529,340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55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20"/>
                <w:szCs w:val="20"/>
                <w:color w:val="auto"/>
              </w:rPr>
            </w:pPr>
            <w:r>
              <w:rPr>
                <w:rFonts w:ascii="Arial" w:cs="Arial" w:eastAsia="Arial" w:hAnsi="Arial"/>
                <w:sz w:val="14"/>
                <w:szCs w:val="14"/>
                <w:color w:val="auto"/>
              </w:rPr>
              <w:t>Direct costs</w:t>
            </w:r>
          </w:p>
        </w:tc>
        <w:tc>
          <w:tcPr>
            <w:tcW w:w="1340" w:type="dxa"/>
            <w:vAlign w:val="bottom"/>
          </w:tcPr>
          <w:p>
            <w:pPr>
              <w:jc w:val="center"/>
              <w:spacing w:after="0"/>
              <w:rPr>
                <w:sz w:val="20"/>
                <w:szCs w:val="20"/>
                <w:color w:val="auto"/>
              </w:rPr>
            </w:pPr>
            <w:r>
              <w:rPr>
                <w:rFonts w:ascii="Arial" w:cs="Arial" w:eastAsia="Arial" w:hAnsi="Arial"/>
                <w:sz w:val="14"/>
                <w:szCs w:val="14"/>
                <w:color w:val="auto"/>
                <w:w w:val="90"/>
              </w:rPr>
              <w:t>214,231</w:t>
            </w:r>
          </w:p>
        </w:tc>
        <w:tc>
          <w:tcPr>
            <w:tcW w:w="1480" w:type="dxa"/>
            <w:vAlign w:val="bottom"/>
            <w:gridSpan w:val="2"/>
          </w:tcPr>
          <w:p>
            <w:pPr>
              <w:jc w:val="center"/>
              <w:ind w:left="68"/>
              <w:spacing w:after="0"/>
              <w:rPr>
                <w:sz w:val="20"/>
                <w:szCs w:val="20"/>
                <w:color w:val="auto"/>
              </w:rPr>
            </w:pPr>
            <w:r>
              <w:rPr>
                <w:rFonts w:ascii="Arial" w:cs="Arial" w:eastAsia="Arial" w:hAnsi="Arial"/>
                <w:sz w:val="14"/>
                <w:szCs w:val="14"/>
                <w:color w:val="auto"/>
                <w:w w:val="90"/>
              </w:rPr>
              <w:t>180,127</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416,592</w:t>
            </w:r>
          </w:p>
        </w:tc>
        <w:tc>
          <w:tcPr>
            <w:tcW w:w="150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342,411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77,548</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69,410</w:t>
            </w:r>
          </w:p>
        </w:tc>
        <w:tc>
          <w:tcPr>
            <w:tcW w:w="1460" w:type="dxa"/>
            <w:vAlign w:val="bottom"/>
            <w:gridSpan w:val="2"/>
          </w:tcPr>
          <w:p>
            <w:pPr>
              <w:jc w:val="center"/>
              <w:ind w:left="48"/>
              <w:spacing w:after="0"/>
              <w:rPr>
                <w:sz w:val="20"/>
                <w:szCs w:val="20"/>
                <w:color w:val="auto"/>
              </w:rPr>
            </w:pPr>
            <w:r>
              <w:rPr>
                <w:rFonts w:ascii="Arial" w:cs="Arial" w:eastAsia="Arial" w:hAnsi="Arial"/>
                <w:sz w:val="14"/>
                <w:szCs w:val="14"/>
                <w:color w:val="auto"/>
                <w:w w:val="90"/>
              </w:rPr>
              <w:t>153,112</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136,925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340" w:type="dxa"/>
            <w:vAlign w:val="bottom"/>
          </w:tcPr>
          <w:p>
            <w:pPr>
              <w:jc w:val="center"/>
              <w:spacing w:after="0"/>
              <w:rPr>
                <w:sz w:val="20"/>
                <w:szCs w:val="20"/>
                <w:color w:val="auto"/>
              </w:rPr>
            </w:pPr>
            <w:r>
              <w:rPr>
                <w:rFonts w:ascii="Arial" w:cs="Arial" w:eastAsia="Arial" w:hAnsi="Arial"/>
                <w:sz w:val="14"/>
                <w:szCs w:val="14"/>
                <w:color w:val="auto"/>
                <w:w w:val="88"/>
              </w:rPr>
              <w:t>11,520</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10,830</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22,976</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21,632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500" w:type="dxa"/>
            <w:vAlign w:val="bottom"/>
          </w:tcPr>
          <w:p>
            <w:pPr>
              <w:spacing w:after="0"/>
              <w:rPr>
                <w:sz w:val="20"/>
                <w:szCs w:val="20"/>
                <w:color w:val="auto"/>
              </w:rPr>
            </w:pPr>
            <w:r>
              <w:rPr>
                <w:rFonts w:ascii="Arial" w:cs="Arial" w:eastAsia="Arial" w:hAnsi="Arial"/>
                <w:sz w:val="14"/>
                <w:szCs w:val="14"/>
                <w:color w:val="auto"/>
              </w:rPr>
              <w:t>Restructuring and other items</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4,621</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5,636</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9,033</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5,636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340" w:type="dxa"/>
            <w:vAlign w:val="bottom"/>
          </w:tcPr>
          <w:p>
            <w:pPr>
              <w:spacing w:after="0"/>
              <w:rPr>
                <w:sz w:val="15"/>
                <w:szCs w:val="15"/>
                <w:color w:val="auto"/>
              </w:rPr>
            </w:pPr>
          </w:p>
        </w:tc>
        <w:tc>
          <w:tcPr>
            <w:tcW w:w="1480" w:type="dxa"/>
            <w:vAlign w:val="bottom"/>
            <w:gridSpan w:val="2"/>
          </w:tcPr>
          <w:p>
            <w:pPr>
              <w:spacing w:after="0"/>
              <w:rPr>
                <w:sz w:val="15"/>
                <w:szCs w:val="15"/>
                <w:color w:val="auto"/>
              </w:rPr>
            </w:pPr>
          </w:p>
        </w:tc>
        <w:tc>
          <w:tcPr>
            <w:tcW w:w="1460" w:type="dxa"/>
            <w:vAlign w:val="bottom"/>
            <w:gridSpan w:val="2"/>
          </w:tcPr>
          <w:p>
            <w:pPr>
              <w:spacing w:after="0"/>
              <w:rPr>
                <w:sz w:val="15"/>
                <w:szCs w:val="15"/>
                <w:color w:val="auto"/>
              </w:rPr>
            </w:pPr>
          </w:p>
        </w:tc>
        <w:tc>
          <w:tcPr>
            <w:tcW w:w="15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307,920</w:t>
            </w:r>
          </w:p>
        </w:tc>
        <w:tc>
          <w:tcPr>
            <w:tcW w:w="14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266,003</w:t>
            </w:r>
          </w:p>
        </w:tc>
        <w:tc>
          <w:tcPr>
            <w:tcW w:w="12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601,713</w:t>
            </w:r>
          </w:p>
        </w:tc>
        <w:tc>
          <w:tcPr>
            <w:tcW w:w="14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506,604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5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26,299</w:t>
            </w:r>
          </w:p>
        </w:tc>
        <w:tc>
          <w:tcPr>
            <w:tcW w:w="1480" w:type="dxa"/>
            <w:vAlign w:val="bottom"/>
            <w:gridSpan w:val="2"/>
          </w:tcPr>
          <w:p>
            <w:pPr>
              <w:jc w:val="center"/>
              <w:ind w:left="68"/>
              <w:spacing w:after="0"/>
              <w:rPr>
                <w:sz w:val="20"/>
                <w:szCs w:val="20"/>
                <w:color w:val="auto"/>
              </w:rPr>
            </w:pPr>
            <w:r>
              <w:rPr>
                <w:rFonts w:ascii="Arial" w:cs="Arial" w:eastAsia="Arial" w:hAnsi="Arial"/>
                <w:sz w:val="14"/>
                <w:szCs w:val="14"/>
                <w:color w:val="auto"/>
                <w:w w:val="88"/>
              </w:rPr>
              <w:t>11,004</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49,295</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22,736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500" w:type="dxa"/>
            <w:vAlign w:val="bottom"/>
          </w:tcPr>
          <w:p>
            <w:pPr>
              <w:spacing w:after="0"/>
              <w:rPr>
                <w:sz w:val="20"/>
                <w:szCs w:val="20"/>
                <w:color w:val="auto"/>
              </w:rPr>
            </w:pPr>
            <w:r>
              <w:rPr>
                <w:rFonts w:ascii="Arial" w:cs="Arial" w:eastAsia="Arial" w:hAnsi="Arial"/>
                <w:sz w:val="14"/>
                <w:szCs w:val="14"/>
                <w:color w:val="auto"/>
              </w:rPr>
              <w:t>Net interest expense</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(100)</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7"/>
              </w:rPr>
              <w:t>(231)</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7"/>
              </w:rPr>
              <w:t>(285)</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7"/>
              </w:rPr>
              <w:t>(266)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340" w:type="dxa"/>
            <w:vAlign w:val="bottom"/>
          </w:tcPr>
          <w:p>
            <w:pPr>
              <w:spacing w:after="0"/>
              <w:rPr>
                <w:sz w:val="15"/>
                <w:szCs w:val="15"/>
                <w:color w:val="auto"/>
              </w:rPr>
            </w:pPr>
          </w:p>
        </w:tc>
        <w:tc>
          <w:tcPr>
            <w:tcW w:w="1480" w:type="dxa"/>
            <w:vAlign w:val="bottom"/>
            <w:gridSpan w:val="2"/>
          </w:tcPr>
          <w:p>
            <w:pPr>
              <w:spacing w:after="0"/>
              <w:rPr>
                <w:sz w:val="15"/>
                <w:szCs w:val="15"/>
                <w:color w:val="auto"/>
              </w:rPr>
            </w:pPr>
          </w:p>
        </w:tc>
        <w:tc>
          <w:tcPr>
            <w:tcW w:w="1460" w:type="dxa"/>
            <w:vAlign w:val="bottom"/>
            <w:gridSpan w:val="2"/>
          </w:tcPr>
          <w:p>
            <w:pPr>
              <w:spacing w:after="0"/>
              <w:rPr>
                <w:sz w:val="15"/>
                <w:szCs w:val="15"/>
                <w:color w:val="auto"/>
              </w:rPr>
            </w:pPr>
          </w:p>
        </w:tc>
        <w:tc>
          <w:tcPr>
            <w:tcW w:w="15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00" w:type="dxa"/>
            <w:vAlign w:val="bottom"/>
            <w:vMerge w:val="continue"/>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26,199</w:t>
            </w:r>
          </w:p>
        </w:tc>
        <w:tc>
          <w:tcPr>
            <w:tcW w:w="14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10,773</w:t>
            </w:r>
          </w:p>
        </w:tc>
        <w:tc>
          <w:tcPr>
            <w:tcW w:w="12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49,010</w:t>
            </w:r>
          </w:p>
        </w:tc>
        <w:tc>
          <w:tcPr>
            <w:tcW w:w="140" w:type="dxa"/>
            <w:vAlign w:val="bottom"/>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22,470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55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3,720</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2,809</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7,486</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5,535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500" w:type="dxa"/>
            <w:vAlign w:val="bottom"/>
            <w:vMerge w:val="continue"/>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w w:val="93"/>
              </w:rPr>
              <w:t>22,479</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7,964</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41,524</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16,935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5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20"/>
                <w:szCs w:val="20"/>
                <w:color w:val="auto"/>
              </w:rPr>
            </w:pPr>
            <w:r>
              <w:rPr>
                <w:rFonts w:ascii="Arial" w:cs="Arial" w:eastAsia="Arial" w:hAnsi="Arial"/>
                <w:sz w:val="14"/>
                <w:szCs w:val="14"/>
                <w:color w:val="auto"/>
              </w:rPr>
              <w:t>Basic</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$0.37</w:t>
            </w:r>
          </w:p>
        </w:tc>
        <w:tc>
          <w:tcPr>
            <w:tcW w:w="14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$0.13</w:t>
            </w: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$0.69</w:t>
            </w:r>
          </w:p>
        </w:tc>
        <w:tc>
          <w:tcPr>
            <w:tcW w:w="1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$0.28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5500" w:type="dxa"/>
            <w:vAlign w:val="bottom"/>
          </w:tcPr>
          <w:p>
            <w:pPr>
              <w:spacing w:after="0"/>
              <w:rPr>
                <w:sz w:val="20"/>
                <w:szCs w:val="20"/>
                <w:color w:val="auto"/>
              </w:rPr>
            </w:pPr>
            <w:r>
              <w:rPr>
                <w:rFonts w:ascii="Arial" w:cs="Arial" w:eastAsia="Arial" w:hAnsi="Arial"/>
                <w:sz w:val="14"/>
                <w:szCs w:val="14"/>
                <w:color w:val="auto"/>
              </w:rPr>
              <w:t>Diluted</w:t>
            </w:r>
          </w:p>
        </w:tc>
        <w:tc>
          <w:tcPr>
            <w:tcW w:w="1340" w:type="dxa"/>
            <w:vAlign w:val="bottom"/>
          </w:tcPr>
          <w:p>
            <w:pPr>
              <w:jc w:val="center"/>
              <w:spacing w:after="0"/>
              <w:rPr>
                <w:sz w:val="20"/>
                <w:szCs w:val="20"/>
                <w:color w:val="auto"/>
              </w:rPr>
            </w:pPr>
            <w:r>
              <w:rPr>
                <w:rFonts w:ascii="Arial" w:cs="Arial" w:eastAsia="Arial" w:hAnsi="Arial"/>
                <w:sz w:val="14"/>
                <w:szCs w:val="14"/>
                <w:color w:val="auto"/>
                <w:w w:val="91"/>
              </w:rPr>
              <w:t>$0.36</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$0.13</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$0.67</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$0.28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550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500" w:type="dxa"/>
            <w:vAlign w:val="bottom"/>
          </w:tcPr>
          <w:p>
            <w:pPr>
              <w:spacing w:after="0"/>
              <w:rPr>
                <w:sz w:val="20"/>
                <w:szCs w:val="20"/>
                <w:color w:val="auto"/>
              </w:rPr>
            </w:pPr>
            <w:r>
              <w:rPr>
                <w:rFonts w:ascii="Arial" w:cs="Arial" w:eastAsia="Arial" w:hAnsi="Arial"/>
                <w:sz w:val="14"/>
                <w:szCs w:val="14"/>
                <w:color w:val="auto"/>
              </w:rPr>
              <w:t>Basic</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60,724,296</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59,978,509</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60,555,945</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60,032,306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5500" w:type="dxa"/>
            <w:vAlign w:val="bottom"/>
          </w:tcPr>
          <w:p>
            <w:pPr>
              <w:spacing w:after="0"/>
              <w:rPr>
                <w:sz w:val="20"/>
                <w:szCs w:val="20"/>
                <w:color w:val="auto"/>
              </w:rPr>
            </w:pPr>
            <w:r>
              <w:rPr>
                <w:rFonts w:ascii="Arial" w:cs="Arial" w:eastAsia="Arial" w:hAnsi="Arial"/>
                <w:sz w:val="14"/>
                <w:szCs w:val="14"/>
                <w:color w:val="auto"/>
              </w:rPr>
              <w:t>Diluted</w:t>
            </w:r>
          </w:p>
        </w:tc>
        <w:tc>
          <w:tcPr>
            <w:tcW w:w="1340" w:type="dxa"/>
            <w:vAlign w:val="bottom"/>
          </w:tcPr>
          <w:p>
            <w:pPr>
              <w:jc w:val="center"/>
              <w:spacing w:after="0"/>
              <w:rPr>
                <w:sz w:val="20"/>
                <w:szCs w:val="20"/>
                <w:color w:val="auto"/>
              </w:rPr>
            </w:pPr>
            <w:r>
              <w:rPr>
                <w:rFonts w:ascii="Arial" w:cs="Arial" w:eastAsia="Arial" w:hAnsi="Arial"/>
                <w:sz w:val="14"/>
                <w:szCs w:val="14"/>
                <w:color w:val="auto"/>
                <w:w w:val="94"/>
              </w:rPr>
              <w:t>61,898,903</w:t>
            </w:r>
          </w:p>
        </w:tc>
        <w:tc>
          <w:tcPr>
            <w:tcW w:w="148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60,630,891</w:t>
            </w:r>
          </w:p>
        </w:tc>
        <w:tc>
          <w:tcPr>
            <w:tcW w:w="146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61,607,757</w:t>
            </w:r>
          </w:p>
        </w:tc>
        <w:tc>
          <w:tcPr>
            <w:tcW w:w="150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60,607,635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5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50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7" w:name="page8"/>
    <w:bookmarkEnd w:id="7"/>
    <w:p>
      <w:pPr>
        <w:jc w:val="center"/>
        <w:ind w:right="-1200"/>
        <w:spacing w:after="0"/>
        <w:rPr>
          <w:sz w:val="20"/>
          <w:szCs w:val="20"/>
          <w:color w:val="auto"/>
        </w:rPr>
      </w:pPr>
      <w:r>
        <w:rPr>
          <w:rFonts w:ascii="Arial" w:cs="Arial" w:eastAsia="Arial" w:hAnsi="Arial"/>
          <w:sz w:val="22"/>
          <w:szCs w:val="22"/>
          <w:b w:val="1"/>
          <w:bCs w:val="1"/>
          <w:color w:val="auto"/>
        </w:rPr>
        <w:t>ICON plc</w:t>
      </w: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Summary Balance Sheet Data</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June 30, 2013 and December 31, 2012</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(Dollars,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60" w:type="dxa"/>
            <w:vAlign w:val="bottom"/>
          </w:tcPr>
          <w:p>
            <w:pPr>
              <w:spacing w:after="0"/>
              <w:rPr>
                <w:sz w:val="15"/>
                <w:szCs w:val="15"/>
                <w:color w:val="auto"/>
              </w:rPr>
            </w:pPr>
          </w:p>
        </w:tc>
        <w:tc>
          <w:tcPr>
            <w:tcW w:w="4320" w:type="dxa"/>
            <w:vAlign w:val="bottom"/>
          </w:tcPr>
          <w:p>
            <w:pPr>
              <w:jc w:val="center"/>
              <w:ind w:left="1008"/>
              <w:spacing w:after="0"/>
              <w:rPr>
                <w:sz w:val="20"/>
                <w:szCs w:val="20"/>
                <w:color w:val="auto"/>
              </w:rPr>
            </w:pPr>
            <w:r>
              <w:rPr>
                <w:rFonts w:ascii="Arial" w:cs="Arial" w:eastAsia="Arial" w:hAnsi="Arial"/>
                <w:sz w:val="14"/>
                <w:szCs w:val="14"/>
                <w:b w:val="1"/>
                <w:bCs w:val="1"/>
                <w:color w:val="auto"/>
                <w:w w:val="92"/>
              </w:rPr>
              <w:t>June 30,</w:t>
            </w:r>
          </w:p>
        </w:tc>
        <w:tc>
          <w:tcPr>
            <w:tcW w:w="2080" w:type="dxa"/>
            <w:vAlign w:val="bottom"/>
          </w:tcPr>
          <w:p>
            <w:pPr>
              <w:jc w:val="center"/>
              <w:ind w:left="1168"/>
              <w:spacing w:after="0"/>
              <w:rPr>
                <w:sz w:val="20"/>
                <w:szCs w:val="20"/>
                <w:color w:val="auto"/>
              </w:rPr>
            </w:pPr>
            <w:r>
              <w:rPr>
                <w:rFonts w:ascii="Arial" w:cs="Arial" w:eastAsia="Arial" w:hAnsi="Arial"/>
                <w:sz w:val="14"/>
                <w:szCs w:val="14"/>
                <w:b w:val="1"/>
                <w:bCs w:val="1"/>
                <w:color w:val="auto"/>
                <w:w w:val="92"/>
              </w:rPr>
              <w:t>December 31,</w:t>
            </w:r>
          </w:p>
        </w:tc>
      </w:tr>
      <w:tr>
        <w:trPr>
          <w:trHeight w:val="176"/>
        </w:trPr>
        <w:tc>
          <w:tcPr>
            <w:tcW w:w="3560" w:type="dxa"/>
            <w:vAlign w:val="bottom"/>
          </w:tcPr>
          <w:p>
            <w:pPr>
              <w:spacing w:after="0"/>
              <w:rPr>
                <w:sz w:val="15"/>
                <w:szCs w:val="15"/>
                <w:color w:val="auto"/>
              </w:rPr>
            </w:pPr>
          </w:p>
        </w:tc>
        <w:tc>
          <w:tcPr>
            <w:tcW w:w="4320" w:type="dxa"/>
            <w:vAlign w:val="bottom"/>
          </w:tcPr>
          <w:p>
            <w:pPr>
              <w:jc w:val="center"/>
              <w:ind w:left="1028"/>
              <w:spacing w:after="0"/>
              <w:rPr>
                <w:sz w:val="20"/>
                <w:szCs w:val="20"/>
                <w:color w:val="auto"/>
              </w:rPr>
            </w:pPr>
            <w:r>
              <w:rPr>
                <w:rFonts w:ascii="Arial" w:cs="Arial" w:eastAsia="Arial" w:hAnsi="Arial"/>
                <w:sz w:val="14"/>
                <w:szCs w:val="14"/>
                <w:b w:val="1"/>
                <w:bCs w:val="1"/>
                <w:color w:val="auto"/>
                <w:w w:val="96"/>
              </w:rPr>
              <w:t>2013</w:t>
            </w:r>
          </w:p>
        </w:tc>
        <w:tc>
          <w:tcPr>
            <w:tcW w:w="2080" w:type="dxa"/>
            <w:vAlign w:val="bottom"/>
          </w:tcPr>
          <w:p>
            <w:pPr>
              <w:jc w:val="center"/>
              <w:ind w:left="1188"/>
              <w:spacing w:after="0"/>
              <w:rPr>
                <w:sz w:val="20"/>
                <w:szCs w:val="20"/>
                <w:color w:val="auto"/>
              </w:rPr>
            </w:pPr>
            <w:r>
              <w:rPr>
                <w:rFonts w:ascii="Arial" w:cs="Arial" w:eastAsia="Arial" w:hAnsi="Arial"/>
                <w:sz w:val="14"/>
                <w:szCs w:val="14"/>
                <w:b w:val="1"/>
                <w:bCs w:val="1"/>
                <w:color w:val="auto"/>
                <w:w w:val="96"/>
              </w:rPr>
              <w:t>2012</w:t>
            </w:r>
          </w:p>
        </w:tc>
      </w:tr>
      <w:tr>
        <w:trPr>
          <w:trHeight w:val="186"/>
        </w:trPr>
        <w:tc>
          <w:tcPr>
            <w:tcW w:w="3560" w:type="dxa"/>
            <w:vAlign w:val="bottom"/>
          </w:tcPr>
          <w:p>
            <w:pPr>
              <w:spacing w:after="0"/>
              <w:rPr>
                <w:sz w:val="16"/>
                <w:szCs w:val="16"/>
                <w:color w:val="auto"/>
              </w:rPr>
            </w:pPr>
          </w:p>
        </w:tc>
        <w:tc>
          <w:tcPr>
            <w:tcW w:w="4320" w:type="dxa"/>
            <w:vAlign w:val="bottom"/>
          </w:tcPr>
          <w:p>
            <w:pPr>
              <w:jc w:val="center"/>
              <w:ind w:left="1008"/>
              <w:spacing w:after="0"/>
              <w:rPr>
                <w:sz w:val="20"/>
                <w:szCs w:val="20"/>
                <w:color w:val="auto"/>
              </w:rPr>
            </w:pPr>
            <w:r>
              <w:rPr>
                <w:rFonts w:ascii="Arial" w:cs="Arial" w:eastAsia="Arial" w:hAnsi="Arial"/>
                <w:sz w:val="14"/>
                <w:szCs w:val="14"/>
                <w:b w:val="1"/>
                <w:bCs w:val="1"/>
                <w:color w:val="auto"/>
                <w:w w:val="97"/>
              </w:rPr>
              <w:t>(Unaudited)</w:t>
            </w:r>
          </w:p>
        </w:tc>
        <w:tc>
          <w:tcPr>
            <w:tcW w:w="2080" w:type="dxa"/>
            <w:vAlign w:val="bottom"/>
          </w:tcPr>
          <w:p>
            <w:pPr>
              <w:jc w:val="center"/>
              <w:ind w:left="1168"/>
              <w:spacing w:after="0"/>
              <w:rPr>
                <w:sz w:val="20"/>
                <w:szCs w:val="20"/>
                <w:color w:val="auto"/>
              </w:rPr>
            </w:pPr>
            <w:r>
              <w:rPr>
                <w:rFonts w:ascii="Arial" w:cs="Arial" w:eastAsia="Arial" w:hAnsi="Arial"/>
                <w:sz w:val="14"/>
                <w:szCs w:val="14"/>
                <w:b w:val="1"/>
                <w:bCs w:val="1"/>
                <w:color w:val="auto"/>
                <w:w w:val="97"/>
              </w:rPr>
              <w:t>(Audited)</w:t>
            </w:r>
          </w:p>
        </w:tc>
      </w:tr>
      <w:tr>
        <w:trPr>
          <w:trHeight w:val="527"/>
        </w:trPr>
        <w:tc>
          <w:tcPr>
            <w:tcW w:w="3560" w:type="dxa"/>
            <w:vAlign w:val="bottom"/>
          </w:tcPr>
          <w:p>
            <w:pPr>
              <w:spacing w:after="0"/>
              <w:rPr>
                <w:sz w:val="20"/>
                <w:szCs w:val="20"/>
                <w:color w:val="auto"/>
              </w:rPr>
            </w:pPr>
            <w:r>
              <w:rPr>
                <w:rFonts w:ascii="Arial" w:cs="Arial" w:eastAsia="Arial" w:hAnsi="Arial"/>
                <w:sz w:val="14"/>
                <w:szCs w:val="14"/>
                <w:color w:val="auto"/>
              </w:rPr>
              <w:t>Net cash</w:t>
            </w:r>
          </w:p>
        </w:tc>
        <w:tc>
          <w:tcPr>
            <w:tcW w:w="4320" w:type="dxa"/>
            <w:vAlign w:val="bottom"/>
          </w:tcPr>
          <w:p>
            <w:pPr>
              <w:jc w:val="center"/>
              <w:ind w:left="1028"/>
              <w:spacing w:after="0"/>
              <w:rPr>
                <w:sz w:val="20"/>
                <w:szCs w:val="20"/>
                <w:color w:val="auto"/>
              </w:rPr>
            </w:pPr>
            <w:r>
              <w:rPr>
                <w:rFonts w:ascii="Arial" w:cs="Arial" w:eastAsia="Arial" w:hAnsi="Arial"/>
                <w:sz w:val="14"/>
                <w:szCs w:val="14"/>
                <w:color w:val="auto"/>
                <w:w w:val="90"/>
              </w:rPr>
              <w:t>183,903</w:t>
            </w:r>
          </w:p>
        </w:tc>
        <w:tc>
          <w:tcPr>
            <w:tcW w:w="2080" w:type="dxa"/>
            <w:vAlign w:val="bottom"/>
          </w:tcPr>
          <w:p>
            <w:pPr>
              <w:jc w:val="center"/>
              <w:ind w:left="1188"/>
              <w:spacing w:after="0"/>
              <w:rPr>
                <w:sz w:val="20"/>
                <w:szCs w:val="20"/>
                <w:color w:val="auto"/>
              </w:rPr>
            </w:pPr>
            <w:r>
              <w:rPr>
                <w:rFonts w:ascii="Arial" w:cs="Arial" w:eastAsia="Arial" w:hAnsi="Arial"/>
                <w:sz w:val="14"/>
                <w:szCs w:val="14"/>
                <w:color w:val="auto"/>
                <w:w w:val="90"/>
              </w:rPr>
              <w:t>190,230</w:t>
            </w:r>
          </w:p>
        </w:tc>
      </w:tr>
      <w:tr>
        <w:trPr>
          <w:trHeight w:val="344"/>
        </w:trPr>
        <w:tc>
          <w:tcPr>
            <w:tcW w:w="3560" w:type="dxa"/>
            <w:vAlign w:val="bottom"/>
          </w:tcPr>
          <w:p>
            <w:pPr>
              <w:spacing w:after="0"/>
              <w:rPr>
                <w:sz w:val="20"/>
                <w:szCs w:val="20"/>
                <w:color w:val="auto"/>
              </w:rPr>
            </w:pPr>
            <w:r>
              <w:rPr>
                <w:rFonts w:ascii="Arial" w:cs="Arial" w:eastAsia="Arial" w:hAnsi="Arial"/>
                <w:sz w:val="14"/>
                <w:szCs w:val="14"/>
                <w:color w:val="auto"/>
              </w:rPr>
              <w:t>Accounts receivable</w:t>
            </w:r>
          </w:p>
        </w:tc>
        <w:tc>
          <w:tcPr>
            <w:tcW w:w="4320" w:type="dxa"/>
            <w:vAlign w:val="bottom"/>
          </w:tcPr>
          <w:p>
            <w:pPr>
              <w:jc w:val="center"/>
              <w:ind w:left="1028"/>
              <w:spacing w:after="0"/>
              <w:rPr>
                <w:sz w:val="20"/>
                <w:szCs w:val="20"/>
                <w:color w:val="auto"/>
              </w:rPr>
            </w:pPr>
            <w:r>
              <w:rPr>
                <w:rFonts w:ascii="Arial" w:cs="Arial" w:eastAsia="Arial" w:hAnsi="Arial"/>
                <w:sz w:val="14"/>
                <w:szCs w:val="14"/>
                <w:color w:val="auto"/>
                <w:w w:val="90"/>
              </w:rPr>
              <w:t>305,805</w:t>
            </w:r>
          </w:p>
        </w:tc>
        <w:tc>
          <w:tcPr>
            <w:tcW w:w="2080" w:type="dxa"/>
            <w:vAlign w:val="bottom"/>
          </w:tcPr>
          <w:p>
            <w:pPr>
              <w:jc w:val="center"/>
              <w:ind w:left="1188"/>
              <w:spacing w:after="0"/>
              <w:rPr>
                <w:sz w:val="20"/>
                <w:szCs w:val="20"/>
                <w:color w:val="auto"/>
              </w:rPr>
            </w:pPr>
            <w:r>
              <w:rPr>
                <w:rFonts w:ascii="Arial" w:cs="Arial" w:eastAsia="Arial" w:hAnsi="Arial"/>
                <w:sz w:val="14"/>
                <w:szCs w:val="14"/>
                <w:color w:val="auto"/>
                <w:w w:val="90"/>
              </w:rPr>
              <w:t>285,419</w:t>
            </w:r>
          </w:p>
        </w:tc>
      </w:tr>
      <w:tr>
        <w:trPr>
          <w:trHeight w:val="176"/>
        </w:trPr>
        <w:tc>
          <w:tcPr>
            <w:tcW w:w="3560" w:type="dxa"/>
            <w:vAlign w:val="bottom"/>
          </w:tcPr>
          <w:p>
            <w:pPr>
              <w:spacing w:after="0"/>
              <w:rPr>
                <w:sz w:val="20"/>
                <w:szCs w:val="20"/>
                <w:color w:val="auto"/>
              </w:rPr>
            </w:pPr>
            <w:r>
              <w:rPr>
                <w:rFonts w:ascii="Arial" w:cs="Arial" w:eastAsia="Arial" w:hAnsi="Arial"/>
                <w:sz w:val="14"/>
                <w:szCs w:val="14"/>
                <w:color w:val="auto"/>
              </w:rPr>
              <w:t>Unbilled revenue</w:t>
            </w:r>
          </w:p>
        </w:tc>
        <w:tc>
          <w:tcPr>
            <w:tcW w:w="4320" w:type="dxa"/>
            <w:vAlign w:val="bottom"/>
          </w:tcPr>
          <w:p>
            <w:pPr>
              <w:jc w:val="center"/>
              <w:ind w:left="1028"/>
              <w:spacing w:after="0"/>
              <w:rPr>
                <w:sz w:val="20"/>
                <w:szCs w:val="20"/>
                <w:color w:val="auto"/>
              </w:rPr>
            </w:pPr>
            <w:r>
              <w:rPr>
                <w:rFonts w:ascii="Arial" w:cs="Arial" w:eastAsia="Arial" w:hAnsi="Arial"/>
                <w:sz w:val="14"/>
                <w:szCs w:val="14"/>
                <w:color w:val="auto"/>
                <w:w w:val="90"/>
              </w:rPr>
              <w:t>140,145</w:t>
            </w:r>
          </w:p>
        </w:tc>
        <w:tc>
          <w:tcPr>
            <w:tcW w:w="2080" w:type="dxa"/>
            <w:vAlign w:val="bottom"/>
          </w:tcPr>
          <w:p>
            <w:pPr>
              <w:jc w:val="center"/>
              <w:ind w:left="1188"/>
              <w:spacing w:after="0"/>
              <w:rPr>
                <w:sz w:val="20"/>
                <w:szCs w:val="20"/>
                <w:color w:val="auto"/>
              </w:rPr>
            </w:pPr>
            <w:r>
              <w:rPr>
                <w:rFonts w:ascii="Arial" w:cs="Arial" w:eastAsia="Arial" w:hAnsi="Arial"/>
                <w:sz w:val="14"/>
                <w:szCs w:val="14"/>
                <w:color w:val="auto"/>
                <w:w w:val="90"/>
              </w:rPr>
              <w:t>112,483</w:t>
            </w:r>
          </w:p>
        </w:tc>
      </w:tr>
      <w:tr>
        <w:trPr>
          <w:trHeight w:val="176"/>
        </w:trPr>
        <w:tc>
          <w:tcPr>
            <w:tcW w:w="3560" w:type="dxa"/>
            <w:vAlign w:val="bottom"/>
          </w:tcPr>
          <w:p>
            <w:pPr>
              <w:spacing w:after="0"/>
              <w:rPr>
                <w:sz w:val="20"/>
                <w:szCs w:val="20"/>
                <w:color w:val="auto"/>
              </w:rPr>
            </w:pPr>
            <w:r>
              <w:rPr>
                <w:rFonts w:ascii="Arial" w:cs="Arial" w:eastAsia="Arial" w:hAnsi="Arial"/>
                <w:sz w:val="14"/>
                <w:szCs w:val="14"/>
                <w:color w:val="auto"/>
              </w:rPr>
              <w:t>Payments on account</w:t>
            </w:r>
          </w:p>
        </w:tc>
        <w:tc>
          <w:tcPr>
            <w:tcW w:w="4320" w:type="dxa"/>
            <w:vAlign w:val="bottom"/>
          </w:tcPr>
          <w:p>
            <w:pPr>
              <w:jc w:val="center"/>
              <w:ind w:left="1008"/>
              <w:spacing w:after="0"/>
              <w:rPr>
                <w:sz w:val="20"/>
                <w:szCs w:val="20"/>
                <w:color w:val="auto"/>
              </w:rPr>
            </w:pPr>
            <w:r>
              <w:rPr>
                <w:rFonts w:ascii="Arial" w:cs="Arial" w:eastAsia="Arial" w:hAnsi="Arial"/>
                <w:sz w:val="14"/>
                <w:szCs w:val="14"/>
                <w:color w:val="auto"/>
                <w:w w:val="93"/>
              </w:rPr>
              <w:t>(272,019)</w:t>
            </w:r>
          </w:p>
        </w:tc>
        <w:tc>
          <w:tcPr>
            <w:tcW w:w="2080" w:type="dxa"/>
            <w:vAlign w:val="bottom"/>
          </w:tcPr>
          <w:p>
            <w:pPr>
              <w:jc w:val="center"/>
              <w:ind w:left="1188"/>
              <w:spacing w:after="0"/>
              <w:rPr>
                <w:sz w:val="20"/>
                <w:szCs w:val="20"/>
                <w:color w:val="auto"/>
              </w:rPr>
            </w:pPr>
            <w:r>
              <w:rPr>
                <w:rFonts w:ascii="Arial" w:cs="Arial" w:eastAsia="Arial" w:hAnsi="Arial"/>
                <w:sz w:val="14"/>
                <w:szCs w:val="14"/>
                <w:color w:val="auto"/>
                <w:w w:val="96"/>
              </w:rPr>
              <w:t>(219,467)</w:t>
            </w:r>
          </w:p>
        </w:tc>
      </w:tr>
      <w:tr>
        <w:trPr>
          <w:trHeight w:val="182"/>
        </w:trPr>
        <w:tc>
          <w:tcPr>
            <w:tcW w:w="3560" w:type="dxa"/>
            <w:vAlign w:val="bottom"/>
          </w:tcPr>
          <w:p>
            <w:pPr>
              <w:spacing w:after="0"/>
              <w:rPr>
                <w:sz w:val="20"/>
                <w:szCs w:val="20"/>
                <w:color w:val="auto"/>
              </w:rPr>
            </w:pPr>
            <w:r>
              <w:rPr>
                <w:rFonts w:ascii="Arial" w:cs="Arial" w:eastAsia="Arial" w:hAnsi="Arial"/>
                <w:sz w:val="14"/>
                <w:szCs w:val="14"/>
                <w:color w:val="auto"/>
              </w:rPr>
              <w:t>Total</w:t>
            </w:r>
          </w:p>
        </w:tc>
        <w:tc>
          <w:tcPr>
            <w:tcW w:w="4320" w:type="dxa"/>
            <w:vAlign w:val="bottom"/>
          </w:tcPr>
          <w:p>
            <w:pPr>
              <w:jc w:val="center"/>
              <w:ind w:left="1028"/>
              <w:spacing w:after="0"/>
              <w:rPr>
                <w:sz w:val="20"/>
                <w:szCs w:val="20"/>
                <w:color w:val="auto"/>
              </w:rPr>
            </w:pPr>
            <w:r>
              <w:rPr>
                <w:rFonts w:ascii="Arial" w:cs="Arial" w:eastAsia="Arial" w:hAnsi="Arial"/>
                <w:sz w:val="14"/>
                <w:szCs w:val="14"/>
                <w:color w:val="auto"/>
                <w:w w:val="90"/>
              </w:rPr>
              <w:t>173,931</w:t>
            </w:r>
          </w:p>
        </w:tc>
        <w:tc>
          <w:tcPr>
            <w:tcW w:w="2080" w:type="dxa"/>
            <w:vAlign w:val="bottom"/>
          </w:tcPr>
          <w:p>
            <w:pPr>
              <w:jc w:val="center"/>
              <w:ind w:left="1188"/>
              <w:spacing w:after="0"/>
              <w:rPr>
                <w:sz w:val="20"/>
                <w:szCs w:val="20"/>
                <w:color w:val="auto"/>
              </w:rPr>
            </w:pPr>
            <w:r>
              <w:rPr>
                <w:rFonts w:ascii="Arial" w:cs="Arial" w:eastAsia="Arial" w:hAnsi="Arial"/>
                <w:sz w:val="14"/>
                <w:szCs w:val="14"/>
                <w:color w:val="auto"/>
                <w:w w:val="90"/>
              </w:rPr>
              <w:t>178,435</w:t>
            </w:r>
          </w:p>
        </w:tc>
      </w:tr>
      <w:tr>
        <w:trPr>
          <w:trHeight w:val="351"/>
        </w:trPr>
        <w:tc>
          <w:tcPr>
            <w:tcW w:w="3560" w:type="dxa"/>
            <w:vAlign w:val="bottom"/>
          </w:tcPr>
          <w:p>
            <w:pPr>
              <w:spacing w:after="0"/>
              <w:rPr>
                <w:sz w:val="20"/>
                <w:szCs w:val="20"/>
                <w:color w:val="auto"/>
              </w:rPr>
            </w:pPr>
            <w:r>
              <w:rPr>
                <w:rFonts w:ascii="Arial" w:cs="Arial" w:eastAsia="Arial" w:hAnsi="Arial"/>
                <w:sz w:val="14"/>
                <w:szCs w:val="14"/>
                <w:color w:val="auto"/>
              </w:rPr>
              <w:t>Working Capital</w:t>
            </w:r>
          </w:p>
        </w:tc>
        <w:tc>
          <w:tcPr>
            <w:tcW w:w="4320" w:type="dxa"/>
            <w:vAlign w:val="bottom"/>
          </w:tcPr>
          <w:p>
            <w:pPr>
              <w:jc w:val="center"/>
              <w:ind w:left="1028"/>
              <w:spacing w:after="0"/>
              <w:rPr>
                <w:sz w:val="20"/>
                <w:szCs w:val="20"/>
                <w:color w:val="auto"/>
              </w:rPr>
            </w:pPr>
            <w:r>
              <w:rPr>
                <w:rFonts w:ascii="Arial" w:cs="Arial" w:eastAsia="Arial" w:hAnsi="Arial"/>
                <w:sz w:val="14"/>
                <w:szCs w:val="14"/>
                <w:color w:val="auto"/>
                <w:w w:val="90"/>
              </w:rPr>
              <w:t>253,507</w:t>
            </w:r>
          </w:p>
        </w:tc>
        <w:tc>
          <w:tcPr>
            <w:tcW w:w="2080" w:type="dxa"/>
            <w:vAlign w:val="bottom"/>
          </w:tcPr>
          <w:p>
            <w:pPr>
              <w:jc w:val="center"/>
              <w:ind w:left="1188"/>
              <w:spacing w:after="0"/>
              <w:rPr>
                <w:sz w:val="20"/>
                <w:szCs w:val="20"/>
                <w:color w:val="auto"/>
              </w:rPr>
            </w:pPr>
            <w:r>
              <w:rPr>
                <w:rFonts w:ascii="Arial" w:cs="Arial" w:eastAsia="Arial" w:hAnsi="Arial"/>
                <w:sz w:val="14"/>
                <w:szCs w:val="14"/>
                <w:color w:val="auto"/>
                <w:w w:val="90"/>
              </w:rPr>
              <w:t>250,326</w:t>
            </w:r>
          </w:p>
        </w:tc>
      </w:tr>
      <w:tr>
        <w:trPr>
          <w:trHeight w:val="351"/>
        </w:trPr>
        <w:tc>
          <w:tcPr>
            <w:tcW w:w="3560" w:type="dxa"/>
            <w:vAlign w:val="bottom"/>
          </w:tcPr>
          <w:p>
            <w:pPr>
              <w:spacing w:after="0"/>
              <w:rPr>
                <w:sz w:val="20"/>
                <w:szCs w:val="20"/>
                <w:color w:val="auto"/>
              </w:rPr>
            </w:pPr>
            <w:r>
              <w:rPr>
                <w:rFonts w:ascii="Arial" w:cs="Arial" w:eastAsia="Arial" w:hAnsi="Arial"/>
                <w:sz w:val="14"/>
                <w:szCs w:val="14"/>
                <w:color w:val="auto"/>
              </w:rPr>
              <w:t>Total Assets</w:t>
            </w:r>
          </w:p>
        </w:tc>
        <w:tc>
          <w:tcPr>
            <w:tcW w:w="4320" w:type="dxa"/>
            <w:vAlign w:val="bottom"/>
          </w:tcPr>
          <w:p>
            <w:pPr>
              <w:jc w:val="center"/>
              <w:ind w:left="1028"/>
              <w:spacing w:after="0"/>
              <w:rPr>
                <w:sz w:val="20"/>
                <w:szCs w:val="20"/>
                <w:color w:val="auto"/>
              </w:rPr>
            </w:pPr>
            <w:r>
              <w:rPr>
                <w:rFonts w:ascii="Arial" w:cs="Arial" w:eastAsia="Arial" w:hAnsi="Arial"/>
                <w:sz w:val="14"/>
                <w:szCs w:val="14"/>
                <w:color w:val="auto"/>
                <w:w w:val="93"/>
              </w:rPr>
              <w:t>1,293,122</w:t>
            </w:r>
          </w:p>
        </w:tc>
        <w:tc>
          <w:tcPr>
            <w:tcW w:w="2080" w:type="dxa"/>
            <w:vAlign w:val="bottom"/>
          </w:tcPr>
          <w:p>
            <w:pPr>
              <w:jc w:val="center"/>
              <w:ind w:left="1188"/>
              <w:spacing w:after="0"/>
              <w:rPr>
                <w:sz w:val="20"/>
                <w:szCs w:val="20"/>
                <w:color w:val="auto"/>
              </w:rPr>
            </w:pPr>
            <w:r>
              <w:rPr>
                <w:rFonts w:ascii="Arial" w:cs="Arial" w:eastAsia="Arial" w:hAnsi="Arial"/>
                <w:sz w:val="14"/>
                <w:szCs w:val="14"/>
                <w:color w:val="auto"/>
                <w:w w:val="93"/>
              </w:rPr>
              <w:t>1,202,108</w:t>
            </w:r>
          </w:p>
        </w:tc>
      </w:tr>
      <w:tr>
        <w:trPr>
          <w:trHeight w:val="351"/>
        </w:trPr>
        <w:tc>
          <w:tcPr>
            <w:tcW w:w="3560" w:type="dxa"/>
            <w:vAlign w:val="bottom"/>
          </w:tcPr>
          <w:p>
            <w:pPr>
              <w:spacing w:after="0"/>
              <w:rPr>
                <w:sz w:val="20"/>
                <w:szCs w:val="20"/>
                <w:color w:val="auto"/>
              </w:rPr>
            </w:pPr>
            <w:r>
              <w:rPr>
                <w:rFonts w:ascii="Arial" w:cs="Arial" w:eastAsia="Arial" w:hAnsi="Arial"/>
                <w:sz w:val="14"/>
                <w:szCs w:val="14"/>
                <w:color w:val="auto"/>
              </w:rPr>
              <w:t>Shareholder's Equity</w:t>
            </w:r>
          </w:p>
        </w:tc>
        <w:tc>
          <w:tcPr>
            <w:tcW w:w="4320" w:type="dxa"/>
            <w:vAlign w:val="bottom"/>
          </w:tcPr>
          <w:p>
            <w:pPr>
              <w:jc w:val="center"/>
              <w:ind w:left="1028"/>
              <w:spacing w:after="0"/>
              <w:rPr>
                <w:sz w:val="20"/>
                <w:szCs w:val="20"/>
                <w:color w:val="auto"/>
              </w:rPr>
            </w:pPr>
            <w:r>
              <w:rPr>
                <w:rFonts w:ascii="Arial" w:cs="Arial" w:eastAsia="Arial" w:hAnsi="Arial"/>
                <w:sz w:val="14"/>
                <w:szCs w:val="14"/>
                <w:color w:val="auto"/>
                <w:w w:val="90"/>
              </w:rPr>
              <w:t>801,708</w:t>
            </w:r>
          </w:p>
        </w:tc>
        <w:tc>
          <w:tcPr>
            <w:tcW w:w="2080" w:type="dxa"/>
            <w:vAlign w:val="bottom"/>
          </w:tcPr>
          <w:p>
            <w:pPr>
              <w:jc w:val="center"/>
              <w:ind w:left="1188"/>
              <w:spacing w:after="0"/>
              <w:rPr>
                <w:sz w:val="20"/>
                <w:szCs w:val="20"/>
                <w:color w:val="auto"/>
              </w:rPr>
            </w:pPr>
            <w:r>
              <w:rPr>
                <w:rFonts w:ascii="Arial" w:cs="Arial" w:eastAsia="Arial" w:hAnsi="Arial"/>
                <w:sz w:val="14"/>
                <w:szCs w:val="14"/>
                <w:color w:val="auto"/>
                <w:w w:val="90"/>
              </w:rPr>
              <w:t>754,575</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CFO</w:t>
      </w:r>
    </w:p>
    <w:p>
      <w:pPr>
        <w:spacing w:after="0" w:line="1" w:lineRule="exact"/>
        <w:rPr>
          <w:sz w:val="20"/>
          <w:szCs w:val="20"/>
          <w:color w:val="auto"/>
        </w:rPr>
      </w:pPr>
    </w:p>
    <w:p>
      <w:pPr>
        <w:ind w:right="8679"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1 291 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Simon Holmes</w:t>
      </w:r>
    </w:p>
    <w:p>
      <w:pPr>
        <w:ind w:right="7179"/>
        <w:spacing w:after="0" w:line="234" w:lineRule="auto"/>
        <w:rPr>
          <w:rFonts w:ascii="Arial" w:cs="Arial" w:eastAsia="Arial" w:hAnsi="Arial"/>
          <w:sz w:val="22"/>
          <w:szCs w:val="22"/>
          <w:color w:val="auto"/>
        </w:rPr>
      </w:pPr>
      <w:r>
        <w:rPr>
          <w:rFonts w:ascii="Arial" w:cs="Arial" w:eastAsia="Arial" w:hAnsi="Arial"/>
          <w:sz w:val="22"/>
          <w:szCs w:val="22"/>
          <w:color w:val="auto"/>
        </w:rPr>
        <w:t xml:space="preserve">EVP IR &amp; Corporate Development +3531 291 2000 </w:t>
      </w:r>
      <w:r>
        <w:rPr>
          <w:rFonts w:ascii="Arial" w:cs="Arial" w:eastAsia="Arial" w:hAnsi="Arial"/>
          <w:sz w:val="22"/>
          <w:szCs w:val="22"/>
          <w:u w:val="single" w:color="auto"/>
          <w:color w:val="auto"/>
        </w:rPr>
        <w:t>http://www.iconplc.com</w:t>
      </w:r>
    </w:p>
    <w:sectPr>
      <w:pgSz w:w="11900" w:h="16838" w:orient="portrait"/>
      <w:cols w:equalWidth="0" w:num="1">
        <w:col w:w="10219"/>
      </w:cols>
      <w:pgMar w:left="2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2019-12-06T20:11:46Z</dcterms:created>
  <dcterms:modified xsi:type="dcterms:W3CDTF">2019-12-06T20:11:46Z</dcterms:modified>
</cp:coreProperties>
</file>